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64" w:rsidRDefault="00613764"/>
    <w:p w:rsidR="00613764" w:rsidRDefault="00613764"/>
    <w:p w:rsidR="00613764" w:rsidRDefault="00613764"/>
    <w:p w:rsidR="00613764" w:rsidRDefault="00613764"/>
    <w:p w:rsidR="00613764" w:rsidRDefault="00613764"/>
    <w:p w:rsidR="00613764" w:rsidRDefault="00613764"/>
    <w:p w:rsidR="00613764" w:rsidRDefault="00613764"/>
    <w:p w:rsidR="00613764" w:rsidRDefault="00613764"/>
    <w:p w:rsidR="00613764" w:rsidRDefault="00613764"/>
    <w:p w:rsidR="00613764" w:rsidRDefault="00613764"/>
    <w:p w:rsidR="00613764" w:rsidRPr="00613764" w:rsidRDefault="00613764" w:rsidP="00613764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 w:rsidRPr="00613764">
        <w:rPr>
          <w:rFonts w:ascii="Arial" w:hAnsi="Arial" w:cs="Arial"/>
          <w:b/>
          <w:bCs/>
          <w:sz w:val="24"/>
          <w:szCs w:val="24"/>
        </w:rPr>
        <w:t>YMPÄRISTÖMINISTERIÖLLE</w:t>
      </w:r>
    </w:p>
    <w:p w:rsidR="00613764" w:rsidRDefault="00613764" w:rsidP="00613764">
      <w:pPr>
        <w:ind w:left="1304" w:hanging="1304"/>
        <w:rPr>
          <w:rFonts w:ascii="Arial" w:hAnsi="Arial" w:cs="Arial"/>
          <w:sz w:val="24"/>
          <w:szCs w:val="24"/>
        </w:rPr>
      </w:pPr>
    </w:p>
    <w:p w:rsidR="00613764" w:rsidRDefault="00613764" w:rsidP="00613764">
      <w:pPr>
        <w:ind w:left="1304" w:hanging="1304"/>
        <w:rPr>
          <w:rFonts w:ascii="Arial" w:hAnsi="Arial" w:cs="Arial"/>
          <w:sz w:val="24"/>
          <w:szCs w:val="24"/>
        </w:rPr>
      </w:pPr>
      <w:r w:rsidRPr="00613764">
        <w:rPr>
          <w:rFonts w:ascii="Arial" w:hAnsi="Arial" w:cs="Arial"/>
          <w:b/>
          <w:bCs/>
          <w:sz w:val="24"/>
          <w:szCs w:val="24"/>
        </w:rPr>
        <w:t>Asia:</w:t>
      </w:r>
      <w:r w:rsidRPr="00613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13764">
        <w:rPr>
          <w:rFonts w:ascii="Arial" w:hAnsi="Arial" w:cs="Arial"/>
          <w:sz w:val="24"/>
          <w:szCs w:val="24"/>
        </w:rPr>
        <w:t>Nord Stream II, rajat ylittävät vaikutukset, ympäristövaikutusten arviointi, Tanska, kaakkoisreitti</w:t>
      </w:r>
      <w:r>
        <w:rPr>
          <w:rFonts w:ascii="Arial" w:hAnsi="Arial" w:cs="Arial"/>
          <w:sz w:val="24"/>
          <w:szCs w:val="24"/>
        </w:rPr>
        <w:t xml:space="preserve">; </w:t>
      </w:r>
      <w:r w:rsidR="00E8420F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Pr="00ED6835">
        <w:rPr>
          <w:rFonts w:ascii="Arial" w:hAnsi="Arial" w:cs="Arial"/>
          <w:sz w:val="24"/>
          <w:szCs w:val="24"/>
        </w:rPr>
        <w:t>ääräpäivä 28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6.2019</w:t>
      </w:r>
    </w:p>
    <w:p w:rsidR="00613764" w:rsidRPr="00613764" w:rsidRDefault="00613764" w:rsidP="00613764">
      <w:pPr>
        <w:ind w:left="1304" w:hanging="1304"/>
        <w:rPr>
          <w:rFonts w:ascii="Arial" w:hAnsi="Arial" w:cs="Arial"/>
          <w:sz w:val="24"/>
          <w:szCs w:val="24"/>
        </w:rPr>
      </w:pPr>
    </w:p>
    <w:p w:rsidR="00613764" w:rsidRPr="00613764" w:rsidRDefault="00613764" w:rsidP="00613764">
      <w:pPr>
        <w:rPr>
          <w:rFonts w:ascii="Arial" w:hAnsi="Arial" w:cs="Arial"/>
          <w:b/>
          <w:bCs/>
          <w:sz w:val="24"/>
          <w:szCs w:val="24"/>
        </w:rPr>
      </w:pPr>
      <w:r w:rsidRPr="00613764">
        <w:rPr>
          <w:rFonts w:ascii="Arial" w:hAnsi="Arial" w:cs="Arial"/>
          <w:b/>
          <w:bCs/>
          <w:sz w:val="24"/>
          <w:szCs w:val="24"/>
        </w:rPr>
        <w:t xml:space="preserve">Lausuman antaja: </w:t>
      </w:r>
    </w:p>
    <w:p w:rsidR="00613764" w:rsidRPr="00E8420F" w:rsidRDefault="00613764" w:rsidP="00613764">
      <w:pPr>
        <w:ind w:firstLine="1304"/>
        <w:rPr>
          <w:rFonts w:ascii="Arial" w:hAnsi="Arial" w:cs="Arial"/>
          <w:sz w:val="24"/>
          <w:szCs w:val="24"/>
        </w:rPr>
      </w:pPr>
      <w:r w:rsidRPr="00E8420F">
        <w:rPr>
          <w:rFonts w:ascii="Arial" w:hAnsi="Arial" w:cs="Arial"/>
          <w:sz w:val="24"/>
          <w:szCs w:val="24"/>
        </w:rPr>
        <w:t>Suomen Ammattikalastajaliitto ry, Finlands Yrkesfiskarförbund rf</w:t>
      </w:r>
    </w:p>
    <w:p w:rsidR="00613764" w:rsidRPr="00E8420F" w:rsidRDefault="00613764" w:rsidP="00613764">
      <w:pPr>
        <w:ind w:firstLine="1304"/>
        <w:rPr>
          <w:rFonts w:ascii="Arial" w:hAnsi="Arial" w:cs="Arial"/>
          <w:sz w:val="24"/>
          <w:szCs w:val="24"/>
        </w:rPr>
      </w:pPr>
      <w:r w:rsidRPr="00E8420F">
        <w:rPr>
          <w:rFonts w:ascii="Arial" w:hAnsi="Arial" w:cs="Arial"/>
          <w:sz w:val="24"/>
          <w:szCs w:val="24"/>
        </w:rPr>
        <w:t>Jordaksentie 124</w:t>
      </w:r>
    </w:p>
    <w:p w:rsidR="00613764" w:rsidRPr="00E8420F" w:rsidRDefault="00613764" w:rsidP="00613764">
      <w:pPr>
        <w:ind w:firstLine="1304"/>
        <w:rPr>
          <w:rFonts w:ascii="Arial" w:hAnsi="Arial" w:cs="Arial"/>
          <w:sz w:val="24"/>
          <w:szCs w:val="24"/>
        </w:rPr>
      </w:pPr>
      <w:r w:rsidRPr="00E8420F">
        <w:rPr>
          <w:rFonts w:ascii="Arial" w:hAnsi="Arial" w:cs="Arial"/>
          <w:sz w:val="24"/>
          <w:szCs w:val="24"/>
        </w:rPr>
        <w:t>07840 Lindkoski</w:t>
      </w:r>
    </w:p>
    <w:p w:rsidR="00613764" w:rsidRPr="00E8420F" w:rsidRDefault="00613764" w:rsidP="00613764">
      <w:pPr>
        <w:rPr>
          <w:rFonts w:ascii="Arial" w:hAnsi="Arial" w:cs="Arial"/>
          <w:sz w:val="24"/>
          <w:szCs w:val="24"/>
        </w:rPr>
      </w:pPr>
      <w:r w:rsidRPr="00E8420F">
        <w:rPr>
          <w:rFonts w:ascii="Arial" w:hAnsi="Arial" w:cs="Arial"/>
          <w:sz w:val="24"/>
          <w:szCs w:val="24"/>
        </w:rPr>
        <w:tab/>
        <w:t>sakl@sakl.fi</w:t>
      </w:r>
    </w:p>
    <w:p w:rsidR="00613764" w:rsidRPr="00E8420F" w:rsidRDefault="00613764" w:rsidP="00613764">
      <w:pPr>
        <w:rPr>
          <w:rFonts w:ascii="Arial" w:hAnsi="Arial" w:cs="Arial"/>
          <w:sz w:val="24"/>
          <w:szCs w:val="24"/>
        </w:rPr>
      </w:pPr>
      <w:r w:rsidRPr="00E8420F">
        <w:rPr>
          <w:rFonts w:ascii="Arial" w:hAnsi="Arial" w:cs="Arial"/>
          <w:sz w:val="24"/>
          <w:szCs w:val="24"/>
        </w:rPr>
        <w:tab/>
        <w:t>(jäljempänä ’’SAKL’’)</w:t>
      </w:r>
    </w:p>
    <w:p w:rsidR="00613764" w:rsidRPr="00E8420F" w:rsidRDefault="00613764" w:rsidP="00613764">
      <w:pPr>
        <w:rPr>
          <w:rFonts w:ascii="Arial" w:hAnsi="Arial" w:cs="Arial"/>
          <w:sz w:val="24"/>
          <w:szCs w:val="24"/>
        </w:rPr>
      </w:pPr>
    </w:p>
    <w:p w:rsidR="00613764" w:rsidRPr="00613764" w:rsidRDefault="00613764" w:rsidP="00613764">
      <w:pPr>
        <w:ind w:left="1304"/>
        <w:rPr>
          <w:rFonts w:ascii="Arial" w:hAnsi="Arial" w:cs="Arial"/>
          <w:sz w:val="24"/>
          <w:szCs w:val="24"/>
        </w:rPr>
      </w:pPr>
      <w:r w:rsidRPr="00613764">
        <w:rPr>
          <w:rFonts w:ascii="Arial" w:hAnsi="Arial" w:cs="Arial"/>
          <w:sz w:val="24"/>
          <w:szCs w:val="24"/>
        </w:rPr>
        <w:t>Mm. vesilain 15 luvun 2 §:n 1 momentin 2) kohdassa ja ympäristönsuojelulain 191 §:n 1 momentin 2) -kohdassa tarkoitettu yhteisö, toiminta-alueena on koko valtakunta ja tehtävänä samalla suomalaisen ammattikalastuksen edunvalvonta; myös ammattikalastuksen turvallisuuskysymysten ja elinkeinon harjoittamisen edellytysten osalta.</w:t>
      </w:r>
    </w:p>
    <w:p w:rsidR="00613764" w:rsidRDefault="00613764" w:rsidP="00613764">
      <w:pPr>
        <w:ind w:left="1304" w:firstLine="1"/>
        <w:rPr>
          <w:rFonts w:ascii="Arial" w:hAnsi="Arial" w:cs="Arial"/>
          <w:sz w:val="24"/>
          <w:szCs w:val="24"/>
        </w:rPr>
      </w:pPr>
      <w:r w:rsidRPr="00613764">
        <w:rPr>
          <w:rFonts w:ascii="Arial" w:hAnsi="Arial" w:cs="Arial"/>
          <w:sz w:val="24"/>
          <w:szCs w:val="24"/>
        </w:rPr>
        <w:t>Puhevaltaa käyttävä asianosainen käytännössä kaikissa merkittävissä kalastukseen ja mm. kalastuksen turvallisuuskysymyksiin liittyvissä lupa-asioissa; toimien myös hakijana eo. intressien puitteissa; tämä asianosaisuus todettu ratkaisussa oikein.</w:t>
      </w:r>
    </w:p>
    <w:p w:rsidR="00613764" w:rsidRPr="00613764" w:rsidRDefault="00613764" w:rsidP="00613764">
      <w:pPr>
        <w:rPr>
          <w:rFonts w:ascii="Arial" w:hAnsi="Arial" w:cs="Arial"/>
          <w:b/>
          <w:bCs/>
          <w:sz w:val="24"/>
          <w:szCs w:val="24"/>
        </w:rPr>
      </w:pPr>
      <w:r w:rsidRPr="00613764">
        <w:rPr>
          <w:rFonts w:ascii="Arial" w:hAnsi="Arial" w:cs="Arial"/>
          <w:b/>
          <w:bCs/>
          <w:sz w:val="24"/>
          <w:szCs w:val="24"/>
        </w:rPr>
        <w:t>Asiamies:</w:t>
      </w:r>
    </w:p>
    <w:p w:rsidR="00613764" w:rsidRDefault="00613764" w:rsidP="00613764">
      <w:pPr>
        <w:spacing w:after="0" w:line="360" w:lineRule="auto"/>
        <w:ind w:left="1260" w:hanging="1440"/>
        <w:jc w:val="both"/>
        <w:rPr>
          <w:rFonts w:ascii="Arial" w:eastAsia="Times New Roman" w:hAnsi="Arial" w:cs="Arial"/>
          <w:sz w:val="24"/>
          <w:szCs w:val="20"/>
          <w:lang w:eastAsia="fi-FI"/>
        </w:rPr>
      </w:pPr>
      <w:r>
        <w:rPr>
          <w:rFonts w:ascii="Arial" w:hAnsi="Arial" w:cs="Arial"/>
          <w:sz w:val="24"/>
          <w:szCs w:val="24"/>
        </w:rPr>
        <w:tab/>
      </w:r>
      <w:r w:rsidRPr="005436C2">
        <w:rPr>
          <w:rFonts w:ascii="Arial" w:eastAsia="Times New Roman" w:hAnsi="Arial" w:cs="Arial"/>
          <w:sz w:val="24"/>
          <w:szCs w:val="20"/>
          <w:lang w:eastAsia="fi-FI"/>
        </w:rPr>
        <w:t>A</w:t>
      </w:r>
      <w:r>
        <w:rPr>
          <w:rFonts w:ascii="Arial" w:eastAsia="Times New Roman" w:hAnsi="Arial" w:cs="Arial"/>
          <w:sz w:val="24"/>
          <w:szCs w:val="20"/>
          <w:lang w:eastAsia="fi-FI"/>
        </w:rPr>
        <w:t>sianajaja</w:t>
      </w:r>
      <w:r w:rsidRPr="005436C2">
        <w:rPr>
          <w:rFonts w:ascii="Arial" w:eastAsia="Times New Roman" w:hAnsi="Arial" w:cs="Arial"/>
          <w:sz w:val="24"/>
          <w:szCs w:val="20"/>
          <w:lang w:eastAsia="fi-FI"/>
        </w:rPr>
        <w:t xml:space="preserve"> Heikki Jalas</w:t>
      </w:r>
    </w:p>
    <w:p w:rsidR="00613764" w:rsidRDefault="00613764" w:rsidP="00613764">
      <w:pPr>
        <w:spacing w:after="0" w:line="240" w:lineRule="auto"/>
        <w:ind w:left="1260" w:hanging="1440"/>
        <w:jc w:val="both"/>
        <w:rPr>
          <w:rFonts w:ascii="Arial" w:eastAsia="Times New Roman" w:hAnsi="Arial" w:cs="Arial"/>
          <w:sz w:val="24"/>
          <w:szCs w:val="20"/>
          <w:lang w:eastAsia="fi-FI"/>
        </w:rPr>
      </w:pPr>
      <w:r w:rsidRPr="005436C2">
        <w:rPr>
          <w:rFonts w:ascii="Arial" w:eastAsia="Times New Roman" w:hAnsi="Arial" w:cs="Arial"/>
          <w:sz w:val="24"/>
          <w:szCs w:val="20"/>
          <w:lang w:eastAsia="fi-FI"/>
        </w:rPr>
        <w:tab/>
      </w:r>
      <w:r>
        <w:rPr>
          <w:rFonts w:ascii="Arial" w:eastAsia="Times New Roman" w:hAnsi="Arial" w:cs="Arial"/>
          <w:sz w:val="24"/>
          <w:szCs w:val="20"/>
          <w:lang w:eastAsia="fi-FI"/>
        </w:rPr>
        <w:t>Asianajotoimisto Heikki Jalas Oy</w:t>
      </w:r>
    </w:p>
    <w:p w:rsidR="00613764" w:rsidRDefault="00613764" w:rsidP="00613764">
      <w:pPr>
        <w:spacing w:after="0" w:line="240" w:lineRule="auto"/>
        <w:ind w:left="1260" w:hanging="1440"/>
        <w:jc w:val="both"/>
        <w:rPr>
          <w:rFonts w:ascii="Arial" w:eastAsia="Times New Roman" w:hAnsi="Arial" w:cs="Arial"/>
          <w:sz w:val="24"/>
          <w:szCs w:val="20"/>
          <w:lang w:eastAsia="fi-FI"/>
        </w:rPr>
      </w:pPr>
      <w:r>
        <w:rPr>
          <w:rFonts w:ascii="Arial" w:eastAsia="Times New Roman" w:hAnsi="Arial" w:cs="Arial"/>
          <w:sz w:val="24"/>
          <w:szCs w:val="20"/>
          <w:lang w:eastAsia="fi-FI"/>
        </w:rPr>
        <w:lastRenderedPageBreak/>
        <w:tab/>
        <w:t>Yliopistonkatu 11 a B 19</w:t>
      </w:r>
    </w:p>
    <w:p w:rsidR="00613764" w:rsidRPr="005436C2" w:rsidRDefault="00613764" w:rsidP="00613764">
      <w:pPr>
        <w:spacing w:after="0" w:line="240" w:lineRule="auto"/>
        <w:ind w:left="1260" w:hanging="1440"/>
        <w:jc w:val="both"/>
        <w:rPr>
          <w:rFonts w:ascii="Arial" w:eastAsia="Times New Roman" w:hAnsi="Arial" w:cs="Arial"/>
          <w:sz w:val="24"/>
          <w:szCs w:val="20"/>
          <w:lang w:eastAsia="fi-FI"/>
        </w:rPr>
      </w:pPr>
      <w:r>
        <w:rPr>
          <w:rFonts w:ascii="Arial" w:eastAsia="Times New Roman" w:hAnsi="Arial" w:cs="Arial"/>
          <w:sz w:val="24"/>
          <w:szCs w:val="20"/>
          <w:lang w:eastAsia="fi-FI"/>
        </w:rPr>
        <w:tab/>
      </w:r>
      <w:r w:rsidRPr="005436C2">
        <w:rPr>
          <w:rFonts w:ascii="Arial" w:eastAsia="Times New Roman" w:hAnsi="Arial" w:cs="Arial"/>
          <w:sz w:val="24"/>
          <w:szCs w:val="20"/>
          <w:lang w:eastAsia="fi-FI"/>
        </w:rPr>
        <w:t>20100 Turku</w:t>
      </w:r>
    </w:p>
    <w:p w:rsidR="00613764" w:rsidRPr="005436C2" w:rsidRDefault="00613764" w:rsidP="00613764">
      <w:pPr>
        <w:spacing w:after="0" w:line="240" w:lineRule="auto"/>
        <w:ind w:left="1260" w:hanging="1440"/>
        <w:jc w:val="both"/>
        <w:rPr>
          <w:rFonts w:ascii="Arial" w:eastAsia="Times New Roman" w:hAnsi="Arial" w:cs="Arial"/>
          <w:sz w:val="24"/>
          <w:szCs w:val="20"/>
          <w:lang w:eastAsia="fi-FI"/>
        </w:rPr>
      </w:pPr>
      <w:r w:rsidRPr="005436C2">
        <w:rPr>
          <w:rFonts w:ascii="Arial" w:eastAsia="Times New Roman" w:hAnsi="Arial" w:cs="Arial"/>
          <w:sz w:val="24"/>
          <w:szCs w:val="20"/>
          <w:lang w:eastAsia="fi-FI"/>
        </w:rPr>
        <w:tab/>
      </w:r>
      <w:r>
        <w:rPr>
          <w:rFonts w:ascii="Arial" w:eastAsia="Times New Roman" w:hAnsi="Arial" w:cs="Arial"/>
          <w:sz w:val="24"/>
          <w:szCs w:val="20"/>
          <w:lang w:eastAsia="fi-FI"/>
        </w:rPr>
        <w:t>Puh</w:t>
      </w:r>
      <w:r w:rsidRPr="005436C2">
        <w:rPr>
          <w:rFonts w:ascii="Arial" w:eastAsia="Times New Roman" w:hAnsi="Arial" w:cs="Arial"/>
          <w:sz w:val="24"/>
          <w:szCs w:val="20"/>
          <w:lang w:eastAsia="fi-FI"/>
        </w:rPr>
        <w:t>. 02-2519 400</w:t>
      </w:r>
    </w:p>
    <w:p w:rsidR="00613764" w:rsidRPr="003230AF" w:rsidRDefault="00613764" w:rsidP="00613764">
      <w:pPr>
        <w:spacing w:after="0" w:line="240" w:lineRule="auto"/>
        <w:ind w:left="1260" w:hanging="1440"/>
        <w:jc w:val="both"/>
        <w:rPr>
          <w:rFonts w:ascii="Arial" w:eastAsia="Times New Roman" w:hAnsi="Arial" w:cs="Arial"/>
          <w:sz w:val="24"/>
          <w:szCs w:val="20"/>
          <w:lang w:val="fr-FR" w:eastAsia="fi-FI"/>
        </w:rPr>
      </w:pPr>
      <w:r w:rsidRPr="005436C2">
        <w:rPr>
          <w:rFonts w:ascii="Arial" w:eastAsia="Times New Roman" w:hAnsi="Arial" w:cs="Arial"/>
          <w:sz w:val="24"/>
          <w:szCs w:val="20"/>
          <w:lang w:eastAsia="fi-FI"/>
        </w:rPr>
        <w:tab/>
      </w:r>
      <w:r w:rsidRPr="003230AF">
        <w:rPr>
          <w:rFonts w:ascii="Arial" w:eastAsia="Times New Roman" w:hAnsi="Arial" w:cs="Arial"/>
          <w:sz w:val="24"/>
          <w:szCs w:val="20"/>
          <w:lang w:val="fr-FR" w:eastAsia="fi-FI"/>
        </w:rPr>
        <w:t>Fax 02-2518 840</w:t>
      </w:r>
    </w:p>
    <w:p w:rsidR="00613764" w:rsidRPr="003230AF" w:rsidRDefault="00613764" w:rsidP="00613764">
      <w:pPr>
        <w:spacing w:after="0" w:line="240" w:lineRule="auto"/>
        <w:ind w:left="1260" w:hanging="1440"/>
        <w:jc w:val="both"/>
        <w:rPr>
          <w:rStyle w:val="Hyperlinkki"/>
          <w:rFonts w:ascii="Arial" w:eastAsia="Times New Roman" w:hAnsi="Arial" w:cs="Times New Roman"/>
          <w:bCs/>
          <w:color w:val="auto"/>
          <w:sz w:val="24"/>
          <w:szCs w:val="24"/>
          <w:lang w:val="fr-FR" w:eastAsia="fi-FI"/>
        </w:rPr>
      </w:pPr>
      <w:r w:rsidRPr="003230AF">
        <w:rPr>
          <w:rFonts w:ascii="Arial" w:eastAsia="Times New Roman" w:hAnsi="Arial" w:cs="Times New Roman"/>
          <w:b/>
          <w:bCs/>
          <w:sz w:val="24"/>
          <w:szCs w:val="24"/>
          <w:lang w:val="fr-FR" w:eastAsia="fi-FI"/>
        </w:rPr>
        <w:tab/>
      </w:r>
      <w:hyperlink r:id="rId4" w:history="1">
        <w:r w:rsidRPr="003230AF">
          <w:rPr>
            <w:rStyle w:val="Hyperlinkki"/>
            <w:rFonts w:ascii="Arial" w:eastAsia="Times New Roman" w:hAnsi="Arial" w:cs="Times New Roman"/>
            <w:bCs/>
            <w:color w:val="auto"/>
            <w:sz w:val="24"/>
            <w:szCs w:val="24"/>
            <w:lang w:val="fr-FR" w:eastAsia="fi-FI"/>
          </w:rPr>
          <w:t>aatsto.jalas@pp.inet.fi</w:t>
        </w:r>
      </w:hyperlink>
    </w:p>
    <w:p w:rsidR="00613764" w:rsidRPr="003230AF" w:rsidRDefault="00613764" w:rsidP="00613764">
      <w:pPr>
        <w:spacing w:after="0" w:line="240" w:lineRule="auto"/>
        <w:ind w:left="1260" w:hanging="1440"/>
        <w:jc w:val="both"/>
        <w:rPr>
          <w:u w:val="single"/>
          <w:lang w:val="fr-FR"/>
        </w:rPr>
      </w:pPr>
      <w:r w:rsidRPr="003230AF">
        <w:rPr>
          <w:rStyle w:val="Hyperlinkki"/>
          <w:rFonts w:ascii="Arial" w:eastAsia="Times New Roman" w:hAnsi="Arial" w:cs="Times New Roman"/>
          <w:bCs/>
          <w:color w:val="auto"/>
          <w:sz w:val="24"/>
          <w:szCs w:val="24"/>
          <w:u w:val="none"/>
          <w:lang w:val="fr-FR" w:eastAsia="fi-FI"/>
        </w:rPr>
        <w:tab/>
      </w:r>
      <w:r w:rsidRPr="003230AF">
        <w:rPr>
          <w:rStyle w:val="Hyperlinkki"/>
          <w:rFonts w:ascii="Arial" w:eastAsia="Times New Roman" w:hAnsi="Arial" w:cs="Times New Roman"/>
          <w:bCs/>
          <w:color w:val="auto"/>
          <w:sz w:val="24"/>
          <w:szCs w:val="24"/>
          <w:lang w:val="fr-FR" w:eastAsia="fi-FI"/>
        </w:rPr>
        <w:t>www.environlaw.fi</w:t>
      </w:r>
    </w:p>
    <w:p w:rsidR="00613764" w:rsidRDefault="00613764" w:rsidP="00613764">
      <w:pPr>
        <w:spacing w:line="276" w:lineRule="auto"/>
        <w:ind w:left="1304" w:hanging="130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613764" w:rsidRDefault="00613764" w:rsidP="00613764">
      <w:pPr>
        <w:spacing w:line="276" w:lineRule="auto"/>
        <w:ind w:left="1304" w:hanging="44"/>
        <w:jc w:val="both"/>
        <w:rPr>
          <w:rFonts w:ascii="Arial" w:hAnsi="Arial" w:cs="Arial"/>
          <w:sz w:val="24"/>
        </w:rPr>
      </w:pPr>
      <w:r w:rsidRPr="009B7ED4">
        <w:rPr>
          <w:rFonts w:ascii="Arial" w:hAnsi="Arial" w:cs="Arial"/>
          <w:sz w:val="24"/>
        </w:rPr>
        <w:t>Saaristomeren Ammattikalastajat ry:n sihteeri</w:t>
      </w:r>
    </w:p>
    <w:p w:rsidR="00613764" w:rsidRDefault="00613764" w:rsidP="00613764">
      <w:pPr>
        <w:spacing w:line="276" w:lineRule="auto"/>
        <w:jc w:val="both"/>
        <w:rPr>
          <w:rFonts w:ascii="Arial" w:hAnsi="Arial" w:cs="Arial"/>
          <w:sz w:val="24"/>
        </w:rPr>
      </w:pPr>
    </w:p>
    <w:p w:rsidR="00613764" w:rsidRPr="00C466AF" w:rsidRDefault="00613764" w:rsidP="00613764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C466AF">
        <w:rPr>
          <w:rFonts w:ascii="Arial" w:hAnsi="Arial" w:cs="Arial"/>
          <w:b/>
          <w:bCs/>
          <w:sz w:val="24"/>
        </w:rPr>
        <w:t>Lausuma:</w:t>
      </w:r>
    </w:p>
    <w:p w:rsidR="00613764" w:rsidRDefault="00613764" w:rsidP="00613764">
      <w:pPr>
        <w:spacing w:line="276" w:lineRule="auto"/>
        <w:jc w:val="both"/>
        <w:rPr>
          <w:rFonts w:ascii="Arial" w:hAnsi="Arial" w:cs="Arial"/>
          <w:sz w:val="24"/>
        </w:rPr>
      </w:pPr>
    </w:p>
    <w:p w:rsidR="00613764" w:rsidRDefault="00613764" w:rsidP="00ED6835">
      <w:pPr>
        <w:spacing w:line="276" w:lineRule="auto"/>
        <w:ind w:left="1304" w:firstLine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Lausumanantaja esittää lyhyesti seuraavat näkökohdat otettavaksi hankkeessa ja reittivalinnassa (tietysti Tanskan valtion päätettävä asia)</w:t>
      </w:r>
      <w:r w:rsidR="00ED6835">
        <w:rPr>
          <w:rFonts w:ascii="Arial" w:hAnsi="Arial" w:cs="Arial"/>
          <w:sz w:val="24"/>
        </w:rPr>
        <w:t xml:space="preserve"> huomioon</w:t>
      </w:r>
      <w:r>
        <w:rPr>
          <w:rFonts w:ascii="Arial" w:hAnsi="Arial" w:cs="Arial"/>
          <w:sz w:val="24"/>
        </w:rPr>
        <w:t>:</w:t>
      </w:r>
    </w:p>
    <w:p w:rsidR="00613764" w:rsidRDefault="00613764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Ehdotettu pääsuuntaus tässä tapauksessa kulkee Bornholmin kaakkoispuolitse aika läheltä mannerta ja mantereeseen liittyvää Rönnen matalikkoa. Mikäli se ei aluemerta ja talousvyöhykettä koskevassa päätöksenteossa tule kysymykseen, on vaihtoehtona </w:t>
      </w:r>
      <w:r w:rsidRPr="001030AC">
        <w:rPr>
          <w:rFonts w:ascii="Arial" w:hAnsi="Arial" w:cs="Arial"/>
          <w:sz w:val="24"/>
          <w:u w:val="single"/>
        </w:rPr>
        <w:t>NSP 2- reitti V1</w:t>
      </w:r>
      <w:r>
        <w:rPr>
          <w:rFonts w:ascii="Arial" w:hAnsi="Arial" w:cs="Arial"/>
          <w:sz w:val="24"/>
        </w:rPr>
        <w:t xml:space="preserve">, joka on ohjattu kulkemaan räjähteiden ja kemiallisten sodankäyntivälineiden ja aineiden upotusalueen läpi. Hanketta arvioitaessa on toisaalta kiinnitettävä huomiota Itämeristrategiaan ja mahdollisuuksiin korjata Itämeren tilaa. </w:t>
      </w:r>
    </w:p>
    <w:p w:rsidR="00613764" w:rsidRDefault="00613764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Lausuman antaja katsoo ja uskoo hakijankin olevan sitä mieltä, että putkilinjan rakentaminen, II Maailmansodan – varsinkin kemiallisen asearsenaalin sekä räjähteiden läpi heikentää mahdollisuutta kunnostaa aluetta myöhemmän. Tämä johtuu putkilinjan fyysisestä olemassaolosta alueella vastedes mahdollisesti ja toivottavasti suoritettavia raivaus -ja puhdistustoimia silmällä pitäen. </w:t>
      </w:r>
    </w:p>
    <w:p w:rsidR="00613764" w:rsidRDefault="00613764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Näin ollen tämä reitti ei ole nimenomaisesti silmällä pitäen myös rajat ylittäviä vaikutuksia sopiva tai toivottava. </w:t>
      </w:r>
    </w:p>
    <w:p w:rsidR="00613764" w:rsidRDefault="00613764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Mikäli vastoin odotusta tähän reittivalintaan päädyttäisiin, tulee putkilinja tietysti raivata edellä mainituista kemiallisista taisteluvälineistä ja myös räjähteistä. Tämä ei kuitenkaan</w:t>
      </w:r>
      <w:r w:rsidR="001030AC">
        <w:rPr>
          <w:rFonts w:ascii="Arial" w:hAnsi="Arial" w:cs="Arial"/>
          <w:sz w:val="24"/>
        </w:rPr>
        <w:t xml:space="preserve"> tämän vaihtoehdon osalta</w:t>
      </w:r>
      <w:r>
        <w:rPr>
          <w:rFonts w:ascii="Arial" w:hAnsi="Arial" w:cs="Arial"/>
          <w:sz w:val="24"/>
        </w:rPr>
        <w:t xml:space="preserve"> riitä, koska on ilmeistä, että jos aluetta myöhemmin muilta osin puhdistetaan, täytyy putkiparin ympärillä olla laajempi </w:t>
      </w:r>
      <w:r w:rsidR="001030AC">
        <w:rPr>
          <w:rFonts w:ascii="Arial" w:hAnsi="Arial" w:cs="Arial"/>
          <w:sz w:val="24"/>
        </w:rPr>
        <w:t>puhdistettu tila</w:t>
      </w:r>
      <w:r>
        <w:rPr>
          <w:rFonts w:ascii="Arial" w:hAnsi="Arial" w:cs="Arial"/>
          <w:sz w:val="24"/>
        </w:rPr>
        <w:t>. Tässä arvioidaan tarvittavaksi leveydeksi 500 m putkilinjan molemmin puolin, mutta asiasta toivotaan hankittavan asiantuntevaa selvitystä.</w:t>
      </w:r>
    </w:p>
    <w:p w:rsidR="00613764" w:rsidRDefault="00613764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Taustaksi todetaan lisäksi, että kemiallisten aineiden ja räjähteiden </w:t>
      </w:r>
      <w:r w:rsidR="001030AC">
        <w:rPr>
          <w:rFonts w:ascii="Arial" w:hAnsi="Arial" w:cs="Arial"/>
          <w:sz w:val="24"/>
        </w:rPr>
        <w:t>upotus</w:t>
      </w:r>
      <w:r>
        <w:rPr>
          <w:rFonts w:ascii="Arial" w:hAnsi="Arial" w:cs="Arial"/>
          <w:sz w:val="24"/>
        </w:rPr>
        <w:t xml:space="preserve">paikoiksi kartoille merkitty, käytännössä neliskulmainen alue, ei välttämättä ole läheskään kattava. </w:t>
      </w:r>
    </w:p>
    <w:p w:rsidR="001E1472" w:rsidRDefault="00613764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Dumppaus tapahtui tiettävästi aikanaan pääosin entisen Neuvostoliiton voimin. Sekä kemikaalit että räjähteet olivat pääosin puulaatikoissa, jotka</w:t>
      </w:r>
      <w:r w:rsidR="001030AC">
        <w:rPr>
          <w:rFonts w:ascii="Arial" w:hAnsi="Arial" w:cs="Arial"/>
          <w:sz w:val="24"/>
        </w:rPr>
        <w:t xml:space="preserve"> kemikaalien osalta</w:t>
      </w:r>
      <w:r>
        <w:rPr>
          <w:rFonts w:ascii="Arial" w:hAnsi="Arial" w:cs="Arial"/>
          <w:sz w:val="24"/>
        </w:rPr>
        <w:t xml:space="preserve"> osin tiivistyivät ja jäivät kellumaan ja niitä tiettävästi </w:t>
      </w:r>
      <w:r w:rsidR="0066195C">
        <w:rPr>
          <w:rFonts w:ascii="Arial" w:hAnsi="Arial" w:cs="Arial"/>
          <w:sz w:val="24"/>
        </w:rPr>
        <w:t>tulitettiin upottamistarkoituksessa</w:t>
      </w:r>
      <w:r>
        <w:rPr>
          <w:rFonts w:ascii="Arial" w:hAnsi="Arial" w:cs="Arial"/>
          <w:sz w:val="24"/>
        </w:rPr>
        <w:t xml:space="preserve"> Tanskan laivaston </w:t>
      </w:r>
      <w:r w:rsidR="001E1472">
        <w:rPr>
          <w:rFonts w:ascii="Arial" w:hAnsi="Arial" w:cs="Arial"/>
          <w:sz w:val="24"/>
        </w:rPr>
        <w:t xml:space="preserve">keveiden tykkien tulella ym. Hävitettävää aineistoa pääsi näin ajelehtimaan </w:t>
      </w:r>
      <w:r w:rsidR="0066195C">
        <w:rPr>
          <w:rFonts w:ascii="Arial" w:hAnsi="Arial" w:cs="Arial"/>
          <w:sz w:val="24"/>
        </w:rPr>
        <w:t>tarkoitettua</w:t>
      </w:r>
      <w:r w:rsidR="001E1472">
        <w:rPr>
          <w:rFonts w:ascii="Arial" w:hAnsi="Arial" w:cs="Arial"/>
          <w:sz w:val="24"/>
        </w:rPr>
        <w:t xml:space="preserve"> </w:t>
      </w:r>
      <w:r w:rsidR="0066195C">
        <w:rPr>
          <w:rFonts w:ascii="Arial" w:hAnsi="Arial" w:cs="Arial"/>
          <w:sz w:val="24"/>
        </w:rPr>
        <w:t>laajemmalle</w:t>
      </w:r>
      <w:r w:rsidR="001E1472">
        <w:rPr>
          <w:rFonts w:ascii="Arial" w:hAnsi="Arial" w:cs="Arial"/>
          <w:sz w:val="24"/>
        </w:rPr>
        <w:t xml:space="preserve"> alueelle, joten myös tämä seikka </w:t>
      </w:r>
      <w:r w:rsidR="0066195C">
        <w:rPr>
          <w:rFonts w:ascii="Arial" w:hAnsi="Arial" w:cs="Arial"/>
          <w:sz w:val="24"/>
        </w:rPr>
        <w:t>tulisi</w:t>
      </w:r>
      <w:r w:rsidR="001E1472">
        <w:rPr>
          <w:rFonts w:ascii="Arial" w:hAnsi="Arial" w:cs="Arial"/>
          <w:sz w:val="24"/>
        </w:rPr>
        <w:t xml:space="preserve"> reittivalinnassa ja puhdistamis-/raivaustarpeessa otettava huomioon.</w:t>
      </w:r>
    </w:p>
    <w:p w:rsidR="001E1472" w:rsidRDefault="001E1472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Muutoinkin näiden kemikaali</w:t>
      </w:r>
      <w:r w:rsidR="0066195C">
        <w:rPr>
          <w:rFonts w:ascii="Arial" w:hAnsi="Arial" w:cs="Arial"/>
          <w:sz w:val="24"/>
        </w:rPr>
        <w:t xml:space="preserve">en ja </w:t>
      </w:r>
      <w:r>
        <w:rPr>
          <w:rFonts w:ascii="Arial" w:hAnsi="Arial" w:cs="Arial"/>
          <w:sz w:val="24"/>
        </w:rPr>
        <w:t>räjähteiden upottamistilanne oli kiireinen, e</w:t>
      </w:r>
      <w:r w:rsidR="005B1F35">
        <w:rPr>
          <w:rFonts w:ascii="Arial" w:hAnsi="Arial" w:cs="Arial"/>
          <w:sz w:val="24"/>
        </w:rPr>
        <w:t>ttei</w:t>
      </w:r>
      <w:r>
        <w:rPr>
          <w:rFonts w:ascii="Arial" w:hAnsi="Arial" w:cs="Arial"/>
          <w:sz w:val="24"/>
        </w:rPr>
        <w:t xml:space="preserve"> niiden sijainnista </w:t>
      </w:r>
      <w:r w:rsidR="005B1F35">
        <w:rPr>
          <w:rFonts w:ascii="Arial" w:hAnsi="Arial" w:cs="Arial"/>
          <w:sz w:val="24"/>
        </w:rPr>
        <w:t xml:space="preserve">kovin </w:t>
      </w:r>
      <w:r>
        <w:rPr>
          <w:rFonts w:ascii="Arial" w:hAnsi="Arial" w:cs="Arial"/>
          <w:sz w:val="24"/>
        </w:rPr>
        <w:t>tarkkaa karttakuvaa syntynyt.</w:t>
      </w:r>
    </w:p>
    <w:p w:rsidR="001E1472" w:rsidRDefault="001E1472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Kerrotaan, että kemiallisia aineita sisältävissä tykkitulella tu</w:t>
      </w:r>
      <w:r w:rsidR="005B1F35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otuista (</w:t>
      </w:r>
      <w:r w:rsidR="005B1F35">
        <w:rPr>
          <w:rFonts w:ascii="Arial" w:hAnsi="Arial" w:cs="Arial"/>
          <w:sz w:val="24"/>
        </w:rPr>
        <w:t xml:space="preserve">aiheuttaen </w:t>
      </w:r>
      <w:r>
        <w:rPr>
          <w:rFonts w:ascii="Arial" w:hAnsi="Arial" w:cs="Arial"/>
          <w:sz w:val="24"/>
        </w:rPr>
        <w:t xml:space="preserve">samalla vuotoja kemiallisia aineita sisältäviin kranaatteihin) </w:t>
      </w:r>
      <w:r w:rsidR="005B1F35">
        <w:rPr>
          <w:rFonts w:ascii="Arial" w:hAnsi="Arial" w:cs="Arial"/>
          <w:sz w:val="24"/>
        </w:rPr>
        <w:t xml:space="preserve">laatikoista peräisin olevien </w:t>
      </w:r>
      <w:r>
        <w:rPr>
          <w:rFonts w:ascii="Arial" w:hAnsi="Arial" w:cs="Arial"/>
          <w:sz w:val="24"/>
        </w:rPr>
        <w:t xml:space="preserve">lautojen ajauduttua rannalle, saivat niitä mm. </w:t>
      </w:r>
      <w:r w:rsidR="005B1F35">
        <w:rPr>
          <w:rFonts w:ascii="Arial" w:hAnsi="Arial" w:cs="Arial"/>
          <w:sz w:val="24"/>
        </w:rPr>
        <w:t xml:space="preserve">myöhemmin </w:t>
      </w:r>
      <w:r>
        <w:rPr>
          <w:rFonts w:ascii="Arial" w:hAnsi="Arial" w:cs="Arial"/>
          <w:sz w:val="24"/>
        </w:rPr>
        <w:t>tulentekoon käyttäneet tiettävästi selviä oireita. Koska edellä mainitut seikat eivät ol</w:t>
      </w:r>
      <w:r w:rsidR="005B1F35">
        <w:rPr>
          <w:rFonts w:ascii="Arial" w:hAnsi="Arial" w:cs="Arial"/>
          <w:sz w:val="24"/>
        </w:rPr>
        <w:t xml:space="preserve">e ristiin </w:t>
      </w:r>
      <w:r>
        <w:rPr>
          <w:rFonts w:ascii="Arial" w:hAnsi="Arial" w:cs="Arial"/>
          <w:sz w:val="24"/>
        </w:rPr>
        <w:t xml:space="preserve">tarkistettuja, olisi myös tämä ulottuvuuskysymys selvitettävä ja perehdyttävä kaikkeen siihen selvitykseen mikä asiasta on olemassa. </w:t>
      </w:r>
    </w:p>
    <w:p w:rsidR="001E1472" w:rsidRDefault="001E1472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Toisena asiana kiinnitetään huomiota siihen, että putkilinjan elinkaaren päätyttyä se olisi tarpeen</w:t>
      </w:r>
      <w:r w:rsidR="005B1F35">
        <w:rPr>
          <w:rFonts w:ascii="Arial" w:hAnsi="Arial" w:cs="Arial"/>
          <w:sz w:val="24"/>
        </w:rPr>
        <w:t xml:space="preserve"> ja ekologista</w:t>
      </w:r>
      <w:r>
        <w:rPr>
          <w:rFonts w:ascii="Arial" w:hAnsi="Arial" w:cs="Arial"/>
          <w:sz w:val="24"/>
        </w:rPr>
        <w:t xml:space="preserve"> poistaa.</w:t>
      </w:r>
    </w:p>
    <w:p w:rsidR="005B1F35" w:rsidRDefault="001E1472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Harkintaan myös jää onko valtiotasolla käytettävissä – tai pikemminkin sovellettavissa – ympäristöoikeudellista aiheuttamisperiaatetta, joka toisi uusia elementtejä näiden räjähteiden ja kemiallisten aineiden hävittämiseen</w:t>
      </w:r>
      <w:r w:rsidR="005B1F35">
        <w:rPr>
          <w:rFonts w:ascii="Arial" w:hAnsi="Arial" w:cs="Arial"/>
          <w:sz w:val="24"/>
        </w:rPr>
        <w:t>.</w:t>
      </w:r>
    </w:p>
    <w:p w:rsidR="00ED6835" w:rsidRDefault="00ED6835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Tätä lausuntoa, joka määräajan vuoksi oli tehtävä varsin kiireellisenä, pyydetään saada täydentää ja täsmentää ja muuttaakin siltä osin kuin lähiaikoina havaitaan tarpeelliseksi.</w:t>
      </w:r>
    </w:p>
    <w:p w:rsidR="00ED6835" w:rsidRPr="009B7ED4" w:rsidRDefault="00ED6835" w:rsidP="00ED6835">
      <w:pPr>
        <w:spacing w:line="276" w:lineRule="auto"/>
        <w:ind w:left="13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Todettakoon vielä, että tällä esityksellä Suomen Ammattikalastajaliito ei vaadi itselleen tai suomalaisille kalastajille mitään korvausta Nord Stream AG:n kysymyksessä olevista toimenpiteistä, vaan asiassa kiinnitetään huomiota näihin seikkoihin meriympäristön hyvinvoinnin ja parantamisen kannalta. </w:t>
      </w:r>
      <w:r w:rsidR="005B1F35">
        <w:rPr>
          <w:rFonts w:ascii="Arial" w:hAnsi="Arial" w:cs="Arial"/>
          <w:sz w:val="24"/>
        </w:rPr>
        <w:t xml:space="preserve">Ja, että yhtiön ympäristövastuullisuuteen sellaisenaan luotetaan. </w:t>
      </w:r>
    </w:p>
    <w:p w:rsidR="00ED6835" w:rsidRPr="00613764" w:rsidRDefault="00ED6835" w:rsidP="00ED6835">
      <w:pPr>
        <w:rPr>
          <w:rFonts w:ascii="Arial" w:hAnsi="Arial" w:cs="Arial"/>
          <w:sz w:val="24"/>
          <w:szCs w:val="24"/>
        </w:rPr>
      </w:pP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Turussa 28. päivänä kesäkuuta 2019</w:t>
      </w: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Heikki Jalas</w:t>
      </w:r>
    </w:p>
    <w:p w:rsidR="00ED6835" w:rsidRDefault="00ED6835" w:rsidP="0061376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Suomen Ammattikalastajaliiton asiamiehenä ja muutoin edellä mainitussa ominaisuudessa </w:t>
      </w:r>
    </w:p>
    <w:sectPr w:rsidR="00ED68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64"/>
    <w:rsid w:val="001030AC"/>
    <w:rsid w:val="001E1472"/>
    <w:rsid w:val="005B1F35"/>
    <w:rsid w:val="00613764"/>
    <w:rsid w:val="0066195C"/>
    <w:rsid w:val="00C466AF"/>
    <w:rsid w:val="00E8420F"/>
    <w:rsid w:val="00E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421E"/>
  <w15:chartTrackingRefBased/>
  <w15:docId w15:val="{83688B2C-174A-4B06-9606-62C41708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13764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D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6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tsto.jalas@pp.i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Huttunen</dc:creator>
  <cp:keywords/>
  <dc:description/>
  <cp:lastModifiedBy>Anniina Huttunen</cp:lastModifiedBy>
  <cp:revision>5</cp:revision>
  <cp:lastPrinted>2019-06-28T12:59:00Z</cp:lastPrinted>
  <dcterms:created xsi:type="dcterms:W3CDTF">2019-06-28T12:24:00Z</dcterms:created>
  <dcterms:modified xsi:type="dcterms:W3CDTF">2019-06-28T13:18:00Z</dcterms:modified>
</cp:coreProperties>
</file>