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15" w:rsidRDefault="001D5464" w:rsidP="00F04D47">
      <w:pPr>
        <w:rPr>
          <w:b/>
        </w:rPr>
      </w:pPr>
      <w:r>
        <w:rPr>
          <w:b/>
        </w:rPr>
        <w:t>UTKAST 22.8.2019</w:t>
      </w:r>
    </w:p>
    <w:p w:rsidR="00737B15" w:rsidRDefault="00737B15" w:rsidP="00F04D47">
      <w:pPr>
        <w:rPr>
          <w:b/>
        </w:rPr>
      </w:pPr>
    </w:p>
    <w:p w:rsidR="000143EE" w:rsidRDefault="000143EE" w:rsidP="00F04D47">
      <w:pPr>
        <w:rPr>
          <w:b/>
        </w:rPr>
      </w:pPr>
    </w:p>
    <w:p w:rsidR="000143EE" w:rsidRDefault="000143EE" w:rsidP="00F04D47">
      <w:pPr>
        <w:rPr>
          <w:b/>
        </w:rPr>
      </w:pPr>
      <w:r>
        <w:rPr>
          <w:b/>
        </w:rPr>
        <w:t>Regeringens proposition till riksdagen med förslag till lag om ändring av försäkringsbolagslagen och till vissa lagar som har samband med den</w:t>
      </w:r>
      <w:bookmarkStart w:id="0" w:name="_GoBack"/>
      <w:bookmarkEnd w:id="0"/>
    </w:p>
    <w:p w:rsidR="000143EE" w:rsidRDefault="000143EE" w:rsidP="00F04D47">
      <w:pPr>
        <w:rPr>
          <w:b/>
        </w:rPr>
      </w:pPr>
    </w:p>
    <w:p w:rsidR="000143EE" w:rsidRDefault="000143EE" w:rsidP="000143EE">
      <w:r>
        <w:rPr>
          <w:b/>
          <w:bCs/>
        </w:rPr>
        <w:t>PROPOSITIONENS HUVUDSAKLIGA INNEHÅLL</w:t>
      </w:r>
    </w:p>
    <w:p w:rsidR="000143EE" w:rsidRDefault="000143EE" w:rsidP="000143EE"/>
    <w:p w:rsidR="000143EE" w:rsidRDefault="000143EE" w:rsidP="000143EE">
      <w:r>
        <w:t>I propositionen föreslås det att försäkringsbolagslagen, lagen om försäkringsdistribution och lagen om försäkringsavtal ändras.</w:t>
      </w:r>
    </w:p>
    <w:p w:rsidR="000143EE" w:rsidRDefault="000143EE" w:rsidP="000143EE"/>
    <w:p w:rsidR="000143EE" w:rsidRDefault="000143EE" w:rsidP="000143EE">
      <w:r>
        <w:t>I propositionen föreslås förtydliganden av</w:t>
      </w:r>
      <w:r w:rsidR="00F77892">
        <w:t xml:space="preserve"> försäkringsbolagslagen i fråga om</w:t>
      </w:r>
      <w:r>
        <w:t xml:space="preserve"> Finansinspektionens skyldigheter att lämna information till andra tillsynsmyndigheter och till Europeiska försäkrings- och tjänstepensionsmyndigheten i vissa fall. Det handlar om ansökningar om koncession när avsikten är att bedriva gränsöverskridande försäkringsdistribution, uppgifter om försämringar av de ekonomiska förhållandena eller framväxande risker i försäkringsbolaget samt vissa uppgifter om grupptillsyn. I propositionen föreslås också uttryckliga bestämmelser om att Finansinspektionen har rätt att inrätta en samarbetsplattform för de be</w:t>
      </w:r>
      <w:r w:rsidR="00346D23">
        <w:t>höriga</w:t>
      </w:r>
      <w:r>
        <w:t xml:space="preserve"> tillsynsmyndigheterna och rätt att delta i verksamheten om någon annan tillsynsmyndighet inrättar ett sådant forum.</w:t>
      </w:r>
    </w:p>
    <w:p w:rsidR="000143EE" w:rsidRDefault="000143EE" w:rsidP="000143EE"/>
    <w:p w:rsidR="000143EE" w:rsidRDefault="000143EE" w:rsidP="000143EE">
      <w:r>
        <w:t xml:space="preserve">I propositionen föreslås vidare att behörighetskraven för försäkringsmatematiker </w:t>
      </w:r>
      <w:r w:rsidR="00A62FA1">
        <w:t xml:space="preserve">i försäkringsbolagslagen </w:t>
      </w:r>
      <w:r>
        <w:t>kompletteras så att de motsvarar den europeiska utvecklingen</w:t>
      </w:r>
      <w:r w:rsidR="009523A2">
        <w:t xml:space="preserve"> samt</w:t>
      </w:r>
      <w:r w:rsidR="009523A2" w:rsidRPr="009523A2">
        <w:t xml:space="preserve"> </w:t>
      </w:r>
      <w:r w:rsidR="009523A2">
        <w:t xml:space="preserve">preciseringar av de </w:t>
      </w:r>
      <w:r w:rsidR="00A62FA1">
        <w:t xml:space="preserve">detaljer </w:t>
      </w:r>
      <w:r w:rsidR="009523A2">
        <w:t>som klargör hur utjämningsbeloppet</w:t>
      </w:r>
      <w:r w:rsidR="002F5734">
        <w:t xml:space="preserve"> </w:t>
      </w:r>
      <w:r w:rsidR="009523A2">
        <w:t>och volatilitetsjustering</w:t>
      </w:r>
      <w:r w:rsidR="00A62FA1">
        <w:t>en</w:t>
      </w:r>
      <w:r w:rsidR="009523A2">
        <w:t xml:space="preserve"> ska beräknas.</w:t>
      </w:r>
    </w:p>
    <w:p w:rsidR="000143EE" w:rsidRDefault="000143EE" w:rsidP="000143EE"/>
    <w:p w:rsidR="000143EE" w:rsidRDefault="000143EE" w:rsidP="000143EE">
      <w:r>
        <w:t>Dessutom föreslås i propositionen små korrigeringar, närmast av teknisk natur, i lagen om försäkringsdistribution och i lagen om försäkringsavtal.</w:t>
      </w:r>
    </w:p>
    <w:p w:rsidR="000143EE" w:rsidRDefault="000143EE" w:rsidP="00F04D47">
      <w:pPr>
        <w:rPr>
          <w:b/>
        </w:rPr>
      </w:pPr>
    </w:p>
    <w:p w:rsidR="000143EE" w:rsidRDefault="000143EE" w:rsidP="000143EE">
      <w:r>
        <w:t xml:space="preserve">Lagarna avses träda i kraft </w:t>
      </w:r>
      <w:r w:rsidR="00FC4A57">
        <w:t>så snart som möjligt</w:t>
      </w:r>
      <w:r>
        <w:t xml:space="preserve">. </w:t>
      </w:r>
    </w:p>
    <w:p w:rsidR="000143EE" w:rsidRDefault="000143EE" w:rsidP="000143EE"/>
    <w:p w:rsidR="000143EE" w:rsidRDefault="000143EE" w:rsidP="000143EE"/>
    <w:p w:rsidR="000143EE" w:rsidRDefault="000143EE"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2F5734" w:rsidRDefault="002F5734" w:rsidP="00F04D47">
      <w:pPr>
        <w:rPr>
          <w:b/>
        </w:rPr>
      </w:pPr>
    </w:p>
    <w:p w:rsidR="000143EE" w:rsidRDefault="000143EE" w:rsidP="00F04D47">
      <w:pPr>
        <w:rPr>
          <w:b/>
        </w:rPr>
      </w:pPr>
      <w:r>
        <w:rPr>
          <w:b/>
        </w:rPr>
        <w:lastRenderedPageBreak/>
        <w:t>SAMMANDRAG</w:t>
      </w:r>
    </w:p>
    <w:p w:rsidR="000143EE" w:rsidRDefault="000143EE" w:rsidP="00F04D47"/>
    <w:p w:rsidR="000143EE" w:rsidRDefault="000143EE" w:rsidP="00F04D47">
      <w:r>
        <w:t>Reformen av Europeiska systemet för finansiell tillsyn och Solvens II-direktivet</w:t>
      </w:r>
    </w:p>
    <w:p w:rsidR="000143EE" w:rsidRDefault="000143EE" w:rsidP="00F04D47"/>
    <w:p w:rsidR="000143EE" w:rsidRDefault="000143EE" w:rsidP="000143EE">
      <w:r>
        <w:t>Kommissionen lämnade i september 2017 förslag till Europaparlamentets och rådets förordningar om ändring av de förordningar genom vilka de europeiska tillsynsmyndigheterna inrättades och av vissa andra förordningar samt förslag till direktiv om upptagande och utövande av försäkrings- och återförsäkringsverksamhet och om ändring av direktiven om marknader för finansiella instrument (COM(2017) 536 final; COM(2017) 537 final; COM(2017) 538 final; COM(2017) 539 final). I september 2018 kompletterade kommissionen sina ursprungliga förslag med förslag som gällde penningtvätt och finansiering av terrorism.</w:t>
      </w:r>
    </w:p>
    <w:p w:rsidR="000143EE" w:rsidRDefault="000143EE" w:rsidP="000143EE"/>
    <w:p w:rsidR="000143EE" w:rsidRDefault="000143EE" w:rsidP="000143EE">
      <w:r>
        <w:t>Kommissionen har föreslagit lagstiftningsåtgärder i syfte att förstärka den europeiska finansmarknadstillsynen och ställningen för de europeiska tillsynsmyndigheterna och för Europeiska systemrisknämnden. Samtidigt har man velat främja utvecklandet av kapitalmarknadsunionen samt den gemensamma marknadens funktion, finansiell integration och gränsöverskridande finansiell verksamhet.</w:t>
      </w:r>
    </w:p>
    <w:p w:rsidR="00F77892" w:rsidRPr="000143EE" w:rsidRDefault="00F77892" w:rsidP="000143EE"/>
    <w:p w:rsidR="000143EE" w:rsidRDefault="000143EE" w:rsidP="00F04D47">
      <w:r>
        <w:t xml:space="preserve">I samband med reformen av verksamheten vid de europeiska tillsynsmyndigheterna för det finansiella området och försäkringsområdet har Europaparlamentet och rådet [hösten 2019 godkänt] ett direktiv om ändring av bland annat Europaparlamentets och rådets direktiv 2009/138/EG om upptagande och utövande av försäkrings- och återförsäkringsverksamhet (Solvens II) [Europaparlamentets och rådets direktiv (EU) 2019/XXX om ändring av direktiv 2014/65/EU om marknader för finansiella instrument och direktiv 2009/138/EG om upptagande och utövande av försäkrings- och återförsäkringsverksamhet (Solvens II) samt direktiv (EU) 2015/849 om åtgärder för att förhindra att det finansiella systemet används för penningtvätt eller finansiering av terrorism, nedan </w:t>
      </w:r>
      <w:r>
        <w:rPr>
          <w:i/>
          <w:iCs/>
        </w:rPr>
        <w:t>ändringsdirektivet.</w:t>
      </w:r>
      <w:r>
        <w:t>]</w:t>
      </w:r>
    </w:p>
    <w:p w:rsidR="000143EE" w:rsidRDefault="000143EE" w:rsidP="00F04D47"/>
    <w:p w:rsidR="000143EE" w:rsidRDefault="000143EE" w:rsidP="00F04D47">
      <w:r>
        <w:t xml:space="preserve">I propositionen föreslås preciseringar av bestämmelserna om Finansinspektionens skyldighet att underrätta om ansökningar om användning eller ändring </w:t>
      </w:r>
      <w:r w:rsidR="00C05944">
        <w:t xml:space="preserve">av </w:t>
      </w:r>
      <w:r>
        <w:t>en intern modell och om sådana gränsöverskridande situationer som avses i ändringsdirektivet. I propositionen föreslås nya bestämmelser om Finansinspektionens rätt att inrätta samarbetsplattformar och att delta i sådan verksamhet.</w:t>
      </w:r>
    </w:p>
    <w:p w:rsidR="000143EE" w:rsidRDefault="000143EE" w:rsidP="00F04D47"/>
    <w:p w:rsidR="000143EE" w:rsidRDefault="000143EE" w:rsidP="00F04D47"/>
    <w:p w:rsidR="000143EE" w:rsidRDefault="000143EE" w:rsidP="000143EE">
      <w:r>
        <w:t>Bestämmelser som preciserar genomförandet av Solvens II-direktivet</w:t>
      </w:r>
    </w:p>
    <w:p w:rsidR="000143EE" w:rsidRDefault="000143EE" w:rsidP="000143EE"/>
    <w:p w:rsidR="000143EE" w:rsidRDefault="000143EE" w:rsidP="000143EE">
      <w:r>
        <w:t>Kommissionen har våren och försommaren 2019 riktat social- och hälsovårdsministeriets uppmärksamhet på behovet av att precisera genomförandet av vissa punkter i artiklarna 77d och 138 i Solvens II-direktivet. Förslagen har fått konstruktiv respons.</w:t>
      </w:r>
    </w:p>
    <w:p w:rsidR="000143EE" w:rsidRDefault="000143EE" w:rsidP="00F04D47"/>
    <w:p w:rsidR="000143EE" w:rsidRDefault="000143EE" w:rsidP="000143EE">
      <w:r>
        <w:t>I propositionen föreslås preciseringar av de bestämmelser i försäkringsbolagslagen som klargör hur volatilitetsjustering ska beräknas.</w:t>
      </w:r>
    </w:p>
    <w:p w:rsidR="000143EE" w:rsidRDefault="000143EE" w:rsidP="000143EE"/>
    <w:p w:rsidR="000143EE" w:rsidRDefault="000143EE" w:rsidP="000143EE">
      <w:r>
        <w:t>I propositionen föreslås det att Finansinspektionens skyldigheter förtydligas i fråga om förfarandena för att fastställa att det råder exceptionellt svåra ekonomiska förhållanden. Det ska förtydligas att</w:t>
      </w:r>
    </w:p>
    <w:p w:rsidR="000143EE" w:rsidRDefault="000143EE" w:rsidP="000143EE">
      <w:r>
        <w:t>– endast Europeiska försäkrings- och tjänstepensionsmyndigheten kan fastställa att sådana förhållanden föreligger</w:t>
      </w:r>
      <w:r w:rsidR="00F56E21">
        <w:t>,</w:t>
      </w:r>
    </w:p>
    <w:p w:rsidR="000143EE" w:rsidRDefault="000143EE" w:rsidP="000143EE">
      <w:r>
        <w:t>– Finansinspektionen kan begära att Europeiska försäkrings- och tjänstepensionsmyndigheten fastställer att s</w:t>
      </w:r>
      <w:r w:rsidR="00F56E21">
        <w:t>ådana förhållanden föreligger,</w:t>
      </w:r>
    </w:p>
    <w:p w:rsidR="000143EE" w:rsidRDefault="000143EE" w:rsidP="000143EE">
      <w:r>
        <w:lastRenderedPageBreak/>
        <w:t>– Finansinspektionen kan bestämma om förlängning av tidsfristen i samband med sådana förhållanden, endast under förutsättning att Europeiska försäkrings- och tjänstepensionsmyndigheten har fastställt att exceptionellt svåra förhållanden föreligger.</w:t>
      </w:r>
    </w:p>
    <w:p w:rsidR="000143EE" w:rsidRDefault="000143EE" w:rsidP="00F04D47"/>
    <w:p w:rsidR="000143EE" w:rsidRDefault="000143EE" w:rsidP="00F04D47"/>
    <w:p w:rsidR="000143EE" w:rsidRDefault="000143EE" w:rsidP="00F04D47">
      <w:r>
        <w:t>Justering av minimibeloppen i enlighet med försäkringsdistributionsdirektivet</w:t>
      </w:r>
    </w:p>
    <w:p w:rsidR="000143EE" w:rsidRDefault="000143EE" w:rsidP="00F04D47"/>
    <w:p w:rsidR="000143EE" w:rsidRDefault="000143EE" w:rsidP="000143EE">
      <w:r>
        <w:t xml:space="preserve">Enligt artikel 10.4 i Europaparlamentets och rådets direktiv (EU) 2016/97 om försäkringsdistribution (nedan även kallat </w:t>
      </w:r>
      <w:proofErr w:type="spellStart"/>
      <w:r>
        <w:rPr>
          <w:i/>
          <w:iCs/>
        </w:rPr>
        <w:t>IDD-direktivet</w:t>
      </w:r>
      <w:proofErr w:type="spellEnd"/>
      <w:r>
        <w:t xml:space="preserve">) ska försäkrings- och återförsäkringsförmedlare ha en ansvarsförsäkring som ska omfatta hela unionens territorium eller annan likvärdig garanti för ansvar till följd av fel eller försummelse i verksamheten, vilken minst ska täcka 1 250 000  EUR per skada och totalt 1 850 000  EUR för alla skador under ett år. I artikel 10.6 andra stycket b i </w:t>
      </w:r>
      <w:proofErr w:type="spellStart"/>
      <w:r>
        <w:t>IDD-direktivet</w:t>
      </w:r>
      <w:proofErr w:type="spellEnd"/>
      <w:r>
        <w:t xml:space="preserve"> föreskrivs det dessutom om vissa basbelopp (minimibelopp), som Finland har valt att inte införa. Ändringar av dessa basbelopp gäller således inte Finland.</w:t>
      </w:r>
    </w:p>
    <w:p w:rsidR="000143EE" w:rsidRDefault="000143EE" w:rsidP="000143EE"/>
    <w:p w:rsidR="00E7401D" w:rsidRDefault="000143EE" w:rsidP="000143EE">
      <w:r>
        <w:t xml:space="preserve">Enligt artikel 10.7 första stycket i </w:t>
      </w:r>
      <w:proofErr w:type="spellStart"/>
      <w:r>
        <w:t>IDD-direktivet</w:t>
      </w:r>
      <w:proofErr w:type="spellEnd"/>
      <w:r>
        <w:t xml:space="preserve"> görs en regelbunden översyn av de belopp som avses i artiklarna 10.4 och 10.6 med hänsyn till utvecklingen av det europeiska konsumentprisindex som offentliggörs av Eurostat. Den första översynen skulle göras senast den 31 december 2017, och därefter görs en översyn vart femte år.</w:t>
      </w:r>
    </w:p>
    <w:p w:rsidR="000143EE" w:rsidRDefault="000143EE" w:rsidP="000143EE">
      <w:r>
        <w:t xml:space="preserve"> </w:t>
      </w:r>
    </w:p>
    <w:p w:rsidR="000143EE" w:rsidRDefault="000143EE" w:rsidP="000143EE">
      <w:r>
        <w:t xml:space="preserve">I artikel 10.7 i </w:t>
      </w:r>
      <w:proofErr w:type="spellStart"/>
      <w:r>
        <w:t>IDD-direktivet</w:t>
      </w:r>
      <w:proofErr w:type="spellEnd"/>
      <w:r>
        <w:t xml:space="preserve"> ges EU-kommissionen behörighet att anta delegerade akter för att se över basbeloppen i euro enligt punkterna 4 och 6 efter att Europeiska försäkrings- och tjänstepensionsmyndigheten har lämnat utkast till tekniska standarder för tillsyn.</w:t>
      </w:r>
    </w:p>
    <w:p w:rsidR="000143EE" w:rsidRDefault="000143EE" w:rsidP="000143EE"/>
    <w:p w:rsidR="000143EE" w:rsidRDefault="000143EE" w:rsidP="00F04D47">
      <w:r>
        <w:t xml:space="preserve">Kommissionen antog våren 2019 en delegerad förordning (EU) 2019/YYY med stöd av vilken basbeloppen enligt artiklarna 10.4 och 10.6 i </w:t>
      </w:r>
      <w:proofErr w:type="spellStart"/>
      <w:r>
        <w:t>IDD-direktivet</w:t>
      </w:r>
      <w:proofErr w:type="spellEnd"/>
      <w:r>
        <w:t xml:space="preserve"> ses över.</w:t>
      </w:r>
    </w:p>
    <w:p w:rsidR="000143EE" w:rsidRDefault="000143EE" w:rsidP="00F04D47"/>
    <w:p w:rsidR="00FC4A57" w:rsidRDefault="000143EE" w:rsidP="0041236F">
      <w:r>
        <w:t xml:space="preserve">I propositionen föreslås det att bestämmelserna om de detaljerade minimibeloppen för en försäkringsmäklares ansvarsförsäkring i lagen om försäkringsdistribution preciseras på motsvarande sätt som i det ändrade </w:t>
      </w:r>
      <w:proofErr w:type="spellStart"/>
      <w:r>
        <w:t>IDD-direktivet</w:t>
      </w:r>
      <w:proofErr w:type="spellEnd"/>
      <w:r>
        <w:t>.</w:t>
      </w:r>
    </w:p>
    <w:p w:rsidR="001A3EB9" w:rsidRDefault="001A3EB9" w:rsidP="0041236F"/>
    <w:p w:rsidR="001A3EB9" w:rsidRDefault="001A3EB9" w:rsidP="0041236F"/>
    <w:p w:rsidR="0041236F" w:rsidRDefault="00A62FA1" w:rsidP="0041236F">
      <w:r w:rsidRPr="00EC6A87">
        <w:t xml:space="preserve">Övriga nationella behov av bestämmelser: preciseringar av bestämmelser för utjämningsbelopp samt förutsättningar </w:t>
      </w:r>
      <w:r w:rsidR="001C0F07">
        <w:t xml:space="preserve">som gäller </w:t>
      </w:r>
      <w:r w:rsidRPr="00EC6A87">
        <w:t>för försäkringsmatematiker</w:t>
      </w:r>
    </w:p>
    <w:p w:rsidR="001A3EB9" w:rsidRPr="00EC6A87" w:rsidRDefault="001A3EB9" w:rsidP="0041236F"/>
    <w:p w:rsidR="001C0F07" w:rsidRPr="00EC6A87" w:rsidRDefault="001C0F07" w:rsidP="002A40D1">
      <w:r w:rsidRPr="00EC6A87">
        <w:t>Enligt 9 kap. 3 mom</w:t>
      </w:r>
      <w:r w:rsidR="009E389A">
        <w:t>.</w:t>
      </w:r>
      <w:r w:rsidR="00FC4A57">
        <w:t xml:space="preserve"> i försäkringsbolagslagen</w:t>
      </w:r>
      <w:r w:rsidRPr="00EC6A87">
        <w:t xml:space="preserve"> ska </w:t>
      </w:r>
      <w:r>
        <w:t xml:space="preserve">i </w:t>
      </w:r>
      <w:r w:rsidRPr="00EC6A87">
        <w:t xml:space="preserve">ett skadeförsäkringsbolag ett utjämningsbelopp </w:t>
      </w:r>
      <w:r>
        <w:t xml:space="preserve">ingå </w:t>
      </w:r>
      <w:r w:rsidRPr="00EC6A87">
        <w:t>i ersättningsansvaret.</w:t>
      </w:r>
      <w:r>
        <w:t xml:space="preserve"> Utjämningsbeloppet har ett målbelopp och ett maximibelopp som grundar sig på målbeloppet. Enligt 25 kap 4 § 1 mom. i lagen</w:t>
      </w:r>
      <w:r w:rsidR="009E389A">
        <w:t>,</w:t>
      </w:r>
      <w:r>
        <w:t xml:space="preserve"> kan Finansinspektionen bestämma ett tilläggskapitalkrav för försäkringsbolaget exempelvis om försäkringsbolagets riskprofil väsentligt avviker från de grundantaganden som gäller solvenskapitalkravet. I lagens 9 kap. bestäms dock inte specifikt att det eventuella tilläggskapitalkravet ska tas i beaktande när man bestämmer utjämningsbeloppets målbelopp, även om detta kan anses som följdriktigt. I propositionen föreslås att man </w:t>
      </w:r>
      <w:r w:rsidR="00765CEB">
        <w:t>v</w:t>
      </w:r>
      <w:r>
        <w:t>i</w:t>
      </w:r>
      <w:r w:rsidR="00765CEB">
        <w:t>d</w:t>
      </w:r>
      <w:r>
        <w:t xml:space="preserve"> beräkningen av utjämningsbeloppets målbelop</w:t>
      </w:r>
      <w:r w:rsidR="00765CEB">
        <w:t>p beaktar</w:t>
      </w:r>
      <w:r>
        <w:t xml:space="preserve"> den eventuella höjningen av solvens</w:t>
      </w:r>
      <w:r w:rsidR="009E389A">
        <w:t>kapital</w:t>
      </w:r>
      <w:r>
        <w:t>kravet i fråga om de risker som beaktas vid bestämmandet av utjämningsbeloppets målbelopp.</w:t>
      </w:r>
    </w:p>
    <w:p w:rsidR="002A40D1" w:rsidRPr="00642229" w:rsidRDefault="002A40D1" w:rsidP="002A40D1"/>
    <w:p w:rsidR="00765CEB" w:rsidRPr="00EC6A87" w:rsidRDefault="00765CEB" w:rsidP="002A40D1">
      <w:r w:rsidRPr="00EC6A87">
        <w:t>Enligt 9 kap</w:t>
      </w:r>
      <w:r w:rsidR="00FC4A57">
        <w:t>.</w:t>
      </w:r>
      <w:r w:rsidRPr="00EC6A87">
        <w:t xml:space="preserve"> 5 c § 1 mom. i försäkringsbolagslagen</w:t>
      </w:r>
      <w:r>
        <w:t xml:space="preserve"> ska ränta krediteras på utjämningsbeloppet. Den ränta som ska krediteras är femårsräntan i den räntekurva som publiceras av den Europeiska försäkrings- och tjänstepensionsmyndigheten. Det har visat sig att denna ränta även kan vara negativ. En negativ ränta kan dock inte anses önskvärd med beaktande a</w:t>
      </w:r>
      <w:r w:rsidR="009E389A">
        <w:t>v bibehållandet av realvärdet för</w:t>
      </w:r>
      <w:r>
        <w:t xml:space="preserve"> </w:t>
      </w:r>
      <w:r>
        <w:lastRenderedPageBreak/>
        <w:t xml:space="preserve">utjämningsbeloppet. I propositionen föreslås att den ränta som krediteras till utjämningsbeloppet inte ska kunna vara negativ. </w:t>
      </w:r>
    </w:p>
    <w:p w:rsidR="0041236F" w:rsidRPr="00642229" w:rsidRDefault="0041236F" w:rsidP="0041236F"/>
    <w:p w:rsidR="0041236F" w:rsidRPr="009E389A" w:rsidRDefault="009E389A" w:rsidP="00F04D47">
      <w:r w:rsidRPr="00EC6A87">
        <w:t xml:space="preserve">I 31 kap. 5 § i försäkringsbolagslagen finns bestämmelser om försäkringsmatematikers behörighet. </w:t>
      </w:r>
      <w:r>
        <w:t>Behörighetskraven baserar sig på den europeiska referensramen för aktuarieutbildning. Denna referensram ändras för närvarande. Man föreslår att behörighetskraven ändras så att den ändrade referensramen ska kunna beaktas när man ställer kraven.</w:t>
      </w:r>
    </w:p>
    <w:p w:rsidR="00110F36" w:rsidRDefault="00110F36" w:rsidP="00F04D47"/>
    <w:p w:rsidR="00EC6A87" w:rsidRPr="009E389A" w:rsidRDefault="00EC6A87" w:rsidP="00F04D47"/>
    <w:p w:rsidR="00110F36" w:rsidRPr="000143EE" w:rsidRDefault="00110F36" w:rsidP="00F04D47">
      <w:r>
        <w:t xml:space="preserve">De huvudsakliga konsekvenserna </w:t>
      </w:r>
    </w:p>
    <w:p w:rsidR="000143EE" w:rsidRPr="000143EE" w:rsidRDefault="000143EE" w:rsidP="00F04D47"/>
    <w:p w:rsidR="00110F36" w:rsidRDefault="00110F36" w:rsidP="00110F36">
      <w:r>
        <w:t>Allmänt</w:t>
      </w:r>
    </w:p>
    <w:p w:rsidR="00110F36" w:rsidRDefault="00110F36" w:rsidP="00110F36"/>
    <w:p w:rsidR="00110F36" w:rsidRDefault="00110F36" w:rsidP="00110F36">
      <w:r>
        <w:t xml:space="preserve">Enligt Finansinspektionens uppgifter finns det sammanlagt 45 </w:t>
      </w:r>
      <w:r w:rsidR="00F56E21">
        <w:t xml:space="preserve">skade- och </w:t>
      </w:r>
      <w:proofErr w:type="spellStart"/>
      <w:r w:rsidR="00F56E21">
        <w:t>livs</w:t>
      </w:r>
      <w:r>
        <w:t>försäkringsbolag</w:t>
      </w:r>
      <w:proofErr w:type="spellEnd"/>
      <w:r>
        <w:t xml:space="preserve"> i Finland 2019.</w:t>
      </w:r>
      <w:r w:rsidR="00F56E21">
        <w:t xml:space="preserve"> </w:t>
      </w:r>
      <w:r>
        <w:t xml:space="preserve"> Av dem bedriver 35 bolag skadeförsäkring och 10 livförsäkring.</w:t>
      </w:r>
      <w:r w:rsidR="00F56E21">
        <w:t xml:space="preserve"> </w:t>
      </w:r>
      <w:r>
        <w:t>Det finns fyra arbetspensionsförsäkringsbolag. Enligt Finansinspektionens uppgifter finns det 84 försäkringsmäklarföretag i försäkringsförmedlarregistret.</w:t>
      </w:r>
    </w:p>
    <w:p w:rsidR="00110F36" w:rsidRDefault="00110F36" w:rsidP="00110F36"/>
    <w:p w:rsidR="00110F36" w:rsidRDefault="00110F36" w:rsidP="00110F36"/>
    <w:p w:rsidR="00110F36" w:rsidRDefault="00110F36" w:rsidP="00110F36">
      <w:r>
        <w:t>Reformen av Europeiska systemet för finansiell tillsyn och Solvens II-direktivet</w:t>
      </w:r>
    </w:p>
    <w:p w:rsidR="00110F36" w:rsidRDefault="00110F36" w:rsidP="00110F36"/>
    <w:p w:rsidR="00110F36" w:rsidRDefault="00110F36" w:rsidP="00110F36">
      <w:r>
        <w:t>De förslag som gäller Finansinspektionens underrättelseskyldigheter preciserar huvudsakligen de allmänna bestämmelserna om samarbets- och underrättelseskyldighet i den gällande försäkringsbolagslagen och lagen om Finansinspektionen. Finansinspektionens allmänna befogenheter är omfattande redan i den gällande lagen. Med hänsyn till Finlands lagstiftning handlar det således närmast om hur lagstiftningen genomförs.</w:t>
      </w:r>
    </w:p>
    <w:p w:rsidR="00110F36" w:rsidRDefault="00110F36" w:rsidP="00110F36"/>
    <w:p w:rsidR="00110F36" w:rsidRDefault="00110F36" w:rsidP="00110F36">
      <w:r>
        <w:t>När det gäller inrättandet av en samarbetsplattform kan Finansinspektionen inrätta en sådan, eller delta i verksamheten i en plattform som någon annan tillsynsmyndighet inrättar. Antalet plattformar bedöms emellertid bli litet. Om Finansinspektionen deltar i verksamheten i sådana plattformar kan detta eventuellt medföra en liten mängd ytterligare uppgifter och kostnader, dock sannolikt inte i nämnvärd grad.</w:t>
      </w:r>
    </w:p>
    <w:p w:rsidR="00110F36" w:rsidRDefault="00110F36" w:rsidP="00110F36"/>
    <w:p w:rsidR="00110F36" w:rsidRDefault="00110F36" w:rsidP="00110F36">
      <w:r>
        <w:t>Genom de föreslagna ändringarna preciseras innehållet i den gällande lagstiftningen så att det säkerställs att de nationella bestämmelserna och EU-rättsakterna motsvarar varandra. Förslaget kan öka möjligheterna för tillsynsmyndigheterna i de övriga EES-staterna att samarbeta med Finansinspektionen och se över sina tillvägagångssätt. Således kan förslaget effektivisera tillsynen över de europeiska försäkringsföretagen och försäkringsmarknaderna, och den vägen minska möjligheterna eller incitamenten till brott mot lagstiftningen om försäkringsbolag. Förslaget bedöms emellertid inte i praktiken ha någon märkbar effekt på  Finansinspektionens eller försäkringsbolagens uppgifter, kostnader, inkomster eller solvens, personal eller organisation. Förslaget förväntas exempelvis inte i nämnvärd grad öka Finansinspektionens rapporterings- eller utredningsskyldigheter eller andra administrativa uppgifter på ett sätt som skulle inkräkta på Finansinspektionens egentliga verksamhet.</w:t>
      </w:r>
    </w:p>
    <w:p w:rsidR="00110F36" w:rsidRDefault="00110F36" w:rsidP="00110F36"/>
    <w:p w:rsidR="00110F36" w:rsidRDefault="00110F36" w:rsidP="00110F36"/>
    <w:p w:rsidR="00110F36" w:rsidRDefault="00110F36" w:rsidP="00110F36">
      <w:r>
        <w:t>Bestämmelser som preciserar genomförandet av Solvens II-direktivet</w:t>
      </w:r>
    </w:p>
    <w:p w:rsidR="00110F36" w:rsidRDefault="00110F36" w:rsidP="00110F36"/>
    <w:p w:rsidR="00110F36" w:rsidRDefault="00110F36" w:rsidP="00110F36">
      <w:r>
        <w:t xml:space="preserve">Genom de föreslagna ändringarna preciseras innehållet i den gällande lagstiftningen så att det säkerställs att de nationella bestämmelserna och EU-rättsakterna motsvarar varandra. Förslaget bedöms </w:t>
      </w:r>
      <w:r>
        <w:lastRenderedPageBreak/>
        <w:t>inte i praktiken ha någon märkbar effekt på Finansinspektionens eller försäkringsbolagens uppgifter, kostnader, inkomster eller solvens, personal eller organisation.</w:t>
      </w:r>
    </w:p>
    <w:p w:rsidR="00110F36" w:rsidRDefault="00110F36" w:rsidP="00110F36"/>
    <w:p w:rsidR="00110F36" w:rsidRDefault="00110F36" w:rsidP="00110F36"/>
    <w:p w:rsidR="00110F36" w:rsidRDefault="00110F36" w:rsidP="00110F36">
      <w:r>
        <w:t>Justering av minimibeloppen i enlighet med försäkringsdistributionsdirektivet</w:t>
      </w:r>
    </w:p>
    <w:p w:rsidR="00110F36" w:rsidRDefault="00110F36" w:rsidP="00110F36"/>
    <w:p w:rsidR="00737B15" w:rsidRDefault="00110F36" w:rsidP="00110F36">
      <w:r>
        <w:t>Genom de föreslagna ändringarna preciseras innehållet i den gällande lagstiftningen så att det säkerställs att de nationella bestämmelserna och EU-rättsakterna motsvarar varandra. Försäkringsmäklare eller aktörer som ansöker om att bli försäkringsmäklare bör efter att förslagen trätt i kraft försäkra sig om att minimibeloppen för ansvarsförsäkringen uppfyller kraven enligt den nationella lagstiftningen och den reviderade EU-lagstiftningen. Finansinspektionen ska i samband med den fortgående övervakningen försäkra sig om att försäkringsmäklare eller aktörer som ansöker om att bli försäkringsmäklare uppfyller dessa krav (8 § 1 mom. 6 punkten, 58 § 1 mom. och 73 § 1 mom. 3 punkten i lagen om försäkringsdistribution). Förslaget bedöms inte ha någon väsentlig effekt på Finansinspektionens, försäkringsbolagens eller försäkringsmäklarnas uppgifter, kostnader, inkomster eller solvens, personal eller organisation.</w:t>
      </w:r>
    </w:p>
    <w:p w:rsidR="000143EE" w:rsidRDefault="000143EE" w:rsidP="00F04D47"/>
    <w:p w:rsidR="000143EE" w:rsidRDefault="000143EE" w:rsidP="00F04D47"/>
    <w:p w:rsidR="00FC4A57" w:rsidRPr="00D50BD1" w:rsidRDefault="00FC4A57" w:rsidP="00FC4A57">
      <w:r w:rsidRPr="00D50BD1">
        <w:t xml:space="preserve">Övriga nationella behov av bestämmelser: preciseringar av bestämmelser för utjämningsbelopp samt förutsättningar </w:t>
      </w:r>
      <w:r>
        <w:t xml:space="preserve">som gäller </w:t>
      </w:r>
      <w:r w:rsidRPr="00D50BD1">
        <w:t>för försäkringsmatematiker</w:t>
      </w:r>
    </w:p>
    <w:p w:rsidR="0040161D" w:rsidRDefault="0040161D" w:rsidP="002A40D1"/>
    <w:p w:rsidR="00642229" w:rsidRDefault="00642229" w:rsidP="002A40D1">
      <w:r w:rsidRPr="00642229">
        <w:t>Förslaget, att man vid beräkningen av utjämningsbeloppets målbelopp</w:t>
      </w:r>
      <w:r>
        <w:t xml:space="preserve"> ska beakta solvenskapitalkravets höjning, kan inverka på ett sådant försäkringsbolags målbelopp och maximibelopp för utjämning</w:t>
      </w:r>
      <w:r w:rsidR="0040161D">
        <w:t>s</w:t>
      </w:r>
      <w:r>
        <w:t>beloppet, för vilket en höjning har bestämts. Genom detta kan ändringen även påverka utjämningsbeloppet i ett sådant bolag. Hur ofta höjningen av solvenkapitalkravet sker är svårt att uppskatta, men allmänt taget är det fråga om en åtgärd som till karaktären är exceptionell och ovanlig.</w:t>
      </w:r>
    </w:p>
    <w:p w:rsidR="0040161D" w:rsidRDefault="0040161D" w:rsidP="002A40D1">
      <w:pPr>
        <w:rPr>
          <w:lang w:val="fi-FI"/>
        </w:rPr>
      </w:pPr>
    </w:p>
    <w:p w:rsidR="002A40D1" w:rsidRDefault="00642229" w:rsidP="00F04D47">
      <w:r w:rsidRPr="00642229">
        <w:t>Skadeförsäkringsbolagens sammanräknade utjämningsbelopp</w:t>
      </w:r>
      <w:r>
        <w:t xml:space="preserve"> var 1,861 miljarder</w:t>
      </w:r>
      <w:r w:rsidRPr="00642229">
        <w:t xml:space="preserve"> euro vid utgången av år 2017 och 1,884 miljarder euro vid utgången av år 2018.</w:t>
      </w:r>
      <w:r>
        <w:t xml:space="preserve"> Femårsräntan i räntekurvan som publicerats av den Europeiska försäkrings- och tjänstepensionsmyndigheten var vid utgången av år 2018 0,099 procent. Förräntningen påverkade </w:t>
      </w:r>
      <w:r w:rsidR="00155E1B">
        <w:t xml:space="preserve">utjämningsbeloppet med </w:t>
      </w:r>
      <w:r w:rsidR="00FE7EA3">
        <w:t xml:space="preserve">även </w:t>
      </w:r>
      <w:r w:rsidR="00155E1B">
        <w:t>+ 1,84 miljoner euro mellan utgångarna av åren 2017 och 2018. Den Europeiska försäkrings- och tjänstepensionsmyndighetens senaste publicering av femårsräntan är -0,335 procent. Om denna ränta skulle debiteras till utjämningsbeloppet vid utgången av år 2018, skulle utjämningsbeloppet ändras</w:t>
      </w:r>
      <w:r w:rsidR="00FE7EA3">
        <w:t xml:space="preserve"> även</w:t>
      </w:r>
      <w:r w:rsidR="00155E1B">
        <w:t xml:space="preserve"> -6,31 miljoner euro på grund av förräntningen.</w:t>
      </w:r>
    </w:p>
    <w:p w:rsidR="00EC6A87" w:rsidRPr="00FE7EA3" w:rsidRDefault="00EC6A87" w:rsidP="00F04D47">
      <w:pPr>
        <w:rPr>
          <w:lang w:val="sv-FI"/>
        </w:rPr>
      </w:pPr>
    </w:p>
    <w:p w:rsidR="000143EE" w:rsidRDefault="00155E1B" w:rsidP="00F04D47">
      <w:r w:rsidRPr="00155E1B">
        <w:t xml:space="preserve">Kompletteringen av de krav som ställs på försäkringsmatematiker kan </w:t>
      </w:r>
      <w:r w:rsidR="00FE7EA3">
        <w:t xml:space="preserve">ändra </w:t>
      </w:r>
      <w:r w:rsidR="00327EDC">
        <w:t>kraven</w:t>
      </w:r>
      <w:r w:rsidR="00FE7EA3">
        <w:t xml:space="preserve"> </w:t>
      </w:r>
      <w:r w:rsidR="00327EDC">
        <w:t>i det medellånga loppet.</w:t>
      </w:r>
    </w:p>
    <w:p w:rsidR="00EC6A87" w:rsidRDefault="00EC6A87" w:rsidP="00F04D47"/>
    <w:p w:rsidR="00EC6A87" w:rsidRDefault="00EC6A87" w:rsidP="00F04D47"/>
    <w:p w:rsidR="00EC6A87" w:rsidRDefault="00EC6A87" w:rsidP="00F04D47"/>
    <w:p w:rsidR="00EC6A87" w:rsidRPr="00155E1B" w:rsidRDefault="00EC6A87" w:rsidP="00F04D47"/>
    <w:p w:rsidR="000143EE" w:rsidRPr="00155E1B" w:rsidRDefault="000143EE" w:rsidP="00F04D47"/>
    <w:p w:rsidR="000143EE" w:rsidRPr="00155E1B" w:rsidRDefault="000143EE" w:rsidP="00F04D47"/>
    <w:p w:rsidR="000143EE" w:rsidRPr="00155E1B" w:rsidRDefault="000143EE" w:rsidP="00F04D47"/>
    <w:p w:rsidR="000143EE" w:rsidRPr="00155E1B" w:rsidRDefault="000143EE" w:rsidP="00F04D47"/>
    <w:p w:rsidR="000143EE" w:rsidRPr="00155E1B" w:rsidRDefault="000143EE" w:rsidP="00F04D47"/>
    <w:p w:rsidR="000143EE" w:rsidRDefault="000143EE" w:rsidP="00F04D47"/>
    <w:p w:rsidR="00EC6A87" w:rsidRDefault="00EC6A87" w:rsidP="00F04D47"/>
    <w:p w:rsidR="00EC6A87" w:rsidRPr="00155E1B" w:rsidRDefault="00EC6A87" w:rsidP="00F04D47"/>
    <w:p w:rsidR="000143EE" w:rsidRPr="00155E1B" w:rsidRDefault="000143EE" w:rsidP="00F04D47"/>
    <w:p w:rsidR="00F04D47" w:rsidRPr="00F04D47" w:rsidRDefault="00F04D47" w:rsidP="00F04D47">
      <w:pPr>
        <w:rPr>
          <w:b/>
        </w:rPr>
      </w:pPr>
      <w:r>
        <w:rPr>
          <w:b/>
        </w:rPr>
        <w:t>LAGFÖRSLAG</w:t>
      </w:r>
    </w:p>
    <w:p w:rsidR="00F04D47" w:rsidRPr="00F04D47" w:rsidRDefault="00F04D47" w:rsidP="00F04D47"/>
    <w:p w:rsidR="00F04D47" w:rsidRPr="00F04D47" w:rsidRDefault="00F04D47" w:rsidP="00F04D47">
      <w:pPr>
        <w:rPr>
          <w:b/>
        </w:rPr>
      </w:pPr>
      <w:r>
        <w:rPr>
          <w:b/>
        </w:rPr>
        <w:t>1. Lag om ändring av försäkringsbolagslagen</w:t>
      </w:r>
    </w:p>
    <w:p w:rsidR="00F04D47" w:rsidRPr="00F04D47" w:rsidRDefault="00F04D47" w:rsidP="00F04D47"/>
    <w:p w:rsidR="00F04D47" w:rsidRPr="00F04D47" w:rsidRDefault="00F04D47" w:rsidP="00F04D47">
      <w:r>
        <w:t xml:space="preserve">I enlighet med riksdagens beslut </w:t>
      </w:r>
    </w:p>
    <w:p w:rsidR="00F04D47" w:rsidRPr="00F04D47" w:rsidRDefault="00F04D47" w:rsidP="00F04D47">
      <w:r>
        <w:rPr>
          <w:i/>
          <w:iCs/>
        </w:rPr>
        <w:t>ändras</w:t>
      </w:r>
      <w:r>
        <w:t xml:space="preserve"> i försäkringsbolagslagen (521/2008) 9 kap. 5 c §, 10 kap. 8 §, 25 kap. 5 § 5 mom., 26 kap. 28 § 2 och 5 mom. och 35 § 5 mom. samt 31 kap. 5 § 1 mom.,</w:t>
      </w:r>
    </w:p>
    <w:p w:rsidR="00F04D47" w:rsidRPr="00F04D47" w:rsidRDefault="00F04D47" w:rsidP="00F04D47">
      <w:r>
        <w:t xml:space="preserve">av dem 9 kap. 5 c §, 10 kap. 8 §, 25 kap. 5 § 5 mom., 26 kap. 28 § 2 och 5 mom. och 35 § 5 mom. sådana de lyder i lag 303/2015 samt 31 kap. 5 § 1 mom. sådant det lyder i lag 981/2013, </w:t>
      </w:r>
    </w:p>
    <w:p w:rsidR="00F04D47" w:rsidRPr="00F04D47" w:rsidRDefault="00F04D47" w:rsidP="00F04D47">
      <w:r>
        <w:rPr>
          <w:i/>
          <w:iCs/>
        </w:rPr>
        <w:t>fogas</w:t>
      </w:r>
      <w:r>
        <w:t xml:space="preserve"> till 2 kap. en ny 5 a §, till 9 kap. 5 § sådan den lyder i lag 303/2015 ett nytt 3 mom., till 11 kap. 2 § sådan den lyder i lag 303/2015 ett nytt 3 mom., till 11 kap. före mellanrubriken en ny 21 a §, till 25 kap. nya 27 a och 27 b § samt till 31 kap. 6 § sådan den lyder i lag 981/2013 ett nytt 4 mom. som följer:</w:t>
      </w:r>
    </w:p>
    <w:p w:rsidR="00737B15" w:rsidRDefault="00737B15" w:rsidP="00F04D47"/>
    <w:p w:rsidR="000143EE" w:rsidRPr="00F04D47" w:rsidRDefault="000143EE" w:rsidP="00F04D47"/>
    <w:p w:rsidR="00F04D47" w:rsidRPr="00F04D47" w:rsidRDefault="00F04D47" w:rsidP="00F04D47">
      <w:r>
        <w:t>2 kap.</w:t>
      </w:r>
    </w:p>
    <w:p w:rsidR="00F04D47" w:rsidRPr="00F04D47" w:rsidRDefault="00F04D47" w:rsidP="00F04D47"/>
    <w:p w:rsidR="00F04D47" w:rsidRPr="00F04D47" w:rsidRDefault="00F04D47" w:rsidP="00F04D47">
      <w:r>
        <w:t>Bildande av försäkringsbolag och koncession</w:t>
      </w:r>
    </w:p>
    <w:p w:rsidR="00F04D47" w:rsidRPr="00F04D47" w:rsidRDefault="00F04D47" w:rsidP="00F04D47"/>
    <w:p w:rsidR="00F04D47" w:rsidRPr="00F04D47" w:rsidRDefault="00F04D47" w:rsidP="00F04D47">
      <w:r>
        <w:t>5 a §</w:t>
      </w:r>
    </w:p>
    <w:p w:rsidR="00F04D47" w:rsidRPr="00F04D47" w:rsidRDefault="00F04D47" w:rsidP="00F04D47"/>
    <w:p w:rsidR="00F04D47" w:rsidRPr="00F04D47" w:rsidRDefault="00F04D47" w:rsidP="00F04D47">
      <w:r>
        <w:t>Finansinspektionens skyldighet att underrätta om en ansökan om koncession i gränsöverskridande fall</w:t>
      </w:r>
    </w:p>
    <w:p w:rsidR="00F04D47" w:rsidRPr="00F04D47" w:rsidRDefault="00F04D47" w:rsidP="00F04D47"/>
    <w:p w:rsidR="00F04D47" w:rsidRPr="00F04D47" w:rsidRDefault="00F04D47" w:rsidP="00F04D47">
      <w:r>
        <w:t xml:space="preserve">Om Finansinspektionen avser att bevilja koncession för ett finländskt försäkringsbolag i vars verksamhetsplan det anges att en del av dess verksamhet med stöd av friheten att tillhandahålla tjänster eller etableringsfriheten kommer att bedrivas i en annan EES-stat, och om det i verksamhetsplanen också anges att denna verksamhet sannolikt kommer att vara relevant när det gäller marknaden i den mottagande EES-staten, ska Finansinspektionen underrätta Europeiska försäkrings- och tjänstepensionsmyndigheten och tillsynsmyndigheten i den behöriga EES-staten om </w:t>
      </w:r>
      <w:r w:rsidR="00DE309D">
        <w:t>detta</w:t>
      </w:r>
      <w:r>
        <w:t>.</w:t>
      </w:r>
    </w:p>
    <w:p w:rsidR="00F04D47" w:rsidRPr="00F04D47" w:rsidRDefault="00F04D47" w:rsidP="00F04D47"/>
    <w:p w:rsidR="00F04D47" w:rsidRPr="00F04D47" w:rsidRDefault="00F04D47" w:rsidP="00F04D47">
      <w:r>
        <w:t>Underrättelsen ska vara tillräckligt detaljerad och heltäckande.</w:t>
      </w:r>
    </w:p>
    <w:p w:rsidR="00F04D47" w:rsidRPr="00F04D47" w:rsidRDefault="00F04D47" w:rsidP="00F04D47"/>
    <w:p w:rsidR="00F04D47" w:rsidRPr="00F04D47" w:rsidRDefault="00F04D47" w:rsidP="00F04D47"/>
    <w:p w:rsidR="00F04D47" w:rsidRPr="00F04D47" w:rsidRDefault="00F04D47" w:rsidP="00F04D47">
      <w:r>
        <w:t xml:space="preserve">9 kap. </w:t>
      </w:r>
    </w:p>
    <w:p w:rsidR="00F04D47" w:rsidRPr="00F04D47" w:rsidRDefault="00F04D47" w:rsidP="00F04D47"/>
    <w:p w:rsidR="00F04D47" w:rsidRPr="00F04D47" w:rsidRDefault="00F04D47" w:rsidP="00F04D47">
      <w:r>
        <w:t>Ansvarsskuld i bokföringen</w:t>
      </w:r>
    </w:p>
    <w:p w:rsidR="00F04D47" w:rsidRPr="00F04D47" w:rsidRDefault="00F04D47" w:rsidP="00F04D47"/>
    <w:p w:rsidR="00F04D47" w:rsidRPr="00F04D47" w:rsidRDefault="00F04D47" w:rsidP="00F04D47">
      <w:r>
        <w:t>5 §</w:t>
      </w:r>
    </w:p>
    <w:p w:rsidR="00F04D47" w:rsidRPr="00F04D47" w:rsidRDefault="00F04D47" w:rsidP="00F04D47"/>
    <w:p w:rsidR="00F04D47" w:rsidRPr="00F04D47" w:rsidRDefault="00F04D47" w:rsidP="00F04D47">
      <w:r>
        <w:t>Utjämningsbeloppets målbelopp</w:t>
      </w:r>
    </w:p>
    <w:p w:rsidR="00F04D47" w:rsidRPr="00F04D47" w:rsidRDefault="00F04D47" w:rsidP="00F04D47"/>
    <w:p w:rsidR="00F04D47" w:rsidRPr="00F04D47" w:rsidRDefault="00F04D47" w:rsidP="00F04D47">
      <w:r>
        <w:t>---</w:t>
      </w:r>
    </w:p>
    <w:p w:rsidR="00F04D47" w:rsidRPr="00F04D47" w:rsidRDefault="00F04D47" w:rsidP="00F04D47">
      <w:r>
        <w:t>I det solvenskapitalkrav som avses i 1 och 2 mom. beaktas i fråga om de risker som avses i 1 mom. en eventuell i 25 kap. 4 § avsedd höjning av solvenskapitalkravet.</w:t>
      </w:r>
    </w:p>
    <w:p w:rsidR="00F04D47" w:rsidRDefault="00F04D47" w:rsidP="00F04D47"/>
    <w:p w:rsidR="00EC6A87" w:rsidRPr="00F04D47" w:rsidRDefault="00EC6A87" w:rsidP="00F04D47"/>
    <w:p w:rsidR="00F04D47" w:rsidRPr="00F04D47" w:rsidRDefault="00F04D47" w:rsidP="00F04D47">
      <w:r>
        <w:lastRenderedPageBreak/>
        <w:t>5 c §</w:t>
      </w:r>
    </w:p>
    <w:p w:rsidR="00F04D47" w:rsidRPr="00F04D47" w:rsidRDefault="00F04D47" w:rsidP="00F04D47"/>
    <w:p w:rsidR="00F04D47" w:rsidRPr="00F04D47" w:rsidRDefault="00F04D47" w:rsidP="00F04D47">
      <w:r>
        <w:t>Ränta på utjämningsbelopp</w:t>
      </w:r>
    </w:p>
    <w:p w:rsidR="00F04D47" w:rsidRPr="00F04D47" w:rsidRDefault="00F04D47" w:rsidP="00F04D47"/>
    <w:p w:rsidR="00F04D47" w:rsidRPr="00F04D47" w:rsidRDefault="00F04D47" w:rsidP="00F04D47">
      <w:r>
        <w:t>I samband med överföring av utjämningsbelopp krediteras ränta på utjämningsbeloppet. Räntan får inte överskrida en sådan fem års riskfri ränta på euron enligt 10 kap. 7 § som används vid solvensberäkningen då försäkringstekniska avsättningar diskonteras, utan beaktande av matchningsjustering eller volatilitetsjustering enligt 10 kap. 8 §. Räntan</w:t>
      </w:r>
      <w:r w:rsidR="009523A2">
        <w:t xml:space="preserve"> som krediteras</w:t>
      </w:r>
      <w:r>
        <w:t xml:space="preserve"> får emellertid inte vara negativ.</w:t>
      </w:r>
    </w:p>
    <w:p w:rsidR="00F04D47" w:rsidRPr="00F04D47" w:rsidRDefault="00F04D47" w:rsidP="00F04D47"/>
    <w:p w:rsidR="00F04D47" w:rsidRPr="00F04D47" w:rsidRDefault="00F04D47" w:rsidP="00F04D47">
      <w:r>
        <w:t>Försäkringsbolaget kan också ha sådana beräkningsgrunder för utjämningsbeloppet som innebär att ränta inte krediteras då utjämningsbeloppet överstiger målbeloppet.</w:t>
      </w:r>
    </w:p>
    <w:p w:rsidR="00F04D47" w:rsidRPr="00F04D47" w:rsidRDefault="00F04D47" w:rsidP="00F04D47"/>
    <w:p w:rsidR="00F04D47" w:rsidRPr="00F04D47" w:rsidRDefault="00F04D47" w:rsidP="00F04D47"/>
    <w:p w:rsidR="00F04D47" w:rsidRPr="00F04D47" w:rsidRDefault="00F04D47" w:rsidP="00F04D47">
      <w:r>
        <w:t>10 kap.</w:t>
      </w:r>
    </w:p>
    <w:p w:rsidR="00F04D47" w:rsidRPr="00F04D47" w:rsidRDefault="00F04D47" w:rsidP="00F04D47"/>
    <w:p w:rsidR="00F04D47" w:rsidRPr="00F04D47" w:rsidRDefault="00F04D47" w:rsidP="00F04D47">
      <w:r>
        <w:t>Värdering av tillgångar och skulder samt försäkringstekniska avsättningar vid solvensberäkning</w:t>
      </w:r>
    </w:p>
    <w:p w:rsidR="00F04D47" w:rsidRPr="00F04D47" w:rsidRDefault="00F04D47" w:rsidP="00F04D47"/>
    <w:p w:rsidR="00F04D47" w:rsidRPr="00F04D47" w:rsidRDefault="00F04D47" w:rsidP="00F04D47">
      <w:r>
        <w:t>8 §</w:t>
      </w:r>
    </w:p>
    <w:p w:rsidR="00F04D47" w:rsidRPr="00F04D47" w:rsidRDefault="00F04D47" w:rsidP="00F04D47"/>
    <w:p w:rsidR="00F04D47" w:rsidRPr="00F04D47" w:rsidRDefault="00F04D47" w:rsidP="00F04D47">
      <w:r>
        <w:t>Användning av matchningsjustering och volatilitetsjustering</w:t>
      </w:r>
    </w:p>
    <w:p w:rsidR="00F04D47" w:rsidRPr="00F04D47" w:rsidRDefault="00F04D47" w:rsidP="00F04D47"/>
    <w:p w:rsidR="00F04D47" w:rsidRPr="00F04D47" w:rsidRDefault="00F04D47" w:rsidP="00F04D47">
      <w:r>
        <w:t>Försäkringsbolaget kan efter att på förhand ha utverkat Finansinspektionens samtycke använda matchningsjustering på räntesatserna när det beräknar bästa skattning enligt 6 § i anslutning till försäkringsförpliktelser som uppfyller förutsättningarna för användningen.  Ett försäkringsbolag som använder matchningsjustering får inte återgå till en metod som inte innebär matchningsjustering under den tid då förutsättningarna för användningen är uppfyllda. Om förutsättningarna för användningen av matchningsjustering inte uppfylls, ska försäkringsbolaget utan dröjsmål underrätta Finansinspektionen om saken och vidta behövliga åtgärder för att uppfylla dem. Om förutsättningarna för användning av matchningsjustering inte uppfyllts under en längre period än två månader, ska försäkringsbolaget upphöra att använda matchningsjustering, och försäkringsbolaget får med Finansinspektionens samtycke använda matchningsjustering på nytt tidigast efter att två år förlöpt.</w:t>
      </w:r>
    </w:p>
    <w:p w:rsidR="00F04D47" w:rsidRPr="00F04D47" w:rsidRDefault="00F04D47" w:rsidP="00F04D47"/>
    <w:p w:rsidR="00F04D47" w:rsidRPr="00F04D47" w:rsidRDefault="00F04D47" w:rsidP="00F04D47">
      <w:r>
        <w:t xml:space="preserve">Försäkringsbolaget kan i fråga om räntesatserna använda valutaspecifik eller </w:t>
      </w:r>
      <w:proofErr w:type="spellStart"/>
      <w:r>
        <w:t>landsspecifik</w:t>
      </w:r>
      <w:proofErr w:type="spellEnd"/>
      <w:r>
        <w:t xml:space="preserve"> volatilitetsjustering som offentliggjorts av Europeiska försäkrings- och tjänstepensionsmyndigheten och fastställts av Europeiska kommissionen, när det beräknar bästa skattning enligt 6 § för andra försäkringsförpliktelser än sådana som avses i 1 mom. </w:t>
      </w:r>
      <w:proofErr w:type="spellStart"/>
      <w:r>
        <w:t>Landsspecifik</w:t>
      </w:r>
      <w:proofErr w:type="spellEnd"/>
      <w:r>
        <w:t xml:space="preserve"> volatilitetsjustering tillämpas för att beräkna bästa skattning för försäkringsförpliktelserna för de produkter som säljs på det aktuella landets försäkringsmarknad.</w:t>
      </w:r>
    </w:p>
    <w:p w:rsidR="00F04D47" w:rsidRPr="00F04D47" w:rsidRDefault="00F04D47" w:rsidP="00F04D47"/>
    <w:p w:rsidR="00F04D47" w:rsidRPr="00F04D47" w:rsidRDefault="00F04D47" w:rsidP="00F04D47">
      <w:r>
        <w:t xml:space="preserve">Omfattningen av volatilitetsjusteringen av riskfria räntesatser ska motsvara 65 procent av den riskkorrigerade </w:t>
      </w:r>
      <w:proofErr w:type="spellStart"/>
      <w:r>
        <w:t>valutaspreaden</w:t>
      </w:r>
      <w:proofErr w:type="spellEnd"/>
      <w:r>
        <w:t>.</w:t>
      </w:r>
    </w:p>
    <w:p w:rsidR="00F04D47" w:rsidRPr="00F04D47" w:rsidRDefault="00F04D47" w:rsidP="00F04D47"/>
    <w:p w:rsidR="00F04D47" w:rsidRPr="00F04D47" w:rsidRDefault="00F04D47" w:rsidP="00F04D47">
      <w:r>
        <w:t xml:space="preserve">Den riskkorrigerade </w:t>
      </w:r>
      <w:proofErr w:type="spellStart"/>
      <w:r>
        <w:t>valutaspreaden</w:t>
      </w:r>
      <w:proofErr w:type="spellEnd"/>
      <w:r>
        <w:t xml:space="preserve"> ska beräknas som skillnaden mellan den </w:t>
      </w:r>
      <w:proofErr w:type="spellStart"/>
      <w:r>
        <w:t>spread</w:t>
      </w:r>
      <w:proofErr w:type="spellEnd"/>
      <w:r>
        <w:t xml:space="preserve"> som kan fås för tillgångar som ingår i en referensportfölj för den valutan och de riskfria basräntesatserna för relevanta durationer för den valutan, och den andel av denna </w:t>
      </w:r>
      <w:proofErr w:type="spellStart"/>
      <w:r>
        <w:t>spread</w:t>
      </w:r>
      <w:proofErr w:type="spellEnd"/>
      <w:r>
        <w:t xml:space="preserve"> som kan tillskrivas en realistisk bedömning av förväntade förluster eller oförutsedda kredit- eller andra risker för tillgångarna.</w:t>
      </w:r>
    </w:p>
    <w:p w:rsidR="00F04D47" w:rsidRPr="00F04D47" w:rsidRDefault="00F04D47" w:rsidP="00F04D47"/>
    <w:p w:rsidR="00F04D47" w:rsidRPr="00F04D47" w:rsidRDefault="00F04D47" w:rsidP="00F04D47">
      <w:r>
        <w:lastRenderedPageBreak/>
        <w:t>Volatilitetsjusteringen ska endast tillämpas på de riskfria räntesatserna för relevanta durationer som inte härletts genom extrapolering med stöd av 7 §.  Extrapoleringen av de riskfria räntesatserna för relevanta durationer ska baseras på de justerade riskfria räntesatserna.</w:t>
      </w:r>
    </w:p>
    <w:p w:rsidR="00F04D47" w:rsidRPr="00F04D47" w:rsidRDefault="00F04D47" w:rsidP="00F04D47"/>
    <w:p w:rsidR="00F04D47" w:rsidRPr="00F04D47" w:rsidRDefault="00F04D47" w:rsidP="00F04D47">
      <w:r>
        <w:t xml:space="preserve">För varje berört land ska volatilitetsjusteringen av de riskfria räntesatser som avses i 2 mom. för detta lands valuta, före tillämpningen av 65 procentsfaktorn, ökas med skillnaden mellan den riskkorrigerade </w:t>
      </w:r>
      <w:proofErr w:type="spellStart"/>
      <w:r>
        <w:t>landsspreaden</w:t>
      </w:r>
      <w:proofErr w:type="spellEnd"/>
      <w:r>
        <w:t xml:space="preserve"> och två gånger den riskkorrigerade </w:t>
      </w:r>
      <w:proofErr w:type="spellStart"/>
      <w:r>
        <w:t>valutaspreaden</w:t>
      </w:r>
      <w:proofErr w:type="spellEnd"/>
      <w:r>
        <w:t xml:space="preserve">, om denna differens är positiv och den riskkorrigerade </w:t>
      </w:r>
      <w:proofErr w:type="spellStart"/>
      <w:r>
        <w:t>landsspreaden</w:t>
      </w:r>
      <w:proofErr w:type="spellEnd"/>
      <w:r>
        <w:t xml:space="preserve"> är högre än 85 räntepunkter. Den ökade volatilitetsjusteringen ska tillämpas på beräkningen av bästa skattning för försäkrings- och återförsäkringsförpliktelser i fråga om produkter som sålts på detta lands försäkringsmarknad. Den riskkorrigerade </w:t>
      </w:r>
      <w:proofErr w:type="spellStart"/>
      <w:r>
        <w:t>landsspreaden</w:t>
      </w:r>
      <w:proofErr w:type="spellEnd"/>
      <w:r>
        <w:t xml:space="preserve"> beräknas på samma sätt som den riskkorrigerade </w:t>
      </w:r>
      <w:proofErr w:type="spellStart"/>
      <w:r>
        <w:t>valutaspreaden</w:t>
      </w:r>
      <w:proofErr w:type="spellEnd"/>
      <w:r>
        <w:t xml:space="preserve"> för detta lands valuta, men baseras på en referensportfölj som är representativ för de tillgångar i vilka försäkrings- och återförsäkringsföretag investerar för att täcka bästa skattning för försäkrings- och återförsäkringsförpliktelser av produkter som sålts på detta lands försäkringsmarknad och som är uttryckta i det landets valuta.</w:t>
      </w:r>
    </w:p>
    <w:p w:rsidR="00F04D47" w:rsidRPr="00F04D47" w:rsidRDefault="00F04D47" w:rsidP="00F04D47"/>
    <w:p w:rsidR="00F04D47" w:rsidRPr="00F04D47" w:rsidRDefault="00F04D47" w:rsidP="00F04D47">
      <w:r>
        <w:t>Bestämmelser om antaganden, metoder och parametrar för beräkning av volatilitetsjustering och matchningsjustering finns dessutom i avdelning I kapitel III avsnitt 4 underavsnitten 3 och 4 i kommissionens förordning.</w:t>
      </w:r>
    </w:p>
    <w:p w:rsidR="00F04D47" w:rsidRPr="00F04D47" w:rsidRDefault="00F04D47" w:rsidP="00F04D47"/>
    <w:p w:rsidR="00F04D47" w:rsidRPr="00F04D47" w:rsidRDefault="00F04D47" w:rsidP="00F04D47"/>
    <w:p w:rsidR="00F04D47" w:rsidRPr="00F04D47" w:rsidRDefault="00F04D47" w:rsidP="00F04D47">
      <w:r>
        <w:t>11 kap.</w:t>
      </w:r>
    </w:p>
    <w:p w:rsidR="00F04D47" w:rsidRPr="00F04D47" w:rsidRDefault="00F04D47" w:rsidP="00F04D47"/>
    <w:p w:rsidR="00F04D47" w:rsidRPr="00F04D47" w:rsidRDefault="00F04D47" w:rsidP="00F04D47">
      <w:r>
        <w:t>Kapitalkrav</w:t>
      </w:r>
    </w:p>
    <w:p w:rsidR="00F04D47" w:rsidRPr="00F04D47" w:rsidRDefault="00F04D47" w:rsidP="00F04D47"/>
    <w:p w:rsidR="00F04D47" w:rsidRPr="00F04D47" w:rsidRDefault="00F04D47" w:rsidP="00F04D47">
      <w:r>
        <w:t>2 §</w:t>
      </w:r>
    </w:p>
    <w:p w:rsidR="00F04D47" w:rsidRPr="00F04D47" w:rsidRDefault="00F04D47" w:rsidP="00F04D47"/>
    <w:p w:rsidR="00F04D47" w:rsidRPr="00F04D47" w:rsidRDefault="00F04D47" w:rsidP="00F04D47">
      <w:r>
        <w:t>Solvenskapitalkrav</w:t>
      </w:r>
    </w:p>
    <w:p w:rsidR="00F04D47" w:rsidRPr="00F04D47" w:rsidRDefault="00F04D47" w:rsidP="00F04D47"/>
    <w:p w:rsidR="00F04D47" w:rsidRPr="00F04D47" w:rsidRDefault="00F04D47" w:rsidP="00F04D47">
      <w:r>
        <w:t>----</w:t>
      </w:r>
    </w:p>
    <w:p w:rsidR="00F04D47" w:rsidRPr="00F04D47" w:rsidRDefault="00F04D47" w:rsidP="00F04D47">
      <w:r>
        <w:t>Solvenskapitalkravet ska inte täcka risker för förlust av primärkapital till följd av ändringar av volatilitetsjusteringen.</w:t>
      </w:r>
    </w:p>
    <w:p w:rsidR="00F04D47" w:rsidRPr="00F04D47" w:rsidRDefault="00F04D47" w:rsidP="00F04D47"/>
    <w:p w:rsidR="00F04D47" w:rsidRPr="00F04D47" w:rsidRDefault="00F04D47" w:rsidP="00F04D47"/>
    <w:p w:rsidR="00F04D47" w:rsidRPr="00F04D47" w:rsidRDefault="00F04D47" w:rsidP="00F04D47">
      <w:r>
        <w:t>21 a §</w:t>
      </w:r>
    </w:p>
    <w:p w:rsidR="00F04D47" w:rsidRPr="00F04D47" w:rsidRDefault="00F04D47" w:rsidP="00F04D47"/>
    <w:p w:rsidR="00F04D47" w:rsidRPr="00F04D47" w:rsidRDefault="00F04D47" w:rsidP="00F04D47">
      <w:r>
        <w:t>Finansinspektionens skyldighet att underrätta om en ansökan om användning eller ändring av en intern modell</w:t>
      </w:r>
    </w:p>
    <w:p w:rsidR="00F04D47" w:rsidRPr="00F04D47" w:rsidRDefault="00F04D47" w:rsidP="00F04D47"/>
    <w:p w:rsidR="00F04D47" w:rsidRPr="00F04D47" w:rsidRDefault="00F04D47" w:rsidP="00F04D47">
      <w:r>
        <w:t>Finansinspektionen ska underrätta Europeiska försäkrings- och tjänstepensionsmyndigheten om alla ansökningar om att använda eller ändra en intern modell. Europeiska försäkrings- och tjänstepensionsmyndigheten får på begäran av Finansinspektionen eller av en eller flera behöriga tillsynsmyndigheter tillhandahålla tekniskt stöd till Finansinspektionen eller den eller de</w:t>
      </w:r>
      <w:r w:rsidR="00831C4A">
        <w:t xml:space="preserve"> behöriga tillsynsmyndigheterna i samband med</w:t>
      </w:r>
      <w:r>
        <w:t xml:space="preserve"> besluten om ansökningar.</w:t>
      </w:r>
    </w:p>
    <w:p w:rsidR="00F04D47" w:rsidRPr="00F04D47" w:rsidRDefault="00F04D47" w:rsidP="00F04D47"/>
    <w:p w:rsidR="00F04D47" w:rsidRDefault="00F04D47" w:rsidP="00F04D47"/>
    <w:p w:rsidR="000143EE" w:rsidRDefault="000143EE" w:rsidP="00F04D47"/>
    <w:p w:rsidR="000143EE" w:rsidRDefault="000143EE" w:rsidP="00F04D47"/>
    <w:p w:rsidR="000143EE" w:rsidRPr="00F04D47" w:rsidRDefault="000143EE" w:rsidP="00F04D47"/>
    <w:p w:rsidR="00F04D47" w:rsidRPr="00F04D47" w:rsidRDefault="00F04D47" w:rsidP="00F04D47">
      <w:r>
        <w:lastRenderedPageBreak/>
        <w:t>25 kap.</w:t>
      </w:r>
    </w:p>
    <w:p w:rsidR="00F04D47" w:rsidRPr="00F04D47" w:rsidRDefault="00F04D47" w:rsidP="00F04D47"/>
    <w:p w:rsidR="00F04D47" w:rsidRPr="00F04D47" w:rsidRDefault="00F04D47" w:rsidP="00F04D47">
      <w:r>
        <w:t xml:space="preserve">Tillsynen över försäkringsbolag och </w:t>
      </w:r>
      <w:proofErr w:type="spellStart"/>
      <w:r>
        <w:t>försäkringsholdingsammanslutningar</w:t>
      </w:r>
      <w:proofErr w:type="spellEnd"/>
    </w:p>
    <w:p w:rsidR="00F04D47" w:rsidRPr="00F04D47" w:rsidRDefault="00F04D47" w:rsidP="00F04D47"/>
    <w:p w:rsidR="00F04D47" w:rsidRPr="00F04D47" w:rsidRDefault="00F04D47" w:rsidP="00F04D47">
      <w:r>
        <w:t>5 §</w:t>
      </w:r>
    </w:p>
    <w:p w:rsidR="00F04D47" w:rsidRPr="00F04D47" w:rsidRDefault="00F04D47" w:rsidP="00F04D47"/>
    <w:p w:rsidR="00F04D47" w:rsidRPr="00F04D47" w:rsidRDefault="00F04D47" w:rsidP="00F04D47">
      <w:r>
        <w:t>Bristande uppfyllelse av solvenskapitalkravet</w:t>
      </w:r>
    </w:p>
    <w:p w:rsidR="00F04D47" w:rsidRPr="00F04D47" w:rsidRDefault="00F04D47" w:rsidP="00F04D47"/>
    <w:p w:rsidR="00F04D47" w:rsidRPr="00F04D47" w:rsidRDefault="00F04D47" w:rsidP="00F04D47">
      <w:r>
        <w:t>---</w:t>
      </w:r>
    </w:p>
    <w:p w:rsidR="00F04D47" w:rsidRPr="00F04D47" w:rsidRDefault="00F04D47" w:rsidP="00F04D47">
      <w:r>
        <w:t>Finansinspektionen kan begära att Europeiska försäkrings- och tjänstepensionsmyndigheten fastställer att det råder exceptionellt svåra förhållanden, om försäkrings- eller återförsäkringsföretag som utgör en betydande del av marknaden eller berörda försäkringsklasser sannolikt inte kommer att uppfylla ett av de krav som fastställs i 3 mom.  Om det förekommer exceptionella störningar på finansmarknaden, och endast om Europeiska försäkrings- och tjänstepensionsmyndigheten efter begäran av Finansinspektionen eller någon annan tillsynsmyndighet har fastställt att exceptionellt svåra förhållanden föreligger, får Finansinspektionen förlänga den förlängda tidsfristen enligt 4 mom. med en skälig tilläggstid på högst sju år, med beaktande av alla relevanta faktorer. Försäkringsbolaget ska då var tredje månad tillställa Finansinspektionen en lägesrapport om de åtgärder som vidtagits och vilka framsteg bolaget har gjort för att uppfylla solvenskapitalkravet eller ändra sin riskprofil.</w:t>
      </w:r>
    </w:p>
    <w:p w:rsidR="00F04D47" w:rsidRPr="00F04D47" w:rsidRDefault="00F04D47" w:rsidP="00F04D47">
      <w:r>
        <w:t>---</w:t>
      </w:r>
    </w:p>
    <w:p w:rsidR="00F04D47" w:rsidRPr="00F04D47" w:rsidRDefault="00F04D47" w:rsidP="00F04D47"/>
    <w:p w:rsidR="00F04D47" w:rsidRPr="00F04D47" w:rsidRDefault="00F04D47" w:rsidP="00F04D47"/>
    <w:p w:rsidR="00F04D47" w:rsidRPr="00F04D47" w:rsidRDefault="00F04D47" w:rsidP="00F04D47">
      <w:r>
        <w:t>27 a §</w:t>
      </w:r>
    </w:p>
    <w:p w:rsidR="00F04D47" w:rsidRPr="00F04D47" w:rsidRDefault="00F04D47" w:rsidP="00F04D47"/>
    <w:p w:rsidR="00F04D47" w:rsidRPr="00F04D47" w:rsidRDefault="00F04D47" w:rsidP="00F04D47">
      <w:r>
        <w:t xml:space="preserve">Information till Europeiska försäkrings- och tjänstepensionsmyndigheten och tillsynsmyndigheten i en annan </w:t>
      </w:r>
      <w:r w:rsidR="00B460CD">
        <w:t>EES</w:t>
      </w:r>
      <w:r>
        <w:t>-stat om försämringar av de ekonomiska förhållandena eller framväxande risker</w:t>
      </w:r>
      <w:r w:rsidR="00B57877">
        <w:t xml:space="preserve"> eller om farhågor om konsumentskydd</w:t>
      </w:r>
    </w:p>
    <w:p w:rsidR="00F04D47" w:rsidRPr="00F04D47" w:rsidRDefault="00F04D47" w:rsidP="00F04D47"/>
    <w:p w:rsidR="00F04D47" w:rsidRPr="00F04D47" w:rsidRDefault="00F04D47" w:rsidP="00F04D47">
      <w:r>
        <w:t xml:space="preserve">Om Finansinspektionen konstaterar försämringar av de ekonomiska förhållandena i ett finländskt försäkringsbolag eller om försäkringsbolaget orsakar andra framväxande risker när det bedriver verksamhet som grundas på friheten att tillhandahålla tjänster eller etableringsfriheten i en annan EES-stat, och de försämrade ekonomiska förhållandena eller framväxande riskerna kan ha gränsöverskridande effekt, ska Finansinspektionen underrätta Europeiska försäkrings- och tjänstepensionsmyndigheten och tillsynsmyndigheten i den behöriga EES-staten om </w:t>
      </w:r>
      <w:r w:rsidR="0073561B">
        <w:t>detta</w:t>
      </w:r>
      <w:r>
        <w:t>.</w:t>
      </w:r>
    </w:p>
    <w:p w:rsidR="00F04D47" w:rsidRPr="00F04D47" w:rsidRDefault="00F04D47" w:rsidP="00F04D47"/>
    <w:p w:rsidR="00F04D47" w:rsidRPr="00F04D47" w:rsidRDefault="00F04D47" w:rsidP="00F04D47">
      <w:r>
        <w:t xml:space="preserve">Finansinspektionen får också underrätta Europeiska försäkrings- och tjänstepensionsmyndigheten och </w:t>
      </w:r>
      <w:r w:rsidR="00283698">
        <w:t xml:space="preserve">hemstatens </w:t>
      </w:r>
      <w:r>
        <w:t>tillsynsmyndighet i den behöriga EES-staten om Finansinspektionen hyser allvarliga och motiverade farhågor i fråga om konsumentskydd.</w:t>
      </w:r>
    </w:p>
    <w:p w:rsidR="00F04D47" w:rsidRPr="00F04D47" w:rsidRDefault="00F04D47" w:rsidP="00F04D47"/>
    <w:p w:rsidR="00F04D47" w:rsidRPr="00F04D47" w:rsidRDefault="00F04D47" w:rsidP="00F04D47">
      <w:r>
        <w:t>Finansinspektionen och tillsynsmyndigheten i den behöriga EES-staten får hänskjuta ett ärende som avses i 1 och 2 mom. till Europeiska försäkrings- och tjänstepensionsmyndigheten och begära myndighetens hjälp, om inte Finansinspektionen och tillsynsmyndigheten i den behöriga EES-staten kan nå en bilateral lösning.</w:t>
      </w:r>
    </w:p>
    <w:p w:rsidR="00F04D47" w:rsidRPr="00F04D47" w:rsidRDefault="00F04D47" w:rsidP="00F04D47"/>
    <w:p w:rsidR="00F04D47" w:rsidRPr="00F04D47" w:rsidRDefault="00D26D25" w:rsidP="00F04D47">
      <w:r>
        <w:t>Den u</w:t>
      </w:r>
      <w:r w:rsidR="00F04D47">
        <w:t>nderrättelse</w:t>
      </w:r>
      <w:r>
        <w:t xml:space="preserve"> som avses i</w:t>
      </w:r>
      <w:r w:rsidR="00F04D47">
        <w:t xml:space="preserve"> 1 och 2 mom. ska vara tillräckligt detaljerad och heltäckande.</w:t>
      </w:r>
    </w:p>
    <w:p w:rsidR="00F04D47" w:rsidRPr="00F04D47" w:rsidRDefault="00F04D47" w:rsidP="00F04D47"/>
    <w:p w:rsidR="00F04D47" w:rsidRDefault="00F04D47" w:rsidP="00F04D47"/>
    <w:p w:rsidR="000143EE" w:rsidRDefault="000143EE" w:rsidP="00F04D47"/>
    <w:p w:rsidR="000143EE" w:rsidRPr="00F04D47" w:rsidRDefault="000143EE" w:rsidP="00F04D47"/>
    <w:p w:rsidR="00F04D47" w:rsidRPr="00F04D47" w:rsidRDefault="00F04D47" w:rsidP="00F04D47">
      <w:r>
        <w:lastRenderedPageBreak/>
        <w:t>27 b §</w:t>
      </w:r>
    </w:p>
    <w:p w:rsidR="00F04D47" w:rsidRPr="00F04D47" w:rsidRDefault="00F04D47" w:rsidP="00F04D47"/>
    <w:p w:rsidR="00F04D47" w:rsidRPr="00F04D47" w:rsidRDefault="00F04D47" w:rsidP="00F04D47">
      <w:r>
        <w:t>Samarbetsplattform</w:t>
      </w:r>
    </w:p>
    <w:p w:rsidR="00F04D47" w:rsidRPr="00F04D47" w:rsidRDefault="00F04D47" w:rsidP="00F04D47"/>
    <w:p w:rsidR="00F04D47" w:rsidRPr="00F04D47" w:rsidRDefault="00F04D47" w:rsidP="00F04D47">
      <w:r>
        <w:t>Finansinspektionen får inrätta en samarbetsplattform efter att ha kommit överens om saken med tillsynsmyndigheterna i samtliga behöriga EES-stater.</w:t>
      </w:r>
    </w:p>
    <w:p w:rsidR="00F04D47" w:rsidRPr="00F04D47" w:rsidRDefault="00F04D47" w:rsidP="00F04D47"/>
    <w:p w:rsidR="00F04D47" w:rsidRPr="00F04D47" w:rsidRDefault="00F04D47" w:rsidP="00F04D47">
      <w:r>
        <w:t xml:space="preserve">Finansinspektionen </w:t>
      </w:r>
      <w:r w:rsidR="00BE6901">
        <w:t>kan</w:t>
      </w:r>
      <w:r>
        <w:t xml:space="preserve"> begära att Europeiska försäkrings- och tjänstepensionsmyndigheten inrättar en samarbetsplattform med beaktande av det som anges i </w:t>
      </w:r>
      <w:r w:rsidR="006C194B">
        <w:t xml:space="preserve">27 a § 1 mom. </w:t>
      </w:r>
      <w:r>
        <w:t>Finansinspektionen kan delta i verksamheten för en samarbetsplattform som inrättats av Europeiska försäkrings- och tjänstepensionsmyndigheten eller av myndigheter i andra behöriga EES-stater.</w:t>
      </w:r>
    </w:p>
    <w:p w:rsidR="00F04D47" w:rsidRPr="00F04D47" w:rsidRDefault="00F04D47" w:rsidP="00F04D47"/>
    <w:p w:rsidR="00F04D47" w:rsidRPr="00F04D47" w:rsidRDefault="00F04D47" w:rsidP="00F04D47">
      <w:r>
        <w:t>Finansinspektionen ska på eget initiativ och på begäran av Europeiska försäkrings- och tjänstepensionsmyndigheten i god tid lämna alla behövliga uppgifter till samarbetsplattformen.</w:t>
      </w:r>
    </w:p>
    <w:p w:rsidR="00F04D47" w:rsidRPr="00F04D47" w:rsidRDefault="00F04D47" w:rsidP="00F04D47"/>
    <w:p w:rsidR="00F04D47" w:rsidRPr="00F04D47" w:rsidRDefault="00F04D47" w:rsidP="00F04D47"/>
    <w:p w:rsidR="00F04D47" w:rsidRPr="00F04D47" w:rsidRDefault="00F04D47" w:rsidP="00F04D47">
      <w:r>
        <w:t>26 kap.</w:t>
      </w:r>
    </w:p>
    <w:p w:rsidR="00F04D47" w:rsidRPr="00F04D47" w:rsidRDefault="00F04D47" w:rsidP="00F04D47"/>
    <w:p w:rsidR="00F04D47" w:rsidRPr="00F04D47" w:rsidRDefault="00F04D47" w:rsidP="00F04D47">
      <w:r>
        <w:t>Grupptillsyn och beräkning av solvensen på gruppnivå</w:t>
      </w:r>
    </w:p>
    <w:p w:rsidR="00F04D47" w:rsidRPr="00F04D47" w:rsidRDefault="00F04D47" w:rsidP="00F04D47"/>
    <w:p w:rsidR="00F04D47" w:rsidRPr="00F04D47" w:rsidRDefault="00F04D47" w:rsidP="00F04D47">
      <w:r>
        <w:t>28 §</w:t>
      </w:r>
    </w:p>
    <w:p w:rsidR="00F04D47" w:rsidRPr="00F04D47" w:rsidRDefault="00F04D47" w:rsidP="00F04D47"/>
    <w:p w:rsidR="00F04D47" w:rsidRPr="00F04D47" w:rsidRDefault="00F04D47" w:rsidP="00F04D47">
      <w:r>
        <w:t>Tillsynsmyndigheternas beslut om gruppintern modell</w:t>
      </w:r>
    </w:p>
    <w:p w:rsidR="00F04D47" w:rsidRPr="00F04D47" w:rsidRDefault="00F04D47" w:rsidP="00F04D47"/>
    <w:p w:rsidR="00F04D47" w:rsidRPr="00F04D47" w:rsidRDefault="00F04D47" w:rsidP="00F04D47">
      <w:r>
        <w:t>---</w:t>
      </w:r>
    </w:p>
    <w:p w:rsidR="00F04D47" w:rsidRPr="00F04D47" w:rsidRDefault="00F04D47" w:rsidP="00F04D47">
      <w:r>
        <w:t xml:space="preserve">Finansinspektionen ska i egenskap av grupptillsynsmyndighet utan dröjsmål underrätta de övriga tillsynsmyndigheter som hör till tillsynskollegiet samt Europeiska försäkrings- och tjänstepensionsmyndigheten om att ansökan har mottagits och överlämna den fullständiga ansökan, tillsammans med de handlingar som försäkringsbolaget har lämnat, till </w:t>
      </w:r>
      <w:r w:rsidR="001E69B9">
        <w:t>dem</w:t>
      </w:r>
      <w:r>
        <w:t>. Europeiska försäkrings- och tjänstepensionsmyndigheten får på begäran av Finansinspektionen eller av en eller flera behöriga tillsynsmyndigheter tillhandahålla tekniskt stöd till den eller de tillsynsmyndigheter som begärde stöd</w:t>
      </w:r>
      <w:r w:rsidR="00A04B30">
        <w:t xml:space="preserve"> i samband med</w:t>
      </w:r>
      <w:r>
        <w:t xml:space="preserve"> beslutet om ansökningen.</w:t>
      </w:r>
    </w:p>
    <w:p w:rsidR="00F04D47" w:rsidRPr="00F04D47" w:rsidRDefault="00F04D47" w:rsidP="00F04D47">
      <w:r>
        <w:t>---</w:t>
      </w:r>
    </w:p>
    <w:p w:rsidR="00F04D47" w:rsidRPr="00F04D47" w:rsidRDefault="00F04D47" w:rsidP="00F04D47">
      <w:r>
        <w:t>Om ett gemensamt beslut dock inte fattas inom tidsfristen på sex månader och ingen av de behöriga tillsynsmyndigheterna har bett Europeiska försäkrings- och tjänstepensionsmyndigheten att avgöra ärendet eller om Europeiska försäkrings- och tjänstepensionsmyndigheten inte antar ett beslut i enlighet med artikel 19.3 i förordning (EU) 1094/2010, ska Finansinspektionen i egenskap av grupptillsynsmyndighet fatta beslut i ärendet.  I beslutet ska Finansinspektionen beakta de övriga behöriga tillsynsmyndigheternas synpunkter.</w:t>
      </w:r>
    </w:p>
    <w:p w:rsidR="00F04D47" w:rsidRPr="00F04D47" w:rsidRDefault="00F04D47" w:rsidP="00F04D47">
      <w:r>
        <w:t>---</w:t>
      </w:r>
    </w:p>
    <w:p w:rsidR="00F04D47" w:rsidRPr="00F04D47" w:rsidRDefault="00F04D47" w:rsidP="00F04D47"/>
    <w:p w:rsidR="00F04D47" w:rsidRPr="00F04D47" w:rsidRDefault="00F04D47" w:rsidP="00F04D47"/>
    <w:p w:rsidR="00F04D47" w:rsidRPr="00F04D47" w:rsidRDefault="00F04D47" w:rsidP="00F04D47">
      <w:r>
        <w:t>35 §</w:t>
      </w:r>
    </w:p>
    <w:p w:rsidR="00F04D47" w:rsidRPr="00F04D47" w:rsidRDefault="00F04D47" w:rsidP="00F04D47"/>
    <w:p w:rsidR="00F04D47" w:rsidRPr="00F04D47" w:rsidRDefault="00F04D47" w:rsidP="00F04D47">
      <w:r>
        <w:t>Beslut om tillämpning av förfarandet</w:t>
      </w:r>
    </w:p>
    <w:p w:rsidR="00F04D47" w:rsidRPr="00F04D47" w:rsidRDefault="00F04D47" w:rsidP="00F04D47"/>
    <w:p w:rsidR="00F04D47" w:rsidRPr="00F04D47" w:rsidRDefault="00F04D47" w:rsidP="00F04D47">
      <w:r>
        <w:t>---</w:t>
      </w:r>
    </w:p>
    <w:p w:rsidR="00F04D47" w:rsidRPr="00F04D47" w:rsidRDefault="00F04D47" w:rsidP="00F04D47">
      <w:r>
        <w:t xml:space="preserve">Om ett gemensamt beslut dock inte fattas inom tidsfristen på tre månader och ingen av de behöriga tillsynsmyndigheterna har bett Europeiska försäkrings- och tjänstepensionsmyndigheten att avgöra </w:t>
      </w:r>
      <w:r>
        <w:lastRenderedPageBreak/>
        <w:t>ärendet eller om Europeiska försäkrings- och tjänstepensionsmyndigheten inte antar ett beslut i enlighet med artikel 19.3 i förordning (EU) 1094/2010, ska Finansinspektionen i egenskap av grupptillsynsmyndighet fatta beslut i ärendet. I sitt beslut ska Finansinspektionen beakta de synpunkter som framförts av de övriga behöriga tillsynsmyndigheterna samt av de övriga tillsynsmyndigheterna i tillsynskollegiet.</w:t>
      </w:r>
    </w:p>
    <w:p w:rsidR="00F04D47" w:rsidRPr="00F04D47" w:rsidRDefault="00F04D47" w:rsidP="00F04D47">
      <w:r>
        <w:t>---</w:t>
      </w:r>
    </w:p>
    <w:p w:rsidR="00F04D47" w:rsidRPr="00F04D47" w:rsidRDefault="00F04D47" w:rsidP="00F04D47"/>
    <w:p w:rsidR="00F04D47" w:rsidRPr="00F04D47" w:rsidRDefault="00F04D47" w:rsidP="00F04D47"/>
    <w:p w:rsidR="00F04D47" w:rsidRPr="00F04D47" w:rsidRDefault="00F04D47" w:rsidP="00F04D47">
      <w:r>
        <w:t>31 kap.</w:t>
      </w:r>
    </w:p>
    <w:p w:rsidR="00F04D47" w:rsidRPr="00F04D47" w:rsidRDefault="00F04D47" w:rsidP="00F04D47"/>
    <w:p w:rsidR="00F04D47" w:rsidRPr="00F04D47" w:rsidRDefault="00F04D47" w:rsidP="00F04D47">
      <w:r>
        <w:t>Övriga bestämmelser om försäkringsbolags verksamhet</w:t>
      </w:r>
    </w:p>
    <w:p w:rsidR="00F04D47" w:rsidRPr="00F04D47" w:rsidRDefault="00F04D47" w:rsidP="00F04D47"/>
    <w:p w:rsidR="00F04D47" w:rsidRPr="00F04D47" w:rsidRDefault="00F04D47" w:rsidP="00F04D47">
      <w:r>
        <w:t>5 §</w:t>
      </w:r>
    </w:p>
    <w:p w:rsidR="00F04D47" w:rsidRPr="00F04D47" w:rsidRDefault="00F04D47" w:rsidP="00F04D47"/>
    <w:p w:rsidR="00F04D47" w:rsidRPr="00F04D47" w:rsidRDefault="00F04D47" w:rsidP="00F04D47">
      <w:r>
        <w:t>Försäkringsmatematikers allmänna behörighet</w:t>
      </w:r>
    </w:p>
    <w:p w:rsidR="00F04D47" w:rsidRPr="00F04D47" w:rsidRDefault="00F04D47" w:rsidP="00F04D47"/>
    <w:p w:rsidR="00F04D47" w:rsidRPr="00F04D47" w:rsidRDefault="00F04D47" w:rsidP="00F04D47">
      <w:r>
        <w:t>En försäkringsmatematiker förutsätts ha</w:t>
      </w:r>
    </w:p>
    <w:p w:rsidR="00F04D47" w:rsidRPr="00F04D47" w:rsidRDefault="00F04D47" w:rsidP="00F04D47"/>
    <w:p w:rsidR="00F04D47" w:rsidRPr="00F04D47" w:rsidRDefault="00F04D47" w:rsidP="00F04D47">
      <w:r>
        <w:t>1) högre högskoleexamen med slutförda fördjupade studier i matematik eller en annan högre högskoleexamen som uppfyller motsvarande krav,</w:t>
      </w:r>
    </w:p>
    <w:p w:rsidR="00F04D47" w:rsidRPr="00F04D47" w:rsidRDefault="00F04D47" w:rsidP="00F04D47"/>
    <w:p w:rsidR="00F04D47" w:rsidRPr="00F04D47" w:rsidRDefault="00F04D47" w:rsidP="00F04D47">
      <w:r>
        <w:t>2) tillräckliga kunskaper i försäkringsmatematik, riskteori, placeringsverksamhet, sannolikhetskalkyl, statistik, ekonomisk vetenskap, databehandling, bokföring och andra områden som är relevanta för försäkringsmatematiker samt tillräcklig kännedom om försäkringslagstiftningen och de övriga bestämmelser och föreskrifter som gäller försäkringsbolag, samt</w:t>
      </w:r>
    </w:p>
    <w:p w:rsidR="00F04D47" w:rsidRPr="00F04D47" w:rsidRDefault="00F04D47" w:rsidP="00F04D47"/>
    <w:p w:rsidR="00F04D47" w:rsidRPr="00F04D47" w:rsidRDefault="00F04D47" w:rsidP="00F04D47">
      <w:r>
        <w:t>3) praktisk erfarenhet av sådana uppgifter för försäkringsmatematiker som avses i 6 kap. 20 § eller av uppgifter som kan jämställas med dem.</w:t>
      </w:r>
    </w:p>
    <w:p w:rsidR="00F04D47" w:rsidRPr="00F04D47" w:rsidRDefault="00F04D47" w:rsidP="00F04D47">
      <w:r>
        <w:t>----</w:t>
      </w:r>
    </w:p>
    <w:p w:rsidR="00F04D47" w:rsidRPr="00F04D47" w:rsidRDefault="00F04D47" w:rsidP="00F04D47"/>
    <w:p w:rsidR="00F04D47" w:rsidRPr="00F04D47" w:rsidRDefault="00F04D47" w:rsidP="00F04D47">
      <w:r>
        <w:t>6 §</w:t>
      </w:r>
    </w:p>
    <w:p w:rsidR="00F04D47" w:rsidRPr="00F04D47" w:rsidRDefault="00F04D47" w:rsidP="00F04D47">
      <w:r>
        <w:t>----</w:t>
      </w:r>
    </w:p>
    <w:p w:rsidR="00F04D47" w:rsidRPr="00F04D47" w:rsidRDefault="00F04D47" w:rsidP="00F04D47">
      <w:r>
        <w:t xml:space="preserve">Vid </w:t>
      </w:r>
      <w:r w:rsidR="009523A2">
        <w:t xml:space="preserve">ändring </w:t>
      </w:r>
      <w:r>
        <w:t xml:space="preserve">av de </w:t>
      </w:r>
      <w:r w:rsidR="004F5BE6">
        <w:t>examens</w:t>
      </w:r>
      <w:r>
        <w:t xml:space="preserve">krav som </w:t>
      </w:r>
      <w:r w:rsidR="009759DC">
        <w:t xml:space="preserve">ges på basis av </w:t>
      </w:r>
      <w:r>
        <w:t xml:space="preserve"> 2 mom. </w:t>
      </w:r>
      <w:r>
        <w:t>ska nämnden sörja för en tillräcklig övergångsperiod.</w:t>
      </w:r>
    </w:p>
    <w:p w:rsidR="00F04D47" w:rsidRDefault="00F04D47" w:rsidP="00F04D47"/>
    <w:p w:rsidR="000143EE" w:rsidRPr="00F04D47" w:rsidRDefault="000143EE" w:rsidP="00F04D47"/>
    <w:p w:rsidR="00F04D47" w:rsidRPr="00F04D47" w:rsidRDefault="00F04D47" w:rsidP="00F04D47">
      <w:r>
        <w:t>___</w:t>
      </w:r>
    </w:p>
    <w:p w:rsidR="00F04D47" w:rsidRPr="00F04D47" w:rsidRDefault="00F04D47" w:rsidP="00F04D47">
      <w:r>
        <w:t>Denna lag träder i kraft den      20  .</w:t>
      </w:r>
    </w:p>
    <w:p w:rsidR="009B230C" w:rsidRDefault="009B230C" w:rsidP="00446E3A"/>
    <w:p w:rsidR="00F04D47" w:rsidRDefault="00F04D47" w:rsidP="00446E3A"/>
    <w:p w:rsidR="00F04D47" w:rsidRDefault="00F04D47" w:rsidP="00446E3A"/>
    <w:p w:rsidR="00F04D47" w:rsidRDefault="00F04D47" w:rsidP="00446E3A"/>
    <w:p w:rsidR="00F04D47" w:rsidRDefault="00F04D47" w:rsidP="00446E3A"/>
    <w:p w:rsidR="00F04D47" w:rsidRDefault="00F04D47" w:rsidP="00446E3A"/>
    <w:p w:rsidR="00EC6A87" w:rsidRDefault="00EC6A87" w:rsidP="00446E3A"/>
    <w:p w:rsidR="00EC6A87" w:rsidRDefault="00EC6A87" w:rsidP="00446E3A"/>
    <w:p w:rsidR="00EC6A87" w:rsidRDefault="00EC6A87" w:rsidP="00446E3A"/>
    <w:p w:rsidR="00F04D47" w:rsidRDefault="00F04D47" w:rsidP="00446E3A"/>
    <w:p w:rsidR="00F04D47" w:rsidRDefault="00F04D47" w:rsidP="00446E3A"/>
    <w:p w:rsidR="00F04D47" w:rsidRPr="00F04D47" w:rsidRDefault="00F04D47" w:rsidP="00F04D47">
      <w:pPr>
        <w:rPr>
          <w:b/>
        </w:rPr>
      </w:pPr>
      <w:r>
        <w:rPr>
          <w:b/>
        </w:rPr>
        <w:lastRenderedPageBreak/>
        <w:t>2. Lag om ändring av lagen om försäkringsdistribution</w:t>
      </w:r>
    </w:p>
    <w:p w:rsidR="00F04D47" w:rsidRDefault="00F04D47" w:rsidP="00F04D47">
      <w:pPr>
        <w:rPr>
          <w:lang w:val="sv-FI"/>
        </w:rPr>
      </w:pPr>
    </w:p>
    <w:p w:rsidR="00F04D47" w:rsidRPr="00F04D47" w:rsidRDefault="00F04D47" w:rsidP="00F04D47">
      <w:r>
        <w:t>I enlighet med riksdagens beslut</w:t>
      </w:r>
    </w:p>
    <w:p w:rsidR="00F04D47" w:rsidRPr="00F04D47" w:rsidRDefault="00F04D47" w:rsidP="00F04D47">
      <w:r>
        <w:rPr>
          <w:i/>
        </w:rPr>
        <w:t xml:space="preserve">ändras </w:t>
      </w:r>
      <w:r>
        <w:t>i lagen om försäkringsdistribution (234/2018) 5 § 1 mom. 13 punkten, 40 § 2 mom., 41 § 2 mom. och 58 § 1 mom. som följer</w:t>
      </w:r>
    </w:p>
    <w:p w:rsidR="00F04D47" w:rsidRDefault="00F04D47" w:rsidP="00F04D47">
      <w:pPr>
        <w:rPr>
          <w:lang w:val="sv-FI"/>
        </w:rPr>
      </w:pPr>
    </w:p>
    <w:p w:rsidR="00737B15" w:rsidRPr="00F04D47" w:rsidRDefault="00737B15" w:rsidP="00F04D47">
      <w:pPr>
        <w:rPr>
          <w:lang w:val="sv-FI"/>
        </w:rPr>
      </w:pPr>
    </w:p>
    <w:p w:rsidR="00F04D47" w:rsidRPr="00F04D47" w:rsidRDefault="00737B15" w:rsidP="00F04D47">
      <w:r>
        <w:t>5 §</w:t>
      </w:r>
    </w:p>
    <w:p w:rsidR="00F04D47" w:rsidRPr="00F04D47" w:rsidRDefault="00F04D47" w:rsidP="00F04D47">
      <w:pPr>
        <w:rPr>
          <w:lang w:val="sv-FI"/>
        </w:rPr>
      </w:pPr>
    </w:p>
    <w:p w:rsidR="00F04D47" w:rsidRPr="00F04D47" w:rsidRDefault="00F04D47" w:rsidP="00F04D47">
      <w:r>
        <w:t>Definitioner</w:t>
      </w:r>
    </w:p>
    <w:p w:rsidR="00F04D47" w:rsidRPr="00F04D47" w:rsidRDefault="00F04D47" w:rsidP="00F04D47">
      <w:pPr>
        <w:rPr>
          <w:lang w:val="sv-FI"/>
        </w:rPr>
      </w:pPr>
    </w:p>
    <w:p w:rsidR="00F04D47" w:rsidRPr="00F04D47" w:rsidRDefault="00F04D47" w:rsidP="00F04D47">
      <w:r>
        <w:t>I denna lag avses med</w:t>
      </w:r>
    </w:p>
    <w:p w:rsidR="00F04D47" w:rsidRPr="00F04D47" w:rsidRDefault="00F04D47" w:rsidP="00F04D47">
      <w:r>
        <w:t>---</w:t>
      </w:r>
    </w:p>
    <w:p w:rsidR="00F04D47" w:rsidRPr="00F04D47" w:rsidRDefault="00F04D47" w:rsidP="00F04D47">
      <w:r>
        <w:t xml:space="preserve">13) </w:t>
      </w:r>
      <w:r>
        <w:rPr>
          <w:i/>
        </w:rPr>
        <w:t>professionell kund</w:t>
      </w:r>
      <w:r>
        <w:t xml:space="preserve"> en professionell kund som avses i 1 kap. 23 § i lagen om investeringstjänster,</w:t>
      </w:r>
    </w:p>
    <w:p w:rsidR="00F04D47" w:rsidRPr="00F04D47" w:rsidRDefault="00F04D47" w:rsidP="00F04D47">
      <w:r>
        <w:t>---</w:t>
      </w:r>
    </w:p>
    <w:p w:rsidR="00F04D47" w:rsidRDefault="00F04D47" w:rsidP="00F04D47">
      <w:pPr>
        <w:rPr>
          <w:lang w:val="sv-FI"/>
        </w:rPr>
      </w:pPr>
    </w:p>
    <w:p w:rsidR="00737B15" w:rsidRPr="00F04D47" w:rsidRDefault="00737B15" w:rsidP="00F04D47">
      <w:pPr>
        <w:rPr>
          <w:lang w:val="sv-FI"/>
        </w:rPr>
      </w:pPr>
    </w:p>
    <w:p w:rsidR="00F04D47" w:rsidRDefault="00737B15" w:rsidP="00F04D47">
      <w:r>
        <w:t>40 §</w:t>
      </w:r>
    </w:p>
    <w:p w:rsidR="00737B15" w:rsidRDefault="00737B15" w:rsidP="00F04D47">
      <w:pPr>
        <w:rPr>
          <w:lang w:val="sv-FI"/>
        </w:rPr>
      </w:pPr>
    </w:p>
    <w:p w:rsidR="00737B15" w:rsidRDefault="00737B15" w:rsidP="00F04D47">
      <w:r>
        <w:t>Förbud mot bindningsförfarande vid konsumentköp</w:t>
      </w:r>
    </w:p>
    <w:p w:rsidR="00737B15" w:rsidRPr="00F04D47" w:rsidRDefault="00737B15" w:rsidP="00F04D47">
      <w:pPr>
        <w:rPr>
          <w:lang w:val="sv-FI"/>
        </w:rPr>
      </w:pPr>
    </w:p>
    <w:p w:rsidR="00F04D47" w:rsidRPr="00F04D47" w:rsidRDefault="00737B15" w:rsidP="00F04D47">
      <w:r>
        <w:t>---</w:t>
      </w:r>
    </w:p>
    <w:p w:rsidR="00F04D47" w:rsidRPr="00F04D47" w:rsidRDefault="00F04D47" w:rsidP="00F04D47">
      <w:r>
        <w:t>Bestämmelserna i 1 mom. tillämpas inte på försäkringar som erbjuds tillsammans med investeringstjänster som avses i 1 kap. 15 § i lagen om investeringstjänster, konsumentkrediter som avses i 7 kap. 1 § i konsumentskyddslagen eller betalkonton som avses i 8 § 5 punkten i betaltjänstlagen (290/2010).</w:t>
      </w:r>
    </w:p>
    <w:p w:rsidR="00F04D47" w:rsidRPr="000143EE" w:rsidRDefault="00737B15" w:rsidP="00F04D47">
      <w:r>
        <w:t>---</w:t>
      </w:r>
    </w:p>
    <w:p w:rsidR="00F04D47" w:rsidRPr="000143EE" w:rsidRDefault="00F04D47" w:rsidP="00F04D47">
      <w:pPr>
        <w:rPr>
          <w:lang w:val="sv-FI"/>
        </w:rPr>
      </w:pPr>
    </w:p>
    <w:p w:rsidR="00737B15" w:rsidRDefault="00737B15" w:rsidP="00F04D47">
      <w:pPr>
        <w:rPr>
          <w:lang w:val="sv-FI"/>
        </w:rPr>
      </w:pPr>
    </w:p>
    <w:p w:rsidR="001E69B9" w:rsidRPr="000143EE" w:rsidRDefault="001E69B9" w:rsidP="00F04D47">
      <w:pPr>
        <w:rPr>
          <w:lang w:val="sv-FI"/>
        </w:rPr>
      </w:pPr>
    </w:p>
    <w:p w:rsidR="00F04D47" w:rsidRPr="000143EE" w:rsidRDefault="00737B15" w:rsidP="00F04D47">
      <w:r>
        <w:t>41 §</w:t>
      </w:r>
    </w:p>
    <w:p w:rsidR="00737B15" w:rsidRPr="000143EE" w:rsidRDefault="00737B15" w:rsidP="00F04D47">
      <w:pPr>
        <w:rPr>
          <w:lang w:val="sv-FI"/>
        </w:rPr>
      </w:pPr>
    </w:p>
    <w:p w:rsidR="00F04D47" w:rsidRDefault="00737B15" w:rsidP="00F04D47">
      <w:r>
        <w:t>Samerbjudanden och förbud mot bindningsförfarande av försäkringar som underordnade produkter vid andra köp än konsumentköp</w:t>
      </w:r>
    </w:p>
    <w:p w:rsidR="00737B15" w:rsidRDefault="00737B15" w:rsidP="00F04D47">
      <w:pPr>
        <w:rPr>
          <w:lang w:val="sv-FI"/>
        </w:rPr>
      </w:pPr>
    </w:p>
    <w:p w:rsidR="00737B15" w:rsidRPr="00737B15" w:rsidRDefault="00737B15" w:rsidP="00F04D47">
      <w:r>
        <w:t>---</w:t>
      </w:r>
    </w:p>
    <w:p w:rsidR="00F04D47" w:rsidRDefault="00F04D47" w:rsidP="00F04D47">
      <w:r>
        <w:t>Om en försäkring är underordnad en vara eller tjänst som inte är en försäkring och erbjuds till andra kunder än vad som avses i 40 §, ska kunden ges möjlighet att köpa varan eller tjänsten separat. Bestämmelserna i detta moment tillämpas dock inte på försäkringar som erbjuds tillsammans med investeringstjänster som avses i 1 kap. 15 § i lagen om investeringstjänster, konsumentkrediter som avses i 7 kap. 1 § i konsumentskyddslagen eller betalkonton som avses i 8 § 5 punkten i betaltjänstlagen.</w:t>
      </w:r>
    </w:p>
    <w:p w:rsidR="00F04D47" w:rsidRDefault="00737B15" w:rsidP="00F04D47">
      <w:r>
        <w:t>---</w:t>
      </w:r>
    </w:p>
    <w:p w:rsidR="00F04D47" w:rsidRDefault="00F04D47"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r>
        <w:t>58 §</w:t>
      </w:r>
    </w:p>
    <w:p w:rsidR="00737B15" w:rsidRDefault="00737B15" w:rsidP="00F04D47">
      <w:pPr>
        <w:rPr>
          <w:lang w:val="sv-FI"/>
        </w:rPr>
      </w:pPr>
    </w:p>
    <w:p w:rsidR="00737B15" w:rsidRDefault="00737B15" w:rsidP="00F04D47">
      <w:r>
        <w:t>Ansvarsförsäkring</w:t>
      </w:r>
    </w:p>
    <w:p w:rsidR="00737B15" w:rsidRDefault="00737B15" w:rsidP="00F04D47">
      <w:pPr>
        <w:rPr>
          <w:lang w:val="sv-FI"/>
        </w:rPr>
      </w:pPr>
    </w:p>
    <w:p w:rsidR="00737B15" w:rsidRPr="00737B15" w:rsidRDefault="00737B15" w:rsidP="00737B15">
      <w:r>
        <w:t>För ersättande av skador till följd av fel som en försäkringsmäklare begått i sin yrkesverksamhet och som försäkringsmäklaren är ansvarig för enligt denna lag ska försäkringsmäklaren ha en ansvarsförsäkring som är godkänd av Finansinspektionen. Beloppet av ansvarsförsäkringen ska uppgå till minst 1 300 380 euro per skada och till sammanlagt 1 924 560 euro per år för alla skador. Beloppet av en ansvarsförsäkring som tecknas av en sidoverksam försäkringsmäklare ska stå i rimlig proportion till arten och omfattningen av den affärsverksamhet som gäller försäkringsdistribution.</w:t>
      </w:r>
    </w:p>
    <w:p w:rsidR="00737B15" w:rsidRDefault="00737B15" w:rsidP="00F04D47">
      <w:r>
        <w:t>---</w:t>
      </w:r>
    </w:p>
    <w:p w:rsidR="00F04D47" w:rsidRDefault="00F04D47" w:rsidP="00F04D47">
      <w:pPr>
        <w:rPr>
          <w:lang w:val="sv-FI"/>
        </w:rPr>
      </w:pPr>
    </w:p>
    <w:p w:rsidR="00F04D47" w:rsidRDefault="00F04D47" w:rsidP="00F04D47">
      <w:pPr>
        <w:rPr>
          <w:lang w:val="sv-FI"/>
        </w:rPr>
      </w:pPr>
    </w:p>
    <w:p w:rsidR="00F04D47" w:rsidRDefault="00F04D47" w:rsidP="00F04D47">
      <w:pPr>
        <w:rPr>
          <w:lang w:val="sv-FI"/>
        </w:rPr>
      </w:pPr>
    </w:p>
    <w:p w:rsidR="00737B15" w:rsidRDefault="00737B15" w:rsidP="00F04D47">
      <w:pPr>
        <w:rPr>
          <w:lang w:val="sv-FI"/>
        </w:rPr>
      </w:pPr>
    </w:p>
    <w:p w:rsidR="000143EE" w:rsidRDefault="000143EE" w:rsidP="00F04D47">
      <w:pPr>
        <w:rPr>
          <w:lang w:val="sv-FI"/>
        </w:rPr>
      </w:pPr>
    </w:p>
    <w:p w:rsidR="000143EE" w:rsidRDefault="000143EE" w:rsidP="00F04D47">
      <w:pPr>
        <w:rPr>
          <w:lang w:val="sv-FI"/>
        </w:rPr>
      </w:pPr>
    </w:p>
    <w:p w:rsidR="00737B15" w:rsidRDefault="000143EE" w:rsidP="00F04D47">
      <w:r>
        <w:t>___</w:t>
      </w:r>
    </w:p>
    <w:p w:rsidR="00C369F4" w:rsidRPr="00C369F4" w:rsidRDefault="00C369F4" w:rsidP="00F04D47">
      <w:r>
        <w:t>Denna lag träder i kraft den 20 .</w:t>
      </w: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737B15" w:rsidRDefault="00737B15" w:rsidP="00F04D47">
      <w:pPr>
        <w:rPr>
          <w:lang w:val="sv-FI"/>
        </w:rPr>
      </w:pPr>
    </w:p>
    <w:p w:rsidR="00F04D47" w:rsidRPr="00F04D47" w:rsidRDefault="00F04D47" w:rsidP="00F04D47">
      <w:pPr>
        <w:rPr>
          <w:b/>
        </w:rPr>
      </w:pPr>
      <w:r>
        <w:rPr>
          <w:b/>
        </w:rPr>
        <w:t>3. Lag om ändring av lagen om försäkringsavtal</w:t>
      </w:r>
    </w:p>
    <w:p w:rsidR="00F04D47" w:rsidRDefault="00F04D47" w:rsidP="00F04D47">
      <w:pPr>
        <w:rPr>
          <w:lang w:val="sv-FI"/>
        </w:rPr>
      </w:pPr>
    </w:p>
    <w:p w:rsidR="00F04D47" w:rsidRPr="00F04D47" w:rsidRDefault="00F04D47" w:rsidP="00F04D47">
      <w:r>
        <w:t>I enlighet med riksdagens beslut</w:t>
      </w:r>
    </w:p>
    <w:p w:rsidR="00F04D47" w:rsidRDefault="00F04D47" w:rsidP="00F04D47">
      <w:r>
        <w:rPr>
          <w:i/>
        </w:rPr>
        <w:t>ändras</w:t>
      </w:r>
      <w:r>
        <w:t xml:space="preserve"> i lagen om försäkringsavtal (543/1994) 5 d § 2 mom. sådant det lyder i lag 238/2018, som följer:</w:t>
      </w:r>
    </w:p>
    <w:p w:rsidR="00F04D47" w:rsidRDefault="00F04D47" w:rsidP="00F04D47">
      <w:pPr>
        <w:rPr>
          <w:lang w:val="sv-FI"/>
        </w:rPr>
      </w:pPr>
    </w:p>
    <w:p w:rsidR="00737B15" w:rsidRDefault="00737B15" w:rsidP="00737B15">
      <w:r>
        <w:t>5 d §</w:t>
      </w:r>
    </w:p>
    <w:p w:rsidR="00737B15" w:rsidRPr="00737B15" w:rsidRDefault="00737B15" w:rsidP="00737B15">
      <w:pPr>
        <w:rPr>
          <w:lang w:val="sv-FI"/>
        </w:rPr>
      </w:pPr>
    </w:p>
    <w:p w:rsidR="00737B15" w:rsidRDefault="00737B15" w:rsidP="00737B15">
      <w:r>
        <w:t>Undantag från vissa försäkringsgivarens skyldigheter</w:t>
      </w:r>
    </w:p>
    <w:p w:rsidR="00737B15" w:rsidRDefault="00737B15" w:rsidP="00F04D47">
      <w:pPr>
        <w:rPr>
          <w:lang w:val="sv-FI"/>
        </w:rPr>
      </w:pPr>
    </w:p>
    <w:p w:rsidR="00F04D47" w:rsidRDefault="00737B15" w:rsidP="00F04D47">
      <w:r>
        <w:t>---</w:t>
      </w:r>
    </w:p>
    <w:p w:rsidR="00F04D47" w:rsidRDefault="00F04D47" w:rsidP="00F04D47">
      <w:r>
        <w:t>Om försäkringssökanden är en professionell kund som avses i 1 kap. 23 § i lagen om investeringstjänster (747/2012), behöver de upplysningar som avses ovan i 4 b § 2 mom. inte begäras av denne och den information som avses i 5 § 2 mom. inte lämnas till denne och behöver ändamålsenlighet och lämplighet enligt 5 c § inte bedömas.</w:t>
      </w:r>
    </w:p>
    <w:p w:rsidR="00C369F4" w:rsidRDefault="00C369F4" w:rsidP="00F04D47">
      <w:pPr>
        <w:rPr>
          <w:lang w:val="sv-FI"/>
        </w:rPr>
      </w:pPr>
    </w:p>
    <w:p w:rsidR="00C369F4" w:rsidRDefault="00C369F4" w:rsidP="00F04D47">
      <w:pPr>
        <w:rPr>
          <w:lang w:val="sv-FI"/>
        </w:rPr>
      </w:pPr>
    </w:p>
    <w:p w:rsidR="00C369F4" w:rsidRDefault="00C369F4" w:rsidP="00F04D47">
      <w:pPr>
        <w:rPr>
          <w:lang w:val="sv-FI"/>
        </w:rPr>
      </w:pPr>
    </w:p>
    <w:p w:rsidR="00C369F4" w:rsidRDefault="00C369F4" w:rsidP="00F04D47">
      <w:pPr>
        <w:rPr>
          <w:lang w:val="sv-FI"/>
        </w:rPr>
      </w:pPr>
    </w:p>
    <w:p w:rsidR="00C369F4" w:rsidRDefault="00C369F4" w:rsidP="00C369F4">
      <w:r>
        <w:t>___</w:t>
      </w:r>
    </w:p>
    <w:p w:rsidR="00C369F4" w:rsidRPr="00C369F4" w:rsidRDefault="00C369F4" w:rsidP="00C369F4">
      <w:r>
        <w:t>Denna lag träder i kraft den 20 .</w:t>
      </w:r>
    </w:p>
    <w:p w:rsidR="00C369F4" w:rsidRPr="00F04D47" w:rsidRDefault="00C369F4" w:rsidP="00F04D47">
      <w:pPr>
        <w:rPr>
          <w:lang w:val="sv-FI"/>
        </w:rPr>
      </w:pPr>
    </w:p>
    <w:sectPr w:rsidR="00C369F4" w:rsidRPr="00F04D47"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BC" w:rsidRDefault="002578BC" w:rsidP="008E0F4A">
      <w:r>
        <w:separator/>
      </w:r>
    </w:p>
  </w:endnote>
  <w:endnote w:type="continuationSeparator" w:id="0">
    <w:p w:rsidR="002578BC" w:rsidRDefault="002578B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BC" w:rsidRDefault="002578BC" w:rsidP="008E0F4A">
      <w:r>
        <w:separator/>
      </w:r>
    </w:p>
  </w:footnote>
  <w:footnote w:type="continuationSeparator" w:id="0">
    <w:p w:rsidR="002578BC" w:rsidRDefault="002578BC"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C369F4" w:rsidP="00562E6B">
        <w:pPr>
          <w:ind w:right="-143" w:firstLine="8789"/>
          <w:jc w:val="center"/>
        </w:pPr>
        <w:r>
          <w:fldChar w:fldCharType="begin"/>
        </w:r>
        <w:r>
          <w:instrText xml:space="preserve"> PAGE   \* MERGEFORMAT </w:instrText>
        </w:r>
        <w:r>
          <w:fldChar w:fldCharType="separate"/>
        </w:r>
        <w:r w:rsidR="003D5916">
          <w:rPr>
            <w:noProof/>
          </w:rPr>
          <w:t>14</w:t>
        </w:r>
        <w:r>
          <w:fldChar w:fldCharType="end"/>
        </w:r>
        <w:r>
          <w:t>(</w:t>
        </w:r>
        <w:fldSimple w:instr=" NUMPAGES   \* MERGEFORMAT ">
          <w:r w:rsidR="003D5916">
            <w:rPr>
              <w:noProof/>
            </w:rPr>
            <w:t>14</w:t>
          </w:r>
        </w:fldSimple>
        <w:r>
          <w:t>)</w:t>
        </w:r>
      </w:p>
      <w:p w:rsidR="008E0F4A" w:rsidRDefault="008E0F4A" w:rsidP="00562E6B">
        <w:pPr>
          <w:tabs>
            <w:tab w:val="left" w:pos="5245"/>
          </w:tabs>
        </w:pPr>
        <w:r>
          <w:tab/>
        </w:r>
      </w:p>
      <w:p w:rsidR="00FA6ACE" w:rsidRDefault="00FA6ACE" w:rsidP="00562E6B"/>
      <w:p w:rsidR="008E0F4A" w:rsidRDefault="003D5916"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C369F4" w:rsidP="00562E6B">
        <w:pPr>
          <w:ind w:right="-143" w:firstLine="8789"/>
          <w:jc w:val="right"/>
        </w:pPr>
        <w:r>
          <w:fldChar w:fldCharType="begin"/>
        </w:r>
        <w:r>
          <w:instrText xml:space="preserve"> PAGE   \* MERGEFORMAT </w:instrText>
        </w:r>
        <w:r>
          <w:fldChar w:fldCharType="separate"/>
        </w:r>
        <w:r w:rsidR="003D5916">
          <w:rPr>
            <w:noProof/>
          </w:rPr>
          <w:t>1</w:t>
        </w:r>
        <w:r>
          <w:fldChar w:fldCharType="end"/>
        </w:r>
        <w:r>
          <w:t>(</w:t>
        </w:r>
        <w:fldSimple w:instr=" NUMPAGES   \* MERGEFORMAT ">
          <w:r w:rsidR="003D5916">
            <w:rPr>
              <w:noProof/>
            </w:rPr>
            <w:t>14</w:t>
          </w:r>
        </w:fldSimple>
        <w:r>
          <w:t>)</w:t>
        </w:r>
      </w:p>
      <w:p w:rsidR="00FA6ACE" w:rsidRDefault="003D5916"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BC"/>
    <w:rsid w:val="000143EE"/>
    <w:rsid w:val="00016E55"/>
    <w:rsid w:val="00020721"/>
    <w:rsid w:val="0003182E"/>
    <w:rsid w:val="00053D44"/>
    <w:rsid w:val="00063ECB"/>
    <w:rsid w:val="00075991"/>
    <w:rsid w:val="000770C3"/>
    <w:rsid w:val="000B3024"/>
    <w:rsid w:val="000C272A"/>
    <w:rsid w:val="000D3235"/>
    <w:rsid w:val="00110F36"/>
    <w:rsid w:val="001431B7"/>
    <w:rsid w:val="00144D34"/>
    <w:rsid w:val="00147111"/>
    <w:rsid w:val="00155E1B"/>
    <w:rsid w:val="00155F3B"/>
    <w:rsid w:val="001776E9"/>
    <w:rsid w:val="00196B19"/>
    <w:rsid w:val="001A3EB9"/>
    <w:rsid w:val="001B078B"/>
    <w:rsid w:val="001C0F07"/>
    <w:rsid w:val="001D5464"/>
    <w:rsid w:val="001E5F86"/>
    <w:rsid w:val="001E69B9"/>
    <w:rsid w:val="001F70AF"/>
    <w:rsid w:val="00210152"/>
    <w:rsid w:val="002373F4"/>
    <w:rsid w:val="002578BC"/>
    <w:rsid w:val="00283698"/>
    <w:rsid w:val="00292DED"/>
    <w:rsid w:val="002979F5"/>
    <w:rsid w:val="002A13C4"/>
    <w:rsid w:val="002A40D1"/>
    <w:rsid w:val="002D0EB5"/>
    <w:rsid w:val="002D31CC"/>
    <w:rsid w:val="002D72CF"/>
    <w:rsid w:val="002F5734"/>
    <w:rsid w:val="00307C47"/>
    <w:rsid w:val="003222FC"/>
    <w:rsid w:val="003268C9"/>
    <w:rsid w:val="00327EDC"/>
    <w:rsid w:val="00346B03"/>
    <w:rsid w:val="00346D23"/>
    <w:rsid w:val="00367C90"/>
    <w:rsid w:val="00393411"/>
    <w:rsid w:val="003A2869"/>
    <w:rsid w:val="003D5916"/>
    <w:rsid w:val="0040161D"/>
    <w:rsid w:val="0041236F"/>
    <w:rsid w:val="00446E3A"/>
    <w:rsid w:val="0047233E"/>
    <w:rsid w:val="00486BE8"/>
    <w:rsid w:val="004A196F"/>
    <w:rsid w:val="004B4AE2"/>
    <w:rsid w:val="004C5212"/>
    <w:rsid w:val="004C6B33"/>
    <w:rsid w:val="004F5BE6"/>
    <w:rsid w:val="005146D4"/>
    <w:rsid w:val="0051596E"/>
    <w:rsid w:val="005512A4"/>
    <w:rsid w:val="00562E6B"/>
    <w:rsid w:val="005834E9"/>
    <w:rsid w:val="0059671F"/>
    <w:rsid w:val="006131C2"/>
    <w:rsid w:val="00642229"/>
    <w:rsid w:val="006A4A91"/>
    <w:rsid w:val="006C194B"/>
    <w:rsid w:val="006C544D"/>
    <w:rsid w:val="006D40F8"/>
    <w:rsid w:val="006D6C2D"/>
    <w:rsid w:val="00722420"/>
    <w:rsid w:val="0073561B"/>
    <w:rsid w:val="00737B15"/>
    <w:rsid w:val="0076257D"/>
    <w:rsid w:val="00765CEB"/>
    <w:rsid w:val="007729CF"/>
    <w:rsid w:val="00783B52"/>
    <w:rsid w:val="00785D97"/>
    <w:rsid w:val="007A74D4"/>
    <w:rsid w:val="007B4560"/>
    <w:rsid w:val="007B4E42"/>
    <w:rsid w:val="007C2B22"/>
    <w:rsid w:val="00811D8D"/>
    <w:rsid w:val="008200A9"/>
    <w:rsid w:val="00831C4A"/>
    <w:rsid w:val="008559F2"/>
    <w:rsid w:val="00885EDF"/>
    <w:rsid w:val="008A0773"/>
    <w:rsid w:val="008A4280"/>
    <w:rsid w:val="008E0F4A"/>
    <w:rsid w:val="008F137D"/>
    <w:rsid w:val="00906E49"/>
    <w:rsid w:val="009523A2"/>
    <w:rsid w:val="009759DC"/>
    <w:rsid w:val="009B230C"/>
    <w:rsid w:val="009B6311"/>
    <w:rsid w:val="009D222E"/>
    <w:rsid w:val="009E389A"/>
    <w:rsid w:val="00A04B30"/>
    <w:rsid w:val="00A135F7"/>
    <w:rsid w:val="00A24604"/>
    <w:rsid w:val="00A612FC"/>
    <w:rsid w:val="00A62FA1"/>
    <w:rsid w:val="00A64BD2"/>
    <w:rsid w:val="00A75231"/>
    <w:rsid w:val="00A90735"/>
    <w:rsid w:val="00AA5350"/>
    <w:rsid w:val="00AF2EBD"/>
    <w:rsid w:val="00AF3346"/>
    <w:rsid w:val="00B16DBD"/>
    <w:rsid w:val="00B42986"/>
    <w:rsid w:val="00B460CD"/>
    <w:rsid w:val="00B54E5D"/>
    <w:rsid w:val="00B57877"/>
    <w:rsid w:val="00BE4CA3"/>
    <w:rsid w:val="00BE6901"/>
    <w:rsid w:val="00BF06A8"/>
    <w:rsid w:val="00C05944"/>
    <w:rsid w:val="00C117D5"/>
    <w:rsid w:val="00C21181"/>
    <w:rsid w:val="00C369F4"/>
    <w:rsid w:val="00C65D96"/>
    <w:rsid w:val="00CB4C78"/>
    <w:rsid w:val="00CD4A95"/>
    <w:rsid w:val="00D05785"/>
    <w:rsid w:val="00D25AD2"/>
    <w:rsid w:val="00D26D25"/>
    <w:rsid w:val="00D35E49"/>
    <w:rsid w:val="00D44B33"/>
    <w:rsid w:val="00D60C53"/>
    <w:rsid w:val="00D76D7A"/>
    <w:rsid w:val="00D87C57"/>
    <w:rsid w:val="00DE107F"/>
    <w:rsid w:val="00DE217C"/>
    <w:rsid w:val="00DE309D"/>
    <w:rsid w:val="00E07440"/>
    <w:rsid w:val="00E2160A"/>
    <w:rsid w:val="00E330A7"/>
    <w:rsid w:val="00E44094"/>
    <w:rsid w:val="00E7401D"/>
    <w:rsid w:val="00EC6A87"/>
    <w:rsid w:val="00F04D47"/>
    <w:rsid w:val="00F56E21"/>
    <w:rsid w:val="00F63379"/>
    <w:rsid w:val="00F7177D"/>
    <w:rsid w:val="00F734F9"/>
    <w:rsid w:val="00F73B15"/>
    <w:rsid w:val="00F77892"/>
    <w:rsid w:val="00FA356E"/>
    <w:rsid w:val="00FA6ACE"/>
    <w:rsid w:val="00FB6ABF"/>
    <w:rsid w:val="00FC4A57"/>
    <w:rsid w:val="00FE7E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5C4C7"/>
  <w15:chartTrackingRefBased/>
  <w15:docId w15:val="{DAAB2E2E-1EC4-4571-9115-A1DB2158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Kommentinviite">
    <w:name w:val="annotation reference"/>
    <w:uiPriority w:val="99"/>
    <w:semiHidden/>
    <w:unhideWhenUsed/>
    <w:rPr>
      <w:sz w:val="16"/>
      <w:szCs w:val="16"/>
    </w:rPr>
  </w:style>
  <w:style w:type="paragraph" w:styleId="Kommentinteksti">
    <w:name w:val="annotation text"/>
    <w:link w:val="KommentintekstiChar"/>
    <w:uiPriority w:val="99"/>
    <w:semiHidden/>
    <w:unhideWhenUsed/>
  </w:style>
  <w:style w:type="character" w:customStyle="1" w:styleId="KommentintekstiChar">
    <w:name w:val="Kommentin teksti Char"/>
    <w:basedOn w:val="Kappaleenoletusfontti"/>
    <w:link w:val="Kommentinteksti"/>
    <w:uiPriority w:val="99"/>
    <w:semiHidden/>
    <w:rsid w:val="000143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14</Pages>
  <Words>3238</Words>
  <Characters>26231</Characters>
  <Application>Microsoft Office Word</Application>
  <DocSecurity>0</DocSecurity>
  <Lines>218</Lines>
  <Paragraphs>58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Jokinen Juha (STM)</dc:creator>
  <cp:keywords/>
  <dc:description/>
  <cp:lastModifiedBy>Jokinen Juha (STM)</cp:lastModifiedBy>
  <cp:revision>17</cp:revision>
  <cp:lastPrinted>2019-08-21T12:03:00Z</cp:lastPrinted>
  <dcterms:created xsi:type="dcterms:W3CDTF">2019-08-20T09:17:00Z</dcterms:created>
  <dcterms:modified xsi:type="dcterms:W3CDTF">2019-08-21T13:11:00Z</dcterms:modified>
</cp:coreProperties>
</file>