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4E" w:rsidRPr="00E03AB9" w:rsidRDefault="007669D6" w:rsidP="00B72BB2">
      <w:pPr>
        <w:pStyle w:val="LLEsityksennimi"/>
        <w:spacing w:line="240" w:lineRule="auto"/>
        <w:jc w:val="left"/>
      </w:pPr>
      <w:r w:rsidRPr="00E03AB9">
        <w:tab/>
      </w:r>
      <w:r w:rsidRPr="00E03AB9">
        <w:tab/>
      </w:r>
      <w:r w:rsidRPr="00E03AB9">
        <w:tab/>
      </w:r>
      <w:r w:rsidRPr="00E03AB9">
        <w:tab/>
        <w:t>Utkast 12.9.2019</w:t>
      </w:r>
    </w:p>
    <w:p w:rsidR="00F743F0" w:rsidRPr="00E03AB9" w:rsidRDefault="00F743F0" w:rsidP="00B72BB2">
      <w:pPr>
        <w:pStyle w:val="LLEsityksennimi"/>
        <w:spacing w:line="240" w:lineRule="auto"/>
        <w:jc w:val="left"/>
        <w:rPr>
          <w:sz w:val="24"/>
        </w:rPr>
      </w:pPr>
      <w:r w:rsidRPr="00E03AB9">
        <w:rPr>
          <w:sz w:val="24"/>
        </w:rPr>
        <w:t>Regeringens proposition till riksdagen med förslag till lagar om ändring av skattetabellen i bilagan till lagen om punktskatt på flytande bränslen och av 5 § i punktskattelagen</w:t>
      </w:r>
    </w:p>
    <w:p w:rsidR="00F743F0" w:rsidRPr="00E03AB9" w:rsidRDefault="00F743F0" w:rsidP="00B72BB2">
      <w:pPr>
        <w:pStyle w:val="LLPasiallinensislt"/>
        <w:spacing w:line="240" w:lineRule="auto"/>
        <w:rPr>
          <w:sz w:val="24"/>
        </w:rPr>
      </w:pPr>
      <w:bookmarkStart w:id="0" w:name="_Toc19199016"/>
      <w:r w:rsidRPr="00E03AB9">
        <w:rPr>
          <w:bCs/>
          <w:sz w:val="24"/>
        </w:rPr>
        <w:t>PROPOSITIONENS HUVUDSAKLIGA INNEHÅLL</w:t>
      </w:r>
      <w:bookmarkEnd w:id="0"/>
    </w:p>
    <w:p w:rsidR="00641BA2" w:rsidRPr="00E03AB9" w:rsidRDefault="00A63FFB" w:rsidP="00B72BB2">
      <w:pPr>
        <w:pStyle w:val="LLPerustelujenkappalejako"/>
        <w:spacing w:line="240" w:lineRule="auto"/>
        <w:jc w:val="left"/>
        <w:rPr>
          <w:sz w:val="24"/>
          <w:shd w:val="clear" w:color="auto" w:fill="FFFFFF"/>
        </w:rPr>
      </w:pPr>
      <w:r w:rsidRPr="00E03AB9">
        <w:rPr>
          <w:sz w:val="24"/>
          <w:shd w:val="clear" w:color="auto" w:fill="FFFFFF"/>
        </w:rPr>
        <w:t xml:space="preserve">I denna proposition föreslås det att lagen om punktskatt på flytande bränslen och punktskattelagen ändras. </w:t>
      </w:r>
    </w:p>
    <w:p w:rsidR="00641BA2" w:rsidRPr="00E03AB9" w:rsidRDefault="00641BA2" w:rsidP="00B72BB2">
      <w:pPr>
        <w:shd w:val="clear" w:color="auto" w:fill="FFFFFF"/>
        <w:rPr>
          <w:szCs w:val="24"/>
        </w:rPr>
      </w:pPr>
      <w:r w:rsidRPr="00E03AB9">
        <w:rPr>
          <w:szCs w:val="24"/>
        </w:rPr>
        <w:t xml:space="preserve">Det föreslås att skattetabellen i bilagan till lagen om punktskatt på flytande bränslen ändras så att punktskatten på drivmedel såsom motorbensin, dieselolja och ersättande biobaserade bränslen höjs. Energiinnehållsskatten på drivmedel höjs med 0,00167 euro per megajoule och grunden för beräkning av koldioxidskatt uppdateras så att den motsvarar de nya värden för livscykelutsläpp som togs i bruk vid ingången av 2019 i samband med ändringen av beskattningen av arbetsmaskin- och uppvärmningsbränslen. Skatten på motorbensin höjs med 5,27 cent per liter och skatten på dieselolja med 5,89 cent per liter. Ändringen ökar de årliga skatteintäkterna från drivmedel med 250 miljoner euro. </w:t>
      </w:r>
    </w:p>
    <w:p w:rsidR="00641BA2" w:rsidRPr="00E03AB9" w:rsidRDefault="00641BA2" w:rsidP="00B72BB2">
      <w:pPr>
        <w:shd w:val="clear" w:color="auto" w:fill="FFFFFF"/>
        <w:rPr>
          <w:szCs w:val="24"/>
          <w:lang w:eastAsia="fi-FI"/>
        </w:rPr>
      </w:pPr>
    </w:p>
    <w:p w:rsidR="006E3F19" w:rsidRPr="00E03AB9" w:rsidRDefault="00FB2F6C" w:rsidP="00B72BB2">
      <w:pPr>
        <w:shd w:val="clear" w:color="auto" w:fill="FFFFFF"/>
        <w:rPr>
          <w:szCs w:val="24"/>
        </w:rPr>
      </w:pPr>
      <w:r w:rsidRPr="00E03AB9">
        <w:rPr>
          <w:szCs w:val="24"/>
        </w:rPr>
        <w:t xml:space="preserve">I punktskattelagen föreslås en ändring av teknisk natur. Med den genomförs ändringen i EU-lagstiftningen, där </w:t>
      </w:r>
      <w:proofErr w:type="spellStart"/>
      <w:r w:rsidRPr="00E03AB9">
        <w:rPr>
          <w:szCs w:val="24"/>
        </w:rPr>
        <w:t>Campione</w:t>
      </w:r>
      <w:proofErr w:type="spellEnd"/>
      <w:r w:rsidRPr="00E03AB9">
        <w:rPr>
          <w:szCs w:val="24"/>
        </w:rPr>
        <w:t xml:space="preserve"> d’Italia och de italienska delarna av Luganosjön inkluderades i unionens tull- och punktskatteområde. </w:t>
      </w:r>
    </w:p>
    <w:p w:rsidR="006E3F19" w:rsidRPr="00E03AB9" w:rsidRDefault="006E3F19" w:rsidP="00B72BB2">
      <w:pPr>
        <w:shd w:val="clear" w:color="auto" w:fill="FFFFFF"/>
        <w:rPr>
          <w:szCs w:val="24"/>
          <w:lang w:eastAsia="fi-FI"/>
        </w:rPr>
      </w:pPr>
    </w:p>
    <w:p w:rsidR="00F743F0" w:rsidRPr="00E03AB9" w:rsidRDefault="00F743F0" w:rsidP="00B72BB2">
      <w:pPr>
        <w:pStyle w:val="LLPerustelujenkappalejako"/>
        <w:spacing w:line="240" w:lineRule="auto"/>
        <w:jc w:val="left"/>
        <w:rPr>
          <w:sz w:val="24"/>
        </w:rPr>
      </w:pPr>
      <w:r w:rsidRPr="00E03AB9">
        <w:rPr>
          <w:sz w:val="24"/>
        </w:rPr>
        <w:t>Propositionen hänför sig till budgetpropositionen för 2020 och avses bli behandlad i samband med den.</w:t>
      </w:r>
    </w:p>
    <w:p w:rsidR="00CE3000" w:rsidRDefault="008A61CC" w:rsidP="00153658">
      <w:pPr>
        <w:pStyle w:val="LLPerustelujenkappalejako"/>
        <w:spacing w:line="240" w:lineRule="auto"/>
        <w:jc w:val="left"/>
        <w:rPr>
          <w:sz w:val="24"/>
        </w:rPr>
      </w:pPr>
      <w:r w:rsidRPr="00E03AB9">
        <w:rPr>
          <w:sz w:val="24"/>
        </w:rPr>
        <w:t>Ändringen av lagen om punktskatt på flytande bränslen avses träda i kraft den 1 augusti 2020 och ändringen av punktskattelagen den 1 januari 2020.</w:t>
      </w:r>
    </w:p>
    <w:p w:rsidR="00CE3000" w:rsidRDefault="00CE3000" w:rsidP="00CE3000">
      <w:pPr>
        <w:pStyle w:val="LLNormaali"/>
      </w:pPr>
      <w:r>
        <w:br w:type="page"/>
      </w:r>
    </w:p>
    <w:p w:rsidR="00CE3000" w:rsidRDefault="00CE3000" w:rsidP="00CE3000">
      <w:pPr>
        <w:pStyle w:val="LLSisllys"/>
      </w:pPr>
      <w:bookmarkStart w:id="1" w:name="_Toc19199017"/>
      <w:r>
        <w:t>Innehåll</w:t>
      </w:r>
      <w:bookmarkEnd w:id="1"/>
    </w:p>
    <w:p w:rsidR="00B56442" w:rsidRDefault="00CE3000">
      <w:pPr>
        <w:pStyle w:val="Sisluet1"/>
        <w:rPr>
          <w:rFonts w:asciiTheme="minorHAnsi" w:eastAsiaTheme="minorEastAsia" w:hAnsiTheme="minorHAnsi" w:cstheme="minorBidi"/>
          <w:bCs w:val="0"/>
          <w:caps w:val="0"/>
          <w:noProof/>
          <w:szCs w:val="22"/>
          <w:lang w:val="fi-FI" w:eastAsia="fi-FI"/>
        </w:rPr>
      </w:pPr>
      <w:r>
        <w:fldChar w:fldCharType="begin"/>
      </w:r>
      <w:r>
        <w:instrText xml:space="preserve"> TOC \o "1-3" \h \z \u </w:instrText>
      </w:r>
      <w:r>
        <w:fldChar w:fldCharType="separate"/>
      </w:r>
      <w:hyperlink w:anchor="_Toc19199016" w:history="1">
        <w:r w:rsidR="00B56442" w:rsidRPr="006E56D1">
          <w:rPr>
            <w:rStyle w:val="Hyperlinkki"/>
            <w:noProof/>
          </w:rPr>
          <w:t>PROPOSITIONENS HUVUDSAKLIGA INNEHÅLL</w:t>
        </w:r>
        <w:r w:rsidR="00B56442">
          <w:rPr>
            <w:noProof/>
            <w:webHidden/>
          </w:rPr>
          <w:tab/>
        </w:r>
        <w:r w:rsidR="00B56442">
          <w:rPr>
            <w:noProof/>
            <w:webHidden/>
          </w:rPr>
          <w:fldChar w:fldCharType="begin"/>
        </w:r>
        <w:r w:rsidR="00B56442">
          <w:rPr>
            <w:noProof/>
            <w:webHidden/>
          </w:rPr>
          <w:instrText xml:space="preserve"> PAGEREF _Toc19199016 \h </w:instrText>
        </w:r>
        <w:r w:rsidR="00B56442">
          <w:rPr>
            <w:noProof/>
            <w:webHidden/>
          </w:rPr>
        </w:r>
        <w:r w:rsidR="00B56442">
          <w:rPr>
            <w:noProof/>
            <w:webHidden/>
          </w:rPr>
          <w:fldChar w:fldCharType="separate"/>
        </w:r>
        <w:r w:rsidR="001A73C6">
          <w:rPr>
            <w:noProof/>
            <w:webHidden/>
          </w:rPr>
          <w:t>1</w:t>
        </w:r>
        <w:r w:rsidR="00B56442">
          <w:rPr>
            <w:noProof/>
            <w:webHidden/>
          </w:rPr>
          <w:fldChar w:fldCharType="end"/>
        </w:r>
      </w:hyperlink>
    </w:p>
    <w:p w:rsidR="00B56442" w:rsidRDefault="00B56442">
      <w:pPr>
        <w:pStyle w:val="Sisluet1"/>
        <w:rPr>
          <w:rFonts w:asciiTheme="minorHAnsi" w:eastAsiaTheme="minorEastAsia" w:hAnsiTheme="minorHAnsi" w:cstheme="minorBidi"/>
          <w:bCs w:val="0"/>
          <w:caps w:val="0"/>
          <w:noProof/>
          <w:szCs w:val="22"/>
          <w:lang w:val="fi-FI" w:eastAsia="fi-FI"/>
        </w:rPr>
      </w:pPr>
      <w:hyperlink w:anchor="_Toc19199017" w:history="1">
        <w:r w:rsidRPr="006E56D1">
          <w:rPr>
            <w:rStyle w:val="Hyperlinkki"/>
            <w:noProof/>
          </w:rPr>
          <w:t>Innehåll</w:t>
        </w:r>
        <w:r>
          <w:rPr>
            <w:noProof/>
            <w:webHidden/>
          </w:rPr>
          <w:tab/>
        </w:r>
        <w:r>
          <w:rPr>
            <w:noProof/>
            <w:webHidden/>
          </w:rPr>
          <w:fldChar w:fldCharType="begin"/>
        </w:r>
        <w:r>
          <w:rPr>
            <w:noProof/>
            <w:webHidden/>
          </w:rPr>
          <w:instrText xml:space="preserve"> PAGEREF _Toc19199017 \h </w:instrText>
        </w:r>
        <w:r>
          <w:rPr>
            <w:noProof/>
            <w:webHidden/>
          </w:rPr>
        </w:r>
        <w:r>
          <w:rPr>
            <w:noProof/>
            <w:webHidden/>
          </w:rPr>
          <w:fldChar w:fldCharType="separate"/>
        </w:r>
        <w:r w:rsidR="001A73C6">
          <w:rPr>
            <w:noProof/>
            <w:webHidden/>
          </w:rPr>
          <w:t>2</w:t>
        </w:r>
        <w:r>
          <w:rPr>
            <w:noProof/>
            <w:webHidden/>
          </w:rPr>
          <w:fldChar w:fldCharType="end"/>
        </w:r>
      </w:hyperlink>
    </w:p>
    <w:p w:rsidR="00B56442" w:rsidRDefault="00B56442">
      <w:pPr>
        <w:pStyle w:val="Sisluet1"/>
        <w:rPr>
          <w:rFonts w:asciiTheme="minorHAnsi" w:eastAsiaTheme="minorEastAsia" w:hAnsiTheme="minorHAnsi" w:cstheme="minorBidi"/>
          <w:bCs w:val="0"/>
          <w:caps w:val="0"/>
          <w:noProof/>
          <w:szCs w:val="22"/>
          <w:lang w:val="fi-FI" w:eastAsia="fi-FI"/>
        </w:rPr>
      </w:pPr>
      <w:hyperlink w:anchor="_Toc19199018" w:history="1">
        <w:r w:rsidRPr="006E56D1">
          <w:rPr>
            <w:rStyle w:val="Hyperlinkki"/>
            <w:noProof/>
          </w:rPr>
          <w:t>MOTIVERING</w:t>
        </w:r>
        <w:r>
          <w:rPr>
            <w:noProof/>
            <w:webHidden/>
          </w:rPr>
          <w:tab/>
        </w:r>
        <w:r>
          <w:rPr>
            <w:noProof/>
            <w:webHidden/>
          </w:rPr>
          <w:fldChar w:fldCharType="begin"/>
        </w:r>
        <w:r>
          <w:rPr>
            <w:noProof/>
            <w:webHidden/>
          </w:rPr>
          <w:instrText xml:space="preserve"> PAGEREF _Toc19199018 \h </w:instrText>
        </w:r>
        <w:r>
          <w:rPr>
            <w:noProof/>
            <w:webHidden/>
          </w:rPr>
        </w:r>
        <w:r>
          <w:rPr>
            <w:noProof/>
            <w:webHidden/>
          </w:rPr>
          <w:fldChar w:fldCharType="separate"/>
        </w:r>
        <w:r w:rsidR="001A73C6">
          <w:rPr>
            <w:noProof/>
            <w:webHidden/>
          </w:rPr>
          <w:t>3</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19" w:history="1">
        <w:r w:rsidRPr="006E56D1">
          <w:rPr>
            <w:rStyle w:val="Hyperlinkki"/>
            <w:noProof/>
          </w:rPr>
          <w:t>1</w:t>
        </w:r>
        <w:r>
          <w:rPr>
            <w:rFonts w:asciiTheme="minorHAnsi" w:eastAsiaTheme="minorEastAsia" w:hAnsiTheme="minorHAnsi" w:cstheme="minorBidi"/>
            <w:noProof/>
            <w:szCs w:val="22"/>
            <w:lang w:val="fi-FI" w:eastAsia="fi-FI"/>
          </w:rPr>
          <w:tab/>
        </w:r>
        <w:r w:rsidRPr="006E56D1">
          <w:rPr>
            <w:rStyle w:val="Hyperlinkki"/>
            <w:noProof/>
          </w:rPr>
          <w:t>Bakgrund och beredning</w:t>
        </w:r>
        <w:r>
          <w:rPr>
            <w:noProof/>
            <w:webHidden/>
          </w:rPr>
          <w:tab/>
        </w:r>
        <w:r>
          <w:rPr>
            <w:noProof/>
            <w:webHidden/>
          </w:rPr>
          <w:fldChar w:fldCharType="begin"/>
        </w:r>
        <w:r>
          <w:rPr>
            <w:noProof/>
            <w:webHidden/>
          </w:rPr>
          <w:instrText xml:space="preserve"> PAGEREF _Toc19199019 \h </w:instrText>
        </w:r>
        <w:r>
          <w:rPr>
            <w:noProof/>
            <w:webHidden/>
          </w:rPr>
        </w:r>
        <w:r>
          <w:rPr>
            <w:noProof/>
            <w:webHidden/>
          </w:rPr>
          <w:fldChar w:fldCharType="separate"/>
        </w:r>
        <w:r w:rsidR="001A73C6">
          <w:rPr>
            <w:noProof/>
            <w:webHidden/>
          </w:rPr>
          <w:t>3</w:t>
        </w:r>
        <w:r>
          <w:rPr>
            <w:noProof/>
            <w:webHidden/>
          </w:rPr>
          <w:fldChar w:fldCharType="end"/>
        </w:r>
      </w:hyperlink>
    </w:p>
    <w:p w:rsidR="00B56442" w:rsidRDefault="00B56442">
      <w:pPr>
        <w:pStyle w:val="Sisluet3"/>
        <w:tabs>
          <w:tab w:val="left" w:pos="1200"/>
        </w:tabs>
        <w:rPr>
          <w:rFonts w:asciiTheme="minorHAnsi" w:eastAsiaTheme="minorEastAsia" w:hAnsiTheme="minorHAnsi" w:cstheme="minorBidi"/>
          <w:noProof/>
          <w:szCs w:val="22"/>
          <w:lang w:val="fi-FI" w:eastAsia="fi-FI"/>
        </w:rPr>
      </w:pPr>
      <w:hyperlink w:anchor="_Toc19199020" w:history="1">
        <w:r w:rsidRPr="006E56D1">
          <w:rPr>
            <w:rStyle w:val="Hyperlinkki"/>
            <w:noProof/>
          </w:rPr>
          <w:t>1.1</w:t>
        </w:r>
        <w:r>
          <w:rPr>
            <w:rFonts w:asciiTheme="minorHAnsi" w:eastAsiaTheme="minorEastAsia" w:hAnsiTheme="minorHAnsi" w:cstheme="minorBidi"/>
            <w:noProof/>
            <w:szCs w:val="22"/>
            <w:lang w:val="fi-FI" w:eastAsia="fi-FI"/>
          </w:rPr>
          <w:tab/>
        </w:r>
        <w:r w:rsidRPr="006E56D1">
          <w:rPr>
            <w:rStyle w:val="Hyperlinkki"/>
            <w:noProof/>
          </w:rPr>
          <w:t>Bakgrund</w:t>
        </w:r>
        <w:r>
          <w:rPr>
            <w:noProof/>
            <w:webHidden/>
          </w:rPr>
          <w:tab/>
        </w:r>
        <w:r>
          <w:rPr>
            <w:noProof/>
            <w:webHidden/>
          </w:rPr>
          <w:fldChar w:fldCharType="begin"/>
        </w:r>
        <w:r>
          <w:rPr>
            <w:noProof/>
            <w:webHidden/>
          </w:rPr>
          <w:instrText xml:space="preserve"> PAGEREF _Toc19199020 \h </w:instrText>
        </w:r>
        <w:r>
          <w:rPr>
            <w:noProof/>
            <w:webHidden/>
          </w:rPr>
        </w:r>
        <w:r>
          <w:rPr>
            <w:noProof/>
            <w:webHidden/>
          </w:rPr>
          <w:fldChar w:fldCharType="separate"/>
        </w:r>
        <w:r w:rsidR="001A73C6">
          <w:rPr>
            <w:noProof/>
            <w:webHidden/>
          </w:rPr>
          <w:t>3</w:t>
        </w:r>
        <w:r>
          <w:rPr>
            <w:noProof/>
            <w:webHidden/>
          </w:rPr>
          <w:fldChar w:fldCharType="end"/>
        </w:r>
      </w:hyperlink>
    </w:p>
    <w:p w:rsidR="00B56442" w:rsidRDefault="00B56442">
      <w:pPr>
        <w:pStyle w:val="Sisluet3"/>
        <w:tabs>
          <w:tab w:val="left" w:pos="1200"/>
        </w:tabs>
        <w:rPr>
          <w:rFonts w:asciiTheme="minorHAnsi" w:eastAsiaTheme="minorEastAsia" w:hAnsiTheme="minorHAnsi" w:cstheme="minorBidi"/>
          <w:noProof/>
          <w:szCs w:val="22"/>
          <w:lang w:val="fi-FI" w:eastAsia="fi-FI"/>
        </w:rPr>
      </w:pPr>
      <w:hyperlink w:anchor="_Toc19199021" w:history="1">
        <w:r w:rsidRPr="006E56D1">
          <w:rPr>
            <w:rStyle w:val="Hyperlinkki"/>
            <w:noProof/>
          </w:rPr>
          <w:t>1.2</w:t>
        </w:r>
        <w:r>
          <w:rPr>
            <w:rFonts w:asciiTheme="minorHAnsi" w:eastAsiaTheme="minorEastAsia" w:hAnsiTheme="minorHAnsi" w:cstheme="minorBidi"/>
            <w:noProof/>
            <w:szCs w:val="22"/>
            <w:lang w:val="fi-FI" w:eastAsia="fi-FI"/>
          </w:rPr>
          <w:tab/>
        </w:r>
        <w:r w:rsidRPr="006E56D1">
          <w:rPr>
            <w:rStyle w:val="Hyperlinkki"/>
            <w:noProof/>
          </w:rPr>
          <w:t>Beredning</w:t>
        </w:r>
        <w:r>
          <w:rPr>
            <w:noProof/>
            <w:webHidden/>
          </w:rPr>
          <w:tab/>
        </w:r>
        <w:r>
          <w:rPr>
            <w:noProof/>
            <w:webHidden/>
          </w:rPr>
          <w:fldChar w:fldCharType="begin"/>
        </w:r>
        <w:r>
          <w:rPr>
            <w:noProof/>
            <w:webHidden/>
          </w:rPr>
          <w:instrText xml:space="preserve"> PAGEREF _Toc19199021 \h </w:instrText>
        </w:r>
        <w:r>
          <w:rPr>
            <w:noProof/>
            <w:webHidden/>
          </w:rPr>
        </w:r>
        <w:r>
          <w:rPr>
            <w:noProof/>
            <w:webHidden/>
          </w:rPr>
          <w:fldChar w:fldCharType="separate"/>
        </w:r>
        <w:r w:rsidR="001A73C6">
          <w:rPr>
            <w:noProof/>
            <w:webHidden/>
          </w:rPr>
          <w:t>4</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22" w:history="1">
        <w:r w:rsidRPr="006E56D1">
          <w:rPr>
            <w:rStyle w:val="Hyperlinkki"/>
            <w:noProof/>
          </w:rPr>
          <w:t>2</w:t>
        </w:r>
        <w:r>
          <w:rPr>
            <w:rFonts w:asciiTheme="minorHAnsi" w:eastAsiaTheme="minorEastAsia" w:hAnsiTheme="minorHAnsi" w:cstheme="minorBidi"/>
            <w:noProof/>
            <w:szCs w:val="22"/>
            <w:lang w:val="fi-FI" w:eastAsia="fi-FI"/>
          </w:rPr>
          <w:tab/>
        </w:r>
        <w:r w:rsidRPr="006E56D1">
          <w:rPr>
            <w:rStyle w:val="Hyperlinkki"/>
            <w:noProof/>
          </w:rPr>
          <w:t>Nuläge och bedömning av nuläget</w:t>
        </w:r>
        <w:r>
          <w:rPr>
            <w:noProof/>
            <w:webHidden/>
          </w:rPr>
          <w:tab/>
        </w:r>
        <w:r>
          <w:rPr>
            <w:noProof/>
            <w:webHidden/>
          </w:rPr>
          <w:fldChar w:fldCharType="begin"/>
        </w:r>
        <w:r>
          <w:rPr>
            <w:noProof/>
            <w:webHidden/>
          </w:rPr>
          <w:instrText xml:space="preserve"> PAGEREF _Toc19199022 \h </w:instrText>
        </w:r>
        <w:r>
          <w:rPr>
            <w:noProof/>
            <w:webHidden/>
          </w:rPr>
        </w:r>
        <w:r>
          <w:rPr>
            <w:noProof/>
            <w:webHidden/>
          </w:rPr>
          <w:fldChar w:fldCharType="separate"/>
        </w:r>
        <w:r w:rsidR="001A73C6">
          <w:rPr>
            <w:noProof/>
            <w:webHidden/>
          </w:rPr>
          <w:t>4</w:t>
        </w:r>
        <w:r>
          <w:rPr>
            <w:noProof/>
            <w:webHidden/>
          </w:rPr>
          <w:fldChar w:fldCharType="end"/>
        </w:r>
      </w:hyperlink>
    </w:p>
    <w:p w:rsidR="00B56442" w:rsidRDefault="00B56442">
      <w:pPr>
        <w:pStyle w:val="Sisluet3"/>
        <w:tabs>
          <w:tab w:val="left" w:pos="1200"/>
        </w:tabs>
        <w:rPr>
          <w:rFonts w:asciiTheme="minorHAnsi" w:eastAsiaTheme="minorEastAsia" w:hAnsiTheme="minorHAnsi" w:cstheme="minorBidi"/>
          <w:noProof/>
          <w:szCs w:val="22"/>
          <w:lang w:val="fi-FI" w:eastAsia="fi-FI"/>
        </w:rPr>
      </w:pPr>
      <w:hyperlink w:anchor="_Toc19199023" w:history="1">
        <w:r w:rsidRPr="006E56D1">
          <w:rPr>
            <w:rStyle w:val="Hyperlinkki"/>
            <w:noProof/>
          </w:rPr>
          <w:t>2.1</w:t>
        </w:r>
        <w:r>
          <w:rPr>
            <w:rFonts w:asciiTheme="minorHAnsi" w:eastAsiaTheme="minorEastAsia" w:hAnsiTheme="minorHAnsi" w:cstheme="minorBidi"/>
            <w:noProof/>
            <w:szCs w:val="22"/>
            <w:lang w:val="fi-FI" w:eastAsia="fi-FI"/>
          </w:rPr>
          <w:tab/>
        </w:r>
        <w:r w:rsidRPr="006E56D1">
          <w:rPr>
            <w:rStyle w:val="Hyperlinkki"/>
            <w:noProof/>
          </w:rPr>
          <w:t>Lagstiftning</w:t>
        </w:r>
        <w:r>
          <w:rPr>
            <w:noProof/>
            <w:webHidden/>
          </w:rPr>
          <w:tab/>
        </w:r>
        <w:r>
          <w:rPr>
            <w:noProof/>
            <w:webHidden/>
          </w:rPr>
          <w:fldChar w:fldCharType="begin"/>
        </w:r>
        <w:r>
          <w:rPr>
            <w:noProof/>
            <w:webHidden/>
          </w:rPr>
          <w:instrText xml:space="preserve"> PAGEREF _Toc19199023 \h </w:instrText>
        </w:r>
        <w:r>
          <w:rPr>
            <w:noProof/>
            <w:webHidden/>
          </w:rPr>
        </w:r>
        <w:r>
          <w:rPr>
            <w:noProof/>
            <w:webHidden/>
          </w:rPr>
          <w:fldChar w:fldCharType="separate"/>
        </w:r>
        <w:r w:rsidR="001A73C6">
          <w:rPr>
            <w:noProof/>
            <w:webHidden/>
          </w:rPr>
          <w:t>4</w:t>
        </w:r>
        <w:r>
          <w:rPr>
            <w:noProof/>
            <w:webHidden/>
          </w:rPr>
          <w:fldChar w:fldCharType="end"/>
        </w:r>
      </w:hyperlink>
    </w:p>
    <w:p w:rsidR="00B56442" w:rsidRDefault="00B56442">
      <w:pPr>
        <w:pStyle w:val="Sisluet3"/>
        <w:tabs>
          <w:tab w:val="left" w:pos="1200"/>
        </w:tabs>
        <w:rPr>
          <w:rFonts w:asciiTheme="minorHAnsi" w:eastAsiaTheme="minorEastAsia" w:hAnsiTheme="minorHAnsi" w:cstheme="minorBidi"/>
          <w:noProof/>
          <w:szCs w:val="22"/>
          <w:lang w:val="fi-FI" w:eastAsia="fi-FI"/>
        </w:rPr>
      </w:pPr>
      <w:hyperlink w:anchor="_Toc19199024" w:history="1">
        <w:r w:rsidRPr="006E56D1">
          <w:rPr>
            <w:rStyle w:val="Hyperlinkki"/>
            <w:noProof/>
          </w:rPr>
          <w:t>2.2</w:t>
        </w:r>
        <w:r>
          <w:rPr>
            <w:rFonts w:asciiTheme="minorHAnsi" w:eastAsiaTheme="minorEastAsia" w:hAnsiTheme="minorHAnsi" w:cstheme="minorBidi"/>
            <w:noProof/>
            <w:szCs w:val="22"/>
            <w:lang w:val="fi-FI" w:eastAsia="fi-FI"/>
          </w:rPr>
          <w:tab/>
        </w:r>
        <w:r w:rsidRPr="006E56D1">
          <w:rPr>
            <w:rStyle w:val="Hyperlinkki"/>
            <w:noProof/>
          </w:rPr>
          <w:t>Bedömning av nuläget</w:t>
        </w:r>
        <w:r>
          <w:rPr>
            <w:noProof/>
            <w:webHidden/>
          </w:rPr>
          <w:tab/>
        </w:r>
        <w:r>
          <w:rPr>
            <w:noProof/>
            <w:webHidden/>
          </w:rPr>
          <w:fldChar w:fldCharType="begin"/>
        </w:r>
        <w:r>
          <w:rPr>
            <w:noProof/>
            <w:webHidden/>
          </w:rPr>
          <w:instrText xml:space="preserve"> PAGEREF _Toc19199024 \h </w:instrText>
        </w:r>
        <w:r>
          <w:rPr>
            <w:noProof/>
            <w:webHidden/>
          </w:rPr>
        </w:r>
        <w:r>
          <w:rPr>
            <w:noProof/>
            <w:webHidden/>
          </w:rPr>
          <w:fldChar w:fldCharType="separate"/>
        </w:r>
        <w:r w:rsidR="001A73C6">
          <w:rPr>
            <w:noProof/>
            <w:webHidden/>
          </w:rPr>
          <w:t>8</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25" w:history="1">
        <w:r w:rsidRPr="006E56D1">
          <w:rPr>
            <w:rStyle w:val="Hyperlinkki"/>
            <w:noProof/>
          </w:rPr>
          <w:t>3</w:t>
        </w:r>
        <w:r>
          <w:rPr>
            <w:rFonts w:asciiTheme="minorHAnsi" w:eastAsiaTheme="minorEastAsia" w:hAnsiTheme="minorHAnsi" w:cstheme="minorBidi"/>
            <w:noProof/>
            <w:szCs w:val="22"/>
            <w:lang w:val="fi-FI" w:eastAsia="fi-FI"/>
          </w:rPr>
          <w:tab/>
        </w:r>
        <w:r w:rsidRPr="006E56D1">
          <w:rPr>
            <w:rStyle w:val="Hyperlinkki"/>
            <w:noProof/>
          </w:rPr>
          <w:t>Målsättning</w:t>
        </w:r>
        <w:r>
          <w:rPr>
            <w:noProof/>
            <w:webHidden/>
          </w:rPr>
          <w:tab/>
        </w:r>
        <w:r>
          <w:rPr>
            <w:noProof/>
            <w:webHidden/>
          </w:rPr>
          <w:fldChar w:fldCharType="begin"/>
        </w:r>
        <w:r>
          <w:rPr>
            <w:noProof/>
            <w:webHidden/>
          </w:rPr>
          <w:instrText xml:space="preserve"> PAGEREF _Toc19199025 \h </w:instrText>
        </w:r>
        <w:r>
          <w:rPr>
            <w:noProof/>
            <w:webHidden/>
          </w:rPr>
        </w:r>
        <w:r>
          <w:rPr>
            <w:noProof/>
            <w:webHidden/>
          </w:rPr>
          <w:fldChar w:fldCharType="separate"/>
        </w:r>
        <w:r w:rsidR="001A73C6">
          <w:rPr>
            <w:noProof/>
            <w:webHidden/>
          </w:rPr>
          <w:t>11</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26" w:history="1">
        <w:r w:rsidRPr="006E56D1">
          <w:rPr>
            <w:rStyle w:val="Hyperlinkki"/>
            <w:noProof/>
          </w:rPr>
          <w:t>4</w:t>
        </w:r>
        <w:r>
          <w:rPr>
            <w:rFonts w:asciiTheme="minorHAnsi" w:eastAsiaTheme="minorEastAsia" w:hAnsiTheme="minorHAnsi" w:cstheme="minorBidi"/>
            <w:noProof/>
            <w:szCs w:val="22"/>
            <w:lang w:val="fi-FI" w:eastAsia="fi-FI"/>
          </w:rPr>
          <w:tab/>
        </w:r>
        <w:r w:rsidRPr="006E56D1">
          <w:rPr>
            <w:rStyle w:val="Hyperlinkki"/>
            <w:noProof/>
          </w:rPr>
          <w:t>De viktigaste förslagen</w:t>
        </w:r>
        <w:r>
          <w:rPr>
            <w:noProof/>
            <w:webHidden/>
          </w:rPr>
          <w:tab/>
        </w:r>
        <w:r>
          <w:rPr>
            <w:noProof/>
            <w:webHidden/>
          </w:rPr>
          <w:fldChar w:fldCharType="begin"/>
        </w:r>
        <w:r>
          <w:rPr>
            <w:noProof/>
            <w:webHidden/>
          </w:rPr>
          <w:instrText xml:space="preserve"> PAGEREF _Toc19199026 \h </w:instrText>
        </w:r>
        <w:r>
          <w:rPr>
            <w:noProof/>
            <w:webHidden/>
          </w:rPr>
        </w:r>
        <w:r>
          <w:rPr>
            <w:noProof/>
            <w:webHidden/>
          </w:rPr>
          <w:fldChar w:fldCharType="separate"/>
        </w:r>
        <w:r w:rsidR="001A73C6">
          <w:rPr>
            <w:noProof/>
            <w:webHidden/>
          </w:rPr>
          <w:t>11</w:t>
        </w:r>
        <w:r>
          <w:rPr>
            <w:noProof/>
            <w:webHidden/>
          </w:rPr>
          <w:fldChar w:fldCharType="end"/>
        </w:r>
      </w:hyperlink>
    </w:p>
    <w:p w:rsidR="00B56442" w:rsidRDefault="00B56442">
      <w:pPr>
        <w:pStyle w:val="Sisluet3"/>
        <w:tabs>
          <w:tab w:val="left" w:pos="1200"/>
        </w:tabs>
        <w:rPr>
          <w:rFonts w:asciiTheme="minorHAnsi" w:eastAsiaTheme="minorEastAsia" w:hAnsiTheme="minorHAnsi" w:cstheme="minorBidi"/>
          <w:noProof/>
          <w:szCs w:val="22"/>
          <w:lang w:val="fi-FI" w:eastAsia="fi-FI"/>
        </w:rPr>
      </w:pPr>
      <w:hyperlink w:anchor="_Toc19199027" w:history="1">
        <w:r w:rsidRPr="006E56D1">
          <w:rPr>
            <w:rStyle w:val="Hyperlinkki"/>
            <w:noProof/>
          </w:rPr>
          <w:t>4.1</w:t>
        </w:r>
        <w:r>
          <w:rPr>
            <w:rFonts w:asciiTheme="minorHAnsi" w:eastAsiaTheme="minorEastAsia" w:hAnsiTheme="minorHAnsi" w:cstheme="minorBidi"/>
            <w:noProof/>
            <w:szCs w:val="22"/>
            <w:lang w:val="fi-FI" w:eastAsia="fi-FI"/>
          </w:rPr>
          <w:tab/>
        </w:r>
        <w:r w:rsidRPr="006E56D1">
          <w:rPr>
            <w:rStyle w:val="Hyperlinkki"/>
            <w:noProof/>
          </w:rPr>
          <w:t>De huvudsakliga konsekvenserna</w:t>
        </w:r>
        <w:r>
          <w:rPr>
            <w:noProof/>
            <w:webHidden/>
          </w:rPr>
          <w:tab/>
        </w:r>
        <w:r>
          <w:rPr>
            <w:noProof/>
            <w:webHidden/>
          </w:rPr>
          <w:fldChar w:fldCharType="begin"/>
        </w:r>
        <w:r>
          <w:rPr>
            <w:noProof/>
            <w:webHidden/>
          </w:rPr>
          <w:instrText xml:space="preserve"> PAGEREF _Toc19199027 \h </w:instrText>
        </w:r>
        <w:r>
          <w:rPr>
            <w:noProof/>
            <w:webHidden/>
          </w:rPr>
        </w:r>
        <w:r>
          <w:rPr>
            <w:noProof/>
            <w:webHidden/>
          </w:rPr>
          <w:fldChar w:fldCharType="separate"/>
        </w:r>
        <w:r w:rsidR="001A73C6">
          <w:rPr>
            <w:noProof/>
            <w:webHidden/>
          </w:rPr>
          <w:t>12</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28" w:history="1">
        <w:r w:rsidRPr="006E56D1">
          <w:rPr>
            <w:rStyle w:val="Hyperlinkki"/>
            <w:noProof/>
          </w:rPr>
          <w:t>5</w:t>
        </w:r>
        <w:r>
          <w:rPr>
            <w:rFonts w:asciiTheme="minorHAnsi" w:eastAsiaTheme="minorEastAsia" w:hAnsiTheme="minorHAnsi" w:cstheme="minorBidi"/>
            <w:noProof/>
            <w:szCs w:val="22"/>
            <w:lang w:val="fi-FI" w:eastAsia="fi-FI"/>
          </w:rPr>
          <w:tab/>
        </w:r>
        <w:r w:rsidRPr="006E56D1">
          <w:rPr>
            <w:rStyle w:val="Hyperlinkki"/>
            <w:noProof/>
          </w:rPr>
          <w:t>Alternativa handlingsvägar</w:t>
        </w:r>
        <w:r>
          <w:rPr>
            <w:noProof/>
            <w:webHidden/>
          </w:rPr>
          <w:tab/>
        </w:r>
        <w:r>
          <w:rPr>
            <w:noProof/>
            <w:webHidden/>
          </w:rPr>
          <w:fldChar w:fldCharType="begin"/>
        </w:r>
        <w:r>
          <w:rPr>
            <w:noProof/>
            <w:webHidden/>
          </w:rPr>
          <w:instrText xml:space="preserve"> PAGEREF _Toc19199028 \h </w:instrText>
        </w:r>
        <w:r>
          <w:rPr>
            <w:noProof/>
            <w:webHidden/>
          </w:rPr>
        </w:r>
        <w:r>
          <w:rPr>
            <w:noProof/>
            <w:webHidden/>
          </w:rPr>
          <w:fldChar w:fldCharType="separate"/>
        </w:r>
        <w:r w:rsidR="001A73C6">
          <w:rPr>
            <w:noProof/>
            <w:webHidden/>
          </w:rPr>
          <w:t>14</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29" w:history="1">
        <w:r w:rsidRPr="006E56D1">
          <w:rPr>
            <w:rStyle w:val="Hyperlinkki"/>
            <w:noProof/>
          </w:rPr>
          <w:t>6</w:t>
        </w:r>
        <w:r>
          <w:rPr>
            <w:rFonts w:asciiTheme="minorHAnsi" w:eastAsiaTheme="minorEastAsia" w:hAnsiTheme="minorHAnsi" w:cstheme="minorBidi"/>
            <w:noProof/>
            <w:szCs w:val="22"/>
            <w:lang w:val="fi-FI" w:eastAsia="fi-FI"/>
          </w:rPr>
          <w:tab/>
        </w:r>
        <w:r w:rsidRPr="006E56D1">
          <w:rPr>
            <w:rStyle w:val="Hyperlinkki"/>
            <w:noProof/>
          </w:rPr>
          <w:t>Remissvar</w:t>
        </w:r>
        <w:r>
          <w:rPr>
            <w:noProof/>
            <w:webHidden/>
          </w:rPr>
          <w:tab/>
        </w:r>
        <w:r>
          <w:rPr>
            <w:noProof/>
            <w:webHidden/>
          </w:rPr>
          <w:fldChar w:fldCharType="begin"/>
        </w:r>
        <w:r>
          <w:rPr>
            <w:noProof/>
            <w:webHidden/>
          </w:rPr>
          <w:instrText xml:space="preserve"> PAGEREF _Toc19199029 \h </w:instrText>
        </w:r>
        <w:r>
          <w:rPr>
            <w:noProof/>
            <w:webHidden/>
          </w:rPr>
        </w:r>
        <w:r>
          <w:rPr>
            <w:noProof/>
            <w:webHidden/>
          </w:rPr>
          <w:fldChar w:fldCharType="separate"/>
        </w:r>
        <w:r w:rsidR="001A73C6">
          <w:rPr>
            <w:noProof/>
            <w:webHidden/>
          </w:rPr>
          <w:t>15</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30" w:history="1">
        <w:r w:rsidRPr="006E56D1">
          <w:rPr>
            <w:rStyle w:val="Hyperlinkki"/>
            <w:noProof/>
          </w:rPr>
          <w:t>7</w:t>
        </w:r>
        <w:r>
          <w:rPr>
            <w:rFonts w:asciiTheme="minorHAnsi" w:eastAsiaTheme="minorEastAsia" w:hAnsiTheme="minorHAnsi" w:cstheme="minorBidi"/>
            <w:noProof/>
            <w:szCs w:val="22"/>
            <w:lang w:val="fi-FI" w:eastAsia="fi-FI"/>
          </w:rPr>
          <w:tab/>
        </w:r>
        <w:r w:rsidRPr="006E56D1">
          <w:rPr>
            <w:rStyle w:val="Hyperlinkki"/>
            <w:noProof/>
          </w:rPr>
          <w:t>Specialmotivering</w:t>
        </w:r>
        <w:r>
          <w:rPr>
            <w:noProof/>
            <w:webHidden/>
          </w:rPr>
          <w:tab/>
        </w:r>
        <w:r>
          <w:rPr>
            <w:noProof/>
            <w:webHidden/>
          </w:rPr>
          <w:fldChar w:fldCharType="begin"/>
        </w:r>
        <w:r>
          <w:rPr>
            <w:noProof/>
            <w:webHidden/>
          </w:rPr>
          <w:instrText xml:space="preserve"> PAGEREF _Toc19199030 \h </w:instrText>
        </w:r>
        <w:r>
          <w:rPr>
            <w:noProof/>
            <w:webHidden/>
          </w:rPr>
        </w:r>
        <w:r>
          <w:rPr>
            <w:noProof/>
            <w:webHidden/>
          </w:rPr>
          <w:fldChar w:fldCharType="separate"/>
        </w:r>
        <w:r w:rsidR="001A73C6">
          <w:rPr>
            <w:noProof/>
            <w:webHidden/>
          </w:rPr>
          <w:t>15</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31" w:history="1">
        <w:r w:rsidRPr="006E56D1">
          <w:rPr>
            <w:rStyle w:val="Hyperlinkki"/>
            <w:noProof/>
          </w:rPr>
          <w:t>8</w:t>
        </w:r>
        <w:r>
          <w:rPr>
            <w:rFonts w:asciiTheme="minorHAnsi" w:eastAsiaTheme="minorEastAsia" w:hAnsiTheme="minorHAnsi" w:cstheme="minorBidi"/>
            <w:noProof/>
            <w:szCs w:val="22"/>
            <w:lang w:val="fi-FI" w:eastAsia="fi-FI"/>
          </w:rPr>
          <w:tab/>
        </w:r>
        <w:r w:rsidRPr="006E56D1">
          <w:rPr>
            <w:rStyle w:val="Hyperlinkki"/>
            <w:noProof/>
          </w:rPr>
          <w:t>Ikraftträdande</w:t>
        </w:r>
        <w:r>
          <w:rPr>
            <w:noProof/>
            <w:webHidden/>
          </w:rPr>
          <w:tab/>
        </w:r>
        <w:r>
          <w:rPr>
            <w:noProof/>
            <w:webHidden/>
          </w:rPr>
          <w:fldChar w:fldCharType="begin"/>
        </w:r>
        <w:r>
          <w:rPr>
            <w:noProof/>
            <w:webHidden/>
          </w:rPr>
          <w:instrText xml:space="preserve"> PAGEREF _Toc19199031 \h </w:instrText>
        </w:r>
        <w:r>
          <w:rPr>
            <w:noProof/>
            <w:webHidden/>
          </w:rPr>
        </w:r>
        <w:r>
          <w:rPr>
            <w:noProof/>
            <w:webHidden/>
          </w:rPr>
          <w:fldChar w:fldCharType="separate"/>
        </w:r>
        <w:r w:rsidR="001A73C6">
          <w:rPr>
            <w:noProof/>
            <w:webHidden/>
          </w:rPr>
          <w:t>15</w:t>
        </w:r>
        <w:r>
          <w:rPr>
            <w:noProof/>
            <w:webHidden/>
          </w:rPr>
          <w:fldChar w:fldCharType="end"/>
        </w:r>
      </w:hyperlink>
    </w:p>
    <w:p w:rsidR="00B56442" w:rsidRDefault="00B56442">
      <w:pPr>
        <w:pStyle w:val="Sisluet2"/>
        <w:rPr>
          <w:rFonts w:asciiTheme="minorHAnsi" w:eastAsiaTheme="minorEastAsia" w:hAnsiTheme="minorHAnsi" w:cstheme="minorBidi"/>
          <w:noProof/>
          <w:szCs w:val="22"/>
          <w:lang w:val="fi-FI" w:eastAsia="fi-FI"/>
        </w:rPr>
      </w:pPr>
      <w:hyperlink w:anchor="_Toc19199032" w:history="1">
        <w:r w:rsidRPr="006E56D1">
          <w:rPr>
            <w:rStyle w:val="Hyperlinkki"/>
            <w:noProof/>
          </w:rPr>
          <w:t>9</w:t>
        </w:r>
        <w:r>
          <w:rPr>
            <w:rFonts w:asciiTheme="minorHAnsi" w:eastAsiaTheme="minorEastAsia" w:hAnsiTheme="minorHAnsi" w:cstheme="minorBidi"/>
            <w:noProof/>
            <w:szCs w:val="22"/>
            <w:lang w:val="fi-FI" w:eastAsia="fi-FI"/>
          </w:rPr>
          <w:tab/>
        </w:r>
        <w:r w:rsidRPr="006E56D1">
          <w:rPr>
            <w:rStyle w:val="Hyperlinkki"/>
            <w:noProof/>
          </w:rPr>
          <w:t>Förhållande till andra propositioner</w:t>
        </w:r>
        <w:r>
          <w:rPr>
            <w:noProof/>
            <w:webHidden/>
          </w:rPr>
          <w:tab/>
        </w:r>
        <w:r>
          <w:rPr>
            <w:noProof/>
            <w:webHidden/>
          </w:rPr>
          <w:fldChar w:fldCharType="begin"/>
        </w:r>
        <w:r>
          <w:rPr>
            <w:noProof/>
            <w:webHidden/>
          </w:rPr>
          <w:instrText xml:space="preserve"> PAGEREF _Toc19199032 \h </w:instrText>
        </w:r>
        <w:r>
          <w:rPr>
            <w:noProof/>
            <w:webHidden/>
          </w:rPr>
        </w:r>
        <w:r>
          <w:rPr>
            <w:noProof/>
            <w:webHidden/>
          </w:rPr>
          <w:fldChar w:fldCharType="separate"/>
        </w:r>
        <w:r w:rsidR="001A73C6">
          <w:rPr>
            <w:noProof/>
            <w:webHidden/>
          </w:rPr>
          <w:t>16</w:t>
        </w:r>
        <w:r>
          <w:rPr>
            <w:noProof/>
            <w:webHidden/>
          </w:rPr>
          <w:fldChar w:fldCharType="end"/>
        </w:r>
      </w:hyperlink>
    </w:p>
    <w:p w:rsidR="00B56442" w:rsidRDefault="00B56442">
      <w:pPr>
        <w:pStyle w:val="Sisluet1"/>
        <w:rPr>
          <w:rFonts w:asciiTheme="minorHAnsi" w:eastAsiaTheme="minorEastAsia" w:hAnsiTheme="minorHAnsi" w:cstheme="minorBidi"/>
          <w:bCs w:val="0"/>
          <w:caps w:val="0"/>
          <w:noProof/>
          <w:szCs w:val="22"/>
          <w:lang w:val="fi-FI" w:eastAsia="fi-FI"/>
        </w:rPr>
      </w:pPr>
      <w:hyperlink w:anchor="_Toc19199033" w:history="1">
        <w:r w:rsidRPr="006E56D1">
          <w:rPr>
            <w:rStyle w:val="Hyperlinkki"/>
            <w:noProof/>
          </w:rPr>
          <w:t>Lagförslag</w:t>
        </w:r>
        <w:r>
          <w:rPr>
            <w:noProof/>
            <w:webHidden/>
          </w:rPr>
          <w:tab/>
        </w:r>
        <w:r>
          <w:rPr>
            <w:noProof/>
            <w:webHidden/>
          </w:rPr>
          <w:fldChar w:fldCharType="begin"/>
        </w:r>
        <w:r>
          <w:rPr>
            <w:noProof/>
            <w:webHidden/>
          </w:rPr>
          <w:instrText xml:space="preserve"> PAGEREF _Toc19199033 \h </w:instrText>
        </w:r>
        <w:r>
          <w:rPr>
            <w:noProof/>
            <w:webHidden/>
          </w:rPr>
        </w:r>
        <w:r>
          <w:rPr>
            <w:noProof/>
            <w:webHidden/>
          </w:rPr>
          <w:fldChar w:fldCharType="separate"/>
        </w:r>
        <w:r w:rsidR="001A73C6">
          <w:rPr>
            <w:noProof/>
            <w:webHidden/>
          </w:rPr>
          <w:t>17</w:t>
        </w:r>
        <w:r>
          <w:rPr>
            <w:noProof/>
            <w:webHidden/>
          </w:rPr>
          <w:fldChar w:fldCharType="end"/>
        </w:r>
      </w:hyperlink>
    </w:p>
    <w:p w:rsidR="00B56442" w:rsidRDefault="00B56442">
      <w:pPr>
        <w:pStyle w:val="Sisluet3"/>
        <w:rPr>
          <w:rFonts w:asciiTheme="minorHAnsi" w:eastAsiaTheme="minorEastAsia" w:hAnsiTheme="minorHAnsi" w:cstheme="minorBidi"/>
          <w:noProof/>
          <w:szCs w:val="22"/>
          <w:lang w:val="fi-FI" w:eastAsia="fi-FI"/>
        </w:rPr>
      </w:pPr>
      <w:hyperlink w:anchor="_Toc19199034" w:history="1">
        <w:r>
          <w:rPr>
            <w:rStyle w:val="Hyperlinkki"/>
            <w:noProof/>
          </w:rPr>
          <w:t>1. Lag o</w:t>
        </w:r>
        <w:r w:rsidRPr="006E56D1">
          <w:rPr>
            <w:rStyle w:val="Hyperlinkki"/>
            <w:noProof/>
          </w:rPr>
          <w:t>m ändring av skattetabellen i bilagan till lagen om punktskatt på flytande bränslen</w:t>
        </w:r>
        <w:r>
          <w:rPr>
            <w:noProof/>
            <w:webHidden/>
          </w:rPr>
          <w:tab/>
        </w:r>
        <w:r>
          <w:rPr>
            <w:noProof/>
            <w:webHidden/>
          </w:rPr>
          <w:fldChar w:fldCharType="begin"/>
        </w:r>
        <w:r>
          <w:rPr>
            <w:noProof/>
            <w:webHidden/>
          </w:rPr>
          <w:instrText xml:space="preserve"> PAGEREF _Toc19199034 \h </w:instrText>
        </w:r>
        <w:r>
          <w:rPr>
            <w:noProof/>
            <w:webHidden/>
          </w:rPr>
        </w:r>
        <w:r>
          <w:rPr>
            <w:noProof/>
            <w:webHidden/>
          </w:rPr>
          <w:fldChar w:fldCharType="separate"/>
        </w:r>
        <w:r w:rsidR="001A73C6">
          <w:rPr>
            <w:noProof/>
            <w:webHidden/>
          </w:rPr>
          <w:t>17</w:t>
        </w:r>
        <w:r>
          <w:rPr>
            <w:noProof/>
            <w:webHidden/>
          </w:rPr>
          <w:fldChar w:fldCharType="end"/>
        </w:r>
      </w:hyperlink>
    </w:p>
    <w:p w:rsidR="00B56442" w:rsidRDefault="00B56442">
      <w:pPr>
        <w:pStyle w:val="Sisluet1"/>
        <w:rPr>
          <w:rFonts w:asciiTheme="minorHAnsi" w:eastAsiaTheme="minorEastAsia" w:hAnsiTheme="minorHAnsi" w:cstheme="minorBidi"/>
          <w:bCs w:val="0"/>
          <w:caps w:val="0"/>
          <w:noProof/>
          <w:szCs w:val="22"/>
          <w:lang w:val="fi-FI" w:eastAsia="fi-FI"/>
        </w:rPr>
      </w:pPr>
      <w:hyperlink w:anchor="_Toc19199035" w:history="1">
        <w:r w:rsidRPr="006E56D1">
          <w:rPr>
            <w:rStyle w:val="Hyperlinkki"/>
            <w:noProof/>
          </w:rPr>
          <w:t>Bilaga</w:t>
        </w:r>
        <w:r>
          <w:rPr>
            <w:noProof/>
            <w:webHidden/>
          </w:rPr>
          <w:tab/>
        </w:r>
        <w:r>
          <w:rPr>
            <w:noProof/>
            <w:webHidden/>
          </w:rPr>
          <w:fldChar w:fldCharType="begin"/>
        </w:r>
        <w:r>
          <w:rPr>
            <w:noProof/>
            <w:webHidden/>
          </w:rPr>
          <w:instrText xml:space="preserve"> PAGEREF _Toc19199035 \h </w:instrText>
        </w:r>
        <w:r>
          <w:rPr>
            <w:noProof/>
            <w:webHidden/>
          </w:rPr>
        </w:r>
        <w:r>
          <w:rPr>
            <w:noProof/>
            <w:webHidden/>
          </w:rPr>
          <w:fldChar w:fldCharType="separate"/>
        </w:r>
        <w:r w:rsidR="001A73C6">
          <w:rPr>
            <w:noProof/>
            <w:webHidden/>
          </w:rPr>
          <w:t>17</w:t>
        </w:r>
        <w:r>
          <w:rPr>
            <w:noProof/>
            <w:webHidden/>
          </w:rPr>
          <w:fldChar w:fldCharType="end"/>
        </w:r>
      </w:hyperlink>
    </w:p>
    <w:p w:rsidR="00B56442" w:rsidRDefault="00B56442">
      <w:pPr>
        <w:pStyle w:val="Sisluet3"/>
        <w:rPr>
          <w:rFonts w:asciiTheme="minorHAnsi" w:eastAsiaTheme="minorEastAsia" w:hAnsiTheme="minorHAnsi" w:cstheme="minorBidi"/>
          <w:noProof/>
          <w:szCs w:val="22"/>
          <w:lang w:val="fi-FI" w:eastAsia="fi-FI"/>
        </w:rPr>
      </w:pPr>
      <w:hyperlink w:anchor="_Toc19199036" w:history="1">
        <w:r>
          <w:rPr>
            <w:rStyle w:val="Hyperlinkki"/>
            <w:noProof/>
          </w:rPr>
          <w:t>2. Lag o</w:t>
        </w:r>
        <w:r w:rsidRPr="006E56D1">
          <w:rPr>
            <w:rStyle w:val="Hyperlinkki"/>
            <w:noProof/>
          </w:rPr>
          <w:t>m ändring av 5 § i punktskattelagen</w:t>
        </w:r>
        <w:r>
          <w:rPr>
            <w:noProof/>
            <w:webHidden/>
          </w:rPr>
          <w:tab/>
        </w:r>
        <w:r>
          <w:rPr>
            <w:noProof/>
            <w:webHidden/>
          </w:rPr>
          <w:fldChar w:fldCharType="begin"/>
        </w:r>
        <w:r>
          <w:rPr>
            <w:noProof/>
            <w:webHidden/>
          </w:rPr>
          <w:instrText xml:space="preserve"> PAGEREF _Toc19199036 \h </w:instrText>
        </w:r>
        <w:r>
          <w:rPr>
            <w:noProof/>
            <w:webHidden/>
          </w:rPr>
        </w:r>
        <w:r>
          <w:rPr>
            <w:noProof/>
            <w:webHidden/>
          </w:rPr>
          <w:fldChar w:fldCharType="separate"/>
        </w:r>
        <w:r w:rsidR="001A73C6">
          <w:rPr>
            <w:noProof/>
            <w:webHidden/>
          </w:rPr>
          <w:t>19</w:t>
        </w:r>
        <w:r>
          <w:rPr>
            <w:noProof/>
            <w:webHidden/>
          </w:rPr>
          <w:fldChar w:fldCharType="end"/>
        </w:r>
      </w:hyperlink>
    </w:p>
    <w:p w:rsidR="00B56442" w:rsidRDefault="00B56442">
      <w:pPr>
        <w:pStyle w:val="Sisluet1"/>
        <w:rPr>
          <w:rFonts w:asciiTheme="minorHAnsi" w:eastAsiaTheme="minorEastAsia" w:hAnsiTheme="minorHAnsi" w:cstheme="minorBidi"/>
          <w:bCs w:val="0"/>
          <w:caps w:val="0"/>
          <w:noProof/>
          <w:szCs w:val="22"/>
          <w:lang w:val="fi-FI" w:eastAsia="fi-FI"/>
        </w:rPr>
      </w:pPr>
      <w:hyperlink w:anchor="_Toc19199037" w:history="1">
        <w:r w:rsidRPr="006E56D1">
          <w:rPr>
            <w:rStyle w:val="Hyperlinkki"/>
            <w:noProof/>
          </w:rPr>
          <w:t>Parallelltext</w:t>
        </w:r>
        <w:r>
          <w:rPr>
            <w:noProof/>
            <w:webHidden/>
          </w:rPr>
          <w:tab/>
        </w:r>
        <w:r>
          <w:rPr>
            <w:noProof/>
            <w:webHidden/>
          </w:rPr>
          <w:fldChar w:fldCharType="begin"/>
        </w:r>
        <w:r>
          <w:rPr>
            <w:noProof/>
            <w:webHidden/>
          </w:rPr>
          <w:instrText xml:space="preserve"> PAGEREF _Toc19199037 \h </w:instrText>
        </w:r>
        <w:r>
          <w:rPr>
            <w:noProof/>
            <w:webHidden/>
          </w:rPr>
        </w:r>
        <w:r>
          <w:rPr>
            <w:noProof/>
            <w:webHidden/>
          </w:rPr>
          <w:fldChar w:fldCharType="separate"/>
        </w:r>
        <w:r w:rsidR="001A73C6">
          <w:rPr>
            <w:noProof/>
            <w:webHidden/>
          </w:rPr>
          <w:t>20</w:t>
        </w:r>
        <w:r>
          <w:rPr>
            <w:noProof/>
            <w:webHidden/>
          </w:rPr>
          <w:fldChar w:fldCharType="end"/>
        </w:r>
      </w:hyperlink>
    </w:p>
    <w:p w:rsidR="00B56442" w:rsidRDefault="00B56442">
      <w:pPr>
        <w:pStyle w:val="Sisluet3"/>
        <w:rPr>
          <w:rFonts w:asciiTheme="minorHAnsi" w:eastAsiaTheme="minorEastAsia" w:hAnsiTheme="minorHAnsi" w:cstheme="minorBidi"/>
          <w:noProof/>
          <w:szCs w:val="22"/>
          <w:lang w:val="fi-FI" w:eastAsia="fi-FI"/>
        </w:rPr>
      </w:pPr>
      <w:hyperlink w:anchor="_Toc19199038" w:history="1">
        <w:r>
          <w:rPr>
            <w:rStyle w:val="Hyperlinkki"/>
            <w:noProof/>
          </w:rPr>
          <w:t>1. Lag o</w:t>
        </w:r>
        <w:r w:rsidRPr="006E56D1">
          <w:rPr>
            <w:rStyle w:val="Hyperlinkki"/>
            <w:noProof/>
          </w:rPr>
          <w:t>m ändring av skattetabellen i bilagan till lagen om punktskatt på flytande bränslen</w:t>
        </w:r>
        <w:r>
          <w:rPr>
            <w:noProof/>
            <w:webHidden/>
          </w:rPr>
          <w:tab/>
        </w:r>
        <w:r>
          <w:rPr>
            <w:noProof/>
            <w:webHidden/>
          </w:rPr>
          <w:fldChar w:fldCharType="begin"/>
        </w:r>
        <w:r>
          <w:rPr>
            <w:noProof/>
            <w:webHidden/>
          </w:rPr>
          <w:instrText xml:space="preserve"> PAGEREF _Toc19199038 \h </w:instrText>
        </w:r>
        <w:r>
          <w:rPr>
            <w:noProof/>
            <w:webHidden/>
          </w:rPr>
        </w:r>
        <w:r>
          <w:rPr>
            <w:noProof/>
            <w:webHidden/>
          </w:rPr>
          <w:fldChar w:fldCharType="separate"/>
        </w:r>
        <w:r w:rsidR="001A73C6">
          <w:rPr>
            <w:noProof/>
            <w:webHidden/>
          </w:rPr>
          <w:t>20</w:t>
        </w:r>
        <w:r>
          <w:rPr>
            <w:noProof/>
            <w:webHidden/>
          </w:rPr>
          <w:fldChar w:fldCharType="end"/>
        </w:r>
      </w:hyperlink>
    </w:p>
    <w:p w:rsidR="00B56442" w:rsidRDefault="00B56442">
      <w:pPr>
        <w:pStyle w:val="Sisluet3"/>
        <w:rPr>
          <w:rFonts w:asciiTheme="minorHAnsi" w:eastAsiaTheme="minorEastAsia" w:hAnsiTheme="minorHAnsi" w:cstheme="minorBidi"/>
          <w:noProof/>
          <w:szCs w:val="22"/>
          <w:lang w:val="fi-FI" w:eastAsia="fi-FI"/>
        </w:rPr>
      </w:pPr>
      <w:hyperlink w:anchor="_Toc19199039" w:history="1">
        <w:r>
          <w:rPr>
            <w:rStyle w:val="Hyperlinkki"/>
            <w:noProof/>
          </w:rPr>
          <w:t>2. Lag o</w:t>
        </w:r>
        <w:r w:rsidRPr="006E56D1">
          <w:rPr>
            <w:rStyle w:val="Hyperlinkki"/>
            <w:noProof/>
          </w:rPr>
          <w:t>m ändring av 5 § i punktskattelagen</w:t>
        </w:r>
        <w:r>
          <w:rPr>
            <w:noProof/>
            <w:webHidden/>
          </w:rPr>
          <w:tab/>
        </w:r>
        <w:r>
          <w:rPr>
            <w:noProof/>
            <w:webHidden/>
          </w:rPr>
          <w:fldChar w:fldCharType="begin"/>
        </w:r>
        <w:r>
          <w:rPr>
            <w:noProof/>
            <w:webHidden/>
          </w:rPr>
          <w:instrText xml:space="preserve"> PAGEREF _Toc19199039 \h </w:instrText>
        </w:r>
        <w:r>
          <w:rPr>
            <w:noProof/>
            <w:webHidden/>
          </w:rPr>
        </w:r>
        <w:r>
          <w:rPr>
            <w:noProof/>
            <w:webHidden/>
          </w:rPr>
          <w:fldChar w:fldCharType="separate"/>
        </w:r>
        <w:r w:rsidR="001A73C6">
          <w:rPr>
            <w:noProof/>
            <w:webHidden/>
          </w:rPr>
          <w:t>23</w:t>
        </w:r>
        <w:r>
          <w:rPr>
            <w:noProof/>
            <w:webHidden/>
          </w:rPr>
          <w:fldChar w:fldCharType="end"/>
        </w:r>
      </w:hyperlink>
    </w:p>
    <w:p w:rsidR="00CE3000" w:rsidRPr="00CE3000" w:rsidRDefault="00CE3000" w:rsidP="00CE3000">
      <w:pPr>
        <w:pStyle w:val="LLNormaali"/>
      </w:pPr>
      <w:r>
        <w:fldChar w:fldCharType="end"/>
      </w:r>
    </w:p>
    <w:p w:rsidR="00085925" w:rsidRPr="00E03AB9" w:rsidRDefault="00085925" w:rsidP="00153658">
      <w:pPr>
        <w:pStyle w:val="LLPerustelujenkappalejako"/>
        <w:spacing w:line="240" w:lineRule="auto"/>
        <w:jc w:val="left"/>
      </w:pPr>
    </w:p>
    <w:p w:rsidR="00153658" w:rsidRPr="00E03AB9" w:rsidRDefault="00153658">
      <w:pPr>
        <w:rPr>
          <w:b/>
          <w:caps/>
          <w:sz w:val="21"/>
          <w:szCs w:val="24"/>
        </w:rPr>
      </w:pPr>
      <w:r w:rsidRPr="00E03AB9">
        <w:br w:type="page"/>
      </w:r>
      <w:bookmarkStart w:id="2" w:name="_GoBack"/>
      <w:bookmarkEnd w:id="2"/>
    </w:p>
    <w:p w:rsidR="00F743F0" w:rsidRPr="00E03AB9" w:rsidRDefault="00F743F0" w:rsidP="00F85E77">
      <w:pPr>
        <w:pStyle w:val="LLperustelut"/>
      </w:pPr>
      <w:bookmarkStart w:id="3" w:name="_Toc19199018"/>
      <w:r w:rsidRPr="00E03AB9">
        <w:lastRenderedPageBreak/>
        <w:t>MOTIVERING</w:t>
      </w:r>
      <w:bookmarkEnd w:id="3"/>
    </w:p>
    <w:p w:rsidR="00F85E77" w:rsidRDefault="005902AA" w:rsidP="00F85E77">
      <w:pPr>
        <w:pStyle w:val="LLP1Otsikkotaso"/>
      </w:pPr>
      <w:bookmarkStart w:id="4" w:name="_Toc19199019"/>
      <w:r w:rsidRPr="00E03AB9">
        <w:t>Bakgrund och beredning</w:t>
      </w:r>
      <w:bookmarkEnd w:id="4"/>
    </w:p>
    <w:p w:rsidR="00276A6E" w:rsidRPr="00E03AB9" w:rsidRDefault="00276A6E" w:rsidP="00F85E77">
      <w:pPr>
        <w:pStyle w:val="LLP2Otsikkotaso"/>
      </w:pPr>
      <w:bookmarkStart w:id="5" w:name="_Toc19199020"/>
      <w:r w:rsidRPr="00E03AB9">
        <w:t>Bakgrund</w:t>
      </w:r>
      <w:bookmarkEnd w:id="5"/>
    </w:p>
    <w:p w:rsidR="00030AC1" w:rsidRPr="00E03AB9" w:rsidRDefault="005902AA" w:rsidP="00B72BB2">
      <w:r w:rsidRPr="00E03AB9">
        <w:t xml:space="preserve">I regeringsprogrammet för statsminister Antti Rinnes regering finns det flera skrivningar som gäller effektivisering av styrningen av utsläppen inom energibeskattningen samt höjning av energibeskattningen. </w:t>
      </w:r>
    </w:p>
    <w:p w:rsidR="00030AC1" w:rsidRPr="00E03AB9" w:rsidRDefault="00030AC1" w:rsidP="00B72BB2"/>
    <w:p w:rsidR="00030AC1" w:rsidRPr="00E03AB9" w:rsidRDefault="008B2705" w:rsidP="00B72BB2">
      <w:r w:rsidRPr="00E03AB9">
        <w:t xml:space="preserve">Enligt regeringsprogrammet bereds som stöd för regeringens klimatmål en färdplan för hållbar beskattning, vars första etapp slutförs senast vid </w:t>
      </w:r>
      <w:proofErr w:type="spellStart"/>
      <w:r w:rsidRPr="00E03AB9">
        <w:t>ramförhandlingarna</w:t>
      </w:r>
      <w:proofErr w:type="spellEnd"/>
      <w:r w:rsidRPr="00E03AB9">
        <w:t xml:space="preserve"> 2020. I färdplanen ingår en reform av energiskatten, en reform av beskattningen av fordonstrafiken på längre sikt än regeringsperioden, åtgärder som främjar cirkulär ekonomi samt utredning av möjligheten att införa utsläppsbaserade konsumtionsskatter. Mer konkret konstateras det om förnyandet av energibeskattningen, att styrningen av utsläppen från energiproduktionen ökas genom att systemet med återbäring av energiskatt för den energiintensiva industrin slopas och genom att punktskatten på elström i skatteklass II sänks under en övergångsperiod på ett budgetneutralt sätt med sikte på den miniminivå som EU tillåter, samt genom att skattestödet för kombinerad el- och värmeproduktion sänks och att skattenivån för uppvärmningsbränslen höjs så att skatteintäkterna ökar med sammanlagt 100 miljoner euro under valperioden. </w:t>
      </w:r>
    </w:p>
    <w:p w:rsidR="00030AC1" w:rsidRPr="00E03AB9" w:rsidRDefault="00030AC1" w:rsidP="00B72BB2"/>
    <w:p w:rsidR="00030AC1" w:rsidRPr="00E03AB9" w:rsidRDefault="008B2705" w:rsidP="00B72BB2">
      <w:r w:rsidRPr="00E03AB9">
        <w:t>I fråga om energibeskattningen av gruvdriften konstateras det i regeringsprogrammet att gruvorna överförs till skatteklass I för elström och att gruvdriften inte längre ska omfattas av energiskatteåterbäring (s.k. skattegiljotin). Enligt regeringsprogrammet ingår i totalreformen av energibeskattningen en bedömning av de ändringar som behövs i beskattningen av torv, så att målet att bruket av torv som energikälla åtminstone halveras år 2030 ska förverkligas. Därtill ska det sörjas för att gagnvirke inte styrs till förbränning. I regeringsprogrammet eftersträvas med ändringarna i energibeskattningen utöver en ökning av skatteintäkterna också en kraftigare minskning av utsläpp.</w:t>
      </w:r>
    </w:p>
    <w:p w:rsidR="00030AC1" w:rsidRPr="00E03AB9" w:rsidRDefault="00030AC1" w:rsidP="00B72BB2"/>
    <w:p w:rsidR="00030AC1" w:rsidRPr="00E03AB9" w:rsidRDefault="00C243F4" w:rsidP="00B72BB2">
      <w:pPr>
        <w:rPr>
          <w:szCs w:val="24"/>
        </w:rPr>
      </w:pPr>
      <w:r w:rsidRPr="00E03AB9">
        <w:t>Som en del av skrivningarna om beskattningen av trafiken konstateras det i regeringsprogrammet att beskattningen på drivmedel höjs med 250 miljoner euro under valperioden.</w:t>
      </w:r>
    </w:p>
    <w:p w:rsidR="00845162" w:rsidRPr="00E03AB9" w:rsidRDefault="00845162" w:rsidP="00B72BB2">
      <w:pPr>
        <w:rPr>
          <w:sz w:val="22"/>
          <w:szCs w:val="22"/>
        </w:rPr>
      </w:pPr>
    </w:p>
    <w:p w:rsidR="005902AA" w:rsidRPr="00E03AB9" w:rsidRDefault="00920056" w:rsidP="00B72BB2">
      <w:pPr>
        <w:pStyle w:val="LLPerustelujenkappalejako"/>
        <w:spacing w:line="240" w:lineRule="auto"/>
        <w:jc w:val="left"/>
        <w:rPr>
          <w:sz w:val="24"/>
        </w:rPr>
      </w:pPr>
      <w:r w:rsidRPr="00E03AB9">
        <w:rPr>
          <w:sz w:val="24"/>
        </w:rPr>
        <w:t xml:space="preserve">Med de höjningar av skatterna på bränslen som föreslås i denna proposition genomförs den i regeringsprogrammet nämnda höjningen av skatterna på drivmedel.  </w:t>
      </w:r>
    </w:p>
    <w:p w:rsidR="007701C1" w:rsidRPr="00E03AB9" w:rsidRDefault="00FE2CC5" w:rsidP="00B72BB2">
      <w:pPr>
        <w:pStyle w:val="LLPerustelujenkappalejako"/>
        <w:spacing w:line="240" w:lineRule="auto"/>
        <w:jc w:val="left"/>
        <w:rPr>
          <w:sz w:val="24"/>
        </w:rPr>
      </w:pPr>
      <w:r w:rsidRPr="00E03AB9">
        <w:rPr>
          <w:sz w:val="24"/>
        </w:rPr>
        <w:t xml:space="preserve">Med ändringen av punktskattelagen genomförs rådets direktiv (EU) 2019/475. Direktivet har utfärdats för ändring av direktiven 2006/112/EG, nedan </w:t>
      </w:r>
      <w:r w:rsidRPr="00E03AB9">
        <w:rPr>
          <w:i/>
          <w:iCs/>
          <w:sz w:val="24"/>
        </w:rPr>
        <w:t>mervärdesskattedirektivet</w:t>
      </w:r>
      <w:r w:rsidRPr="00E03AB9">
        <w:rPr>
          <w:sz w:val="24"/>
        </w:rPr>
        <w:t xml:space="preserve">, och 2008/118/EG, nedan </w:t>
      </w:r>
      <w:r w:rsidRPr="00E03AB9">
        <w:rPr>
          <w:i/>
          <w:iCs/>
          <w:sz w:val="24"/>
        </w:rPr>
        <w:t>punktskattedirektivet</w:t>
      </w:r>
      <w:r w:rsidRPr="00E03AB9">
        <w:rPr>
          <w:sz w:val="24"/>
        </w:rPr>
        <w:t xml:space="preserve">, vad gäller inkluderingen av den </w:t>
      </w:r>
      <w:r w:rsidRPr="00E03AB9">
        <w:rPr>
          <w:sz w:val="24"/>
        </w:rPr>
        <w:lastRenderedPageBreak/>
        <w:t xml:space="preserve">italienska kommunen </w:t>
      </w:r>
      <w:proofErr w:type="spellStart"/>
      <w:r w:rsidRPr="00E03AB9">
        <w:rPr>
          <w:sz w:val="24"/>
        </w:rPr>
        <w:t>Campione</w:t>
      </w:r>
      <w:proofErr w:type="spellEnd"/>
      <w:r w:rsidRPr="00E03AB9">
        <w:rPr>
          <w:sz w:val="24"/>
        </w:rPr>
        <w:t xml:space="preserve"> d'Italia och de italienska delarna av Luganosjön i unionens tullområde och i den territoriella tillämpningen av punktskattedirektivet. </w:t>
      </w:r>
      <w:r w:rsidRPr="00E03AB9">
        <w:t>Av denna orsak upphävdes artikel 5.3 leden f och g som gäller punktskattedirektivets definition av tredjeterritorium.</w:t>
      </w:r>
      <w:r w:rsidRPr="00E03AB9">
        <w:rPr>
          <w:sz w:val="24"/>
        </w:rPr>
        <w:t xml:space="preserve"> Områdena i fråga lämnades utanför det regionala tillämpningsområdet för mervärdesskattedirektivet.</w:t>
      </w:r>
    </w:p>
    <w:p w:rsidR="00276A6E" w:rsidRPr="00E03AB9" w:rsidRDefault="00276A6E" w:rsidP="00F85E77">
      <w:pPr>
        <w:pStyle w:val="LLP2Otsikkotaso"/>
      </w:pPr>
      <w:bookmarkStart w:id="6" w:name="_Toc19199021"/>
      <w:r w:rsidRPr="00E03AB9">
        <w:t>Beredning</w:t>
      </w:r>
      <w:bookmarkEnd w:id="6"/>
    </w:p>
    <w:p w:rsidR="00C6702C" w:rsidRPr="00E03AB9" w:rsidRDefault="00C6702C" w:rsidP="00B72BB2">
      <w:pPr>
        <w:pStyle w:val="LLPerustelujenkappalejako"/>
        <w:spacing w:line="240" w:lineRule="auto"/>
        <w:jc w:val="left"/>
        <w:rPr>
          <w:sz w:val="24"/>
        </w:rPr>
      </w:pPr>
      <w:r w:rsidRPr="00E03AB9">
        <w:rPr>
          <w:sz w:val="24"/>
        </w:rPr>
        <w:t>Propositionen har beretts vid finansministeriet.</w:t>
      </w:r>
    </w:p>
    <w:p w:rsidR="00C6702C" w:rsidRPr="00E03AB9" w:rsidRDefault="00C6702C" w:rsidP="00B72BB2">
      <w:pPr>
        <w:pStyle w:val="LLPerustelujenkappalejako"/>
        <w:spacing w:line="240" w:lineRule="auto"/>
        <w:jc w:val="left"/>
        <w:rPr>
          <w:sz w:val="24"/>
        </w:rPr>
      </w:pPr>
      <w:r w:rsidRPr="00E03AB9">
        <w:rPr>
          <w:sz w:val="24"/>
        </w:rPr>
        <w:t>Utlåtanden om propositionen lämnades av ...</w:t>
      </w:r>
    </w:p>
    <w:p w:rsidR="00E81097" w:rsidRPr="00E81097" w:rsidRDefault="00522A88" w:rsidP="00E81097">
      <w:pPr>
        <w:pStyle w:val="LLPerustelujenkappalejako"/>
        <w:rPr>
          <w:sz w:val="24"/>
        </w:rPr>
      </w:pPr>
      <w:r w:rsidRPr="00E03AB9">
        <w:rPr>
          <w:sz w:val="24"/>
        </w:rPr>
        <w:t xml:space="preserve">Rådets direktiv (EU) 2019/475 som ligger </w:t>
      </w:r>
      <w:r w:rsidRPr="00E81097">
        <w:rPr>
          <w:sz w:val="24"/>
        </w:rPr>
        <w:t>till grund för ändringen av pun</w:t>
      </w:r>
      <w:r w:rsidR="008E29BF" w:rsidRPr="00E81097">
        <w:rPr>
          <w:sz w:val="24"/>
        </w:rPr>
        <w:t>k</w:t>
      </w:r>
      <w:r w:rsidRPr="00E81097">
        <w:rPr>
          <w:sz w:val="24"/>
        </w:rPr>
        <w:t xml:space="preserve">tskattelagen, en U-skrivelse om ärendet (U 36/2018 </w:t>
      </w:r>
      <w:proofErr w:type="spellStart"/>
      <w:r w:rsidRPr="00E81097">
        <w:rPr>
          <w:sz w:val="24"/>
        </w:rPr>
        <w:t>rd</w:t>
      </w:r>
      <w:proofErr w:type="spellEnd"/>
      <w:r w:rsidR="00E81097" w:rsidRPr="00E81097">
        <w:rPr>
          <w:sz w:val="24"/>
        </w:rPr>
        <w:t xml:space="preserve">, </w:t>
      </w:r>
      <w:hyperlink r:id="rId8" w:history="1">
        <w:r w:rsidR="00E81097" w:rsidRPr="00E81097">
          <w:rPr>
            <w:rStyle w:val="Hyperlinkki"/>
            <w:sz w:val="24"/>
          </w:rPr>
          <w:t>https://www.eduskunta.fi/FI/vaski/Kirjelma/Sivut/U_36+2018.aspx</w:t>
        </w:r>
      </w:hyperlink>
      <w:r w:rsidRPr="00E81097">
        <w:rPr>
          <w:sz w:val="24"/>
        </w:rPr>
        <w:t>) och utlåtandena om det finns i statsrådets tjänst för p</w:t>
      </w:r>
      <w:r w:rsidR="00E81097" w:rsidRPr="00E81097">
        <w:rPr>
          <w:sz w:val="24"/>
        </w:rPr>
        <w:t xml:space="preserve">rojektinformation på adressen </w:t>
      </w:r>
      <w:hyperlink r:id="rId9" w:history="1">
        <w:r w:rsidR="00E81097" w:rsidRPr="00E81097">
          <w:rPr>
            <w:rStyle w:val="Hyperlinkki"/>
            <w:sz w:val="24"/>
          </w:rPr>
          <w:t>https://vm.fi/hanke?tunnus=VM099:00/2019</w:t>
        </w:r>
      </w:hyperlink>
      <w:r w:rsidR="00E81097" w:rsidRPr="00E81097">
        <w:rPr>
          <w:sz w:val="24"/>
        </w:rPr>
        <w:t>.</w:t>
      </w:r>
    </w:p>
    <w:p w:rsidR="00F743F0" w:rsidRPr="00E03AB9" w:rsidRDefault="00F743F0" w:rsidP="00F85E77">
      <w:pPr>
        <w:pStyle w:val="LLP1Otsikkotaso"/>
      </w:pPr>
      <w:bookmarkStart w:id="7" w:name="_Toc19199022"/>
      <w:r w:rsidRPr="00E03AB9">
        <w:t>Nuläge och bedömning av nuläget</w:t>
      </w:r>
      <w:bookmarkEnd w:id="7"/>
    </w:p>
    <w:p w:rsidR="00F743F0" w:rsidRPr="00E03AB9" w:rsidRDefault="00F743F0" w:rsidP="00F85E77">
      <w:pPr>
        <w:pStyle w:val="LLP2Otsikkotaso"/>
      </w:pPr>
      <w:r w:rsidRPr="00E03AB9">
        <w:t xml:space="preserve"> </w:t>
      </w:r>
      <w:bookmarkStart w:id="8" w:name="_Toc19199023"/>
      <w:r w:rsidRPr="00E03AB9">
        <w:t>Lagstiftning</w:t>
      </w:r>
      <w:bookmarkEnd w:id="8"/>
      <w:r w:rsidRPr="00E03AB9">
        <w:t xml:space="preserve"> </w:t>
      </w:r>
    </w:p>
    <w:p w:rsidR="00F743F0" w:rsidRPr="00E03AB9" w:rsidRDefault="00F743F0" w:rsidP="00B72BB2">
      <w:pPr>
        <w:pStyle w:val="LLNormaali"/>
        <w:spacing w:line="240" w:lineRule="auto"/>
        <w:rPr>
          <w:sz w:val="24"/>
        </w:rPr>
      </w:pPr>
      <w:r w:rsidRPr="00E03AB9">
        <w:rPr>
          <w:sz w:val="24"/>
        </w:rPr>
        <w:t>Nationell lagstiftning</w:t>
      </w:r>
    </w:p>
    <w:p w:rsidR="00F743F0" w:rsidRPr="00E03AB9" w:rsidRDefault="00F743F0" w:rsidP="00B72BB2">
      <w:pPr>
        <w:pStyle w:val="LLNormaali"/>
        <w:spacing w:line="240" w:lineRule="auto"/>
      </w:pPr>
    </w:p>
    <w:p w:rsidR="00EB493C" w:rsidRPr="00E03AB9" w:rsidRDefault="00EB493C" w:rsidP="00B72BB2">
      <w:pPr>
        <w:shd w:val="clear" w:color="auto" w:fill="FFFFFF"/>
        <w:rPr>
          <w:szCs w:val="24"/>
        </w:rPr>
      </w:pPr>
      <w:r w:rsidRPr="00E03AB9">
        <w:rPr>
          <w:szCs w:val="24"/>
        </w:rPr>
        <w:t xml:space="preserve">Lagen om punktskatt på flytande bränslen (1472/1994), nedan </w:t>
      </w:r>
      <w:r w:rsidRPr="00E03AB9">
        <w:rPr>
          <w:i/>
          <w:iCs/>
          <w:szCs w:val="24"/>
        </w:rPr>
        <w:t>bränsleskattelagen</w:t>
      </w:r>
      <w:r w:rsidRPr="00E03AB9">
        <w:rPr>
          <w:szCs w:val="24"/>
        </w:rPr>
        <w:t>, ändrades i samband med energiskattereformen genom lag 1399/2010 vid ingången av 2011 så, att den literbaserade punktskatten på bränslen ändrades till en energiinnehållsskatt baserad på bränslets energiinnehåll, alltså dess värmevärde, och till en koldioxidskatt baserad på det specifika koldioxidutsläpp som uppstår vid förbränning. </w:t>
      </w:r>
    </w:p>
    <w:p w:rsidR="00833C54" w:rsidRPr="00E03AB9" w:rsidRDefault="00833C54" w:rsidP="00B72BB2">
      <w:pPr>
        <w:shd w:val="clear" w:color="auto" w:fill="FFFFFF"/>
        <w:rPr>
          <w:szCs w:val="24"/>
          <w:lang w:eastAsia="fi-FI"/>
        </w:rPr>
      </w:pPr>
    </w:p>
    <w:p w:rsidR="003369E6" w:rsidRPr="00E03AB9" w:rsidRDefault="00EB493C" w:rsidP="00B72BB2">
      <w:pPr>
        <w:shd w:val="clear" w:color="auto" w:fill="FFFFFF"/>
        <w:rPr>
          <w:szCs w:val="24"/>
        </w:rPr>
      </w:pPr>
      <w:r w:rsidRPr="00E03AB9">
        <w:rPr>
          <w:szCs w:val="24"/>
        </w:rPr>
        <w:t xml:space="preserve">För närvarande är energiinnehållsskatten 0,01631 euro per megajoule och koldioxidskatten 62 euro per ton koldioxidekvivalenter, vilket innebär att koldioxidskatten på t.ex. motorbensin är 0,0051 euro per megajoule.  I skattetabellen i bilagan till bränsleskattelagen har skattebeloppet för tydlighetens skull ändrats till skatt per beskattningsbar enhet för respektive bränsle. När det gäller drivmedel är energiinnehållskatten på fossil bensin 52,19 cent per liter och koldioxidskatten 17,38 cent per liter. </w:t>
      </w:r>
    </w:p>
    <w:p w:rsidR="003369E6" w:rsidRPr="00E03AB9" w:rsidRDefault="003369E6" w:rsidP="00B72BB2">
      <w:pPr>
        <w:shd w:val="clear" w:color="auto" w:fill="FFFFFF"/>
        <w:rPr>
          <w:szCs w:val="24"/>
          <w:lang w:eastAsia="fi-FI"/>
        </w:rPr>
      </w:pPr>
    </w:p>
    <w:p w:rsidR="00EB493C" w:rsidRPr="00E03AB9" w:rsidRDefault="00EB493C" w:rsidP="00B72BB2">
      <w:pPr>
        <w:shd w:val="clear" w:color="auto" w:fill="FFFFFF"/>
        <w:rPr>
          <w:szCs w:val="24"/>
        </w:rPr>
      </w:pPr>
      <w:r w:rsidRPr="00E03AB9">
        <w:rPr>
          <w:szCs w:val="24"/>
        </w:rPr>
        <w:t xml:space="preserve">Alla fossila och biobaserade drivmedel ska i regel ha samma energiinnehållsskatt som är bunden till skattenivån på bensin. Nivån på energiinnehållsskatten på fossil och biobaserad dieselolja, som huvudsakligen används i nyttotrafik, är dock inte lika hög som skatten på motorbensin och ersättande biobaserade bränslen, som främst används i personbilstrafik. Målet med den lindrigare beskattningen av dieselolja har varit att sänka kostnaderna för bl.a. annat lastbilstrafiken och därigenom för exportindustrin samt för busstrafiken. Detta har genomförts så att energiinnehållsskatten på dieselolja och ersättande bränslen sänks med en fast summa på 0,0072 cent per megajoule, vilket </w:t>
      </w:r>
      <w:r w:rsidRPr="00E03AB9">
        <w:rPr>
          <w:szCs w:val="24"/>
        </w:rPr>
        <w:lastRenderedPageBreak/>
        <w:t>för en liter traditionell fossil dieselolja innebär en skattesänkning på 25,95 cent jämfört med den nivå som skattegrunden förutsätter. Energiinnehållsskatten på fossil dieselolja är enligt skattetabellen 32,77 cent per liter och koldioxidskatten 19,90 cent per liter. Eftersom energiinnehållsskatten på dieselolja är lägre (0,00911 euro per megajoule) än skattens miljörelaterade grunder förutsätter (0,01631 euro per megajoule) och eftersom det inte finns miljörelaterade eller andra grunder för att gynna dieseldrivna personbilar, tas det för dieseldrivna personbilar ut en drivkraftsskatt i samband med fordonsskatten. På detta sätt kompletteras bränslebeskattningen och förenhetligas de kostnadsskillnader för bilister med ett genomsnittligt antal körda kilometer per år som orsakas av att bensin och dieselolja beskattas på olika sätt samt säkerställs det krav på en neutral energibeskattning som förutsätts i bestämmelserna om statligt stöd. Drivkraftsskatt tas ut för personbilar som drivs med dieselolja men också för personbilar vars drivkraft är någon annan drivkraft som beskattas lindrigare än bensin, för att en objektiv och neutral beskattning som är förenlig med energiskattesystemets natur och som förutsätts enligt bestämmelserna om statligt stöd ska uppfyllas också i fråga om dem.</w:t>
      </w:r>
    </w:p>
    <w:p w:rsidR="00EB493C" w:rsidRPr="00E03AB9" w:rsidRDefault="00EB493C" w:rsidP="00B72BB2">
      <w:pPr>
        <w:shd w:val="clear" w:color="auto" w:fill="FFFFFF"/>
        <w:rPr>
          <w:szCs w:val="24"/>
        </w:rPr>
      </w:pPr>
      <w:r w:rsidRPr="00E03AB9">
        <w:rPr>
          <w:szCs w:val="24"/>
        </w:rPr>
        <w:t> </w:t>
      </w:r>
    </w:p>
    <w:p w:rsidR="00EB493C" w:rsidRPr="00E03AB9" w:rsidRDefault="00EB493C" w:rsidP="00B72BB2">
      <w:pPr>
        <w:shd w:val="clear" w:color="auto" w:fill="FFFFFF"/>
        <w:rPr>
          <w:szCs w:val="24"/>
        </w:rPr>
      </w:pPr>
      <w:r w:rsidRPr="00E03AB9">
        <w:rPr>
          <w:szCs w:val="24"/>
        </w:rPr>
        <w:t>Även när det gäller biobaserade bensin- och dieselkvaliteter bestäms energiinnehållsskatten på basis av deras värmevärde, och den literbaserade energiinnehållskatten är därför lägre på dem än på motsvarande fossila bränslen. </w:t>
      </w:r>
    </w:p>
    <w:p w:rsidR="00EB493C" w:rsidRPr="00E03AB9" w:rsidRDefault="00EB493C" w:rsidP="00B72BB2">
      <w:pPr>
        <w:shd w:val="clear" w:color="auto" w:fill="FFFFFF"/>
        <w:rPr>
          <w:szCs w:val="24"/>
          <w:lang w:eastAsia="fi-FI"/>
        </w:rPr>
      </w:pPr>
    </w:p>
    <w:p w:rsidR="00EB493C" w:rsidRPr="00E03AB9" w:rsidRDefault="00EB493C" w:rsidP="00B72BB2">
      <w:pPr>
        <w:shd w:val="clear" w:color="auto" w:fill="FFFFFF"/>
        <w:rPr>
          <w:szCs w:val="24"/>
        </w:rPr>
      </w:pPr>
      <w:r w:rsidRPr="00E03AB9">
        <w:rPr>
          <w:szCs w:val="24"/>
        </w:rPr>
        <w:t xml:space="preserve">För bränslekvaliteter som är bättre än traditionella fossila bränslen när det gäller lokala utsläpp beviljas en nedsättning av energiinnehållsskatten. Denna motsvarar det av Teknologiska forskningscentralen VTT AB kalkylerade värdet av utsläppsvinsten enligt beräkningskriterierna för 2010. För </w:t>
      </w:r>
      <w:proofErr w:type="spellStart"/>
      <w:r w:rsidRPr="00E03AB9">
        <w:rPr>
          <w:szCs w:val="24"/>
        </w:rPr>
        <w:t>paraffiniskt</w:t>
      </w:r>
      <w:proofErr w:type="spellEnd"/>
      <w:r w:rsidRPr="00E03AB9">
        <w:rPr>
          <w:szCs w:val="24"/>
        </w:rPr>
        <w:t xml:space="preserve"> dieselbränsle beviljas en nedsättning av energiinnehållsskatten på fem cent. Vid kalkyleringen av utsläppsvinsten betonades de kalkylerade utsläppsvinster som kan nås för bussar i utsläppsklass EURO II med tillämpning av de höjda skadevärdena för utsläpp av kväve och utsläpp av fina partiklar i enlighet med Europaparlamentets och rådets direktiv 2009/33/EG om främjande av rena och energieffektiva vägtransportfordon. </w:t>
      </w:r>
    </w:p>
    <w:p w:rsidR="00EB493C" w:rsidRPr="00E03AB9" w:rsidRDefault="00EB493C" w:rsidP="00B72BB2">
      <w:pPr>
        <w:shd w:val="clear" w:color="auto" w:fill="FFFFFF"/>
        <w:rPr>
          <w:szCs w:val="24"/>
          <w:lang w:eastAsia="fi-FI"/>
        </w:rPr>
      </w:pPr>
    </w:p>
    <w:p w:rsidR="00EB493C" w:rsidRPr="00E03AB9" w:rsidRDefault="004E3AD4" w:rsidP="00B72BB2">
      <w:pPr>
        <w:shd w:val="clear" w:color="auto" w:fill="FFFFFF"/>
        <w:rPr>
          <w:szCs w:val="24"/>
        </w:rPr>
      </w:pPr>
      <w:r w:rsidRPr="00E03AB9">
        <w:rPr>
          <w:szCs w:val="24"/>
        </w:rPr>
        <w:t>Beräkningsgrunden för koldioxidskatten på drivmedel är ett värde om 62 euro per ton koldioxid samt en specifik koefficient för ko</w:t>
      </w:r>
      <w:r w:rsidR="008E29BF" w:rsidRPr="00E03AB9">
        <w:rPr>
          <w:szCs w:val="24"/>
        </w:rPr>
        <w:t>ldioxidutsläpp för varje fossil</w:t>
      </w:r>
      <w:r w:rsidRPr="00E03AB9">
        <w:rPr>
          <w:szCs w:val="24"/>
        </w:rPr>
        <w:t xml:space="preserve"> produkt. Koldioxidskatten på både fossila och biobaserade bränslen är i likhet med energiinnehållsskatten relaterad till bränslets värmevärde, vilket innebär att skatten per liter är lägre för biobaserade bränslen än för fossila. </w:t>
      </w:r>
    </w:p>
    <w:p w:rsidR="00EB493C" w:rsidRPr="00E03AB9" w:rsidRDefault="00EB493C" w:rsidP="00B72BB2">
      <w:pPr>
        <w:shd w:val="clear" w:color="auto" w:fill="FFFFFF"/>
        <w:rPr>
          <w:szCs w:val="24"/>
          <w:lang w:eastAsia="fi-FI"/>
        </w:rPr>
      </w:pPr>
    </w:p>
    <w:p w:rsidR="00EB493C" w:rsidRPr="00E03AB9" w:rsidRDefault="00EB493C" w:rsidP="00B72BB2">
      <w:pPr>
        <w:shd w:val="clear" w:color="auto" w:fill="FFFFFF"/>
        <w:rPr>
          <w:szCs w:val="24"/>
        </w:rPr>
      </w:pPr>
      <w:r w:rsidRPr="00E03AB9">
        <w:rPr>
          <w:szCs w:val="24"/>
        </w:rPr>
        <w:t xml:space="preserve">Koldioxidskatten på biodrivmedel som uppfyller hållbarhetskriterierna sänks i proportion till skattenivån för ett motsvarande fossilt bränsle, eftersom man anser att man med hjälp av biodrivmedel kan åstadkomma en minskning av koldioxidutsläppen under hela livscykeln jämfört med om motsvarande fossila bränslen används. Vid bedömningen av växthusgasutsläpp från biodrivmedel har utgångspunkterna för EU:s </w:t>
      </w:r>
      <w:r w:rsidRPr="00E03AB9">
        <w:rPr>
          <w:szCs w:val="24"/>
        </w:rPr>
        <w:lastRenderedPageBreak/>
        <w:t xml:space="preserve">lagstiftning om hållbarhetskriterier använts. Bestämmelser om hållbarhetskriterierna ingår i Europaparlamentets och rådets direktiv 2009/28/EG om främjande av användningen av energi från förnybara energikällor och om ändring och ett senare upphävande av direktiven 2001/77/EG och 2003/30/EG, nedan </w:t>
      </w:r>
      <w:r w:rsidRPr="00E03AB9">
        <w:rPr>
          <w:i/>
          <w:iCs/>
          <w:szCs w:val="24"/>
        </w:rPr>
        <w:t>RES-direktivet</w:t>
      </w:r>
      <w:r w:rsidRPr="00E03AB9">
        <w:rPr>
          <w:szCs w:val="24"/>
        </w:rPr>
        <w:t xml:space="preserve">. I direktivet anges normalvärden för den minskning av växthusgasutsläpp från biodrivmedel som man kan uppnå under deras livscykel i relation till minskningen av växthusgasutsläpp från fossila bränslen under deras livscykel. Utgångspunkten för RES-direktivet är att man genom att använda i direktivet avsedda hållbara biodrivmedel till en början ska kunna minska växthusgasutsläppen med 35 procent och senare med minst 50 procent jämfört med motsvarande fossila bränslen. Biodrivmedel som framställs av avfall, restprodukter, cellulosa från icke-livsmedel eller material som innehåller både cellulosa och lignin, vilka avses i artikel 21.2 i nämnda direktiv, nedan </w:t>
      </w:r>
      <w:r w:rsidRPr="00E03AB9">
        <w:rPr>
          <w:i/>
          <w:iCs/>
          <w:szCs w:val="24"/>
        </w:rPr>
        <w:t>dubbelt räknade biodrivmedel</w:t>
      </w:r>
      <w:r w:rsidRPr="00E03AB9">
        <w:rPr>
          <w:szCs w:val="24"/>
        </w:rPr>
        <w:t>, betraktas i direktivet i praktiken som nästan helt neutrala drivmedel med avseende på halten av växthusgaser. </w:t>
      </w:r>
    </w:p>
    <w:p w:rsidR="00EB493C" w:rsidRPr="00E03AB9" w:rsidRDefault="00EB493C" w:rsidP="00B72BB2">
      <w:pPr>
        <w:shd w:val="clear" w:color="auto" w:fill="FFFFFF"/>
        <w:rPr>
          <w:szCs w:val="24"/>
          <w:lang w:eastAsia="fi-FI"/>
        </w:rPr>
      </w:pPr>
    </w:p>
    <w:p w:rsidR="00EB493C" w:rsidRPr="00E03AB9" w:rsidRDefault="00EB493C" w:rsidP="00B72BB2">
      <w:pPr>
        <w:shd w:val="clear" w:color="auto" w:fill="FFFFFF"/>
        <w:rPr>
          <w:szCs w:val="24"/>
        </w:rPr>
      </w:pPr>
      <w:r w:rsidRPr="00E03AB9">
        <w:rPr>
          <w:szCs w:val="24"/>
        </w:rPr>
        <w:t>Koldioxidskatten har halverats för biobränslen som uppfyller hållbarhetskriterierna, så kallade första generationens biobränslen, exempelvis jordbruksbaserad etanol och biodiesel. Dubbelt räknade, s.k. andra generationens biodrivmedel är befriade från koldioxidskatt, eftersom de kan betraktas som nästan neutrala drivmedel med avseende på sin koldioxidbalans och eftersom deras råvaror inte kan utnyttjas vid matproduktion. </w:t>
      </w:r>
    </w:p>
    <w:p w:rsidR="00E944F4" w:rsidRPr="00E03AB9" w:rsidRDefault="00E944F4" w:rsidP="00B72BB2">
      <w:pPr>
        <w:shd w:val="clear" w:color="auto" w:fill="FFFFFF"/>
        <w:rPr>
          <w:szCs w:val="24"/>
          <w:lang w:eastAsia="fi-FI"/>
        </w:rPr>
      </w:pPr>
    </w:p>
    <w:p w:rsidR="00403051" w:rsidRPr="00E03AB9" w:rsidRDefault="00403051" w:rsidP="00403051">
      <w:pPr>
        <w:shd w:val="clear" w:color="auto" w:fill="FFFFFF"/>
        <w:rPr>
          <w:szCs w:val="24"/>
        </w:rPr>
      </w:pPr>
      <w:r w:rsidRPr="00E03AB9">
        <w:rPr>
          <w:szCs w:val="24"/>
        </w:rPr>
        <w:t>Beräkningsgrunden för koldioxidskatten på drivmedel preciserades 2012 genom en ändring av bränsleskattelagen (256/2012) så att de genomsnittliga växthusgasutsläppen under bränslets hela livscykel beaktas enligt EU-kommissionens krav, inte bara i fråga om koldioxidutsläppen för biodrivmedel utan också i fråga om fossil motorbensin och dieselolja. I praktiken innebar detta att koefficienten för koldioxidutsläpp för fossila motorbensin- och dieselkvaliteter höjdes med ca 20 procent. Ändringen inverkade inte på de nationella skattenivåerna per liter på grund av den sänkning av värdet per ton koldioxid som genomfördes samtidigt. Genom ändringen förenhetligades skattegrunderna för fossila och biobaserade drivmedel för att undvika problem med statligt stöd i anslutning till beskattning. </w:t>
      </w:r>
    </w:p>
    <w:p w:rsidR="00403051" w:rsidRPr="00E03AB9" w:rsidRDefault="00403051" w:rsidP="00B72BB2">
      <w:pPr>
        <w:shd w:val="clear" w:color="auto" w:fill="FFFFFF"/>
        <w:rPr>
          <w:szCs w:val="24"/>
          <w:lang w:eastAsia="fi-FI"/>
        </w:rPr>
      </w:pPr>
    </w:p>
    <w:p w:rsidR="0070452A" w:rsidRPr="00E03AB9" w:rsidRDefault="002F0503" w:rsidP="00B72BB2">
      <w:pPr>
        <w:shd w:val="clear" w:color="auto" w:fill="FFFFFF"/>
        <w:rPr>
          <w:szCs w:val="24"/>
        </w:rPr>
      </w:pPr>
      <w:r w:rsidRPr="00E03AB9">
        <w:rPr>
          <w:szCs w:val="24"/>
        </w:rPr>
        <w:t xml:space="preserve">Största delen av drivmedlen på den finländska marknaden är blandningar av flera olika komponenter, där skatt tas ut för varje komponent enligt skattetabellen. På marknaden finns också höginblandade biodrivmedel som är framställda enbart av förnybara råvaror. För varje liter drivmedel som släpps ut på marknaden ska det dock tas ut skatt minst det minimibelopp som anges i EU-lagstiftningen. </w:t>
      </w:r>
    </w:p>
    <w:p w:rsidR="002F0503" w:rsidRPr="00E03AB9" w:rsidRDefault="002F0503" w:rsidP="00B72BB2">
      <w:pPr>
        <w:shd w:val="clear" w:color="auto" w:fill="FFFFFF"/>
        <w:rPr>
          <w:szCs w:val="24"/>
          <w:lang w:eastAsia="fi-FI"/>
        </w:rPr>
      </w:pPr>
    </w:p>
    <w:p w:rsidR="00EB493C" w:rsidRPr="00E03AB9" w:rsidRDefault="00EB493C" w:rsidP="00B72BB2">
      <w:pPr>
        <w:shd w:val="clear" w:color="auto" w:fill="FFFFFF"/>
        <w:rPr>
          <w:szCs w:val="24"/>
        </w:rPr>
      </w:pPr>
      <w:r w:rsidRPr="00E03AB9">
        <w:rPr>
          <w:szCs w:val="24"/>
        </w:rPr>
        <w:t>För både fossila och biobaserade drivmedel tas det i samband med punktskatten ut en försörjningsberedskapsavgift som intäktsförs till en fond utanför statsbudgeten. </w:t>
      </w:r>
    </w:p>
    <w:p w:rsidR="00EB493C" w:rsidRPr="00E03AB9" w:rsidRDefault="00EB493C" w:rsidP="00B72BB2">
      <w:pPr>
        <w:shd w:val="clear" w:color="auto" w:fill="FFFFFF"/>
        <w:rPr>
          <w:szCs w:val="24"/>
          <w:lang w:eastAsia="fi-FI"/>
        </w:rPr>
      </w:pPr>
    </w:p>
    <w:p w:rsidR="00EB493C" w:rsidRPr="00E03AB9" w:rsidRDefault="00EB493C" w:rsidP="00B72BB2">
      <w:pPr>
        <w:shd w:val="clear" w:color="auto" w:fill="FFFFFF"/>
        <w:rPr>
          <w:szCs w:val="24"/>
        </w:rPr>
      </w:pPr>
      <w:r w:rsidRPr="00E03AB9">
        <w:rPr>
          <w:szCs w:val="24"/>
        </w:rPr>
        <w:lastRenderedPageBreak/>
        <w:t>I Finland baserar sig främjandet av användningen av biodrivmedel på en bindande skyldighet för bränsledistributörer att årligen leverera en i lag angiven andel biodrivmedel för att konsumeras som drivmedel för transport. Bestämmelser om distributionsskyldigheten för biodrivmedel finns i lagen om främjande av användningen av biodrivmedel för transport (446/2007). Syftet med beskattningen av bränslen är inte att främja användningen av biodrivmedel utan att beskatta alla bränslen så objektivt och neutralt som möjligt på basis av deras energiinnehåll, koldioxidutsläpp och lokala utsläpp. Beskattningen stöder användningen av sådana fossila och biobaserade drivmedel som är bäst med tanke på miljön. </w:t>
      </w:r>
    </w:p>
    <w:p w:rsidR="00C93C7D" w:rsidRPr="00E03AB9" w:rsidRDefault="00C93C7D" w:rsidP="00B72BB2">
      <w:pPr>
        <w:pStyle w:val="LLNormaali"/>
        <w:spacing w:line="240" w:lineRule="auto"/>
      </w:pPr>
    </w:p>
    <w:p w:rsidR="00F743F0" w:rsidRPr="00E03AB9" w:rsidRDefault="00F743F0" w:rsidP="00B72BB2">
      <w:pPr>
        <w:pStyle w:val="LLNormaali"/>
        <w:spacing w:line="240" w:lineRule="auto"/>
        <w:rPr>
          <w:sz w:val="24"/>
        </w:rPr>
      </w:pPr>
      <w:r w:rsidRPr="00E03AB9">
        <w:rPr>
          <w:sz w:val="24"/>
        </w:rPr>
        <w:t>Lagstiftningen i EU</w:t>
      </w:r>
    </w:p>
    <w:p w:rsidR="008E3DDE" w:rsidRPr="00E03AB9" w:rsidRDefault="008E3DDE" w:rsidP="00B72BB2">
      <w:pPr>
        <w:pStyle w:val="LLNormaali"/>
        <w:spacing w:line="240" w:lineRule="auto"/>
      </w:pPr>
    </w:p>
    <w:p w:rsidR="00DF29A0" w:rsidRPr="00E03AB9" w:rsidRDefault="00DF29A0" w:rsidP="00B72BB2">
      <w:pPr>
        <w:pStyle w:val="LLNormaali"/>
        <w:spacing w:line="240" w:lineRule="auto"/>
        <w:rPr>
          <w:b/>
          <w:sz w:val="24"/>
        </w:rPr>
      </w:pPr>
      <w:r w:rsidRPr="00E03AB9">
        <w:rPr>
          <w:b/>
          <w:sz w:val="24"/>
        </w:rPr>
        <w:t>Energiskattedirektivet</w:t>
      </w:r>
    </w:p>
    <w:p w:rsidR="008E3DDE" w:rsidRPr="00E03AB9" w:rsidRDefault="008E3DDE" w:rsidP="00B72BB2">
      <w:pPr>
        <w:pStyle w:val="LLNormaali"/>
        <w:spacing w:line="240" w:lineRule="auto"/>
      </w:pPr>
    </w:p>
    <w:p w:rsidR="00DF29A0" w:rsidRPr="00E03AB9" w:rsidRDefault="00DF29A0" w:rsidP="00B72BB2">
      <w:pPr>
        <w:shd w:val="clear" w:color="auto" w:fill="FFFFFF"/>
        <w:rPr>
          <w:szCs w:val="24"/>
        </w:rPr>
      </w:pPr>
      <w:r w:rsidRPr="00E03AB9">
        <w:rPr>
          <w:szCs w:val="24"/>
        </w:rPr>
        <w:t xml:space="preserve">Beskattningen av bränslen och elström har förenhetligats i rådets direktiv 2003/96/EG om en omstrukturering av gemenskapsramen för beskattning av energiprodukter och elektricitet, nedan </w:t>
      </w:r>
      <w:r w:rsidRPr="00E03AB9">
        <w:rPr>
          <w:i/>
          <w:iCs/>
          <w:szCs w:val="24"/>
        </w:rPr>
        <w:t>energiskattedirektivet</w:t>
      </w:r>
      <w:r w:rsidRPr="00E03AB9">
        <w:rPr>
          <w:szCs w:val="24"/>
        </w:rPr>
        <w:t xml:space="preserve">. Till de energiprodukter som avses i energiskattedirektivet hör bl.a. motorbensin, dieselolja, flytande biodrivmedel, lätt och tung brännolja, naturgas, </w:t>
      </w:r>
      <w:proofErr w:type="spellStart"/>
      <w:r w:rsidRPr="00E03AB9">
        <w:rPr>
          <w:szCs w:val="24"/>
        </w:rPr>
        <w:t>flytgas</w:t>
      </w:r>
      <w:proofErr w:type="spellEnd"/>
      <w:r w:rsidRPr="00E03AB9">
        <w:rPr>
          <w:szCs w:val="24"/>
        </w:rPr>
        <w:t>, stenkol och elström. </w:t>
      </w:r>
    </w:p>
    <w:p w:rsidR="00DF29A0" w:rsidRPr="00E03AB9" w:rsidRDefault="00DF29A0" w:rsidP="00B72BB2">
      <w:pPr>
        <w:shd w:val="clear" w:color="auto" w:fill="FFFFFF"/>
        <w:rPr>
          <w:szCs w:val="24"/>
          <w:lang w:eastAsia="fi-FI"/>
        </w:rPr>
      </w:pPr>
    </w:p>
    <w:p w:rsidR="00DF29A0" w:rsidRPr="00E03AB9" w:rsidRDefault="00DF29A0" w:rsidP="00B72BB2">
      <w:pPr>
        <w:shd w:val="clear" w:color="auto" w:fill="FFFFFF"/>
        <w:rPr>
          <w:szCs w:val="24"/>
        </w:rPr>
      </w:pPr>
      <w:r w:rsidRPr="00E03AB9">
        <w:rPr>
          <w:szCs w:val="24"/>
        </w:rPr>
        <w:t xml:space="preserve">Enligt energiskattedirektivet ska det på energiprodukter som släpps för förbrukning tas ut en minimiskatt som medlemsstaterna, om de så önskar, får överskrida. I energiskattedirektivet finns det också bestämmelser om beskattningsstrukturen, och dessutom om att det är möjligt att bevilja skattenedsättning t.ex. för bränslen som har bättre miljöegenskaper än andra produkter på marknaden. En förutsättning för att skattenedsättning ska beviljas är att kvaliteten på eller användningen av den produkt som berättigar till nedsättning övervakas så att skattemyndigheten kan försäkra sig om att förutsättningarna för nedsättningen uppfylls. </w:t>
      </w:r>
    </w:p>
    <w:p w:rsidR="00BB5195" w:rsidRPr="00E03AB9" w:rsidRDefault="00BB5195" w:rsidP="00B72BB2">
      <w:pPr>
        <w:shd w:val="clear" w:color="auto" w:fill="FFFFFF"/>
        <w:rPr>
          <w:szCs w:val="24"/>
          <w:lang w:eastAsia="fi-FI"/>
        </w:rPr>
      </w:pPr>
    </w:p>
    <w:p w:rsidR="00DF29A0" w:rsidRPr="00E03AB9" w:rsidRDefault="00DF29A0" w:rsidP="00B72BB2">
      <w:pPr>
        <w:shd w:val="clear" w:color="auto" w:fill="FFFFFF"/>
        <w:rPr>
          <w:rFonts w:ascii="Arial" w:hAnsi="Arial" w:cs="Arial"/>
          <w:sz w:val="21"/>
          <w:szCs w:val="21"/>
        </w:rPr>
      </w:pPr>
      <w:r w:rsidRPr="00E03AB9">
        <w:rPr>
          <w:szCs w:val="24"/>
        </w:rPr>
        <w:t xml:space="preserve">Enligt energiskattedirektivet ska även olika biobaserade bränslen, såsom alkohol och fetter, beskattas enligt samma principer som t.ex. fossil motorbensin, dieselolja eller lätt brännolja. Enligt direktivet är det möjligt att under vissa förutsättningar bevilja skattefrihet eller skattenedsättning för biobaserade bränslen. Skattenedsättningen kan endast gälla den del av bränslet eller bränsleblandningen som är helt och hållet biobaserad. Om det är fråga om en bränsleblandning som består av </w:t>
      </w:r>
      <w:proofErr w:type="spellStart"/>
      <w:r w:rsidRPr="00E03AB9">
        <w:rPr>
          <w:szCs w:val="24"/>
        </w:rPr>
        <w:t>biokomponenter</w:t>
      </w:r>
      <w:proofErr w:type="spellEnd"/>
      <w:r w:rsidRPr="00E03AB9">
        <w:rPr>
          <w:szCs w:val="24"/>
        </w:rPr>
        <w:t xml:space="preserve"> och fossilt bränsle, ska normal skatt på bensin eller dieselolja betalas i fråga om det fossila bränslet. </w:t>
      </w:r>
    </w:p>
    <w:p w:rsidR="00DF29A0" w:rsidRPr="00E03AB9" w:rsidRDefault="00DF29A0" w:rsidP="00B72BB2">
      <w:pPr>
        <w:pStyle w:val="LLNormaali"/>
        <w:spacing w:line="240" w:lineRule="auto"/>
      </w:pPr>
    </w:p>
    <w:p w:rsidR="00DF29A0" w:rsidRPr="00E03AB9" w:rsidRDefault="00DF29A0" w:rsidP="00B72BB2">
      <w:pPr>
        <w:pStyle w:val="LLNormaali"/>
        <w:spacing w:line="240" w:lineRule="auto"/>
        <w:rPr>
          <w:b/>
          <w:sz w:val="24"/>
        </w:rPr>
      </w:pPr>
      <w:r w:rsidRPr="00E03AB9">
        <w:rPr>
          <w:b/>
          <w:sz w:val="24"/>
        </w:rPr>
        <w:t>Bestämmelser om statligt stöd</w:t>
      </w:r>
    </w:p>
    <w:p w:rsidR="00F743F0" w:rsidRPr="00E03AB9" w:rsidRDefault="00F743F0" w:rsidP="00B72BB2">
      <w:pPr>
        <w:pStyle w:val="LLNormaali"/>
        <w:spacing w:line="240" w:lineRule="auto"/>
      </w:pPr>
    </w:p>
    <w:p w:rsidR="00644189" w:rsidRPr="00E03AB9" w:rsidRDefault="00644189" w:rsidP="00644189">
      <w:pPr>
        <w:shd w:val="clear" w:color="auto" w:fill="FFFFFF"/>
        <w:rPr>
          <w:szCs w:val="24"/>
        </w:rPr>
      </w:pPr>
      <w:r w:rsidRPr="00E03AB9">
        <w:rPr>
          <w:szCs w:val="24"/>
        </w:rPr>
        <w:t>Trots att energiskattedirektivet möjliggör olika skattenedsättningar ska stödåtgärderna bedömas utifrån EU:s bestämmelser om statligt stöd och skattediskriminering. </w:t>
      </w:r>
    </w:p>
    <w:p w:rsidR="00DF29A0" w:rsidRPr="00E03AB9" w:rsidRDefault="00DF29A0" w:rsidP="00B72BB2">
      <w:pPr>
        <w:shd w:val="clear" w:color="auto" w:fill="FFFFFF"/>
        <w:rPr>
          <w:szCs w:val="24"/>
        </w:rPr>
      </w:pPr>
      <w:r w:rsidRPr="00E03AB9">
        <w:rPr>
          <w:szCs w:val="24"/>
        </w:rPr>
        <w:lastRenderedPageBreak/>
        <w:t xml:space="preserve">Bestämmelserna i </w:t>
      </w:r>
      <w:proofErr w:type="spellStart"/>
      <w:r w:rsidRPr="00E03AB9">
        <w:rPr>
          <w:szCs w:val="24"/>
        </w:rPr>
        <w:t>EUF</w:t>
      </w:r>
      <w:proofErr w:type="spellEnd"/>
      <w:r w:rsidRPr="00E03AB9">
        <w:rPr>
          <w:szCs w:val="24"/>
        </w:rPr>
        <w:t>-fördraget begränsar användningen av statligt stöd som instrument i den ekonomiska politiken. Enligt artikel 107 i fördraget är stöd som ges av en medlemsstat eller med hjälp av statliga medel, av vilket slag det än är, som snedvrider eller hotar att snedvrida konkurrensen genom att gynna vissa företag eller viss produktion, oförenligt med den inre marknaden i den utsträckning det påverkar handeln mellan medlemsstaterna. Exempelvis ett direkt stöd, en differentiering av skatten eller beviljande av skattefrihet för en viss produkt uppfyller i allmänhet kriterierna för statligt stöd och förutsätter således kommissionens förhandsgodkännande. Ett annat alternativ är att iaktta bestämmelserna i gruppundantagsförordningen, varmed ibruktagandet av en åtgärd inte kräver förhandsgodkännande, men omfattas av kommissionens efterhandskontroll som statligt stöd. </w:t>
      </w:r>
    </w:p>
    <w:p w:rsidR="00DF29A0" w:rsidRPr="00E03AB9" w:rsidRDefault="00DF29A0" w:rsidP="00B72BB2">
      <w:pPr>
        <w:shd w:val="clear" w:color="auto" w:fill="FFFFFF"/>
        <w:rPr>
          <w:szCs w:val="24"/>
          <w:lang w:eastAsia="fi-FI"/>
        </w:rPr>
      </w:pPr>
    </w:p>
    <w:p w:rsidR="00DF29A0" w:rsidRPr="00E03AB9" w:rsidRDefault="00DF29A0" w:rsidP="00B72BB2">
      <w:pPr>
        <w:shd w:val="clear" w:color="auto" w:fill="FFFFFF"/>
        <w:rPr>
          <w:szCs w:val="24"/>
        </w:rPr>
      </w:pPr>
      <w:r w:rsidRPr="00E03AB9">
        <w:rPr>
          <w:szCs w:val="24"/>
        </w:rPr>
        <w:t>Enligt EU:s lagstiftning om statligt stöd och tolkningen av den finns det när det gäller beskattning ett undantag från principen om att en differentiering av skatten kräver kommissionens godkännande. Det går ut på att en beskattningsmässig åtgärd inte betraktas som statligt stöd om åtgärden är förenlig med skattesystemets karaktär och uppbyggnad och om den tillämpas konsekvent t.ex. på alla energiprodukter. Ett exempel på en sådan åtgärd är att skatten differentieras på grundval av en produkts skadliga egenskaper. En produkt som förorsakar mindre skada än andra kan beskattas lindrigare utan att detta betraktas som statligt stöd. Skattegrunden ska emellertid vara objektiv och den ska tillämpas konsekvent på alla konkurrerande produkter. Det energiskattesystem som används i Finland och som bygger på bränslets energiinnehåll, koldioxidutsläpp eller lokala utsläpp grundar sig på ovannämnda princip och anses alltså inte innefatta statligt stöd. När det gäller drivmedel kompletteras energiskattesystemet med en drivkraftsskatt som tas ut på fordon som använder produkter som är lindrigare beskattade än enligt den miljörelaterade skattemodellen. </w:t>
      </w:r>
    </w:p>
    <w:p w:rsidR="00DF29A0" w:rsidRPr="00E03AB9" w:rsidRDefault="00DF29A0" w:rsidP="00B72BB2">
      <w:pPr>
        <w:shd w:val="clear" w:color="auto" w:fill="FFFFFF"/>
        <w:rPr>
          <w:szCs w:val="24"/>
          <w:lang w:eastAsia="fi-FI"/>
        </w:rPr>
      </w:pPr>
    </w:p>
    <w:p w:rsidR="00DF29A0" w:rsidRPr="00E03AB9" w:rsidRDefault="00DF29A0" w:rsidP="00B72BB2">
      <w:pPr>
        <w:shd w:val="clear" w:color="auto" w:fill="FFFFFF"/>
        <w:rPr>
          <w:rFonts w:ascii="Arial" w:hAnsi="Arial" w:cs="Arial"/>
          <w:sz w:val="21"/>
          <w:szCs w:val="21"/>
        </w:rPr>
      </w:pPr>
      <w:r w:rsidRPr="00E03AB9">
        <w:rPr>
          <w:szCs w:val="24"/>
        </w:rPr>
        <w:t>En utgångspunkt för regleringen av statligt stöd och tillämpningen av den är att obligatoriska åtgärder inte får stödas exempelvis genom skattesänkningar eller andra ekonomiska stödåtgärder. Det här innebär t.ex. att det är förbjudet att främja användningen av biodrivmedel med skattesubventioner, om företagen har ålagts bindande förpliktelser att leverera en viss andel sådant drivmedel till marknaden. Det att energiskattesystemet inte innefattar någon skattesubvention som ska betraktas som statligt stöd för biodrivmedel möjliggör i Finland en beskattning som beaktar distributionsskyldigheten för biodrivmedel och drivmedlens energiinnehåll och koldioxidutsläpp.</w:t>
      </w:r>
      <w:r w:rsidRPr="00E03AB9">
        <w:rPr>
          <w:rFonts w:ascii="Arial" w:hAnsi="Arial"/>
          <w:sz w:val="21"/>
          <w:szCs w:val="21"/>
        </w:rPr>
        <w:t> </w:t>
      </w:r>
    </w:p>
    <w:p w:rsidR="00DF29A0" w:rsidRPr="00E03AB9" w:rsidRDefault="00DF29A0" w:rsidP="00B72BB2">
      <w:pPr>
        <w:pStyle w:val="LLNormaali"/>
        <w:spacing w:line="240" w:lineRule="auto"/>
      </w:pPr>
    </w:p>
    <w:p w:rsidR="00C276DD" w:rsidRPr="00E03AB9" w:rsidRDefault="00F743F0" w:rsidP="00F85E77">
      <w:pPr>
        <w:pStyle w:val="LLP2Otsikkotaso"/>
      </w:pPr>
      <w:bookmarkStart w:id="9" w:name="_Toc19199024"/>
      <w:r w:rsidRPr="00E03AB9">
        <w:t>Bedömning av nuläget</w:t>
      </w:r>
      <w:bookmarkEnd w:id="9"/>
      <w:r w:rsidRPr="00E03AB9">
        <w:t xml:space="preserve"> </w:t>
      </w:r>
    </w:p>
    <w:p w:rsidR="00445DE2" w:rsidRPr="00E03AB9" w:rsidRDefault="00445DE2" w:rsidP="00DE55BB">
      <w:pPr>
        <w:pStyle w:val="LLPerustelujenkappalejako"/>
        <w:spacing w:line="240" w:lineRule="auto"/>
        <w:jc w:val="left"/>
        <w:rPr>
          <w:b/>
          <w:sz w:val="24"/>
        </w:rPr>
      </w:pPr>
      <w:r w:rsidRPr="00E03AB9">
        <w:rPr>
          <w:b/>
          <w:sz w:val="24"/>
        </w:rPr>
        <w:t>Skattehöjningar</w:t>
      </w:r>
    </w:p>
    <w:p w:rsidR="00DE55BB" w:rsidRPr="00E03AB9" w:rsidRDefault="00DE55BB" w:rsidP="00DE55BB">
      <w:pPr>
        <w:pStyle w:val="LLPerustelujenkappalejako"/>
        <w:spacing w:line="240" w:lineRule="auto"/>
        <w:jc w:val="left"/>
        <w:rPr>
          <w:sz w:val="24"/>
        </w:rPr>
      </w:pPr>
      <w:r w:rsidRPr="00E03AB9">
        <w:rPr>
          <w:sz w:val="24"/>
        </w:rPr>
        <w:t>De nominella punktskattenivåerna för drivmedel har höjts efter energiskattereformen 2011 åren 2012, 2014, 2015 och 20</w:t>
      </w:r>
      <w:r w:rsidR="008E29BF" w:rsidRPr="00E03AB9">
        <w:rPr>
          <w:sz w:val="24"/>
        </w:rPr>
        <w:t>17. Punktskattenivån för fossil</w:t>
      </w:r>
      <w:r w:rsidRPr="00E03AB9">
        <w:rPr>
          <w:sz w:val="24"/>
        </w:rPr>
        <w:t xml:space="preserve"> bensin har i och </w:t>
      </w:r>
      <w:r w:rsidRPr="00E03AB9">
        <w:rPr>
          <w:sz w:val="24"/>
        </w:rPr>
        <w:lastRenderedPageBreak/>
        <w:t xml:space="preserve">med dessa höjningar stigit med sammanlagt 7,55 cent per liter till 70,25 cent per liter och punktskattenivån för traditionell fossil diesel har stigit med 8,72 cent per liter till 53,02 cent per liter. De genomsnittliga punktskattenivåerna för drivmedel har dock stigit mindre än så, för de har sänkts av att andelen biodrivmedel och </w:t>
      </w:r>
      <w:proofErr w:type="spellStart"/>
      <w:r w:rsidRPr="00E03AB9">
        <w:rPr>
          <w:sz w:val="24"/>
        </w:rPr>
        <w:t>paraffinisk</w:t>
      </w:r>
      <w:proofErr w:type="spellEnd"/>
      <w:r w:rsidRPr="00E03AB9">
        <w:rPr>
          <w:sz w:val="24"/>
        </w:rPr>
        <w:t xml:space="preserve"> dieselolja som beskattas lättare har ökat avsevärt i skattebasen för drivmedel efter energiskattereformen 2011. Denna utveckling har varit synlig särskilt i den genomsnittliga nominella skattenivån för diesel, som har stigit från nivån efter energiskattereformen med endast under tre cent per liter. </w:t>
      </w:r>
    </w:p>
    <w:p w:rsidR="00DE55BB" w:rsidRPr="00E03AB9" w:rsidRDefault="00DE55BB" w:rsidP="00DE55BB">
      <w:pPr>
        <w:pStyle w:val="LLPerustelujenkappalejako"/>
        <w:spacing w:line="240" w:lineRule="auto"/>
        <w:jc w:val="left"/>
        <w:rPr>
          <w:sz w:val="24"/>
        </w:rPr>
      </w:pPr>
      <w:r w:rsidRPr="00E03AB9">
        <w:rPr>
          <w:sz w:val="24"/>
        </w:rPr>
        <w:t xml:space="preserve">Trots att de nominella punktskattenivåerna för drivmedel har stigit har inte heller den reella punktskattenivån för bensin stigit på 2010-talet, eftersom konsumentpriserna och hushållens disponibla inkomster har ökat mer än den genomsnittliga punktskattenivån. År 2018 var punktskattenivån för bensin </w:t>
      </w:r>
      <w:proofErr w:type="spellStart"/>
      <w:r w:rsidRPr="00E03AB9">
        <w:rPr>
          <w:sz w:val="24"/>
        </w:rPr>
        <w:t>deflaterad</w:t>
      </w:r>
      <w:proofErr w:type="spellEnd"/>
      <w:r w:rsidRPr="00E03AB9">
        <w:rPr>
          <w:sz w:val="24"/>
        </w:rPr>
        <w:t xml:space="preserve"> med konsumentprisindex ca tre procent lägre och </w:t>
      </w:r>
      <w:proofErr w:type="spellStart"/>
      <w:r w:rsidRPr="00E03AB9">
        <w:rPr>
          <w:sz w:val="24"/>
        </w:rPr>
        <w:t>deflaterad</w:t>
      </w:r>
      <w:proofErr w:type="spellEnd"/>
      <w:r w:rsidRPr="00E03AB9">
        <w:rPr>
          <w:sz w:val="24"/>
        </w:rPr>
        <w:t xml:space="preserve"> med förtjänstnivåindex ca fem procent lägre än år 2010. </w:t>
      </w:r>
    </w:p>
    <w:p w:rsidR="00DE55BB" w:rsidRPr="00E03AB9" w:rsidRDefault="0033482E" w:rsidP="00DE55BB">
      <w:pPr>
        <w:pStyle w:val="LLPerustelujenkappalejako"/>
        <w:spacing w:line="240" w:lineRule="auto"/>
        <w:jc w:val="left"/>
        <w:rPr>
          <w:sz w:val="24"/>
        </w:rPr>
      </w:pPr>
      <w:r>
        <w:rPr>
          <w:noProof/>
          <w:sz w:val="24"/>
          <w:lang w:val="fi-FI"/>
        </w:rPr>
        <w:drawing>
          <wp:inline distT="0" distB="0" distL="0" distR="0" wp14:anchorId="75B2E135" wp14:editId="6A76A0AB">
            <wp:extent cx="4584700" cy="2670175"/>
            <wp:effectExtent l="0" t="0" r="635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670175"/>
                    </a:xfrm>
                    <a:prstGeom prst="rect">
                      <a:avLst/>
                    </a:prstGeom>
                    <a:noFill/>
                  </pic:spPr>
                </pic:pic>
              </a:graphicData>
            </a:graphic>
          </wp:inline>
        </w:drawing>
      </w:r>
    </w:p>
    <w:p w:rsidR="005858BE" w:rsidRPr="00E03AB9" w:rsidRDefault="001216E1" w:rsidP="005858BE">
      <w:pPr>
        <w:pStyle w:val="LLPerustelujenkappalejako"/>
        <w:spacing w:line="240" w:lineRule="auto"/>
        <w:jc w:val="left"/>
        <w:rPr>
          <w:b/>
          <w:sz w:val="24"/>
        </w:rPr>
      </w:pPr>
      <w:r w:rsidRPr="00E03AB9">
        <w:rPr>
          <w:b/>
          <w:sz w:val="24"/>
        </w:rPr>
        <w:t>Bränsleförbrukning och skatteintäkter</w:t>
      </w:r>
    </w:p>
    <w:p w:rsidR="00DA6F28" w:rsidRPr="00E03AB9" w:rsidRDefault="00AA0A73" w:rsidP="00B72BB2">
      <w:pPr>
        <w:pStyle w:val="LLPerustelujenkappalejako"/>
        <w:spacing w:line="240" w:lineRule="auto"/>
        <w:jc w:val="left"/>
        <w:rPr>
          <w:sz w:val="24"/>
        </w:rPr>
      </w:pPr>
      <w:r w:rsidRPr="00E03AB9">
        <w:rPr>
          <w:sz w:val="24"/>
        </w:rPr>
        <w:t xml:space="preserve">Bensinens andel av förbrukningen av drivmedel uppgår till ca en tredjedel och dieselns andel till ca två tredjedelar. Ungefär hälften av dieselförbrukningen gäller lastbilar, en knapp tredjedel personbilar, en dryg tiondedel paketbilar och knappt en tiondedel bussar. Under det </w:t>
      </w:r>
      <w:r w:rsidR="00893723" w:rsidRPr="00E03AB9">
        <w:rPr>
          <w:sz w:val="24"/>
        </w:rPr>
        <w:t>gångna</w:t>
      </w:r>
      <w:r w:rsidRPr="00E03AB9">
        <w:rPr>
          <w:sz w:val="24"/>
        </w:rPr>
        <w:t xml:space="preserve"> årtiondet har bensinförbrukningen sjunkit i medeltal ca två procent per år. Förbrukningen av diesel och ersättande biodrivmedel har under samma tid ökat med i genomsnitt en procent per år. Från år 2018 till 2030 förutspås </w:t>
      </w:r>
      <w:r w:rsidRPr="00E03AB9">
        <w:rPr>
          <w:sz w:val="24"/>
        </w:rPr>
        <w:lastRenderedPageBreak/>
        <w:t>bensinförbrukningen sjunka med nuvarande lagstiftning med i genomsnitt ca 2,3 procent per år. Dieselförbrukningen uppskattas under samma tid sjunka med i genomsnitt 0,2 procent per år.</w:t>
      </w:r>
    </w:p>
    <w:p w:rsidR="005858BE" w:rsidRPr="00E03AB9" w:rsidRDefault="00C34F5E" w:rsidP="00B72BB2">
      <w:pPr>
        <w:pStyle w:val="LLPerustelujenkappalejako"/>
        <w:spacing w:line="240" w:lineRule="auto"/>
        <w:jc w:val="left"/>
        <w:rPr>
          <w:sz w:val="24"/>
        </w:rPr>
      </w:pPr>
      <w:r w:rsidRPr="00E03AB9">
        <w:rPr>
          <w:sz w:val="24"/>
        </w:rPr>
        <w:t>År 2018 inflöt i intäkter från punktskatt på drivmedel sammanlagt knappt 2,7 miljarder euro, varav andelen för bensin och ersättande biodrivmedel var ca 1,3 miljarder euro och andelen för diesel och ersättande biodrivmedel 1,4 miljarder euro. Intäkterna från drivkraftsskatten på personbilar som anknyter till drivmedelsbeskattningen var år 2018 ca 0,3 miljarder euro. De nominella skatteintäkterna från punktskatter på drivmedel och drivkraftsskatten på personbilar har ökat från år 2010 till och med år 2018 med sammanlagt ca 250 miljoner euro. Dessa skatteintäkters förhållande till bruttonationalprodukten har dock sjunkit från ca 1,5 procent år 2010 till ca 1,3 procent år 2018.</w:t>
      </w:r>
    </w:p>
    <w:p w:rsidR="005E0DFA" w:rsidRPr="00E03AB9" w:rsidRDefault="00D34FCA" w:rsidP="00B72BB2">
      <w:pPr>
        <w:pStyle w:val="LLPerustelujenkappalejako"/>
        <w:spacing w:line="240" w:lineRule="auto"/>
        <w:jc w:val="left"/>
        <w:rPr>
          <w:sz w:val="24"/>
        </w:rPr>
      </w:pPr>
      <w:r w:rsidRPr="00E03AB9">
        <w:rPr>
          <w:sz w:val="24"/>
        </w:rPr>
        <w:t xml:space="preserve">Med nuvarande lagstiftning förutspås de nominella skatteintäkterna från skatter på drivmedel och från drivkraftsskatten sjunka med sammanlagt ca 200 miljoner euro fram till år 2023. Utöver det att skattebasen för drivmedel förutspås minska förklaras de minskade skatteintäkterna av att andelen biodrivmedel som beskattas lättare ökar i skattebasen. Det att andelen biodrivmedel ökar uppskattas minska skatteintäkterna med ca 70 miljoner euro. Skatteintäkternas förhållande till bruttonationalprodukten bedöms sjunka med knappt 0,3 procentenheter, som på 2018 års nivå motsvarar ca 600 miljoner euro. </w:t>
      </w:r>
    </w:p>
    <w:p w:rsidR="00445DE2" w:rsidRPr="00CE3000" w:rsidRDefault="00445DE2" w:rsidP="00CE3000">
      <w:pPr>
        <w:pStyle w:val="LLPerustelujenkappalejako"/>
        <w:spacing w:line="240" w:lineRule="auto"/>
        <w:jc w:val="left"/>
        <w:rPr>
          <w:b/>
          <w:sz w:val="24"/>
        </w:rPr>
      </w:pPr>
      <w:r w:rsidRPr="00CE3000">
        <w:rPr>
          <w:b/>
          <w:sz w:val="24"/>
        </w:rPr>
        <w:t>Priset på drivmede</w:t>
      </w:r>
      <w:r w:rsidR="00CE3000" w:rsidRPr="00CE3000">
        <w:rPr>
          <w:b/>
          <w:sz w:val="24"/>
        </w:rPr>
        <w:t>l</w:t>
      </w:r>
    </w:p>
    <w:p w:rsidR="00445DE2" w:rsidRPr="00E03AB9" w:rsidRDefault="00445DE2" w:rsidP="00445DE2">
      <w:pPr>
        <w:pStyle w:val="LLPerustelujenkappalejako"/>
        <w:spacing w:line="240" w:lineRule="auto"/>
        <w:jc w:val="left"/>
        <w:rPr>
          <w:sz w:val="24"/>
        </w:rPr>
      </w:pPr>
      <w:r w:rsidRPr="00E03AB9">
        <w:rPr>
          <w:sz w:val="24"/>
        </w:rPr>
        <w:t>Enligt Statistikcentralens konsumentprisindex har konsumentpriset för bensin under de första månaderna av år 2019 varit i medeltal ca 1,52 euro per liter, som är ungefär 14 cent mindre än år 2012 och 24 cent högre än år 2016. Konsumentpriset för diesel har under de första månaderna av år 2019 varit ca 1,41 euro per liter, som är ungefär 14 cent mindre än år 2012 och 15 cent högre än år 2016. Särskilt den kraftiga prisfluktuationen på råolja har påverkat de växlande konsumentpriserna för drivmedel. Under de första månaderna av år 2019 har priset på olja varit ca 65 dollar per fat, medan det år 2012 var ca 110 dollar och år 2016 ca 45 dollar per fat. Enligt prognoserna stannar priset per fat för råolja under de närmaste åren vid ca 60 dollar.</w:t>
      </w:r>
    </w:p>
    <w:p w:rsidR="00262CBB" w:rsidRPr="00E03AB9" w:rsidRDefault="00445DE2">
      <w:pPr>
        <w:pStyle w:val="LLPerustelujenkappalejako"/>
        <w:spacing w:line="240" w:lineRule="auto"/>
        <w:jc w:val="left"/>
        <w:rPr>
          <w:sz w:val="24"/>
        </w:rPr>
      </w:pPr>
      <w:r w:rsidRPr="00E03AB9">
        <w:rPr>
          <w:sz w:val="24"/>
        </w:rPr>
        <w:t xml:space="preserve">Konsumentpriserna för drivmedel har utöver de ändrade priserna på råolja och höjningarna av bränsleskatten påverkats av att euron blivit svagare i förhållande till dollarn, av att bränsleskattenivåerna ändrats och av att skyldigheten att tillhandahålla biodrivmedel har blivit strängare. </w:t>
      </w:r>
    </w:p>
    <w:p w:rsidR="00760032" w:rsidRPr="00E03AB9" w:rsidRDefault="00445DE2">
      <w:pPr>
        <w:pStyle w:val="LLPerustelujenkappalejako"/>
        <w:spacing w:line="240" w:lineRule="auto"/>
        <w:jc w:val="left"/>
        <w:rPr>
          <w:sz w:val="24"/>
        </w:rPr>
      </w:pPr>
      <w:r w:rsidRPr="00E03AB9">
        <w:rPr>
          <w:sz w:val="24"/>
        </w:rPr>
        <w:t>I projektet ”</w:t>
      </w:r>
      <w:proofErr w:type="spellStart"/>
      <w:r w:rsidRPr="00E03AB9">
        <w:rPr>
          <w:sz w:val="24"/>
        </w:rPr>
        <w:t>Biopolttoaineiden</w:t>
      </w:r>
      <w:proofErr w:type="spellEnd"/>
      <w:r w:rsidRPr="00E03AB9">
        <w:rPr>
          <w:sz w:val="24"/>
        </w:rPr>
        <w:t xml:space="preserve"> </w:t>
      </w:r>
      <w:proofErr w:type="spellStart"/>
      <w:r w:rsidRPr="00E03AB9">
        <w:rPr>
          <w:sz w:val="24"/>
        </w:rPr>
        <w:t>kustannustehokkaat</w:t>
      </w:r>
      <w:proofErr w:type="spellEnd"/>
      <w:r w:rsidRPr="00E03AB9">
        <w:rPr>
          <w:sz w:val="24"/>
        </w:rPr>
        <w:t xml:space="preserve"> </w:t>
      </w:r>
      <w:proofErr w:type="spellStart"/>
      <w:r w:rsidRPr="00E03AB9">
        <w:rPr>
          <w:sz w:val="24"/>
        </w:rPr>
        <w:t>toteutuspolut</w:t>
      </w:r>
      <w:proofErr w:type="spellEnd"/>
      <w:r w:rsidRPr="00E03AB9">
        <w:rPr>
          <w:sz w:val="24"/>
        </w:rPr>
        <w:t xml:space="preserve"> </w:t>
      </w:r>
      <w:proofErr w:type="spellStart"/>
      <w:r w:rsidRPr="00E03AB9">
        <w:rPr>
          <w:sz w:val="24"/>
        </w:rPr>
        <w:t>vuoteen</w:t>
      </w:r>
      <w:proofErr w:type="spellEnd"/>
      <w:r w:rsidRPr="00E03AB9">
        <w:rPr>
          <w:sz w:val="24"/>
        </w:rPr>
        <w:t xml:space="preserve"> 2030” (”Kostnadseffektiva sätt att nå målen i fråga om biodrivmedel före 2030”) som slutfördes år 2018 inom ramen för Statsrådets utrednings- och forskningsverksamhet, bedömdes det att distributionsskyldigheten för biodrivmedel i huvudsak uppfylls med </w:t>
      </w:r>
      <w:r w:rsidRPr="00E03AB9">
        <w:rPr>
          <w:sz w:val="24"/>
        </w:rPr>
        <w:lastRenderedPageBreak/>
        <w:t>vätebehandlad vegetabilisk olja, vars marknadspris utan skatt beräknades år 2020 vara ca 70</w:t>
      </w:r>
      <w:r w:rsidR="00936EEA" w:rsidRPr="00E03AB9">
        <w:rPr>
          <w:sz w:val="24"/>
        </w:rPr>
        <w:t>0 euro per ton dyrare än fossil</w:t>
      </w:r>
      <w:r w:rsidRPr="00E03AB9">
        <w:rPr>
          <w:sz w:val="24"/>
        </w:rPr>
        <w:t xml:space="preserve"> diesel. Per liter drivmedel innebär detta en skillnad på ca 50 cent i priserna utan skatt. Även om vätebehandlad vegetabilisk olja som överlåtits för konsumtion också i fortsättningen är berättigad till full nedsättning av koldioxidskatten enligt skattemodellen, kommer priset inklusive punktskatt för vätebehandlad vegetabilisk olja som i huvudsak uppfyller distributionsskyldigheten fortsättningsvis att vara över 30 cent per lit</w:t>
      </w:r>
      <w:r w:rsidR="00936EEA" w:rsidRPr="00E03AB9">
        <w:rPr>
          <w:sz w:val="24"/>
        </w:rPr>
        <w:t>er dyrare än motsvarande fossil</w:t>
      </w:r>
      <w:r w:rsidRPr="00E03AB9">
        <w:rPr>
          <w:sz w:val="24"/>
        </w:rPr>
        <w:t xml:space="preserve"> diesel år 2020. Med prisskillnaden i fråga kan det uppskattas att den strängare distributionsskyldigheten i fråga om biodrivmedel har höjt konsumentpriserna på drivmedel under det senaste årtiondet med ca tre cent per liter. </w:t>
      </w:r>
    </w:p>
    <w:p w:rsidR="00EF3DC3" w:rsidRPr="00E03AB9" w:rsidRDefault="00EF3DC3" w:rsidP="00702FD3">
      <w:pPr>
        <w:pStyle w:val="LLPerustelujenkappalejako"/>
        <w:spacing w:line="240" w:lineRule="auto"/>
        <w:jc w:val="left"/>
        <w:rPr>
          <w:b/>
          <w:sz w:val="24"/>
        </w:rPr>
      </w:pPr>
      <w:r w:rsidRPr="00E03AB9">
        <w:rPr>
          <w:b/>
          <w:sz w:val="24"/>
        </w:rPr>
        <w:t>Strukturen hos beskattningen av fordonstrafiken</w:t>
      </w:r>
    </w:p>
    <w:p w:rsidR="004B076F" w:rsidRPr="00E03AB9" w:rsidRDefault="004B076F" w:rsidP="00702FD3">
      <w:pPr>
        <w:pStyle w:val="LLPerustelujenkappalejako"/>
        <w:spacing w:line="240" w:lineRule="auto"/>
        <w:jc w:val="left"/>
        <w:rPr>
          <w:sz w:val="24"/>
        </w:rPr>
      </w:pPr>
      <w:r w:rsidRPr="00E03AB9">
        <w:rPr>
          <w:sz w:val="24"/>
        </w:rPr>
        <w:t xml:space="preserve">Den allmänna strukturen hos drivmedelsbeskattningen, som baserar sig på energiinnehåll, koldioxidutsläpp och lokala utsläpp och som i fråga om personbilar kompletteras av drivkraftsskatten, kan fortfarande anses vara fungerande. Tyngdpunkten inom drivmedelsbeskattningen har efter energiskattereformen 2011 flyttats till koldioxidskatt och dessutom beaktas drivmedlens livscykelutsläpp numera i beskattningen. Under det </w:t>
      </w:r>
      <w:r w:rsidR="008436AF" w:rsidRPr="00E03AB9">
        <w:rPr>
          <w:sz w:val="24"/>
        </w:rPr>
        <w:t>gångna</w:t>
      </w:r>
      <w:r w:rsidRPr="00E03AB9">
        <w:rPr>
          <w:sz w:val="24"/>
        </w:rPr>
        <w:t xml:space="preserve"> årtiondet har det skett en utveckling både i fordonstekniken och i regleringen, vilket ställer krav på att den nuvarande skattenedsättningen på basis av lokala utsläpp uppdateras så att den motsvarar den nuvarande nivån och därmed också kraven enligt reglerna om statligt stöd. Detta ändringsbehov gäller bl.a. skattenedsättningen av </w:t>
      </w:r>
      <w:proofErr w:type="spellStart"/>
      <w:r w:rsidRPr="00E03AB9">
        <w:rPr>
          <w:sz w:val="24"/>
        </w:rPr>
        <w:t>paraffinisk</w:t>
      </w:r>
      <w:proofErr w:type="spellEnd"/>
      <w:r w:rsidRPr="00E03AB9">
        <w:rPr>
          <w:sz w:val="24"/>
        </w:rPr>
        <w:t xml:space="preserve"> dieselo</w:t>
      </w:r>
      <w:r w:rsidR="008436AF" w:rsidRPr="00E03AB9">
        <w:rPr>
          <w:sz w:val="24"/>
        </w:rPr>
        <w:t>l</w:t>
      </w:r>
      <w:r w:rsidRPr="00E03AB9">
        <w:rPr>
          <w:sz w:val="24"/>
        </w:rPr>
        <w:t xml:space="preserve">ja, för vilken det på grund av utvecklingen av fordonstekniken inte längre kan läggas fram motsvarande motiveringar. I denna proposition föreslås dock inga ändringar i skattenedsättningen på basis av lokala utsläpp.  </w:t>
      </w:r>
    </w:p>
    <w:p w:rsidR="008C4887" w:rsidRPr="00E03AB9" w:rsidRDefault="004B076F" w:rsidP="00702FD3">
      <w:pPr>
        <w:pStyle w:val="LLPerustelujenkappalejako"/>
        <w:spacing w:line="240" w:lineRule="auto"/>
        <w:jc w:val="left"/>
        <w:rPr>
          <w:sz w:val="24"/>
        </w:rPr>
      </w:pPr>
      <w:r w:rsidRPr="00E03AB9">
        <w:rPr>
          <w:sz w:val="24"/>
        </w:rPr>
        <w:t>RES-direktivet har förnyats och det ska genomföras slutligt senast i mitten av 2021. Också EU:s lagstiftning om statligt stöd reformeras vid ingången av 2023 enligt aktuella uppgifter. Ändringarna i EU-lagstiftningen kan senare ha återverkningar särskilt på detaljerna kring energibeskattningen av biodrivmedel.</w:t>
      </w:r>
    </w:p>
    <w:p w:rsidR="00F743F0" w:rsidRPr="00E03AB9" w:rsidRDefault="00D9446B" w:rsidP="00F85E77">
      <w:pPr>
        <w:pStyle w:val="LLP1Otsikkotaso"/>
      </w:pPr>
      <w:r w:rsidRPr="00E03AB9">
        <w:t xml:space="preserve"> </w:t>
      </w:r>
      <w:bookmarkStart w:id="10" w:name="_Toc19199025"/>
      <w:r w:rsidRPr="00E03AB9">
        <w:t>Målsättning</w:t>
      </w:r>
      <w:bookmarkEnd w:id="10"/>
    </w:p>
    <w:p w:rsidR="00F743F0" w:rsidRPr="00E03AB9" w:rsidRDefault="00F743F0" w:rsidP="00B72BB2">
      <w:pPr>
        <w:pStyle w:val="LLPerustelujenkappalejako"/>
        <w:spacing w:line="240" w:lineRule="auto"/>
        <w:jc w:val="left"/>
        <w:rPr>
          <w:sz w:val="24"/>
        </w:rPr>
      </w:pPr>
      <w:r w:rsidRPr="00E03AB9">
        <w:rPr>
          <w:sz w:val="24"/>
        </w:rPr>
        <w:t xml:space="preserve">Målsättningen med denna proposition är att i enlighet med regeringsprogrammet för statsminister Antti </w:t>
      </w:r>
      <w:proofErr w:type="gramStart"/>
      <w:r w:rsidRPr="00E03AB9">
        <w:rPr>
          <w:sz w:val="24"/>
        </w:rPr>
        <w:t>Rinnes</w:t>
      </w:r>
      <w:proofErr w:type="gramEnd"/>
      <w:r w:rsidRPr="00E03AB9">
        <w:rPr>
          <w:sz w:val="24"/>
        </w:rPr>
        <w:t xml:space="preserve"> regering stegvis höja punktskatten på drivmedel med 250 miljoner euro. </w:t>
      </w:r>
    </w:p>
    <w:p w:rsidR="00A61EFF" w:rsidRPr="00E03AB9" w:rsidRDefault="00F743F0" w:rsidP="00F2418A">
      <w:pPr>
        <w:pStyle w:val="LLPerustelujenkappalejako"/>
        <w:spacing w:line="240" w:lineRule="auto"/>
        <w:jc w:val="left"/>
        <w:rPr>
          <w:sz w:val="24"/>
        </w:rPr>
      </w:pPr>
      <w:r w:rsidRPr="00E03AB9">
        <w:rPr>
          <w:sz w:val="24"/>
        </w:rPr>
        <w:t>Med skattehöjningen eftersträvas ökade skatteintäkter och bevara</w:t>
      </w:r>
      <w:r w:rsidR="008436AF" w:rsidRPr="00E03AB9">
        <w:rPr>
          <w:sz w:val="24"/>
        </w:rPr>
        <w:t>nde av</w:t>
      </w:r>
      <w:r w:rsidRPr="00E03AB9">
        <w:rPr>
          <w:sz w:val="24"/>
        </w:rPr>
        <w:t xml:space="preserve"> nivån på drivmedelsbeskattningens miljöstyrning.   </w:t>
      </w:r>
    </w:p>
    <w:p w:rsidR="00FD0E48" w:rsidRPr="00E03AB9" w:rsidRDefault="003D50DF" w:rsidP="00F85E77">
      <w:pPr>
        <w:pStyle w:val="LLP1Otsikkotaso"/>
      </w:pPr>
      <w:bookmarkStart w:id="11" w:name="_Toc19199026"/>
      <w:r w:rsidRPr="00E03AB9">
        <w:t>De viktigaste förslagen</w:t>
      </w:r>
      <w:bookmarkEnd w:id="11"/>
      <w:r w:rsidRPr="00E03AB9">
        <w:t xml:space="preserve"> </w:t>
      </w:r>
      <w:r w:rsidR="001D7D4D">
        <w:t>och konsekvenser</w:t>
      </w:r>
    </w:p>
    <w:p w:rsidR="00F743F0" w:rsidRPr="00E03AB9" w:rsidRDefault="00F743F0" w:rsidP="00B72BB2">
      <w:pPr>
        <w:pStyle w:val="LLPerustelujenkappalejako"/>
        <w:spacing w:line="240" w:lineRule="auto"/>
        <w:jc w:val="left"/>
        <w:rPr>
          <w:sz w:val="24"/>
        </w:rPr>
      </w:pPr>
      <w:r w:rsidRPr="00E03AB9">
        <w:rPr>
          <w:sz w:val="24"/>
        </w:rPr>
        <w:lastRenderedPageBreak/>
        <w:t>I denna proposition föreslås det att energiinnehållsskatten på drivmedel höjs från 0,01631 euro till 0,01798 euro per megajoule. Genom att rikta skattehöjningen till energiinnehållsskatten säkerställs det att skattehöjningens styrande verkan samt inverkan på skatteintäkterna kvarstår när distributionsskyldigheten i fråga om biodrivmedel ökar. Det att skattehöjningen riktas till energiinnehållsskatten är motiverat också på grund av de EU-rättsliga begränsningar och krav på minimibeskattning som anknyter till skattemodellen.</w:t>
      </w:r>
      <w:r w:rsidRPr="00E03AB9">
        <w:rPr>
          <w:sz w:val="24"/>
          <w:shd w:val="clear" w:color="auto" w:fill="FFFFFF"/>
        </w:rPr>
        <w:t xml:space="preserve"> Höjningen av energiinnehållsskatten främjar energibesparingen och energieffektiviteten också i fråga om biodrivmedel, och uppmuntrar således till en effektiv användning av förnybara naturresurser. Därtill föreslås det att beräkningsgrunden för koldioxidskatten på drivmedel uppdateras så att den motsvarar de nya värden för livscykelutsläpp som togs i bruk vid ingången av 2019 i samband med ändringen av beskattningen av arbetsmaskin- och uppvärmningsbränslen, som är något lägre än de värden som tidigare använts vid beräkningen av skattegrunden.</w:t>
      </w:r>
    </w:p>
    <w:p w:rsidR="0055704B" w:rsidRPr="00E03AB9" w:rsidRDefault="002643EC" w:rsidP="00B72BB2">
      <w:pPr>
        <w:pStyle w:val="LLPerustelujenkappalejako"/>
        <w:spacing w:line="240" w:lineRule="auto"/>
        <w:jc w:val="left"/>
        <w:rPr>
          <w:sz w:val="24"/>
        </w:rPr>
      </w:pPr>
      <w:r w:rsidRPr="00E03AB9">
        <w:rPr>
          <w:sz w:val="24"/>
        </w:rPr>
        <w:t xml:space="preserve">Det föreslås att höjningen av drivmedelsskatten ska träda i kraft den 1 augusti 2020. </w:t>
      </w:r>
    </w:p>
    <w:p w:rsidR="00F85E77" w:rsidRDefault="0055704B" w:rsidP="00F85E77">
      <w:pPr>
        <w:pStyle w:val="LLPerustelujenkappalejako"/>
        <w:spacing w:line="240" w:lineRule="auto"/>
        <w:jc w:val="left"/>
        <w:rPr>
          <w:sz w:val="24"/>
        </w:rPr>
      </w:pPr>
      <w:r w:rsidRPr="00E03AB9">
        <w:rPr>
          <w:sz w:val="24"/>
        </w:rPr>
        <w:t xml:space="preserve">I propositionen föreslås det att från definitionen av tredjeterritorium i 5 § 2 punkten i punktskattelagen stryks </w:t>
      </w:r>
      <w:proofErr w:type="spellStart"/>
      <w:r w:rsidRPr="00E03AB9">
        <w:rPr>
          <w:sz w:val="24"/>
        </w:rPr>
        <w:t>Campione</w:t>
      </w:r>
      <w:proofErr w:type="spellEnd"/>
      <w:r w:rsidRPr="00E03AB9">
        <w:rPr>
          <w:sz w:val="24"/>
        </w:rPr>
        <w:t xml:space="preserve"> d’Italia och de italienska delarna av Luganosjön, eftersom områdena nuförtiden hör till unionens tull- och punktskatteområde. En teknisk ändring föreslås dessutom i 5 § 5 punkten.</w:t>
      </w:r>
    </w:p>
    <w:p w:rsidR="00F743F0" w:rsidRPr="00E03AB9" w:rsidRDefault="00FD0E48" w:rsidP="00F85E77">
      <w:pPr>
        <w:pStyle w:val="LLP2Otsikkotaso"/>
      </w:pPr>
      <w:bookmarkStart w:id="12" w:name="_Toc19199027"/>
      <w:r w:rsidRPr="00E03AB9">
        <w:t>De huvudsakliga konsekvenserna</w:t>
      </w:r>
      <w:bookmarkEnd w:id="12"/>
      <w:r w:rsidRPr="00E03AB9">
        <w:t xml:space="preserve"> </w:t>
      </w:r>
    </w:p>
    <w:p w:rsidR="00670358" w:rsidRPr="00E03AB9" w:rsidRDefault="00C6702C" w:rsidP="00B72BB2">
      <w:pPr>
        <w:pStyle w:val="LLPerustelujenkappalejako"/>
        <w:spacing w:line="240" w:lineRule="auto"/>
        <w:jc w:val="left"/>
        <w:rPr>
          <w:sz w:val="24"/>
        </w:rPr>
      </w:pPr>
      <w:r w:rsidRPr="00E03AB9">
        <w:rPr>
          <w:b/>
          <w:bCs/>
          <w:sz w:val="24"/>
        </w:rPr>
        <w:t>Ekonomiska konsekvenser</w:t>
      </w:r>
      <w:r w:rsidRPr="00E03AB9">
        <w:rPr>
          <w:sz w:val="24"/>
        </w:rPr>
        <w:t xml:space="preserve"> </w:t>
      </w:r>
    </w:p>
    <w:p w:rsidR="00DB7256" w:rsidRPr="00E03AB9" w:rsidRDefault="00DB7256" w:rsidP="00DB7256">
      <w:pPr>
        <w:pStyle w:val="LLPerustelujenkappalejako"/>
        <w:spacing w:line="240" w:lineRule="auto"/>
        <w:jc w:val="left"/>
        <w:rPr>
          <w:sz w:val="24"/>
        </w:rPr>
      </w:pPr>
      <w:r w:rsidRPr="00E03AB9">
        <w:rPr>
          <w:sz w:val="24"/>
        </w:rPr>
        <w:t xml:space="preserve">Höjningen av skatten på drivmedel ökar statens intäkter med ca 250 miljoner euro på årsnivå. Skatteintäkterna enligt budgetekonomin för 2020 uppskattas öka med ca 83 miljoner euro, vilket förklaras av att skattehöjningarna träder i kraft först i augusti 2020 och av hur redovisningen av punktskatterna infaller. </w:t>
      </w:r>
    </w:p>
    <w:p w:rsidR="001B2D47" w:rsidRPr="00E03AB9" w:rsidRDefault="00DB7256" w:rsidP="007545E5">
      <w:pPr>
        <w:pStyle w:val="LLPerustelujenkappalejako"/>
        <w:spacing w:line="240" w:lineRule="auto"/>
        <w:rPr>
          <w:sz w:val="24"/>
        </w:rPr>
      </w:pPr>
      <w:r w:rsidRPr="00E03AB9">
        <w:rPr>
          <w:sz w:val="24"/>
        </w:rPr>
        <w:t xml:space="preserve">För år 2021 uppskattas det inflyta ca 2,5 miljarder euro punktskatteinkomster för drivmedel. Skatteintäkterna från drivmedel ökar till följd av propositionen med ca tio procent. I prognosen antas det att andelen biodrivmedel är i fortsättningen lika stor som distributionsskyldigheten i fråga om biodrivmedel förutsätter. </w:t>
      </w:r>
    </w:p>
    <w:p w:rsidR="0094007B" w:rsidRPr="00E03AB9" w:rsidRDefault="00DB7256" w:rsidP="00B72BB2">
      <w:pPr>
        <w:pStyle w:val="LLPerustelujenkappalejako"/>
        <w:spacing w:line="240" w:lineRule="auto"/>
        <w:jc w:val="left"/>
        <w:rPr>
          <w:sz w:val="24"/>
        </w:rPr>
      </w:pPr>
      <w:r w:rsidRPr="00E03AB9">
        <w:rPr>
          <w:sz w:val="24"/>
        </w:rPr>
        <w:t>De föreslagna skatteändringarna har inga betydande konsekvenser för statens övriga indirekta skatteinkomster, eftersom konsumenterna förväntas minska den totala konsumtionen i motsvarande mån som skattehöjningen.</w:t>
      </w:r>
    </w:p>
    <w:p w:rsidR="001B2D47" w:rsidRPr="00E03AB9" w:rsidRDefault="00DB7256" w:rsidP="00C620D0">
      <w:pPr>
        <w:pStyle w:val="LLPerustelujenkappalejako"/>
        <w:spacing w:line="240" w:lineRule="auto"/>
        <w:jc w:val="left"/>
        <w:rPr>
          <w:sz w:val="24"/>
        </w:rPr>
      </w:pPr>
      <w:r w:rsidRPr="00E03AB9">
        <w:rPr>
          <w:sz w:val="24"/>
        </w:rPr>
        <w:t>Skattehöjningen på bensin och ersättande produkter föreslås vara i m</w:t>
      </w:r>
      <w:r w:rsidR="000C0B03" w:rsidRPr="00E03AB9">
        <w:rPr>
          <w:sz w:val="24"/>
        </w:rPr>
        <w:t>edeltal 5,1 cent per liter, dvs.</w:t>
      </w:r>
      <w:r w:rsidRPr="00E03AB9">
        <w:rPr>
          <w:sz w:val="24"/>
        </w:rPr>
        <w:t xml:space="preserve"> ca 7,7 procent och på diesel och ersättande drivmedel i genomsnitt 5,6 cent per liter, dvs. i genomsnitt ca 12,7 procent. På grund av att skattestödet för diesel</w:t>
      </w:r>
      <w:r w:rsidRPr="00E03AB9">
        <w:rPr>
          <w:sz w:val="24"/>
        </w:rPr>
        <w:lastRenderedPageBreak/>
        <w:t xml:space="preserve">olja uppgår till 25,95 cent per liter är den procentuella skattehöjningen större för dieselolja än för motorbensin. Beskattningen på dubbelt räknad </w:t>
      </w:r>
      <w:proofErr w:type="spellStart"/>
      <w:r w:rsidRPr="00E03AB9">
        <w:rPr>
          <w:sz w:val="24"/>
        </w:rPr>
        <w:t>paraffinisk</w:t>
      </w:r>
      <w:proofErr w:type="spellEnd"/>
      <w:r w:rsidRPr="00E03AB9">
        <w:rPr>
          <w:sz w:val="24"/>
        </w:rPr>
        <w:t xml:space="preserve"> biodiesel som säljs som hundraprocentig skärps inte, eftersom på den fortfarande tas ut skatt 33 cent per liter, då nivån enligt skattemodellen fortfarande understiger EU:s minimiskattenivå med 1,02 cent per liter.</w:t>
      </w:r>
    </w:p>
    <w:p w:rsidR="00C620D0" w:rsidRPr="00E03AB9" w:rsidRDefault="00DB7256" w:rsidP="00B72BB2">
      <w:pPr>
        <w:pStyle w:val="LLPerustelujenkappalejako"/>
        <w:spacing w:line="240" w:lineRule="auto"/>
        <w:jc w:val="left"/>
        <w:rPr>
          <w:sz w:val="24"/>
        </w:rPr>
      </w:pPr>
      <w:r w:rsidRPr="00E03AB9">
        <w:rPr>
          <w:sz w:val="24"/>
        </w:rPr>
        <w:t xml:space="preserve">Höjningarna ökar priset på motorbensin och ersättande biodrivmedel med beaktande av mervärdesskatten med ca 6,3 cent per liter. Priset på typisk E95-motorbensin stiger med uppskattningsvis 4 procent. Priset inklusive mervärdesskatt på dieselolja och ersättande biodrivmedel stiger med ca 6,9 cent per liter. Höjningen ökar priset på diesel med ca fem procent. Priset på dubbelt räknad </w:t>
      </w:r>
      <w:proofErr w:type="spellStart"/>
      <w:r w:rsidRPr="00E03AB9">
        <w:rPr>
          <w:sz w:val="24"/>
        </w:rPr>
        <w:t>paraffinisk</w:t>
      </w:r>
      <w:proofErr w:type="spellEnd"/>
      <w:r w:rsidRPr="00E03AB9">
        <w:rPr>
          <w:sz w:val="24"/>
        </w:rPr>
        <w:t xml:space="preserve"> biodiesel stiger inte.</w:t>
      </w:r>
    </w:p>
    <w:p w:rsidR="00E77785" w:rsidRPr="00E03AB9" w:rsidRDefault="00F56624" w:rsidP="00B72BB2">
      <w:pPr>
        <w:pStyle w:val="LLPerustelujenkappalejako"/>
        <w:spacing w:line="240" w:lineRule="auto"/>
        <w:jc w:val="left"/>
        <w:rPr>
          <w:sz w:val="24"/>
        </w:rPr>
      </w:pPr>
      <w:r w:rsidRPr="00E03AB9">
        <w:rPr>
          <w:sz w:val="24"/>
        </w:rPr>
        <w:t>Som en följd av propositionen ökar de årliga drivmedelskostnaderna för en lastbil med genomsnittlig dieselbränsleblandning med 2 130 euro, om den genomsnittliga bränsleförbrukningen är 38 liter per 100 kilometer och antalet körda kilometer är 100 000 kilometer. De genomsnittliga årliga drivmedelskostnaderna för en bensindriven personbil ökar med beaktande av mervärdesskatten med ca 69 euro och för en dieselbil med 66 euro, om bådas antal körda kilometer är 17 000 kilometer om året och den bensindrivna personbilens förbrukning är 6,4 liter och den dieseldrivna bilens 5,6 liter per 100 kilometer.</w:t>
      </w:r>
    </w:p>
    <w:p w:rsidR="00D7051E" w:rsidRPr="00E03AB9" w:rsidRDefault="00D7051E" w:rsidP="00B72BB2">
      <w:pPr>
        <w:pStyle w:val="LLPerustelujenkappalejako"/>
        <w:spacing w:line="240" w:lineRule="auto"/>
        <w:jc w:val="left"/>
        <w:rPr>
          <w:sz w:val="24"/>
        </w:rPr>
      </w:pPr>
      <w:r w:rsidRPr="00E03AB9">
        <w:rPr>
          <w:sz w:val="24"/>
        </w:rPr>
        <w:t>De föreslagna höjningarna av energiskatten beräknas ha en inflationsverkan på sammanlagt 0,18 procent, dvs. det förutspås att ändringen i konsumentprisindex blir 0,18 procentenheter högre på grund av skattehöjningen.</w:t>
      </w:r>
    </w:p>
    <w:p w:rsidR="00DB7256" w:rsidRPr="00E03AB9" w:rsidRDefault="00DB7256" w:rsidP="007545E5">
      <w:pPr>
        <w:pStyle w:val="LLPerustelujenkappalejako"/>
        <w:spacing w:line="240" w:lineRule="auto"/>
        <w:rPr>
          <w:b/>
          <w:sz w:val="24"/>
        </w:rPr>
      </w:pPr>
      <w:r w:rsidRPr="00E03AB9">
        <w:rPr>
          <w:b/>
          <w:sz w:val="24"/>
        </w:rPr>
        <w:t>Konsekvenser för företagen</w:t>
      </w:r>
    </w:p>
    <w:p w:rsidR="00DB7256" w:rsidRPr="00E03AB9" w:rsidRDefault="00DB7256" w:rsidP="007545E5">
      <w:pPr>
        <w:pStyle w:val="LLPerustelujenkappalejako"/>
        <w:spacing w:line="240" w:lineRule="auto"/>
        <w:rPr>
          <w:sz w:val="24"/>
        </w:rPr>
      </w:pPr>
      <w:r w:rsidRPr="00E03AB9">
        <w:rPr>
          <w:sz w:val="24"/>
        </w:rPr>
        <w:t>Av skattehöjningen på 250 miljoner euro för drivmedel riktas ca 90 miljoner euro till vägtransporttjänsterna, och därifrån sprids den vidare till olika aktörer i samhället. De föreslagna höjningarna ökar de totala kostnaderna för vägtransporttjänsterna mekaniskt med en procent. Den mekaniska kostnadsökningen för fabriksindustrin indirekt via vägtransporttjänsterna är uppskattningsvis ca 0,03 procent i förhållande till fabriksindustrins totala kostnader och ca 0,4 procent i förhållande till fabriksindustrins rörelseöverskott. De verkliga kostnadseffekterna kan dock vara mindre än de mekaniska kostnadseffekterna, eftersom skattehöjningen sannolikt i någon mån bromsar upp ökningen av priserna för de mellanprodukter som industrin använder och löneökningen.</w:t>
      </w:r>
    </w:p>
    <w:p w:rsidR="0094007B" w:rsidRPr="00E03AB9" w:rsidRDefault="00C620D0" w:rsidP="007545E5">
      <w:pPr>
        <w:pStyle w:val="LLPerustelujenkappalejako"/>
        <w:spacing w:line="240" w:lineRule="auto"/>
        <w:rPr>
          <w:b/>
          <w:sz w:val="24"/>
        </w:rPr>
      </w:pPr>
      <w:r w:rsidRPr="00E03AB9">
        <w:rPr>
          <w:b/>
          <w:sz w:val="24"/>
        </w:rPr>
        <w:t>Miljökonsekvenser</w:t>
      </w:r>
    </w:p>
    <w:p w:rsidR="00B24A89" w:rsidRPr="00E03AB9" w:rsidRDefault="00C620D0" w:rsidP="007545E5">
      <w:pPr>
        <w:pStyle w:val="LLPerustelujenkappalejako"/>
        <w:spacing w:line="240" w:lineRule="auto"/>
        <w:rPr>
          <w:sz w:val="24"/>
        </w:rPr>
      </w:pPr>
      <w:r w:rsidRPr="00E03AB9">
        <w:rPr>
          <w:sz w:val="24"/>
        </w:rPr>
        <w:t xml:space="preserve">De föreslagna ändringarna förväntas ha positiva konsekvenser när det gäller att minska koldioxidutsläppen inom trafiksektorn utanför utsläppshandeln. På kort sikt uppskattas de föreslagna skattehöjningarna minska bränsleförbrukningen hos bensindrivna personbilar med ca 1,1 procent och hos dieseldrivna personbilar med ca 1,4 procent jämfört </w:t>
      </w:r>
      <w:r w:rsidRPr="00E03AB9">
        <w:rPr>
          <w:sz w:val="24"/>
        </w:rPr>
        <w:lastRenderedPageBreak/>
        <w:t>med om skattehöjningarna inte skulle genomföras. Utsläppen inom trafiksektorn beräknas således minska med ca 0,7 procent. Uppskattningarna baserar sig på antagandet att skattehöjningarna får fullt genomslag på priserna o</w:t>
      </w:r>
      <w:r w:rsidR="001A2E59" w:rsidRPr="00E03AB9">
        <w:rPr>
          <w:sz w:val="24"/>
        </w:rPr>
        <w:t>ch på en priselasticitet på -0,27</w:t>
      </w:r>
      <w:r w:rsidRPr="00E03AB9">
        <w:rPr>
          <w:sz w:val="24"/>
        </w:rPr>
        <w:t xml:space="preserve"> för efterfrågan på kort sikt på bensin</w:t>
      </w:r>
      <w:r w:rsidR="001A2E59" w:rsidRPr="00E03AB9">
        <w:rPr>
          <w:sz w:val="24"/>
        </w:rPr>
        <w:t xml:space="preserve"> (Levin et al 2017:</w:t>
      </w:r>
      <w:r w:rsidRPr="00E03AB9">
        <w:rPr>
          <w:sz w:val="24"/>
        </w:rPr>
        <w:t xml:space="preserve"> </w:t>
      </w:r>
      <w:proofErr w:type="spellStart"/>
      <w:r w:rsidRPr="00E03AB9">
        <w:rPr>
          <w:sz w:val="24"/>
        </w:rPr>
        <w:t>High</w:t>
      </w:r>
      <w:proofErr w:type="spellEnd"/>
      <w:r w:rsidRPr="00E03AB9">
        <w:rPr>
          <w:sz w:val="24"/>
        </w:rPr>
        <w:t xml:space="preserve"> </w:t>
      </w:r>
      <w:proofErr w:type="spellStart"/>
      <w:r w:rsidRPr="00E03AB9">
        <w:rPr>
          <w:sz w:val="24"/>
        </w:rPr>
        <w:t>Frequency</w:t>
      </w:r>
      <w:proofErr w:type="spellEnd"/>
      <w:r w:rsidRPr="00E03AB9">
        <w:rPr>
          <w:sz w:val="24"/>
        </w:rPr>
        <w:t xml:space="preserve"> </w:t>
      </w:r>
      <w:proofErr w:type="spellStart"/>
      <w:r w:rsidRPr="00E03AB9">
        <w:rPr>
          <w:sz w:val="24"/>
        </w:rPr>
        <w:t>Evidence</w:t>
      </w:r>
      <w:proofErr w:type="spellEnd"/>
      <w:r w:rsidRPr="00E03AB9">
        <w:rPr>
          <w:sz w:val="24"/>
        </w:rPr>
        <w:t xml:space="preserve"> on the </w:t>
      </w:r>
      <w:proofErr w:type="spellStart"/>
      <w:r w:rsidRPr="00E03AB9">
        <w:rPr>
          <w:sz w:val="24"/>
        </w:rPr>
        <w:t>Demand</w:t>
      </w:r>
      <w:proofErr w:type="spellEnd"/>
      <w:r w:rsidRPr="00E03AB9">
        <w:rPr>
          <w:sz w:val="24"/>
        </w:rPr>
        <w:t xml:space="preserve"> for </w:t>
      </w:r>
      <w:proofErr w:type="spellStart"/>
      <w:r w:rsidRPr="00E03AB9">
        <w:rPr>
          <w:sz w:val="24"/>
        </w:rPr>
        <w:t>Gasoline</w:t>
      </w:r>
      <w:proofErr w:type="spellEnd"/>
      <w:r w:rsidRPr="00E03AB9">
        <w:rPr>
          <w:sz w:val="24"/>
        </w:rPr>
        <w:t>). Efterfrågan på drivmedel inom nyttotrafiken har uppskattats vara helt statisk på kort sikt.</w:t>
      </w:r>
    </w:p>
    <w:p w:rsidR="0039641F" w:rsidRPr="00E03AB9" w:rsidRDefault="00E72BD1" w:rsidP="007545E5">
      <w:pPr>
        <w:pStyle w:val="LLPerustelujenkappalejako"/>
        <w:spacing w:line="240" w:lineRule="auto"/>
        <w:rPr>
          <w:sz w:val="24"/>
        </w:rPr>
      </w:pPr>
      <w:r w:rsidRPr="00E03AB9">
        <w:rPr>
          <w:sz w:val="24"/>
        </w:rPr>
        <w:t xml:space="preserve">Konsekvensbedömningen i fråga om skattehöjningens konsekvenser på lång sikt för efterfrågan på drivmedel och därmed för trafiksektorns koldioxidutsläpp är förknippad med en betydligt större osäkerhet. Konsekvenserna på lång sikt kan dock antas vara större än konsekvenserna på kort sikt, eftersom konsumenterna och företagen har mera möjligheter att anpassa sig till skatteändringarna på lång sikt. Om exempelvis elbilar blir ett konkurrenskraftigt alternativ för en omfattande användargrupp, kan skattehöjningens inverkan på efterfrågan på drivmedel vara betydande. </w:t>
      </w:r>
    </w:p>
    <w:p w:rsidR="0094007B" w:rsidRPr="00E03AB9" w:rsidRDefault="0094007B" w:rsidP="007545E5">
      <w:pPr>
        <w:pStyle w:val="LLPerustelujenkappalejako"/>
        <w:spacing w:line="240" w:lineRule="auto"/>
        <w:rPr>
          <w:b/>
          <w:sz w:val="24"/>
        </w:rPr>
      </w:pPr>
      <w:r w:rsidRPr="00E03AB9">
        <w:rPr>
          <w:b/>
          <w:sz w:val="24"/>
        </w:rPr>
        <w:t>Konsekvenserna för myndigheterna</w:t>
      </w:r>
    </w:p>
    <w:p w:rsidR="0094007B" w:rsidRPr="00E03AB9" w:rsidRDefault="0094007B" w:rsidP="007545E5">
      <w:pPr>
        <w:pStyle w:val="LLPerustelujenkappalejako"/>
        <w:spacing w:line="240" w:lineRule="auto"/>
        <w:rPr>
          <w:sz w:val="24"/>
        </w:rPr>
      </w:pPr>
      <w:r w:rsidRPr="00E03AB9">
        <w:rPr>
          <w:sz w:val="24"/>
        </w:rPr>
        <w:t>De föreslagna ändringarna av skattenivåerna påverkar inte myndigheternas verksamhet på annat sätt än i form av engångskostnader för informationssystem.</w:t>
      </w:r>
    </w:p>
    <w:p w:rsidR="0094007B" w:rsidRPr="00E03AB9" w:rsidRDefault="0094007B" w:rsidP="007545E5">
      <w:pPr>
        <w:pStyle w:val="LLPerustelujenkappalejako"/>
        <w:spacing w:line="240" w:lineRule="auto"/>
        <w:rPr>
          <w:b/>
          <w:sz w:val="24"/>
        </w:rPr>
      </w:pPr>
      <w:r w:rsidRPr="00E03AB9">
        <w:rPr>
          <w:b/>
          <w:sz w:val="24"/>
        </w:rPr>
        <w:t>Konsekvenser för medborgarnas ställning</w:t>
      </w:r>
    </w:p>
    <w:p w:rsidR="0094007B" w:rsidRPr="00E03AB9" w:rsidRDefault="00E77785" w:rsidP="007545E5">
      <w:pPr>
        <w:pStyle w:val="LLPerustelujenkappalejako"/>
        <w:spacing w:line="240" w:lineRule="auto"/>
        <w:rPr>
          <w:sz w:val="24"/>
        </w:rPr>
      </w:pPr>
      <w:r w:rsidRPr="00E03AB9">
        <w:rPr>
          <w:sz w:val="24"/>
        </w:rPr>
        <w:t xml:space="preserve">De föreslagna ändringarnas konsekvenser har bedömts med hjälp av en konsumtionsundersökning av Statistikcentralen. De direkta konsekvenserna av de föreslagna skattehöjningarna bedöms vara mycket svagt regressiva, dvs. i proportion till de disponibla inkomsterna inverkar de något mer på ställningen för hushåll med små inkomster. I proportion till de disponibla inkomsterna är skattehöjningarna i medeltal 0,13 procent, i den lägsta </w:t>
      </w:r>
      <w:proofErr w:type="spellStart"/>
      <w:r w:rsidRPr="00E03AB9">
        <w:rPr>
          <w:sz w:val="24"/>
        </w:rPr>
        <w:t>inkomstdecilen</w:t>
      </w:r>
      <w:proofErr w:type="spellEnd"/>
      <w:r w:rsidRPr="00E03AB9">
        <w:rPr>
          <w:sz w:val="24"/>
        </w:rPr>
        <w:t xml:space="preserve"> 0,11 procent och i de högsta </w:t>
      </w:r>
      <w:proofErr w:type="spellStart"/>
      <w:r w:rsidRPr="00E03AB9">
        <w:rPr>
          <w:sz w:val="24"/>
        </w:rPr>
        <w:t>inkomstdecilen</w:t>
      </w:r>
      <w:proofErr w:type="spellEnd"/>
      <w:r w:rsidRPr="00E03AB9">
        <w:rPr>
          <w:sz w:val="24"/>
        </w:rPr>
        <w:t xml:space="preserve"> 0,08 procent. Utöver de direkta konsekvenserna kan skattehöjningarna påverka hushållen indirekt bl.a. via höjda kostnader för vägtransporttjänster. Denna inverkan bedöms dock vara obetydlig. </w:t>
      </w:r>
    </w:p>
    <w:p w:rsidR="00C6702C" w:rsidRPr="00E03AB9" w:rsidRDefault="00C6702C" w:rsidP="00F85E77">
      <w:pPr>
        <w:pStyle w:val="LLP1Otsikkotaso"/>
      </w:pPr>
      <w:bookmarkStart w:id="13" w:name="_Toc19199028"/>
      <w:r w:rsidRPr="00E03AB9">
        <w:t>Alternativa handlingsvägar</w:t>
      </w:r>
      <w:bookmarkEnd w:id="13"/>
    </w:p>
    <w:p w:rsidR="00C6702C" w:rsidRPr="00B56442" w:rsidRDefault="00C6702C" w:rsidP="00B56442">
      <w:pPr>
        <w:pStyle w:val="LLPerustelujenkappalejako"/>
        <w:spacing w:line="240" w:lineRule="auto"/>
        <w:rPr>
          <w:b/>
          <w:sz w:val="24"/>
        </w:rPr>
      </w:pPr>
      <w:r w:rsidRPr="00B56442">
        <w:rPr>
          <w:b/>
          <w:sz w:val="24"/>
        </w:rPr>
        <w:t>Handlingsalternativen och deras konsekvenser</w:t>
      </w:r>
    </w:p>
    <w:p w:rsidR="00E80255" w:rsidRPr="00E03AB9" w:rsidRDefault="00E80255" w:rsidP="00E80255">
      <w:pPr>
        <w:pStyle w:val="LLPerustelujenkappalejako"/>
        <w:spacing w:line="240" w:lineRule="auto"/>
        <w:jc w:val="left"/>
        <w:rPr>
          <w:sz w:val="24"/>
        </w:rPr>
      </w:pPr>
      <w:r w:rsidRPr="00E03AB9">
        <w:rPr>
          <w:sz w:val="24"/>
        </w:rPr>
        <w:t xml:space="preserve">Punktskatten på bränslen består av energiinnehållsskatt och koldioxidskatt, och därför kunde skattehöjningen genomföras på olika sätt genom att betona dessa komponenter på olika sätt. Det föreslås att den höjda skatten på drivmedel genomförs genom en höjning av energiinnehållsskatten. </w:t>
      </w:r>
    </w:p>
    <w:p w:rsidR="00F8049C" w:rsidRPr="00E03AB9" w:rsidRDefault="00F8049C" w:rsidP="00B72BB2">
      <w:pPr>
        <w:pStyle w:val="LLPerustelujenkappalejako"/>
        <w:spacing w:line="240" w:lineRule="auto"/>
        <w:jc w:val="left"/>
        <w:rPr>
          <w:sz w:val="24"/>
        </w:rPr>
      </w:pPr>
      <w:r w:rsidRPr="00E03AB9">
        <w:rPr>
          <w:sz w:val="24"/>
        </w:rPr>
        <w:t>En fördel med att betona energiinnehållsskatten är en stabilare utveckling av skatteintäkterna på längre sikt.</w:t>
      </w:r>
    </w:p>
    <w:p w:rsidR="00F30CF0" w:rsidRPr="00E03AB9" w:rsidRDefault="00B8622E" w:rsidP="00B8622E">
      <w:pPr>
        <w:pStyle w:val="LLPerustelujenkappalejako"/>
        <w:spacing w:line="240" w:lineRule="auto"/>
        <w:jc w:val="left"/>
        <w:rPr>
          <w:sz w:val="24"/>
        </w:rPr>
      </w:pPr>
      <w:r w:rsidRPr="00E03AB9">
        <w:rPr>
          <w:sz w:val="24"/>
        </w:rPr>
        <w:lastRenderedPageBreak/>
        <w:t>Ett alternativ skulle vara att rikta höjningen helt eller delvis till koldioxidskatten. En betoning av höjningen på koldioxidskatten uppskattas dock inte leda till någon större miljönytta, eftersom distributionsskyldigheten i fråga om biodrivmedel och den påföljdsavgift som anknyter till försummelse av den anses bestämma biodrivmedlens andel av drivmedlen på grund av de höga marknadspriserna på biodrivmedel. Det uppskattas att distributionsskyldigheten i fråga om biodrivmedel i sista hand uppfylls med vätebehandlad vegetabilisk olja, vars marknadspris uppskattas vara avsevärt högre än priserna för fossil dieselolja. Även om höjningen riktades till fullo till koldioxidskatten, skulle producentpriset inklusive punktskatt för vätebehandlad vegetabilisk olja fortfarande vara betydligt högre än priset på fossil dieselolja. Det skulle alltså inte vara ekonomiskt lönsamt för distributörer av drivmedel att distribuera mera biodrivmedel än vad distributionsskyldigheten förpliktar till.</w:t>
      </w:r>
    </w:p>
    <w:p w:rsidR="00BA111A" w:rsidRPr="00E03AB9" w:rsidRDefault="00CA41A2" w:rsidP="00B8622E">
      <w:pPr>
        <w:pStyle w:val="LLPerustelujenkappalejako"/>
        <w:spacing w:line="240" w:lineRule="auto"/>
        <w:jc w:val="left"/>
        <w:rPr>
          <w:sz w:val="24"/>
        </w:rPr>
      </w:pPr>
      <w:r w:rsidRPr="00E03AB9">
        <w:rPr>
          <w:sz w:val="24"/>
        </w:rPr>
        <w:t>På kort sikt uppskattas skattehöjningens betoning mellan energiinnehållsskatten och koldioxidskatten i praktiken inte påverka konsumentpriserna för bensin och diesel trots att bioandelen i den dieselblandning som säljs är högre än i bensin. Uppskattningen baserar sig på det att distributionsskyldigheten uppfylls i sista hand med samma biodrivmedel, varmed marginalkostnaderna för distribu</w:t>
      </w:r>
      <w:r w:rsidR="00936EEA" w:rsidRPr="00E03AB9">
        <w:rPr>
          <w:sz w:val="24"/>
        </w:rPr>
        <w:t>törerna av drivmedel för fossil</w:t>
      </w:r>
      <w:r w:rsidRPr="00E03AB9">
        <w:rPr>
          <w:sz w:val="24"/>
        </w:rPr>
        <w:t xml:space="preserve"> bensin och diesel som orsakas av distributionsskyldigheten i fråga om biodrivmedel är lika stora.</w:t>
      </w:r>
    </w:p>
    <w:p w:rsidR="00CE469B" w:rsidRPr="00E03AB9" w:rsidRDefault="00BA111A" w:rsidP="00CE469B">
      <w:pPr>
        <w:pStyle w:val="LLPerustelujenkappalejako"/>
        <w:spacing w:line="240" w:lineRule="auto"/>
        <w:jc w:val="left"/>
        <w:rPr>
          <w:sz w:val="24"/>
        </w:rPr>
      </w:pPr>
      <w:r w:rsidRPr="00E03AB9">
        <w:rPr>
          <w:sz w:val="24"/>
        </w:rPr>
        <w:t>På lång sikt höjer det att distributionsskyldigheten i fråga om biodrivmedel blir strängare biodrivmedlens andel i skattebasen och sänker på det sättet skatteintäkterna från koldioxidskatten. Om skattehöjningen skulle betonas på koldioxidskatten skulle den strängare distributionsskyldigheten i fråga om biodrivmedel på 2020-talet minska skattehöjningens verkan på lång sikt på intäkterna från drivmedelsbeskattningen.</w:t>
      </w:r>
    </w:p>
    <w:p w:rsidR="00CE469B" w:rsidRPr="00E03AB9" w:rsidRDefault="00CE469B" w:rsidP="00CE469B">
      <w:pPr>
        <w:pStyle w:val="LLPerustelujenkappalejako"/>
        <w:spacing w:line="240" w:lineRule="auto"/>
        <w:jc w:val="left"/>
        <w:rPr>
          <w:sz w:val="24"/>
        </w:rPr>
      </w:pPr>
      <w:r w:rsidRPr="00E03AB9">
        <w:rPr>
          <w:sz w:val="24"/>
        </w:rPr>
        <w:t>Till skillnad från det att skattehöjningen betonas på energiinnehållsskatten, skulle en betoning på koldioxidskatten inte heller gagna högblandade biodieseldrivmedel, eftersom det på grund av EU-rättsliga begränsningar och minimiskattekrav ändå fortfarande ska tas ut skatt 33 cent per liter för dem.</w:t>
      </w:r>
    </w:p>
    <w:p w:rsidR="003D50DF" w:rsidRPr="00E03AB9" w:rsidRDefault="00C6702C" w:rsidP="00F85E77">
      <w:pPr>
        <w:pStyle w:val="LLP1Otsikkotaso"/>
      </w:pPr>
      <w:bookmarkStart w:id="14" w:name="_Toc19199029"/>
      <w:r w:rsidRPr="00E03AB9">
        <w:t>Remissvar</w:t>
      </w:r>
      <w:bookmarkEnd w:id="14"/>
    </w:p>
    <w:p w:rsidR="004D3CEE" w:rsidRPr="00E03AB9" w:rsidRDefault="003D50DF" w:rsidP="00F85E77">
      <w:pPr>
        <w:pStyle w:val="LLP1Otsikkotaso"/>
      </w:pPr>
      <w:bookmarkStart w:id="15" w:name="_Toc19199030"/>
      <w:r w:rsidRPr="00E03AB9">
        <w:t>Specialmotivering</w:t>
      </w:r>
      <w:bookmarkEnd w:id="15"/>
    </w:p>
    <w:p w:rsidR="004D3CEE" w:rsidRPr="00E03AB9" w:rsidRDefault="004D3CEE" w:rsidP="00B8622E">
      <w:pPr>
        <w:pStyle w:val="LLNormaali"/>
        <w:rPr>
          <w:sz w:val="24"/>
        </w:rPr>
      </w:pPr>
      <w:r w:rsidRPr="00E03AB9">
        <w:rPr>
          <w:b/>
          <w:sz w:val="24"/>
        </w:rPr>
        <w:t>Punktskattelagen</w:t>
      </w:r>
    </w:p>
    <w:p w:rsidR="004D3CEE" w:rsidRPr="00E03AB9" w:rsidRDefault="004D3CEE" w:rsidP="00B8622E">
      <w:pPr>
        <w:pStyle w:val="LLNormaali"/>
        <w:rPr>
          <w:sz w:val="24"/>
        </w:rPr>
      </w:pPr>
    </w:p>
    <w:p w:rsidR="004D3CEE" w:rsidRPr="00E03AB9" w:rsidRDefault="004D3CEE" w:rsidP="00B8622E">
      <w:pPr>
        <w:pStyle w:val="LLNormaali"/>
        <w:rPr>
          <w:sz w:val="24"/>
        </w:rPr>
      </w:pPr>
      <w:r w:rsidRPr="00E03AB9">
        <w:rPr>
          <w:b/>
          <w:sz w:val="24"/>
        </w:rPr>
        <w:t>5 §.</w:t>
      </w:r>
      <w:r w:rsidRPr="00E03AB9">
        <w:rPr>
          <w:sz w:val="24"/>
        </w:rPr>
        <w:t xml:space="preserve"> </w:t>
      </w:r>
      <w:r w:rsidRPr="00E03AB9">
        <w:rPr>
          <w:i/>
          <w:iCs/>
          <w:sz w:val="24"/>
        </w:rPr>
        <w:t>Geografiska definitioner</w:t>
      </w:r>
      <w:r w:rsidRPr="00E03AB9">
        <w:rPr>
          <w:sz w:val="24"/>
        </w:rPr>
        <w:t xml:space="preserve">. I 2 punkten uppräknas de tredjeterritorier som avses i punktskattelagen. I punkten slopas </w:t>
      </w:r>
      <w:proofErr w:type="spellStart"/>
      <w:r w:rsidRPr="00E03AB9">
        <w:rPr>
          <w:sz w:val="24"/>
        </w:rPr>
        <w:t>Campione</w:t>
      </w:r>
      <w:proofErr w:type="spellEnd"/>
      <w:r w:rsidRPr="00E03AB9">
        <w:rPr>
          <w:sz w:val="24"/>
        </w:rPr>
        <w:t xml:space="preserve"> d’Italia och de italienska delarna av Luganosjön. Dessutom uppdateras hänvisningen till fördragen om Europeiska unionen i 5 punkten.</w:t>
      </w:r>
    </w:p>
    <w:p w:rsidR="004D3CEE" w:rsidRPr="00E03AB9" w:rsidRDefault="004D3CEE" w:rsidP="00B8622E">
      <w:pPr>
        <w:pStyle w:val="LLNormaali"/>
        <w:rPr>
          <w:sz w:val="24"/>
        </w:rPr>
      </w:pPr>
    </w:p>
    <w:p w:rsidR="00C6702C" w:rsidRPr="00E03AB9" w:rsidRDefault="00C6702C" w:rsidP="00F85E77">
      <w:pPr>
        <w:pStyle w:val="LLP1Otsikkotaso"/>
      </w:pPr>
      <w:bookmarkStart w:id="16" w:name="_Toc19199031"/>
      <w:r w:rsidRPr="00E03AB9">
        <w:t>Ikraftträdande</w:t>
      </w:r>
      <w:bookmarkEnd w:id="16"/>
    </w:p>
    <w:p w:rsidR="003F0A9C" w:rsidRPr="00E03AB9" w:rsidRDefault="003440BC" w:rsidP="00B72BB2">
      <w:pPr>
        <w:pStyle w:val="LLPerustelujenkappalejako"/>
        <w:spacing w:line="240" w:lineRule="auto"/>
        <w:jc w:val="left"/>
        <w:rPr>
          <w:sz w:val="24"/>
        </w:rPr>
      </w:pPr>
      <w:r w:rsidRPr="00E03AB9">
        <w:rPr>
          <w:sz w:val="24"/>
        </w:rPr>
        <w:lastRenderedPageBreak/>
        <w:t xml:space="preserve">Det föreslås att ändringen av lagen om punktskatt på flytande bränslen ska träda i kraft den 1 augusti 2020 och ändringen av punktskattelagen den 1 januari 2020. </w:t>
      </w:r>
    </w:p>
    <w:p w:rsidR="00C6702C" w:rsidRPr="00E03AB9" w:rsidRDefault="00C6702C" w:rsidP="00F85E77">
      <w:pPr>
        <w:pStyle w:val="LLP1Otsikkotaso"/>
      </w:pPr>
      <w:bookmarkStart w:id="17" w:name="_Toc19199032"/>
      <w:r w:rsidRPr="00E03AB9">
        <w:t>Förhållande till andra propositioner</w:t>
      </w:r>
      <w:bookmarkEnd w:id="17"/>
      <w:r w:rsidRPr="00E03AB9">
        <w:t xml:space="preserve"> </w:t>
      </w:r>
    </w:p>
    <w:p w:rsidR="004D3CEE" w:rsidRPr="00E03AB9" w:rsidRDefault="00406860" w:rsidP="004D3CEE">
      <w:pPr>
        <w:pStyle w:val="LLNormaali"/>
        <w:rPr>
          <w:sz w:val="24"/>
        </w:rPr>
      </w:pPr>
      <w:r w:rsidRPr="00E03AB9">
        <w:rPr>
          <w:sz w:val="24"/>
        </w:rPr>
        <w:t>Propositionen hänför sig till budgetpropositionen för 2020 och avses bli behandlad i samband med den.</w:t>
      </w:r>
    </w:p>
    <w:p w:rsidR="004D3CEE" w:rsidRPr="00E03AB9" w:rsidRDefault="004D3CEE" w:rsidP="004D3CEE">
      <w:pPr>
        <w:pStyle w:val="LLNormaali"/>
        <w:rPr>
          <w:sz w:val="24"/>
        </w:rPr>
      </w:pPr>
    </w:p>
    <w:p w:rsidR="004D3CEE" w:rsidRPr="00E03AB9" w:rsidRDefault="004D3CEE" w:rsidP="004D3CEE">
      <w:pPr>
        <w:pStyle w:val="LLNormaali"/>
        <w:rPr>
          <w:b/>
          <w:sz w:val="24"/>
        </w:rPr>
      </w:pPr>
    </w:p>
    <w:p w:rsidR="004D3CEE" w:rsidRPr="00E03AB9" w:rsidRDefault="004D3CEE" w:rsidP="00F85E77">
      <w:pPr>
        <w:pStyle w:val="LLPonsi"/>
      </w:pPr>
      <w:r w:rsidRPr="00E03AB9">
        <w:t>Med stöd av vad som anförts ovan föreläggs riksdagen följande lagförslag:</w:t>
      </w:r>
    </w:p>
    <w:p w:rsidR="004D3CEE" w:rsidRPr="00E03AB9" w:rsidRDefault="004D3CEE" w:rsidP="004D3CEE">
      <w:pPr>
        <w:pStyle w:val="LLNormaali"/>
        <w:rPr>
          <w:b/>
          <w:i/>
        </w:rPr>
      </w:pPr>
    </w:p>
    <w:p w:rsidR="000977E0" w:rsidRDefault="000977E0">
      <w:pPr>
        <w:rPr>
          <w:b/>
          <w:i/>
          <w:iCs/>
          <w:sz w:val="22"/>
          <w:szCs w:val="24"/>
          <w:lang w:eastAsia="fi-FI"/>
        </w:rPr>
      </w:pPr>
      <w:r>
        <w:rPr>
          <w:b/>
          <w:i/>
          <w:iCs/>
        </w:rPr>
        <w:br w:type="page"/>
      </w:r>
    </w:p>
    <w:p w:rsidR="000977E0" w:rsidRDefault="000977E0" w:rsidP="000977E0">
      <w:pPr>
        <w:pStyle w:val="LLLakiehdotukset"/>
      </w:pPr>
      <w:bookmarkStart w:id="18" w:name="_Toc19199033"/>
      <w:r>
        <w:lastRenderedPageBreak/>
        <w:t>Lagförslag</w:t>
      </w:r>
      <w:bookmarkEnd w:id="18"/>
    </w:p>
    <w:p w:rsidR="004D3CEE" w:rsidRDefault="000977E0" w:rsidP="000977E0">
      <w:pPr>
        <w:pStyle w:val="LLLainNumero"/>
      </w:pPr>
      <w:r>
        <w:t>1.</w:t>
      </w:r>
    </w:p>
    <w:p w:rsidR="000977E0" w:rsidRDefault="004D3CEE" w:rsidP="000977E0">
      <w:pPr>
        <w:pStyle w:val="LLLaki"/>
      </w:pPr>
      <w:r w:rsidRPr="00E03AB9">
        <w:t>Lag</w:t>
      </w:r>
    </w:p>
    <w:p w:rsidR="004D3CEE" w:rsidRPr="00E03AB9" w:rsidRDefault="004D3CEE" w:rsidP="000977E0">
      <w:pPr>
        <w:pStyle w:val="LLSaadoksenNimi"/>
      </w:pPr>
      <w:r w:rsidRPr="00E03AB9">
        <w:t xml:space="preserve"> </w:t>
      </w:r>
      <w:bookmarkStart w:id="19" w:name="_Toc19199034"/>
      <w:r w:rsidRPr="00E03AB9">
        <w:t>om ändring av skattetabellen i bilagan till lagen om punktskatt på flytande bränslen</w:t>
      </w:r>
      <w:bookmarkEnd w:id="19"/>
    </w:p>
    <w:p w:rsidR="00A44E64" w:rsidRPr="00E03AB9" w:rsidRDefault="00A44E64" w:rsidP="000977E0">
      <w:pPr>
        <w:pStyle w:val="LLJohtolauseKappaleet"/>
      </w:pPr>
      <w:r w:rsidRPr="00E03AB9">
        <w:t>I enlighet med riksdagens beslut</w:t>
      </w:r>
    </w:p>
    <w:p w:rsidR="00A44E64" w:rsidRPr="00E03AB9" w:rsidRDefault="00A44E64" w:rsidP="000977E0">
      <w:pPr>
        <w:pStyle w:val="LLJohtolauseKappaleet"/>
      </w:pPr>
      <w:r w:rsidRPr="00E03AB9">
        <w:rPr>
          <w:i/>
          <w:iCs/>
        </w:rPr>
        <w:t>ändras</w:t>
      </w:r>
      <w:r w:rsidRPr="00E03AB9">
        <w:t xml:space="preserve"> bilagan till lagen om punktskatt på flytande bränslen (1472/1994), sådan bilagan lyder i lag 1225/2018, som följer:</w:t>
      </w:r>
    </w:p>
    <w:p w:rsidR="004D3CEE" w:rsidRDefault="004D3CEE" w:rsidP="004D3CEE">
      <w:pPr>
        <w:pStyle w:val="LLNormaali"/>
        <w:rPr>
          <w:b/>
        </w:rPr>
      </w:pPr>
    </w:p>
    <w:p w:rsidR="00116E79" w:rsidRPr="00093653" w:rsidRDefault="00116E79" w:rsidP="00116E79">
      <w:pPr>
        <w:pStyle w:val="LLNormaali"/>
        <w:jc w:val="center"/>
      </w:pPr>
      <w:proofErr w:type="gramStart"/>
      <w:r w:rsidRPr="00093653">
        <w:t>—</w:t>
      </w:r>
      <w:proofErr w:type="gramEnd"/>
      <w:r w:rsidRPr="00093653">
        <w:t>——</w:t>
      </w:r>
    </w:p>
    <w:p w:rsidR="00116E79" w:rsidRDefault="00116E79" w:rsidP="00116E79">
      <w:pPr>
        <w:pStyle w:val="LLKappalejako"/>
      </w:pPr>
      <w:r w:rsidRPr="00093653">
        <w:t xml:space="preserve">Denna lag träder i kraft </w:t>
      </w:r>
      <w:proofErr w:type="gramStart"/>
      <w:r w:rsidRPr="00093653">
        <w:t>den  20</w:t>
      </w:r>
      <w:proofErr w:type="gramEnd"/>
      <w:r w:rsidRPr="00093653">
        <w:t xml:space="preserve">  </w:t>
      </w:r>
      <w:r>
        <w:t xml:space="preserve">   .</w:t>
      </w:r>
    </w:p>
    <w:p w:rsidR="00116E79" w:rsidRDefault="00116E79" w:rsidP="00116E79">
      <w:pPr>
        <w:pStyle w:val="LLNormaali"/>
        <w:jc w:val="center"/>
        <w:rPr>
          <w:lang w:val="fi-FI"/>
        </w:rPr>
      </w:pPr>
      <w:r>
        <w:rPr>
          <w:lang w:val="fi-FI"/>
        </w:rPr>
        <w:t>—————</w:t>
      </w:r>
    </w:p>
    <w:p w:rsidR="00116E79" w:rsidRPr="00E03AB9" w:rsidRDefault="00116E79" w:rsidP="004D3CEE">
      <w:pPr>
        <w:pStyle w:val="LLNormaali"/>
        <w:rPr>
          <w:b/>
        </w:rPr>
      </w:pPr>
    </w:p>
    <w:p w:rsidR="004D3CEE" w:rsidRPr="00E03AB9" w:rsidRDefault="004D3CEE" w:rsidP="004D3CEE">
      <w:pPr>
        <w:pStyle w:val="LLNormaali"/>
        <w:rPr>
          <w:b/>
        </w:rPr>
      </w:pPr>
    </w:p>
    <w:p w:rsidR="000977E0" w:rsidRDefault="000977E0" w:rsidP="000977E0">
      <w:pPr>
        <w:pStyle w:val="LLLiite"/>
      </w:pPr>
      <w:bookmarkStart w:id="20" w:name="_Toc19199035"/>
      <w:r>
        <w:t>Bilaga</w:t>
      </w:r>
      <w:bookmarkEnd w:id="20"/>
    </w:p>
    <w:p w:rsidR="00BB3319" w:rsidRPr="00E03AB9" w:rsidRDefault="00BB3319" w:rsidP="00F2418A">
      <w:pPr>
        <w:pStyle w:val="LLNormaali"/>
        <w:rPr>
          <w:b/>
        </w:rPr>
      </w:pPr>
    </w:p>
    <w:tbl>
      <w:tblPr>
        <w:tblW w:w="8380" w:type="dxa"/>
        <w:tblCellMar>
          <w:left w:w="70" w:type="dxa"/>
          <w:right w:w="70" w:type="dxa"/>
        </w:tblCellMar>
        <w:tblLook w:val="04A0" w:firstRow="1" w:lastRow="0" w:firstColumn="1" w:lastColumn="0" w:noHBand="0" w:noVBand="1"/>
      </w:tblPr>
      <w:tblGrid>
        <w:gridCol w:w="2540"/>
        <w:gridCol w:w="960"/>
        <w:gridCol w:w="1178"/>
        <w:gridCol w:w="1582"/>
        <w:gridCol w:w="1160"/>
        <w:gridCol w:w="960"/>
      </w:tblGrid>
      <w:tr w:rsidR="00E03AB9" w:rsidRPr="00E03AB9" w:rsidTr="00F2418A">
        <w:trPr>
          <w:trHeight w:val="790"/>
        </w:trPr>
        <w:tc>
          <w:tcPr>
            <w:tcW w:w="8380" w:type="dxa"/>
            <w:gridSpan w:val="6"/>
            <w:shd w:val="clear" w:color="auto" w:fill="auto"/>
            <w:vAlign w:val="bottom"/>
            <w:hideMark/>
          </w:tcPr>
          <w:p w:rsidR="00BB3319" w:rsidRPr="00E03AB9" w:rsidRDefault="00BB3319" w:rsidP="00BB3319">
            <w:pPr>
              <w:jc w:val="center"/>
              <w:rPr>
                <w:b/>
                <w:bCs/>
                <w:sz w:val="22"/>
                <w:szCs w:val="22"/>
              </w:rPr>
            </w:pPr>
            <w:r w:rsidRPr="00E03AB9">
              <w:rPr>
                <w:b/>
                <w:bCs/>
                <w:sz w:val="22"/>
                <w:szCs w:val="22"/>
              </w:rPr>
              <w:t>SKATTETABELL</w:t>
            </w:r>
          </w:p>
        </w:tc>
      </w:tr>
      <w:tr w:rsidR="00E03AB9" w:rsidRPr="00E03AB9" w:rsidTr="00F2418A">
        <w:trPr>
          <w:trHeight w:val="260"/>
        </w:trPr>
        <w:tc>
          <w:tcPr>
            <w:tcW w:w="2540" w:type="dxa"/>
            <w:vMerge w:val="restart"/>
            <w:shd w:val="clear" w:color="auto" w:fill="auto"/>
            <w:hideMark/>
          </w:tcPr>
          <w:p w:rsidR="00BB3319" w:rsidRPr="00E03AB9" w:rsidRDefault="00BB3319" w:rsidP="00BB3319">
            <w:pPr>
              <w:rPr>
                <w:b/>
                <w:bCs/>
                <w:sz w:val="20"/>
              </w:rPr>
            </w:pPr>
            <w:r w:rsidRPr="00E03AB9">
              <w:rPr>
                <w:b/>
                <w:bCs/>
                <w:sz w:val="20"/>
              </w:rPr>
              <w:t>Produkt</w:t>
            </w:r>
          </w:p>
        </w:tc>
        <w:tc>
          <w:tcPr>
            <w:tcW w:w="960" w:type="dxa"/>
            <w:shd w:val="clear" w:color="auto" w:fill="auto"/>
            <w:hideMark/>
          </w:tcPr>
          <w:p w:rsidR="00BB3319" w:rsidRPr="00E03AB9" w:rsidRDefault="00BB3319" w:rsidP="00BB3319">
            <w:pPr>
              <w:jc w:val="center"/>
              <w:rPr>
                <w:b/>
                <w:bCs/>
                <w:sz w:val="20"/>
              </w:rPr>
            </w:pPr>
            <w:r w:rsidRPr="00E03AB9">
              <w:rPr>
                <w:b/>
                <w:bCs/>
                <w:sz w:val="20"/>
              </w:rPr>
              <w:t>Produkt-</w:t>
            </w:r>
          </w:p>
        </w:tc>
        <w:tc>
          <w:tcPr>
            <w:tcW w:w="1178" w:type="dxa"/>
            <w:vMerge w:val="restart"/>
            <w:shd w:val="clear" w:color="auto" w:fill="auto"/>
            <w:hideMark/>
          </w:tcPr>
          <w:p w:rsidR="00BB3319" w:rsidRPr="00E03AB9" w:rsidRDefault="00BB3319" w:rsidP="00BB3319">
            <w:pPr>
              <w:jc w:val="center"/>
              <w:rPr>
                <w:b/>
                <w:bCs/>
                <w:sz w:val="20"/>
              </w:rPr>
            </w:pPr>
            <w:r w:rsidRPr="00E03AB9">
              <w:rPr>
                <w:b/>
                <w:bCs/>
                <w:sz w:val="20"/>
              </w:rPr>
              <w:t>Energiinnehållsskatt</w:t>
            </w:r>
          </w:p>
        </w:tc>
        <w:tc>
          <w:tcPr>
            <w:tcW w:w="1582" w:type="dxa"/>
            <w:vMerge w:val="restart"/>
            <w:shd w:val="clear" w:color="auto" w:fill="auto"/>
            <w:hideMark/>
          </w:tcPr>
          <w:p w:rsidR="00BB3319" w:rsidRPr="00E03AB9" w:rsidRDefault="008E29BF" w:rsidP="00BB3319">
            <w:pPr>
              <w:jc w:val="center"/>
              <w:rPr>
                <w:b/>
                <w:bCs/>
                <w:sz w:val="20"/>
              </w:rPr>
            </w:pPr>
            <w:r w:rsidRPr="00E03AB9">
              <w:rPr>
                <w:b/>
                <w:bCs/>
                <w:sz w:val="20"/>
              </w:rPr>
              <w:t>Koldioxid</w:t>
            </w:r>
            <w:r w:rsidR="00BB3319" w:rsidRPr="00E03AB9">
              <w:rPr>
                <w:b/>
                <w:bCs/>
                <w:sz w:val="20"/>
              </w:rPr>
              <w:t>skatt</w:t>
            </w:r>
          </w:p>
        </w:tc>
        <w:tc>
          <w:tcPr>
            <w:tcW w:w="1160" w:type="dxa"/>
            <w:shd w:val="clear" w:color="auto" w:fill="auto"/>
            <w:hideMark/>
          </w:tcPr>
          <w:p w:rsidR="00BB3319" w:rsidRPr="00E03AB9" w:rsidRDefault="00BB3319" w:rsidP="00BB3319">
            <w:pPr>
              <w:jc w:val="center"/>
              <w:rPr>
                <w:b/>
                <w:bCs/>
                <w:sz w:val="20"/>
              </w:rPr>
            </w:pPr>
            <w:r w:rsidRPr="00E03AB9">
              <w:rPr>
                <w:b/>
                <w:bCs/>
                <w:sz w:val="20"/>
              </w:rPr>
              <w:t>Försörjnings-</w:t>
            </w:r>
          </w:p>
        </w:tc>
        <w:tc>
          <w:tcPr>
            <w:tcW w:w="960" w:type="dxa"/>
            <w:vMerge w:val="restart"/>
            <w:shd w:val="clear" w:color="auto" w:fill="auto"/>
            <w:hideMark/>
          </w:tcPr>
          <w:p w:rsidR="00BB3319" w:rsidRPr="00E03AB9" w:rsidRDefault="00BB3319" w:rsidP="00BB3319">
            <w:pPr>
              <w:jc w:val="center"/>
              <w:rPr>
                <w:b/>
                <w:bCs/>
                <w:sz w:val="20"/>
              </w:rPr>
            </w:pPr>
            <w:r w:rsidRPr="00E03AB9">
              <w:rPr>
                <w:b/>
                <w:bCs/>
                <w:sz w:val="20"/>
              </w:rPr>
              <w:t>Sammanlagt</w:t>
            </w:r>
          </w:p>
        </w:tc>
      </w:tr>
      <w:tr w:rsidR="00E03AB9" w:rsidRPr="00E03AB9" w:rsidTr="00F2418A">
        <w:trPr>
          <w:trHeight w:val="260"/>
        </w:trPr>
        <w:tc>
          <w:tcPr>
            <w:tcW w:w="2540" w:type="dxa"/>
            <w:vMerge/>
            <w:vAlign w:val="center"/>
            <w:hideMark/>
          </w:tcPr>
          <w:p w:rsidR="00BB3319" w:rsidRPr="00E03AB9" w:rsidRDefault="00BB3319" w:rsidP="00BB3319">
            <w:pPr>
              <w:rPr>
                <w:b/>
                <w:bCs/>
                <w:sz w:val="20"/>
                <w:lang w:eastAsia="fi-FI"/>
              </w:rPr>
            </w:pPr>
          </w:p>
        </w:tc>
        <w:tc>
          <w:tcPr>
            <w:tcW w:w="960" w:type="dxa"/>
            <w:shd w:val="clear" w:color="auto" w:fill="auto"/>
            <w:hideMark/>
          </w:tcPr>
          <w:p w:rsidR="00BB3319" w:rsidRPr="00E03AB9" w:rsidRDefault="00BB3319" w:rsidP="00BB3319">
            <w:pPr>
              <w:jc w:val="center"/>
              <w:rPr>
                <w:b/>
                <w:bCs/>
                <w:sz w:val="20"/>
              </w:rPr>
            </w:pPr>
            <w:r w:rsidRPr="00E03AB9">
              <w:rPr>
                <w:b/>
                <w:bCs/>
                <w:sz w:val="20"/>
              </w:rPr>
              <w:t>grupp</w:t>
            </w:r>
          </w:p>
        </w:tc>
        <w:tc>
          <w:tcPr>
            <w:tcW w:w="1178" w:type="dxa"/>
            <w:vMerge/>
            <w:vAlign w:val="center"/>
            <w:hideMark/>
          </w:tcPr>
          <w:p w:rsidR="00BB3319" w:rsidRPr="00E03AB9" w:rsidRDefault="00BB3319" w:rsidP="00BB3319">
            <w:pPr>
              <w:rPr>
                <w:b/>
                <w:bCs/>
                <w:sz w:val="20"/>
                <w:lang w:eastAsia="fi-FI"/>
              </w:rPr>
            </w:pPr>
          </w:p>
        </w:tc>
        <w:tc>
          <w:tcPr>
            <w:tcW w:w="1582" w:type="dxa"/>
            <w:vMerge/>
            <w:vAlign w:val="center"/>
            <w:hideMark/>
          </w:tcPr>
          <w:p w:rsidR="00BB3319" w:rsidRPr="00E03AB9" w:rsidRDefault="00BB3319" w:rsidP="00BB3319">
            <w:pPr>
              <w:rPr>
                <w:b/>
                <w:bCs/>
                <w:sz w:val="20"/>
                <w:lang w:eastAsia="fi-FI"/>
              </w:rPr>
            </w:pPr>
          </w:p>
        </w:tc>
        <w:tc>
          <w:tcPr>
            <w:tcW w:w="1160" w:type="dxa"/>
            <w:shd w:val="clear" w:color="auto" w:fill="auto"/>
            <w:hideMark/>
          </w:tcPr>
          <w:p w:rsidR="00BB3319" w:rsidRPr="00E03AB9" w:rsidRDefault="00BB3319" w:rsidP="00BB3319">
            <w:pPr>
              <w:jc w:val="center"/>
              <w:rPr>
                <w:b/>
                <w:bCs/>
                <w:sz w:val="20"/>
              </w:rPr>
            </w:pPr>
            <w:r w:rsidRPr="00E03AB9">
              <w:rPr>
                <w:b/>
                <w:bCs/>
                <w:sz w:val="20"/>
              </w:rPr>
              <w:t>beredskaps-</w:t>
            </w:r>
          </w:p>
        </w:tc>
        <w:tc>
          <w:tcPr>
            <w:tcW w:w="960" w:type="dxa"/>
            <w:vMerge/>
            <w:vAlign w:val="center"/>
            <w:hideMark/>
          </w:tcPr>
          <w:p w:rsidR="00BB3319" w:rsidRPr="00E03AB9" w:rsidRDefault="00BB3319" w:rsidP="00BB3319">
            <w:pPr>
              <w:rPr>
                <w:b/>
                <w:bCs/>
                <w:sz w:val="20"/>
                <w:lang w:eastAsia="fi-FI"/>
              </w:rPr>
            </w:pPr>
          </w:p>
        </w:tc>
      </w:tr>
      <w:tr w:rsidR="00E03AB9" w:rsidRPr="00E03AB9" w:rsidTr="00F2418A">
        <w:trPr>
          <w:trHeight w:val="260"/>
        </w:trPr>
        <w:tc>
          <w:tcPr>
            <w:tcW w:w="2540" w:type="dxa"/>
            <w:vMerge/>
            <w:vAlign w:val="center"/>
            <w:hideMark/>
          </w:tcPr>
          <w:p w:rsidR="00BB3319" w:rsidRPr="00E03AB9" w:rsidRDefault="00BB3319" w:rsidP="00BB3319">
            <w:pPr>
              <w:rPr>
                <w:b/>
                <w:bCs/>
                <w:sz w:val="20"/>
                <w:lang w:eastAsia="fi-FI"/>
              </w:rPr>
            </w:pPr>
          </w:p>
        </w:tc>
        <w:tc>
          <w:tcPr>
            <w:tcW w:w="960" w:type="dxa"/>
            <w:shd w:val="clear" w:color="auto" w:fill="auto"/>
            <w:hideMark/>
          </w:tcPr>
          <w:p w:rsidR="00BB3319" w:rsidRPr="00E03AB9" w:rsidRDefault="00BB3319" w:rsidP="00BB3319">
            <w:pPr>
              <w:jc w:val="center"/>
              <w:rPr>
                <w:b/>
                <w:bCs/>
                <w:sz w:val="20"/>
                <w:lang w:eastAsia="fi-FI"/>
              </w:rPr>
            </w:pPr>
          </w:p>
        </w:tc>
        <w:tc>
          <w:tcPr>
            <w:tcW w:w="1178" w:type="dxa"/>
            <w:vMerge/>
            <w:vAlign w:val="center"/>
            <w:hideMark/>
          </w:tcPr>
          <w:p w:rsidR="00BB3319" w:rsidRPr="00E03AB9" w:rsidRDefault="00BB3319" w:rsidP="00BB3319">
            <w:pPr>
              <w:rPr>
                <w:b/>
                <w:bCs/>
                <w:sz w:val="20"/>
                <w:lang w:eastAsia="fi-FI"/>
              </w:rPr>
            </w:pPr>
          </w:p>
        </w:tc>
        <w:tc>
          <w:tcPr>
            <w:tcW w:w="1582" w:type="dxa"/>
            <w:vMerge/>
            <w:vAlign w:val="center"/>
            <w:hideMark/>
          </w:tcPr>
          <w:p w:rsidR="00BB3319" w:rsidRPr="00E03AB9" w:rsidRDefault="00BB3319" w:rsidP="00BB3319">
            <w:pPr>
              <w:rPr>
                <w:b/>
                <w:bCs/>
                <w:sz w:val="20"/>
                <w:lang w:eastAsia="fi-FI"/>
              </w:rPr>
            </w:pPr>
          </w:p>
        </w:tc>
        <w:tc>
          <w:tcPr>
            <w:tcW w:w="1160" w:type="dxa"/>
            <w:shd w:val="clear" w:color="auto" w:fill="auto"/>
            <w:hideMark/>
          </w:tcPr>
          <w:p w:rsidR="00BB3319" w:rsidRPr="00E03AB9" w:rsidRDefault="00BB3319" w:rsidP="00BB3319">
            <w:pPr>
              <w:jc w:val="center"/>
              <w:rPr>
                <w:b/>
                <w:bCs/>
                <w:sz w:val="20"/>
              </w:rPr>
            </w:pPr>
            <w:r w:rsidRPr="00E03AB9">
              <w:rPr>
                <w:b/>
                <w:bCs/>
                <w:sz w:val="20"/>
              </w:rPr>
              <w:t>avgift</w:t>
            </w:r>
          </w:p>
        </w:tc>
        <w:tc>
          <w:tcPr>
            <w:tcW w:w="960" w:type="dxa"/>
            <w:vMerge/>
            <w:vAlign w:val="center"/>
            <w:hideMark/>
          </w:tcPr>
          <w:p w:rsidR="00BB3319" w:rsidRPr="00E03AB9" w:rsidRDefault="00BB3319" w:rsidP="00BB3319">
            <w:pPr>
              <w:rPr>
                <w:b/>
                <w:bCs/>
                <w:sz w:val="20"/>
                <w:lang w:eastAsia="fi-FI"/>
              </w:rPr>
            </w:pP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Motorbensin cent/l</w:t>
            </w:r>
          </w:p>
        </w:tc>
        <w:tc>
          <w:tcPr>
            <w:tcW w:w="960" w:type="dxa"/>
            <w:shd w:val="clear" w:color="auto" w:fill="auto"/>
            <w:hideMark/>
          </w:tcPr>
          <w:p w:rsidR="00BB3319" w:rsidRPr="00E03AB9" w:rsidRDefault="00BB3319" w:rsidP="00BB3319">
            <w:pPr>
              <w:jc w:val="center"/>
              <w:rPr>
                <w:sz w:val="20"/>
              </w:rPr>
            </w:pPr>
            <w:r w:rsidRPr="00E03AB9">
              <w:rPr>
                <w:sz w:val="20"/>
              </w:rPr>
              <w:t>10</w:t>
            </w:r>
          </w:p>
        </w:tc>
        <w:tc>
          <w:tcPr>
            <w:tcW w:w="1178" w:type="dxa"/>
            <w:shd w:val="clear" w:color="auto" w:fill="auto"/>
            <w:hideMark/>
          </w:tcPr>
          <w:p w:rsidR="00BB3319" w:rsidRPr="00E03AB9" w:rsidRDefault="00BB3319" w:rsidP="00BB3319">
            <w:pPr>
              <w:jc w:val="center"/>
              <w:rPr>
                <w:sz w:val="20"/>
              </w:rPr>
            </w:pPr>
            <w:r w:rsidRPr="00E03AB9">
              <w:rPr>
                <w:sz w:val="20"/>
              </w:rPr>
              <w:t>57,54</w:t>
            </w:r>
          </w:p>
        </w:tc>
        <w:tc>
          <w:tcPr>
            <w:tcW w:w="1582" w:type="dxa"/>
            <w:shd w:val="clear" w:color="auto" w:fill="auto"/>
            <w:hideMark/>
          </w:tcPr>
          <w:p w:rsidR="00BB3319" w:rsidRPr="00E03AB9" w:rsidRDefault="00BB3319" w:rsidP="00BB3319">
            <w:pPr>
              <w:jc w:val="center"/>
              <w:rPr>
                <w:sz w:val="20"/>
              </w:rPr>
            </w:pPr>
            <w:r w:rsidRPr="00E03AB9">
              <w:rPr>
                <w:sz w:val="20"/>
              </w:rPr>
              <w:t>17,30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75,52</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Bensin för små motorer cent/l</w:t>
            </w:r>
          </w:p>
        </w:tc>
        <w:tc>
          <w:tcPr>
            <w:tcW w:w="960" w:type="dxa"/>
            <w:shd w:val="clear" w:color="auto" w:fill="auto"/>
            <w:hideMark/>
          </w:tcPr>
          <w:p w:rsidR="00BB3319" w:rsidRPr="00E03AB9" w:rsidRDefault="00BB3319" w:rsidP="00BB3319">
            <w:pPr>
              <w:jc w:val="center"/>
              <w:rPr>
                <w:sz w:val="20"/>
              </w:rPr>
            </w:pPr>
            <w:r w:rsidRPr="00E03AB9">
              <w:rPr>
                <w:sz w:val="20"/>
              </w:rPr>
              <w:t>11</w:t>
            </w:r>
          </w:p>
        </w:tc>
        <w:tc>
          <w:tcPr>
            <w:tcW w:w="1178" w:type="dxa"/>
            <w:shd w:val="clear" w:color="auto" w:fill="auto"/>
            <w:hideMark/>
          </w:tcPr>
          <w:p w:rsidR="00BB3319" w:rsidRPr="00E03AB9" w:rsidRDefault="00BB3319" w:rsidP="00BB3319">
            <w:pPr>
              <w:jc w:val="center"/>
              <w:rPr>
                <w:sz w:val="20"/>
              </w:rPr>
            </w:pPr>
            <w:r w:rsidRPr="00E03AB9">
              <w:rPr>
                <w:sz w:val="20"/>
              </w:rPr>
              <w:t>37,54</w:t>
            </w:r>
          </w:p>
        </w:tc>
        <w:tc>
          <w:tcPr>
            <w:tcW w:w="1582" w:type="dxa"/>
            <w:shd w:val="clear" w:color="auto" w:fill="auto"/>
            <w:hideMark/>
          </w:tcPr>
          <w:p w:rsidR="00BB3319" w:rsidRPr="00E03AB9" w:rsidRDefault="00BB3319" w:rsidP="00BB3319">
            <w:pPr>
              <w:jc w:val="center"/>
              <w:rPr>
                <w:sz w:val="20"/>
              </w:rPr>
            </w:pPr>
            <w:r w:rsidRPr="00E03AB9">
              <w:rPr>
                <w:sz w:val="20"/>
              </w:rPr>
              <w:t>17,30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55,52</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Bioetanol cent/l</w:t>
            </w:r>
          </w:p>
        </w:tc>
        <w:tc>
          <w:tcPr>
            <w:tcW w:w="960" w:type="dxa"/>
            <w:shd w:val="clear" w:color="auto" w:fill="auto"/>
            <w:hideMark/>
          </w:tcPr>
          <w:p w:rsidR="00BB3319" w:rsidRPr="00E03AB9" w:rsidRDefault="00BB3319" w:rsidP="00BB3319">
            <w:pPr>
              <w:jc w:val="center"/>
              <w:rPr>
                <w:sz w:val="20"/>
              </w:rPr>
            </w:pPr>
            <w:r w:rsidRPr="00E03AB9">
              <w:rPr>
                <w:sz w:val="20"/>
              </w:rPr>
              <w:t>20</w:t>
            </w:r>
          </w:p>
        </w:tc>
        <w:tc>
          <w:tcPr>
            <w:tcW w:w="1178" w:type="dxa"/>
            <w:shd w:val="clear" w:color="auto" w:fill="auto"/>
            <w:hideMark/>
          </w:tcPr>
          <w:p w:rsidR="00BB3319" w:rsidRPr="00E03AB9" w:rsidRDefault="00BB3319" w:rsidP="00BB3319">
            <w:pPr>
              <w:jc w:val="center"/>
              <w:rPr>
                <w:sz w:val="20"/>
              </w:rPr>
            </w:pPr>
            <w:r w:rsidRPr="00E03AB9">
              <w:rPr>
                <w:sz w:val="20"/>
              </w:rPr>
              <w:t>37,76</w:t>
            </w:r>
          </w:p>
        </w:tc>
        <w:tc>
          <w:tcPr>
            <w:tcW w:w="1582" w:type="dxa"/>
            <w:shd w:val="clear" w:color="auto" w:fill="auto"/>
            <w:hideMark/>
          </w:tcPr>
          <w:p w:rsidR="00BB3319" w:rsidRPr="00E03AB9" w:rsidRDefault="00BB3319" w:rsidP="00BB3319">
            <w:pPr>
              <w:jc w:val="center"/>
              <w:rPr>
                <w:sz w:val="20"/>
              </w:rPr>
            </w:pPr>
            <w:r w:rsidRPr="00E03AB9">
              <w:rPr>
                <w:sz w:val="20"/>
              </w:rPr>
              <w:t>11,35</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49,79</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Bioetanol R cent/l</w:t>
            </w:r>
          </w:p>
        </w:tc>
        <w:tc>
          <w:tcPr>
            <w:tcW w:w="960" w:type="dxa"/>
            <w:shd w:val="clear" w:color="auto" w:fill="auto"/>
            <w:hideMark/>
          </w:tcPr>
          <w:p w:rsidR="00BB3319" w:rsidRPr="00E03AB9" w:rsidRDefault="00BB3319" w:rsidP="00BB3319">
            <w:pPr>
              <w:jc w:val="center"/>
              <w:rPr>
                <w:sz w:val="20"/>
              </w:rPr>
            </w:pPr>
            <w:r w:rsidRPr="00E03AB9">
              <w:rPr>
                <w:sz w:val="20"/>
              </w:rPr>
              <w:t>21</w:t>
            </w:r>
          </w:p>
        </w:tc>
        <w:tc>
          <w:tcPr>
            <w:tcW w:w="1178" w:type="dxa"/>
            <w:shd w:val="clear" w:color="auto" w:fill="auto"/>
            <w:hideMark/>
          </w:tcPr>
          <w:p w:rsidR="00BB3319" w:rsidRPr="00E03AB9" w:rsidRDefault="00BB3319" w:rsidP="00BB3319">
            <w:pPr>
              <w:jc w:val="center"/>
              <w:rPr>
                <w:sz w:val="20"/>
              </w:rPr>
            </w:pPr>
            <w:r w:rsidRPr="00E03AB9">
              <w:rPr>
                <w:sz w:val="20"/>
              </w:rPr>
              <w:t>37,76</w:t>
            </w:r>
          </w:p>
        </w:tc>
        <w:tc>
          <w:tcPr>
            <w:tcW w:w="1582" w:type="dxa"/>
            <w:shd w:val="clear" w:color="auto" w:fill="auto"/>
            <w:hideMark/>
          </w:tcPr>
          <w:p w:rsidR="00BB3319" w:rsidRPr="00E03AB9" w:rsidRDefault="00BB3319" w:rsidP="00BB3319">
            <w:pPr>
              <w:jc w:val="center"/>
              <w:rPr>
                <w:sz w:val="20"/>
              </w:rPr>
            </w:pPr>
            <w:r w:rsidRPr="00E03AB9">
              <w:rPr>
                <w:sz w:val="20"/>
              </w:rPr>
              <w:t>5,68</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44,12</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Bioetanol T cent/l</w:t>
            </w:r>
          </w:p>
        </w:tc>
        <w:tc>
          <w:tcPr>
            <w:tcW w:w="960" w:type="dxa"/>
            <w:shd w:val="clear" w:color="auto" w:fill="auto"/>
            <w:hideMark/>
          </w:tcPr>
          <w:p w:rsidR="00BB3319" w:rsidRPr="00E03AB9" w:rsidRDefault="00BB3319" w:rsidP="00BB3319">
            <w:pPr>
              <w:jc w:val="center"/>
              <w:rPr>
                <w:sz w:val="20"/>
              </w:rPr>
            </w:pPr>
            <w:r w:rsidRPr="00E03AB9">
              <w:rPr>
                <w:sz w:val="20"/>
              </w:rPr>
              <w:t>22</w:t>
            </w:r>
          </w:p>
        </w:tc>
        <w:tc>
          <w:tcPr>
            <w:tcW w:w="1178" w:type="dxa"/>
            <w:shd w:val="clear" w:color="auto" w:fill="auto"/>
            <w:hideMark/>
          </w:tcPr>
          <w:p w:rsidR="00BB3319" w:rsidRPr="00E03AB9" w:rsidRDefault="00BB3319" w:rsidP="00BB3319">
            <w:pPr>
              <w:jc w:val="center"/>
              <w:rPr>
                <w:sz w:val="20"/>
              </w:rPr>
            </w:pPr>
            <w:r w:rsidRPr="00E03AB9">
              <w:rPr>
                <w:sz w:val="20"/>
              </w:rPr>
              <w:t>37,76</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38,44</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MTBE</w:t>
            </w:r>
            <w:proofErr w:type="spellEnd"/>
            <w:r w:rsidRPr="00E03AB9">
              <w:rPr>
                <w:sz w:val="20"/>
              </w:rPr>
              <w:t xml:space="preserve"> cent/l</w:t>
            </w:r>
          </w:p>
        </w:tc>
        <w:tc>
          <w:tcPr>
            <w:tcW w:w="960" w:type="dxa"/>
            <w:shd w:val="clear" w:color="auto" w:fill="auto"/>
            <w:hideMark/>
          </w:tcPr>
          <w:p w:rsidR="00BB3319" w:rsidRPr="00E03AB9" w:rsidRDefault="00BB3319" w:rsidP="00BB3319">
            <w:pPr>
              <w:jc w:val="center"/>
              <w:rPr>
                <w:sz w:val="20"/>
              </w:rPr>
            </w:pPr>
            <w:r w:rsidRPr="00E03AB9">
              <w:rPr>
                <w:sz w:val="20"/>
              </w:rPr>
              <w:t>23</w:t>
            </w:r>
          </w:p>
        </w:tc>
        <w:tc>
          <w:tcPr>
            <w:tcW w:w="1178" w:type="dxa"/>
            <w:shd w:val="clear" w:color="auto" w:fill="auto"/>
            <w:hideMark/>
          </w:tcPr>
          <w:p w:rsidR="00BB3319" w:rsidRPr="00E03AB9" w:rsidRDefault="00BB3319" w:rsidP="00BB3319">
            <w:pPr>
              <w:jc w:val="center"/>
              <w:rPr>
                <w:sz w:val="20"/>
              </w:rPr>
            </w:pPr>
            <w:r w:rsidRPr="00E03AB9">
              <w:rPr>
                <w:sz w:val="20"/>
              </w:rPr>
              <w:t>46,75</w:t>
            </w:r>
          </w:p>
        </w:tc>
        <w:tc>
          <w:tcPr>
            <w:tcW w:w="1582" w:type="dxa"/>
            <w:shd w:val="clear" w:color="auto" w:fill="auto"/>
            <w:hideMark/>
          </w:tcPr>
          <w:p w:rsidR="00BB3319" w:rsidRPr="00E03AB9" w:rsidRDefault="00BB3319" w:rsidP="00BB3319">
            <w:pPr>
              <w:jc w:val="center"/>
              <w:rPr>
                <w:sz w:val="20"/>
              </w:rPr>
            </w:pPr>
            <w:r w:rsidRPr="00E03AB9">
              <w:rPr>
                <w:sz w:val="20"/>
              </w:rPr>
              <w:t>14,06</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61,49</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MTBE</w:t>
            </w:r>
            <w:proofErr w:type="spellEnd"/>
            <w:r w:rsidRPr="00E03AB9">
              <w:rPr>
                <w:sz w:val="20"/>
              </w:rPr>
              <w:t xml:space="preserve"> R cent/l</w:t>
            </w:r>
          </w:p>
        </w:tc>
        <w:tc>
          <w:tcPr>
            <w:tcW w:w="960" w:type="dxa"/>
            <w:shd w:val="clear" w:color="auto" w:fill="auto"/>
            <w:hideMark/>
          </w:tcPr>
          <w:p w:rsidR="00BB3319" w:rsidRPr="00E03AB9" w:rsidRDefault="00BB3319" w:rsidP="00BB3319">
            <w:pPr>
              <w:jc w:val="center"/>
              <w:rPr>
                <w:sz w:val="20"/>
              </w:rPr>
            </w:pPr>
            <w:r w:rsidRPr="00E03AB9">
              <w:rPr>
                <w:sz w:val="20"/>
              </w:rPr>
              <w:t>24</w:t>
            </w:r>
          </w:p>
        </w:tc>
        <w:tc>
          <w:tcPr>
            <w:tcW w:w="1178" w:type="dxa"/>
            <w:shd w:val="clear" w:color="auto" w:fill="auto"/>
            <w:hideMark/>
          </w:tcPr>
          <w:p w:rsidR="00BB3319" w:rsidRPr="00E03AB9" w:rsidRDefault="00BB3319" w:rsidP="00BB3319">
            <w:pPr>
              <w:jc w:val="center"/>
              <w:rPr>
                <w:sz w:val="20"/>
              </w:rPr>
            </w:pPr>
            <w:r w:rsidRPr="00E03AB9">
              <w:rPr>
                <w:sz w:val="20"/>
              </w:rPr>
              <w:t>46,75</w:t>
            </w:r>
          </w:p>
        </w:tc>
        <w:tc>
          <w:tcPr>
            <w:tcW w:w="1582" w:type="dxa"/>
            <w:shd w:val="clear" w:color="auto" w:fill="auto"/>
            <w:hideMark/>
          </w:tcPr>
          <w:p w:rsidR="00BB3319" w:rsidRPr="00E03AB9" w:rsidRDefault="00BB3319" w:rsidP="00BB3319">
            <w:pPr>
              <w:jc w:val="center"/>
              <w:rPr>
                <w:sz w:val="20"/>
              </w:rPr>
            </w:pPr>
            <w:r w:rsidRPr="00E03AB9">
              <w:rPr>
                <w:sz w:val="20"/>
              </w:rPr>
              <w:t>12,51</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59,94</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MTBE</w:t>
            </w:r>
            <w:proofErr w:type="spellEnd"/>
            <w:r w:rsidRPr="00E03AB9">
              <w:rPr>
                <w:sz w:val="20"/>
              </w:rPr>
              <w:t xml:space="preserve"> T cent/l</w:t>
            </w:r>
          </w:p>
        </w:tc>
        <w:tc>
          <w:tcPr>
            <w:tcW w:w="960" w:type="dxa"/>
            <w:shd w:val="clear" w:color="auto" w:fill="auto"/>
            <w:hideMark/>
          </w:tcPr>
          <w:p w:rsidR="00BB3319" w:rsidRPr="00E03AB9" w:rsidRDefault="00BB3319" w:rsidP="00BB3319">
            <w:pPr>
              <w:jc w:val="center"/>
              <w:rPr>
                <w:sz w:val="20"/>
              </w:rPr>
            </w:pPr>
            <w:r w:rsidRPr="00E03AB9">
              <w:rPr>
                <w:sz w:val="20"/>
              </w:rPr>
              <w:t>25</w:t>
            </w:r>
          </w:p>
        </w:tc>
        <w:tc>
          <w:tcPr>
            <w:tcW w:w="1178" w:type="dxa"/>
            <w:shd w:val="clear" w:color="auto" w:fill="auto"/>
            <w:hideMark/>
          </w:tcPr>
          <w:p w:rsidR="00BB3319" w:rsidRPr="00E03AB9" w:rsidRDefault="00BB3319" w:rsidP="00BB3319">
            <w:pPr>
              <w:jc w:val="center"/>
              <w:rPr>
                <w:sz w:val="20"/>
              </w:rPr>
            </w:pPr>
            <w:r w:rsidRPr="00E03AB9">
              <w:rPr>
                <w:sz w:val="20"/>
              </w:rPr>
              <w:t>46,75</w:t>
            </w:r>
          </w:p>
        </w:tc>
        <w:tc>
          <w:tcPr>
            <w:tcW w:w="1582" w:type="dxa"/>
            <w:shd w:val="clear" w:color="auto" w:fill="auto"/>
            <w:hideMark/>
          </w:tcPr>
          <w:p w:rsidR="00BB3319" w:rsidRPr="00E03AB9" w:rsidRDefault="00BB3319" w:rsidP="00BB3319">
            <w:pPr>
              <w:jc w:val="center"/>
              <w:rPr>
                <w:sz w:val="20"/>
              </w:rPr>
            </w:pPr>
            <w:r w:rsidRPr="00E03AB9">
              <w:rPr>
                <w:sz w:val="20"/>
              </w:rPr>
              <w:t>10,96</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58,39</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TAME cent/l</w:t>
            </w:r>
          </w:p>
        </w:tc>
        <w:tc>
          <w:tcPr>
            <w:tcW w:w="960" w:type="dxa"/>
            <w:shd w:val="clear" w:color="auto" w:fill="auto"/>
            <w:hideMark/>
          </w:tcPr>
          <w:p w:rsidR="00BB3319" w:rsidRPr="00E03AB9" w:rsidRDefault="00BB3319" w:rsidP="00BB3319">
            <w:pPr>
              <w:jc w:val="center"/>
              <w:rPr>
                <w:sz w:val="20"/>
              </w:rPr>
            </w:pPr>
            <w:r w:rsidRPr="00E03AB9">
              <w:rPr>
                <w:sz w:val="20"/>
              </w:rPr>
              <w:t>26</w:t>
            </w:r>
          </w:p>
        </w:tc>
        <w:tc>
          <w:tcPr>
            <w:tcW w:w="1178" w:type="dxa"/>
            <w:shd w:val="clear" w:color="auto" w:fill="auto"/>
            <w:hideMark/>
          </w:tcPr>
          <w:p w:rsidR="00BB3319" w:rsidRPr="00E03AB9" w:rsidRDefault="00BB3319" w:rsidP="00BB3319">
            <w:pPr>
              <w:jc w:val="center"/>
              <w:rPr>
                <w:sz w:val="20"/>
              </w:rPr>
            </w:pPr>
            <w:r w:rsidRPr="00E03AB9">
              <w:rPr>
                <w:sz w:val="20"/>
              </w:rPr>
              <w:t>50,34</w:t>
            </w:r>
          </w:p>
        </w:tc>
        <w:tc>
          <w:tcPr>
            <w:tcW w:w="1582" w:type="dxa"/>
            <w:shd w:val="clear" w:color="auto" w:fill="auto"/>
            <w:hideMark/>
          </w:tcPr>
          <w:p w:rsidR="00BB3319" w:rsidRPr="00E03AB9" w:rsidRDefault="00BB3319" w:rsidP="00BB3319">
            <w:pPr>
              <w:jc w:val="center"/>
              <w:rPr>
                <w:sz w:val="20"/>
              </w:rPr>
            </w:pPr>
            <w:r w:rsidRPr="00E03AB9">
              <w:rPr>
                <w:sz w:val="20"/>
              </w:rPr>
              <w:t>15,14</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66,16</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TAME R cent/l</w:t>
            </w:r>
          </w:p>
        </w:tc>
        <w:tc>
          <w:tcPr>
            <w:tcW w:w="960" w:type="dxa"/>
            <w:shd w:val="clear" w:color="auto" w:fill="auto"/>
            <w:hideMark/>
          </w:tcPr>
          <w:p w:rsidR="00BB3319" w:rsidRPr="00E03AB9" w:rsidRDefault="00BB3319" w:rsidP="00BB3319">
            <w:pPr>
              <w:jc w:val="center"/>
              <w:rPr>
                <w:sz w:val="20"/>
              </w:rPr>
            </w:pPr>
            <w:r w:rsidRPr="00E03AB9">
              <w:rPr>
                <w:sz w:val="20"/>
              </w:rPr>
              <w:t>27</w:t>
            </w:r>
          </w:p>
        </w:tc>
        <w:tc>
          <w:tcPr>
            <w:tcW w:w="1178" w:type="dxa"/>
            <w:shd w:val="clear" w:color="auto" w:fill="auto"/>
            <w:hideMark/>
          </w:tcPr>
          <w:p w:rsidR="00BB3319" w:rsidRPr="00E03AB9" w:rsidRDefault="00BB3319" w:rsidP="00BB3319">
            <w:pPr>
              <w:jc w:val="center"/>
              <w:rPr>
                <w:sz w:val="20"/>
              </w:rPr>
            </w:pPr>
            <w:r w:rsidRPr="00E03AB9">
              <w:rPr>
                <w:sz w:val="20"/>
              </w:rPr>
              <w:t>50,34</w:t>
            </w:r>
          </w:p>
        </w:tc>
        <w:tc>
          <w:tcPr>
            <w:tcW w:w="1582" w:type="dxa"/>
            <w:shd w:val="clear" w:color="auto" w:fill="auto"/>
            <w:hideMark/>
          </w:tcPr>
          <w:p w:rsidR="00BB3319" w:rsidRPr="00E03AB9" w:rsidRDefault="00BB3319" w:rsidP="00BB3319">
            <w:pPr>
              <w:jc w:val="center"/>
              <w:rPr>
                <w:sz w:val="20"/>
              </w:rPr>
            </w:pPr>
            <w:r w:rsidRPr="00E03AB9">
              <w:rPr>
                <w:sz w:val="20"/>
              </w:rPr>
              <w:t>13,78</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64,80</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TAME T cent/l</w:t>
            </w:r>
          </w:p>
        </w:tc>
        <w:tc>
          <w:tcPr>
            <w:tcW w:w="960" w:type="dxa"/>
            <w:shd w:val="clear" w:color="auto" w:fill="auto"/>
            <w:hideMark/>
          </w:tcPr>
          <w:p w:rsidR="00BB3319" w:rsidRPr="00E03AB9" w:rsidRDefault="00BB3319" w:rsidP="00BB3319">
            <w:pPr>
              <w:jc w:val="center"/>
              <w:rPr>
                <w:sz w:val="20"/>
              </w:rPr>
            </w:pPr>
            <w:r w:rsidRPr="00E03AB9">
              <w:rPr>
                <w:sz w:val="20"/>
              </w:rPr>
              <w:t>28</w:t>
            </w:r>
          </w:p>
        </w:tc>
        <w:tc>
          <w:tcPr>
            <w:tcW w:w="1178" w:type="dxa"/>
            <w:shd w:val="clear" w:color="auto" w:fill="auto"/>
            <w:hideMark/>
          </w:tcPr>
          <w:p w:rsidR="00BB3319" w:rsidRPr="00E03AB9" w:rsidRDefault="00BB3319" w:rsidP="00BB3319">
            <w:pPr>
              <w:jc w:val="center"/>
              <w:rPr>
                <w:sz w:val="20"/>
              </w:rPr>
            </w:pPr>
            <w:r w:rsidRPr="00E03AB9">
              <w:rPr>
                <w:sz w:val="20"/>
              </w:rPr>
              <w:t>50,34</w:t>
            </w:r>
          </w:p>
        </w:tc>
        <w:tc>
          <w:tcPr>
            <w:tcW w:w="1582" w:type="dxa"/>
            <w:shd w:val="clear" w:color="auto" w:fill="auto"/>
            <w:hideMark/>
          </w:tcPr>
          <w:p w:rsidR="00BB3319" w:rsidRPr="00E03AB9" w:rsidRDefault="00BB3319" w:rsidP="00BB3319">
            <w:pPr>
              <w:jc w:val="center"/>
              <w:rPr>
                <w:sz w:val="20"/>
              </w:rPr>
            </w:pPr>
            <w:r w:rsidRPr="00E03AB9">
              <w:rPr>
                <w:sz w:val="20"/>
              </w:rPr>
              <w:t>12,41</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63,43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ETBE</w:t>
            </w:r>
            <w:proofErr w:type="spellEnd"/>
            <w:r w:rsidRPr="00E03AB9">
              <w:rPr>
                <w:sz w:val="20"/>
              </w:rPr>
              <w:t xml:space="preserve"> cent/l</w:t>
            </w:r>
          </w:p>
        </w:tc>
        <w:tc>
          <w:tcPr>
            <w:tcW w:w="960" w:type="dxa"/>
            <w:shd w:val="clear" w:color="auto" w:fill="auto"/>
            <w:hideMark/>
          </w:tcPr>
          <w:p w:rsidR="00BB3319" w:rsidRPr="00E03AB9" w:rsidRDefault="00BB3319" w:rsidP="00BB3319">
            <w:pPr>
              <w:jc w:val="center"/>
              <w:rPr>
                <w:sz w:val="20"/>
              </w:rPr>
            </w:pPr>
            <w:r w:rsidRPr="00E03AB9">
              <w:rPr>
                <w:sz w:val="20"/>
              </w:rPr>
              <w:t>29</w:t>
            </w:r>
          </w:p>
        </w:tc>
        <w:tc>
          <w:tcPr>
            <w:tcW w:w="1178" w:type="dxa"/>
            <w:shd w:val="clear" w:color="auto" w:fill="auto"/>
            <w:hideMark/>
          </w:tcPr>
          <w:p w:rsidR="00BB3319" w:rsidRPr="00E03AB9" w:rsidRDefault="00BB3319" w:rsidP="00BB3319">
            <w:pPr>
              <w:jc w:val="center"/>
              <w:rPr>
                <w:sz w:val="20"/>
              </w:rPr>
            </w:pPr>
            <w:r w:rsidRPr="00E03AB9">
              <w:rPr>
                <w:sz w:val="20"/>
              </w:rPr>
              <w:t>48,55</w:t>
            </w:r>
          </w:p>
        </w:tc>
        <w:tc>
          <w:tcPr>
            <w:tcW w:w="1582" w:type="dxa"/>
            <w:shd w:val="clear" w:color="auto" w:fill="auto"/>
            <w:hideMark/>
          </w:tcPr>
          <w:p w:rsidR="00BB3319" w:rsidRPr="00E03AB9" w:rsidRDefault="00BB3319" w:rsidP="00BB3319">
            <w:pPr>
              <w:jc w:val="center"/>
              <w:rPr>
                <w:sz w:val="20"/>
              </w:rPr>
            </w:pPr>
            <w:r w:rsidRPr="00E03AB9">
              <w:rPr>
                <w:sz w:val="20"/>
              </w:rPr>
              <w:t>14,60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63,83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ETBE</w:t>
            </w:r>
            <w:proofErr w:type="spellEnd"/>
            <w:r w:rsidRPr="00E03AB9">
              <w:rPr>
                <w:sz w:val="20"/>
              </w:rPr>
              <w:t xml:space="preserve"> R cent/l</w:t>
            </w:r>
          </w:p>
        </w:tc>
        <w:tc>
          <w:tcPr>
            <w:tcW w:w="960" w:type="dxa"/>
            <w:shd w:val="clear" w:color="auto" w:fill="auto"/>
            <w:hideMark/>
          </w:tcPr>
          <w:p w:rsidR="00BB3319" w:rsidRPr="00E03AB9" w:rsidRDefault="00BB3319" w:rsidP="00BB3319">
            <w:pPr>
              <w:jc w:val="center"/>
              <w:rPr>
                <w:sz w:val="20"/>
              </w:rPr>
            </w:pPr>
            <w:r w:rsidRPr="00E03AB9">
              <w:rPr>
                <w:sz w:val="20"/>
              </w:rPr>
              <w:t>30</w:t>
            </w:r>
          </w:p>
        </w:tc>
        <w:tc>
          <w:tcPr>
            <w:tcW w:w="1178" w:type="dxa"/>
            <w:shd w:val="clear" w:color="auto" w:fill="auto"/>
            <w:hideMark/>
          </w:tcPr>
          <w:p w:rsidR="00BB3319" w:rsidRPr="00E03AB9" w:rsidRDefault="00BB3319" w:rsidP="00BB3319">
            <w:pPr>
              <w:jc w:val="center"/>
              <w:rPr>
                <w:sz w:val="20"/>
              </w:rPr>
            </w:pPr>
            <w:r w:rsidRPr="00E03AB9">
              <w:rPr>
                <w:sz w:val="20"/>
              </w:rPr>
              <w:t>48,55</w:t>
            </w:r>
          </w:p>
        </w:tc>
        <w:tc>
          <w:tcPr>
            <w:tcW w:w="1582" w:type="dxa"/>
            <w:shd w:val="clear" w:color="auto" w:fill="auto"/>
            <w:hideMark/>
          </w:tcPr>
          <w:p w:rsidR="00BB3319" w:rsidRPr="00E03AB9" w:rsidRDefault="00BB3319" w:rsidP="00BB3319">
            <w:pPr>
              <w:jc w:val="center"/>
              <w:rPr>
                <w:sz w:val="20"/>
              </w:rPr>
            </w:pPr>
            <w:r w:rsidRPr="00E03AB9">
              <w:rPr>
                <w:sz w:val="20"/>
              </w:rPr>
              <w:t>11,90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61,13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ETBE</w:t>
            </w:r>
            <w:proofErr w:type="spellEnd"/>
            <w:r w:rsidRPr="00E03AB9">
              <w:rPr>
                <w:sz w:val="20"/>
              </w:rPr>
              <w:t xml:space="preserve"> T cent/l</w:t>
            </w:r>
          </w:p>
        </w:tc>
        <w:tc>
          <w:tcPr>
            <w:tcW w:w="960" w:type="dxa"/>
            <w:shd w:val="clear" w:color="auto" w:fill="auto"/>
            <w:hideMark/>
          </w:tcPr>
          <w:p w:rsidR="00BB3319" w:rsidRPr="00E03AB9" w:rsidRDefault="00BB3319" w:rsidP="00BB3319">
            <w:pPr>
              <w:jc w:val="center"/>
              <w:rPr>
                <w:sz w:val="20"/>
              </w:rPr>
            </w:pPr>
            <w:r w:rsidRPr="00E03AB9">
              <w:rPr>
                <w:sz w:val="20"/>
              </w:rPr>
              <w:t>31</w:t>
            </w:r>
          </w:p>
        </w:tc>
        <w:tc>
          <w:tcPr>
            <w:tcW w:w="1178" w:type="dxa"/>
            <w:shd w:val="clear" w:color="auto" w:fill="auto"/>
            <w:hideMark/>
          </w:tcPr>
          <w:p w:rsidR="00BB3319" w:rsidRPr="00E03AB9" w:rsidRDefault="00BB3319" w:rsidP="00BB3319">
            <w:pPr>
              <w:jc w:val="center"/>
              <w:rPr>
                <w:sz w:val="20"/>
              </w:rPr>
            </w:pPr>
            <w:r w:rsidRPr="00E03AB9">
              <w:rPr>
                <w:sz w:val="20"/>
              </w:rPr>
              <w:t>48,55</w:t>
            </w:r>
          </w:p>
        </w:tc>
        <w:tc>
          <w:tcPr>
            <w:tcW w:w="1582" w:type="dxa"/>
            <w:shd w:val="clear" w:color="auto" w:fill="auto"/>
            <w:hideMark/>
          </w:tcPr>
          <w:p w:rsidR="00BB3319" w:rsidRPr="00E03AB9" w:rsidRDefault="00BB3319" w:rsidP="00BB3319">
            <w:pPr>
              <w:jc w:val="center"/>
              <w:rPr>
                <w:sz w:val="20"/>
              </w:rPr>
            </w:pPr>
            <w:r w:rsidRPr="00E03AB9">
              <w:rPr>
                <w:sz w:val="20"/>
              </w:rPr>
              <w:t>9,20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58,43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TAEE</w:t>
            </w:r>
            <w:proofErr w:type="spellEnd"/>
            <w:r w:rsidRPr="00E03AB9">
              <w:rPr>
                <w:sz w:val="20"/>
              </w:rPr>
              <w:t xml:space="preserve"> cent/l</w:t>
            </w:r>
          </w:p>
        </w:tc>
        <w:tc>
          <w:tcPr>
            <w:tcW w:w="960" w:type="dxa"/>
            <w:shd w:val="clear" w:color="auto" w:fill="auto"/>
            <w:hideMark/>
          </w:tcPr>
          <w:p w:rsidR="00BB3319" w:rsidRPr="00E03AB9" w:rsidRDefault="00BB3319" w:rsidP="00BB3319">
            <w:pPr>
              <w:jc w:val="center"/>
              <w:rPr>
                <w:sz w:val="20"/>
              </w:rPr>
            </w:pPr>
            <w:r w:rsidRPr="00E03AB9">
              <w:rPr>
                <w:sz w:val="20"/>
              </w:rPr>
              <w:t>32</w:t>
            </w:r>
          </w:p>
        </w:tc>
        <w:tc>
          <w:tcPr>
            <w:tcW w:w="1178" w:type="dxa"/>
            <w:shd w:val="clear" w:color="auto" w:fill="auto"/>
            <w:hideMark/>
          </w:tcPr>
          <w:p w:rsidR="00BB3319" w:rsidRPr="00E03AB9" w:rsidRDefault="00BB3319" w:rsidP="00BB3319">
            <w:pPr>
              <w:jc w:val="center"/>
              <w:rPr>
                <w:sz w:val="20"/>
              </w:rPr>
            </w:pPr>
            <w:r w:rsidRPr="00E03AB9">
              <w:rPr>
                <w:sz w:val="20"/>
              </w:rPr>
              <w:t>52,14</w:t>
            </w:r>
          </w:p>
        </w:tc>
        <w:tc>
          <w:tcPr>
            <w:tcW w:w="1582" w:type="dxa"/>
            <w:shd w:val="clear" w:color="auto" w:fill="auto"/>
            <w:hideMark/>
          </w:tcPr>
          <w:p w:rsidR="00BB3319" w:rsidRPr="00E03AB9" w:rsidRDefault="00BB3319" w:rsidP="00BB3319">
            <w:pPr>
              <w:jc w:val="center"/>
              <w:rPr>
                <w:sz w:val="20"/>
              </w:rPr>
            </w:pPr>
            <w:r w:rsidRPr="00E03AB9">
              <w:rPr>
                <w:sz w:val="20"/>
              </w:rPr>
              <w:t>15,68</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68,50</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TAEE</w:t>
            </w:r>
            <w:proofErr w:type="spellEnd"/>
            <w:r w:rsidRPr="00E03AB9">
              <w:rPr>
                <w:sz w:val="20"/>
              </w:rPr>
              <w:t xml:space="preserve"> R cent/l</w:t>
            </w:r>
          </w:p>
        </w:tc>
        <w:tc>
          <w:tcPr>
            <w:tcW w:w="960" w:type="dxa"/>
            <w:shd w:val="clear" w:color="auto" w:fill="auto"/>
            <w:hideMark/>
          </w:tcPr>
          <w:p w:rsidR="00BB3319" w:rsidRPr="00E03AB9" w:rsidRDefault="00BB3319" w:rsidP="00BB3319">
            <w:pPr>
              <w:jc w:val="center"/>
              <w:rPr>
                <w:sz w:val="20"/>
              </w:rPr>
            </w:pPr>
            <w:r w:rsidRPr="00E03AB9">
              <w:rPr>
                <w:sz w:val="20"/>
              </w:rPr>
              <w:t>33</w:t>
            </w:r>
          </w:p>
        </w:tc>
        <w:tc>
          <w:tcPr>
            <w:tcW w:w="1178" w:type="dxa"/>
            <w:shd w:val="clear" w:color="auto" w:fill="auto"/>
            <w:hideMark/>
          </w:tcPr>
          <w:p w:rsidR="00BB3319" w:rsidRPr="00E03AB9" w:rsidRDefault="00BB3319" w:rsidP="00BB3319">
            <w:pPr>
              <w:jc w:val="center"/>
              <w:rPr>
                <w:sz w:val="20"/>
              </w:rPr>
            </w:pPr>
            <w:r w:rsidRPr="00E03AB9">
              <w:rPr>
                <w:sz w:val="20"/>
              </w:rPr>
              <w:t>52,14</w:t>
            </w:r>
          </w:p>
        </w:tc>
        <w:tc>
          <w:tcPr>
            <w:tcW w:w="1582" w:type="dxa"/>
            <w:shd w:val="clear" w:color="auto" w:fill="auto"/>
            <w:hideMark/>
          </w:tcPr>
          <w:p w:rsidR="00BB3319" w:rsidRPr="00E03AB9" w:rsidRDefault="00BB3319" w:rsidP="00BB3319">
            <w:pPr>
              <w:jc w:val="center"/>
              <w:rPr>
                <w:sz w:val="20"/>
              </w:rPr>
            </w:pPr>
            <w:r w:rsidRPr="00E03AB9">
              <w:rPr>
                <w:sz w:val="20"/>
              </w:rPr>
              <w:t>13,41</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66,23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proofErr w:type="spellStart"/>
            <w:r w:rsidRPr="00E03AB9">
              <w:rPr>
                <w:sz w:val="20"/>
              </w:rPr>
              <w:t>TAEE</w:t>
            </w:r>
            <w:proofErr w:type="spellEnd"/>
            <w:r w:rsidRPr="00E03AB9">
              <w:rPr>
                <w:sz w:val="20"/>
              </w:rPr>
              <w:t xml:space="preserve"> T cent/l</w:t>
            </w:r>
          </w:p>
        </w:tc>
        <w:tc>
          <w:tcPr>
            <w:tcW w:w="960" w:type="dxa"/>
            <w:shd w:val="clear" w:color="auto" w:fill="auto"/>
            <w:hideMark/>
          </w:tcPr>
          <w:p w:rsidR="00BB3319" w:rsidRPr="00E03AB9" w:rsidRDefault="00BB3319" w:rsidP="00BB3319">
            <w:pPr>
              <w:jc w:val="center"/>
              <w:rPr>
                <w:sz w:val="20"/>
              </w:rPr>
            </w:pPr>
            <w:r w:rsidRPr="00E03AB9">
              <w:rPr>
                <w:sz w:val="20"/>
              </w:rPr>
              <w:t>34</w:t>
            </w:r>
          </w:p>
        </w:tc>
        <w:tc>
          <w:tcPr>
            <w:tcW w:w="1178" w:type="dxa"/>
            <w:shd w:val="clear" w:color="auto" w:fill="auto"/>
            <w:hideMark/>
          </w:tcPr>
          <w:p w:rsidR="00BB3319" w:rsidRPr="00E03AB9" w:rsidRDefault="00BB3319" w:rsidP="00BB3319">
            <w:pPr>
              <w:jc w:val="center"/>
              <w:rPr>
                <w:sz w:val="20"/>
              </w:rPr>
            </w:pPr>
            <w:r w:rsidRPr="00E03AB9">
              <w:rPr>
                <w:sz w:val="20"/>
              </w:rPr>
              <w:t>52,14</w:t>
            </w:r>
          </w:p>
        </w:tc>
        <w:tc>
          <w:tcPr>
            <w:tcW w:w="1582" w:type="dxa"/>
            <w:shd w:val="clear" w:color="auto" w:fill="auto"/>
            <w:hideMark/>
          </w:tcPr>
          <w:p w:rsidR="00BB3319" w:rsidRPr="00E03AB9" w:rsidRDefault="00BB3319" w:rsidP="00BB3319">
            <w:pPr>
              <w:jc w:val="center"/>
              <w:rPr>
                <w:sz w:val="20"/>
              </w:rPr>
            </w:pPr>
            <w:r w:rsidRPr="00E03AB9">
              <w:rPr>
                <w:sz w:val="20"/>
              </w:rPr>
              <w:t>11,13</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63,95</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Biobensin cent/l</w:t>
            </w:r>
          </w:p>
        </w:tc>
        <w:tc>
          <w:tcPr>
            <w:tcW w:w="960" w:type="dxa"/>
            <w:shd w:val="clear" w:color="auto" w:fill="auto"/>
            <w:hideMark/>
          </w:tcPr>
          <w:p w:rsidR="00BB3319" w:rsidRPr="00E03AB9" w:rsidRDefault="00BB3319" w:rsidP="00BB3319">
            <w:pPr>
              <w:jc w:val="center"/>
              <w:rPr>
                <w:sz w:val="20"/>
              </w:rPr>
            </w:pPr>
            <w:r w:rsidRPr="00E03AB9">
              <w:rPr>
                <w:sz w:val="20"/>
              </w:rPr>
              <w:t>38</w:t>
            </w:r>
          </w:p>
        </w:tc>
        <w:tc>
          <w:tcPr>
            <w:tcW w:w="1178" w:type="dxa"/>
            <w:shd w:val="clear" w:color="auto" w:fill="auto"/>
            <w:hideMark/>
          </w:tcPr>
          <w:p w:rsidR="00BB3319" w:rsidRPr="00E03AB9" w:rsidRDefault="00BB3319" w:rsidP="00BB3319">
            <w:pPr>
              <w:jc w:val="center"/>
              <w:rPr>
                <w:sz w:val="20"/>
              </w:rPr>
            </w:pPr>
            <w:r w:rsidRPr="00E03AB9">
              <w:rPr>
                <w:sz w:val="20"/>
              </w:rPr>
              <w:t>57,54</w:t>
            </w:r>
          </w:p>
        </w:tc>
        <w:tc>
          <w:tcPr>
            <w:tcW w:w="1582" w:type="dxa"/>
            <w:shd w:val="clear" w:color="auto" w:fill="auto"/>
            <w:hideMark/>
          </w:tcPr>
          <w:p w:rsidR="00BB3319" w:rsidRPr="00E03AB9" w:rsidRDefault="00BB3319" w:rsidP="00BB3319">
            <w:pPr>
              <w:jc w:val="center"/>
              <w:rPr>
                <w:sz w:val="20"/>
              </w:rPr>
            </w:pPr>
            <w:r w:rsidRPr="00E03AB9">
              <w:rPr>
                <w:sz w:val="20"/>
              </w:rPr>
              <w:t>17,30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75,52</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Biobensin R cent/l</w:t>
            </w:r>
          </w:p>
        </w:tc>
        <w:tc>
          <w:tcPr>
            <w:tcW w:w="960" w:type="dxa"/>
            <w:shd w:val="clear" w:color="auto" w:fill="auto"/>
            <w:hideMark/>
          </w:tcPr>
          <w:p w:rsidR="00BB3319" w:rsidRPr="00E03AB9" w:rsidRDefault="00BB3319" w:rsidP="00BB3319">
            <w:pPr>
              <w:jc w:val="center"/>
              <w:rPr>
                <w:sz w:val="20"/>
              </w:rPr>
            </w:pPr>
            <w:r w:rsidRPr="00E03AB9">
              <w:rPr>
                <w:sz w:val="20"/>
              </w:rPr>
              <w:t>39</w:t>
            </w:r>
          </w:p>
        </w:tc>
        <w:tc>
          <w:tcPr>
            <w:tcW w:w="1178" w:type="dxa"/>
            <w:shd w:val="clear" w:color="auto" w:fill="auto"/>
            <w:hideMark/>
          </w:tcPr>
          <w:p w:rsidR="00BB3319" w:rsidRPr="00E03AB9" w:rsidRDefault="00BB3319" w:rsidP="00BB3319">
            <w:pPr>
              <w:jc w:val="center"/>
              <w:rPr>
                <w:sz w:val="20"/>
              </w:rPr>
            </w:pPr>
            <w:r w:rsidRPr="00E03AB9">
              <w:rPr>
                <w:sz w:val="20"/>
              </w:rPr>
              <w:t>57,54</w:t>
            </w:r>
          </w:p>
        </w:tc>
        <w:tc>
          <w:tcPr>
            <w:tcW w:w="1582" w:type="dxa"/>
            <w:shd w:val="clear" w:color="auto" w:fill="auto"/>
            <w:hideMark/>
          </w:tcPr>
          <w:p w:rsidR="00BB3319" w:rsidRPr="00E03AB9" w:rsidRDefault="00BB3319" w:rsidP="00BB3319">
            <w:pPr>
              <w:jc w:val="center"/>
              <w:rPr>
                <w:sz w:val="20"/>
              </w:rPr>
            </w:pPr>
            <w:r w:rsidRPr="00E03AB9">
              <w:rPr>
                <w:sz w:val="20"/>
              </w:rPr>
              <w:t>8,65</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66,87</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Biobensin T cent/l</w:t>
            </w:r>
          </w:p>
        </w:tc>
        <w:tc>
          <w:tcPr>
            <w:tcW w:w="960" w:type="dxa"/>
            <w:shd w:val="clear" w:color="auto" w:fill="auto"/>
            <w:hideMark/>
          </w:tcPr>
          <w:p w:rsidR="00BB3319" w:rsidRPr="00E03AB9" w:rsidRDefault="00BB3319" w:rsidP="00BB3319">
            <w:pPr>
              <w:jc w:val="center"/>
              <w:rPr>
                <w:sz w:val="20"/>
              </w:rPr>
            </w:pPr>
            <w:r w:rsidRPr="00E03AB9">
              <w:rPr>
                <w:sz w:val="20"/>
              </w:rPr>
              <w:t>40</w:t>
            </w:r>
          </w:p>
        </w:tc>
        <w:tc>
          <w:tcPr>
            <w:tcW w:w="1178" w:type="dxa"/>
            <w:shd w:val="clear" w:color="auto" w:fill="auto"/>
            <w:hideMark/>
          </w:tcPr>
          <w:p w:rsidR="00BB3319" w:rsidRPr="00E03AB9" w:rsidRDefault="00BB3319" w:rsidP="00BB3319">
            <w:pPr>
              <w:jc w:val="center"/>
              <w:rPr>
                <w:sz w:val="20"/>
              </w:rPr>
            </w:pPr>
            <w:r w:rsidRPr="00E03AB9">
              <w:rPr>
                <w:sz w:val="20"/>
              </w:rPr>
              <w:t>57,54</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58,22</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Etanoldiesel cent/l</w:t>
            </w:r>
          </w:p>
        </w:tc>
        <w:tc>
          <w:tcPr>
            <w:tcW w:w="960" w:type="dxa"/>
            <w:shd w:val="clear" w:color="auto" w:fill="auto"/>
            <w:hideMark/>
          </w:tcPr>
          <w:p w:rsidR="00BB3319" w:rsidRPr="00E03AB9" w:rsidRDefault="00BB3319" w:rsidP="00BB3319">
            <w:pPr>
              <w:jc w:val="center"/>
              <w:rPr>
                <w:sz w:val="20"/>
              </w:rPr>
            </w:pPr>
            <w:r w:rsidRPr="00E03AB9">
              <w:rPr>
                <w:sz w:val="20"/>
              </w:rPr>
              <w:t>47</w:t>
            </w:r>
          </w:p>
        </w:tc>
        <w:tc>
          <w:tcPr>
            <w:tcW w:w="1178" w:type="dxa"/>
            <w:shd w:val="clear" w:color="auto" w:fill="auto"/>
            <w:hideMark/>
          </w:tcPr>
          <w:p w:rsidR="00BB3319" w:rsidRPr="00E03AB9" w:rsidRDefault="00BB3319" w:rsidP="00BB3319">
            <w:pPr>
              <w:jc w:val="center"/>
              <w:rPr>
                <w:sz w:val="20"/>
              </w:rPr>
            </w:pPr>
            <w:r w:rsidRPr="00E03AB9">
              <w:rPr>
                <w:sz w:val="20"/>
              </w:rPr>
              <w:t>18,70</w:t>
            </w:r>
          </w:p>
        </w:tc>
        <w:tc>
          <w:tcPr>
            <w:tcW w:w="1582" w:type="dxa"/>
            <w:shd w:val="clear" w:color="auto" w:fill="auto"/>
            <w:hideMark/>
          </w:tcPr>
          <w:p w:rsidR="00BB3319" w:rsidRPr="00E03AB9" w:rsidRDefault="00BB3319" w:rsidP="00BB3319">
            <w:pPr>
              <w:jc w:val="center"/>
              <w:rPr>
                <w:sz w:val="20"/>
              </w:rPr>
            </w:pPr>
            <w:r w:rsidRPr="00E03AB9">
              <w:rPr>
                <w:sz w:val="20"/>
              </w:rPr>
              <w:t>11,58</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30,63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Etanoldiesel R cent/l</w:t>
            </w:r>
          </w:p>
        </w:tc>
        <w:tc>
          <w:tcPr>
            <w:tcW w:w="960" w:type="dxa"/>
            <w:shd w:val="clear" w:color="auto" w:fill="auto"/>
            <w:hideMark/>
          </w:tcPr>
          <w:p w:rsidR="00BB3319" w:rsidRPr="00E03AB9" w:rsidRDefault="00BB3319" w:rsidP="00BB3319">
            <w:pPr>
              <w:jc w:val="center"/>
              <w:rPr>
                <w:sz w:val="20"/>
              </w:rPr>
            </w:pPr>
            <w:r w:rsidRPr="00E03AB9">
              <w:rPr>
                <w:sz w:val="20"/>
              </w:rPr>
              <w:t>48</w:t>
            </w:r>
          </w:p>
        </w:tc>
        <w:tc>
          <w:tcPr>
            <w:tcW w:w="1178" w:type="dxa"/>
            <w:shd w:val="clear" w:color="auto" w:fill="auto"/>
            <w:hideMark/>
          </w:tcPr>
          <w:p w:rsidR="00BB3319" w:rsidRPr="00E03AB9" w:rsidRDefault="00BB3319" w:rsidP="00BB3319">
            <w:pPr>
              <w:jc w:val="center"/>
              <w:rPr>
                <w:sz w:val="20"/>
              </w:rPr>
            </w:pPr>
            <w:r w:rsidRPr="00E03AB9">
              <w:rPr>
                <w:sz w:val="20"/>
              </w:rPr>
              <w:t>18,70</w:t>
            </w:r>
          </w:p>
        </w:tc>
        <w:tc>
          <w:tcPr>
            <w:tcW w:w="1582" w:type="dxa"/>
            <w:shd w:val="clear" w:color="auto" w:fill="auto"/>
            <w:hideMark/>
          </w:tcPr>
          <w:p w:rsidR="00BB3319" w:rsidRPr="00E03AB9" w:rsidRDefault="00BB3319" w:rsidP="00BB3319">
            <w:pPr>
              <w:jc w:val="center"/>
              <w:rPr>
                <w:sz w:val="20"/>
              </w:rPr>
            </w:pPr>
            <w:r w:rsidRPr="00E03AB9">
              <w:rPr>
                <w:sz w:val="20"/>
              </w:rPr>
              <w:t>6,36</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25,41</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Etanoldiesel T cent/l</w:t>
            </w:r>
          </w:p>
        </w:tc>
        <w:tc>
          <w:tcPr>
            <w:tcW w:w="960" w:type="dxa"/>
            <w:shd w:val="clear" w:color="auto" w:fill="auto"/>
            <w:hideMark/>
          </w:tcPr>
          <w:p w:rsidR="00BB3319" w:rsidRPr="00E03AB9" w:rsidRDefault="00BB3319" w:rsidP="00BB3319">
            <w:pPr>
              <w:jc w:val="center"/>
              <w:rPr>
                <w:sz w:val="20"/>
              </w:rPr>
            </w:pPr>
            <w:r w:rsidRPr="00E03AB9">
              <w:rPr>
                <w:sz w:val="20"/>
              </w:rPr>
              <w:t>49</w:t>
            </w:r>
          </w:p>
        </w:tc>
        <w:tc>
          <w:tcPr>
            <w:tcW w:w="1178" w:type="dxa"/>
            <w:shd w:val="clear" w:color="auto" w:fill="auto"/>
            <w:hideMark/>
          </w:tcPr>
          <w:p w:rsidR="00BB3319" w:rsidRPr="00E03AB9" w:rsidRDefault="00BB3319" w:rsidP="00BB3319">
            <w:pPr>
              <w:jc w:val="center"/>
              <w:rPr>
                <w:sz w:val="20"/>
              </w:rPr>
            </w:pPr>
            <w:r w:rsidRPr="00E03AB9">
              <w:rPr>
                <w:sz w:val="20"/>
              </w:rPr>
              <w:t>18,70</w:t>
            </w:r>
          </w:p>
        </w:tc>
        <w:tc>
          <w:tcPr>
            <w:tcW w:w="1582" w:type="dxa"/>
            <w:shd w:val="clear" w:color="auto" w:fill="auto"/>
            <w:hideMark/>
          </w:tcPr>
          <w:p w:rsidR="00BB3319" w:rsidRPr="00E03AB9" w:rsidRDefault="00BB3319" w:rsidP="00BB3319">
            <w:pPr>
              <w:jc w:val="center"/>
              <w:rPr>
                <w:sz w:val="20"/>
              </w:rPr>
            </w:pPr>
            <w:r w:rsidRPr="00E03AB9">
              <w:rPr>
                <w:sz w:val="20"/>
              </w:rPr>
              <w:t>1,14</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20,19</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lastRenderedPageBreak/>
              <w:t>Dieselolja cent/l</w:t>
            </w:r>
          </w:p>
        </w:tc>
        <w:tc>
          <w:tcPr>
            <w:tcW w:w="960" w:type="dxa"/>
            <w:shd w:val="clear" w:color="auto" w:fill="auto"/>
            <w:hideMark/>
          </w:tcPr>
          <w:p w:rsidR="00BB3319" w:rsidRPr="00E03AB9" w:rsidRDefault="00BB3319" w:rsidP="00BB3319">
            <w:pPr>
              <w:jc w:val="center"/>
              <w:rPr>
                <w:sz w:val="20"/>
              </w:rPr>
            </w:pPr>
            <w:r w:rsidRPr="00E03AB9">
              <w:rPr>
                <w:sz w:val="20"/>
              </w:rPr>
              <w:t>50</w:t>
            </w:r>
          </w:p>
        </w:tc>
        <w:tc>
          <w:tcPr>
            <w:tcW w:w="1178" w:type="dxa"/>
            <w:shd w:val="clear" w:color="auto" w:fill="auto"/>
            <w:hideMark/>
          </w:tcPr>
          <w:p w:rsidR="00BB3319" w:rsidRPr="00E03AB9" w:rsidRDefault="00BB3319" w:rsidP="00BB3319">
            <w:pPr>
              <w:jc w:val="center"/>
              <w:rPr>
                <w:sz w:val="20"/>
              </w:rPr>
            </w:pPr>
            <w:r w:rsidRPr="00E03AB9">
              <w:rPr>
                <w:sz w:val="20"/>
              </w:rPr>
              <w:t>38,78</w:t>
            </w:r>
          </w:p>
        </w:tc>
        <w:tc>
          <w:tcPr>
            <w:tcW w:w="1582" w:type="dxa"/>
            <w:shd w:val="clear" w:color="auto" w:fill="auto"/>
            <w:hideMark/>
          </w:tcPr>
          <w:p w:rsidR="00BB3319" w:rsidRPr="00E03AB9" w:rsidRDefault="00BB3319" w:rsidP="00BB3319">
            <w:pPr>
              <w:jc w:val="center"/>
              <w:rPr>
                <w:sz w:val="20"/>
              </w:rPr>
            </w:pPr>
            <w:r w:rsidRPr="00E03AB9">
              <w:rPr>
                <w:sz w:val="20"/>
              </w:rPr>
              <w:t>19,78</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58,91</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Dieselolja para cent/l</w:t>
            </w:r>
          </w:p>
        </w:tc>
        <w:tc>
          <w:tcPr>
            <w:tcW w:w="960" w:type="dxa"/>
            <w:shd w:val="clear" w:color="auto" w:fill="auto"/>
            <w:hideMark/>
          </w:tcPr>
          <w:p w:rsidR="00BB3319" w:rsidRPr="00E03AB9" w:rsidRDefault="00BB3319" w:rsidP="00BB3319">
            <w:pPr>
              <w:jc w:val="center"/>
              <w:rPr>
                <w:sz w:val="20"/>
              </w:rPr>
            </w:pPr>
            <w:r w:rsidRPr="00E03AB9">
              <w:rPr>
                <w:sz w:val="20"/>
              </w:rPr>
              <w:t>51</w:t>
            </w:r>
          </w:p>
        </w:tc>
        <w:tc>
          <w:tcPr>
            <w:tcW w:w="1178" w:type="dxa"/>
            <w:shd w:val="clear" w:color="auto" w:fill="auto"/>
            <w:hideMark/>
          </w:tcPr>
          <w:p w:rsidR="00BB3319" w:rsidRPr="00E03AB9" w:rsidRDefault="00BB3319" w:rsidP="00BB3319">
            <w:pPr>
              <w:jc w:val="center"/>
              <w:rPr>
                <w:sz w:val="20"/>
              </w:rPr>
            </w:pPr>
            <w:r w:rsidRPr="00E03AB9">
              <w:rPr>
                <w:sz w:val="20"/>
              </w:rPr>
              <w:t>31,62</w:t>
            </w:r>
          </w:p>
        </w:tc>
        <w:tc>
          <w:tcPr>
            <w:tcW w:w="1582" w:type="dxa"/>
            <w:shd w:val="clear" w:color="auto" w:fill="auto"/>
            <w:hideMark/>
          </w:tcPr>
          <w:p w:rsidR="00BB3319" w:rsidRPr="00E03AB9" w:rsidRDefault="00BB3319" w:rsidP="00BB3319">
            <w:pPr>
              <w:jc w:val="center"/>
              <w:rPr>
                <w:sz w:val="20"/>
              </w:rPr>
            </w:pPr>
            <w:r w:rsidRPr="00E03AB9">
              <w:rPr>
                <w:sz w:val="20"/>
              </w:rPr>
              <w:t>18,68</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50,65</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Biodieselolja cent/l</w:t>
            </w:r>
          </w:p>
        </w:tc>
        <w:tc>
          <w:tcPr>
            <w:tcW w:w="960" w:type="dxa"/>
            <w:shd w:val="clear" w:color="auto" w:fill="auto"/>
            <w:hideMark/>
          </w:tcPr>
          <w:p w:rsidR="00BB3319" w:rsidRPr="00E03AB9" w:rsidRDefault="00BB3319" w:rsidP="00BB3319">
            <w:pPr>
              <w:jc w:val="center"/>
              <w:rPr>
                <w:sz w:val="20"/>
              </w:rPr>
            </w:pPr>
            <w:r w:rsidRPr="00E03AB9">
              <w:rPr>
                <w:sz w:val="20"/>
              </w:rPr>
              <w:t>52</w:t>
            </w:r>
          </w:p>
        </w:tc>
        <w:tc>
          <w:tcPr>
            <w:tcW w:w="1178" w:type="dxa"/>
            <w:shd w:val="clear" w:color="auto" w:fill="auto"/>
            <w:hideMark/>
          </w:tcPr>
          <w:p w:rsidR="00BB3319" w:rsidRPr="00E03AB9" w:rsidRDefault="00BB3319" w:rsidP="00BB3319">
            <w:pPr>
              <w:jc w:val="center"/>
              <w:rPr>
                <w:sz w:val="20"/>
              </w:rPr>
            </w:pPr>
            <w:r w:rsidRPr="00E03AB9">
              <w:rPr>
                <w:sz w:val="20"/>
              </w:rPr>
              <w:t>35,55</w:t>
            </w:r>
          </w:p>
        </w:tc>
        <w:tc>
          <w:tcPr>
            <w:tcW w:w="1582" w:type="dxa"/>
            <w:shd w:val="clear" w:color="auto" w:fill="auto"/>
            <w:hideMark/>
          </w:tcPr>
          <w:p w:rsidR="00BB3319" w:rsidRPr="00E03AB9" w:rsidRDefault="00BB3319" w:rsidP="00BB3319">
            <w:pPr>
              <w:jc w:val="center"/>
              <w:rPr>
                <w:sz w:val="20"/>
              </w:rPr>
            </w:pPr>
            <w:r w:rsidRPr="00E03AB9">
              <w:rPr>
                <w:sz w:val="20"/>
              </w:rPr>
              <w:t>18,13</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54,03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Biodieselolja R cent/l</w:t>
            </w:r>
          </w:p>
        </w:tc>
        <w:tc>
          <w:tcPr>
            <w:tcW w:w="960" w:type="dxa"/>
            <w:shd w:val="clear" w:color="auto" w:fill="auto"/>
            <w:hideMark/>
          </w:tcPr>
          <w:p w:rsidR="00BB3319" w:rsidRPr="00E03AB9" w:rsidRDefault="00BB3319" w:rsidP="00BB3319">
            <w:pPr>
              <w:jc w:val="center"/>
              <w:rPr>
                <w:sz w:val="20"/>
              </w:rPr>
            </w:pPr>
            <w:r w:rsidRPr="00E03AB9">
              <w:rPr>
                <w:sz w:val="20"/>
              </w:rPr>
              <w:t>53</w:t>
            </w:r>
          </w:p>
        </w:tc>
        <w:tc>
          <w:tcPr>
            <w:tcW w:w="1178" w:type="dxa"/>
            <w:shd w:val="clear" w:color="auto" w:fill="auto"/>
            <w:hideMark/>
          </w:tcPr>
          <w:p w:rsidR="00BB3319" w:rsidRPr="00E03AB9" w:rsidRDefault="00BB3319" w:rsidP="00BB3319">
            <w:pPr>
              <w:jc w:val="center"/>
              <w:rPr>
                <w:sz w:val="20"/>
              </w:rPr>
            </w:pPr>
            <w:r w:rsidRPr="00E03AB9">
              <w:rPr>
                <w:sz w:val="20"/>
              </w:rPr>
              <w:t>35,55</w:t>
            </w:r>
          </w:p>
        </w:tc>
        <w:tc>
          <w:tcPr>
            <w:tcW w:w="1582" w:type="dxa"/>
            <w:shd w:val="clear" w:color="auto" w:fill="auto"/>
            <w:hideMark/>
          </w:tcPr>
          <w:p w:rsidR="00BB3319" w:rsidRPr="00E03AB9" w:rsidRDefault="00BB3319" w:rsidP="00BB3319">
            <w:pPr>
              <w:jc w:val="center"/>
              <w:rPr>
                <w:sz w:val="20"/>
              </w:rPr>
            </w:pPr>
            <w:r w:rsidRPr="00E03AB9">
              <w:rPr>
                <w:sz w:val="20"/>
              </w:rPr>
              <w:t>9,06</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44,96</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Biodieselolja T cent/l</w:t>
            </w:r>
          </w:p>
        </w:tc>
        <w:tc>
          <w:tcPr>
            <w:tcW w:w="960" w:type="dxa"/>
            <w:shd w:val="clear" w:color="auto" w:fill="auto"/>
            <w:hideMark/>
          </w:tcPr>
          <w:p w:rsidR="00BB3319" w:rsidRPr="00E03AB9" w:rsidRDefault="00BB3319" w:rsidP="00BB3319">
            <w:pPr>
              <w:jc w:val="center"/>
              <w:rPr>
                <w:sz w:val="20"/>
              </w:rPr>
            </w:pPr>
            <w:r w:rsidRPr="00E03AB9">
              <w:rPr>
                <w:sz w:val="20"/>
              </w:rPr>
              <w:t>54</w:t>
            </w:r>
          </w:p>
        </w:tc>
        <w:tc>
          <w:tcPr>
            <w:tcW w:w="1178" w:type="dxa"/>
            <w:shd w:val="clear" w:color="auto" w:fill="auto"/>
            <w:hideMark/>
          </w:tcPr>
          <w:p w:rsidR="00BB3319" w:rsidRPr="00E03AB9" w:rsidRDefault="00BB3319" w:rsidP="00BB3319">
            <w:pPr>
              <w:jc w:val="center"/>
              <w:rPr>
                <w:sz w:val="20"/>
              </w:rPr>
            </w:pPr>
            <w:r w:rsidRPr="00E03AB9">
              <w:rPr>
                <w:sz w:val="20"/>
              </w:rPr>
              <w:t>35,55</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35,90</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Biodieselolja P cent/l</w:t>
            </w:r>
          </w:p>
        </w:tc>
        <w:tc>
          <w:tcPr>
            <w:tcW w:w="960" w:type="dxa"/>
            <w:shd w:val="clear" w:color="auto" w:fill="auto"/>
            <w:hideMark/>
          </w:tcPr>
          <w:p w:rsidR="00BB3319" w:rsidRPr="00E03AB9" w:rsidRDefault="00BB3319" w:rsidP="00BB3319">
            <w:pPr>
              <w:jc w:val="center"/>
              <w:rPr>
                <w:sz w:val="20"/>
              </w:rPr>
            </w:pPr>
            <w:r w:rsidRPr="00E03AB9">
              <w:rPr>
                <w:sz w:val="20"/>
              </w:rPr>
              <w:t>55</w:t>
            </w:r>
          </w:p>
        </w:tc>
        <w:tc>
          <w:tcPr>
            <w:tcW w:w="1178" w:type="dxa"/>
            <w:shd w:val="clear" w:color="auto" w:fill="auto"/>
            <w:hideMark/>
          </w:tcPr>
          <w:p w:rsidR="00BB3319" w:rsidRPr="00E03AB9" w:rsidRDefault="00BB3319" w:rsidP="00BB3319">
            <w:pPr>
              <w:jc w:val="center"/>
              <w:rPr>
                <w:sz w:val="20"/>
              </w:rPr>
            </w:pPr>
            <w:r w:rsidRPr="00E03AB9">
              <w:rPr>
                <w:sz w:val="20"/>
              </w:rPr>
              <w:t>31,62</w:t>
            </w:r>
          </w:p>
        </w:tc>
        <w:tc>
          <w:tcPr>
            <w:tcW w:w="1582" w:type="dxa"/>
            <w:shd w:val="clear" w:color="auto" w:fill="auto"/>
            <w:hideMark/>
          </w:tcPr>
          <w:p w:rsidR="00BB3319" w:rsidRPr="00E03AB9" w:rsidRDefault="00BB3319" w:rsidP="00BB3319">
            <w:pPr>
              <w:jc w:val="center"/>
              <w:rPr>
                <w:sz w:val="20"/>
              </w:rPr>
            </w:pPr>
            <w:r w:rsidRPr="00E03AB9">
              <w:rPr>
                <w:sz w:val="20"/>
              </w:rPr>
              <w:t>18,68</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50,65</w:t>
            </w:r>
          </w:p>
        </w:tc>
      </w:tr>
      <w:tr w:rsidR="00E03AB9" w:rsidRPr="00E03AB9" w:rsidTr="00F2418A">
        <w:trPr>
          <w:trHeight w:val="260"/>
        </w:trPr>
        <w:tc>
          <w:tcPr>
            <w:tcW w:w="2540" w:type="dxa"/>
            <w:shd w:val="clear" w:color="auto" w:fill="auto"/>
            <w:hideMark/>
          </w:tcPr>
          <w:p w:rsidR="00BB3319" w:rsidRPr="00E03AB9" w:rsidRDefault="00BB3319" w:rsidP="00BB3319">
            <w:pPr>
              <w:rPr>
                <w:sz w:val="20"/>
                <w:lang w:val="en-US"/>
              </w:rPr>
            </w:pPr>
            <w:proofErr w:type="spellStart"/>
            <w:r w:rsidRPr="00E03AB9">
              <w:rPr>
                <w:sz w:val="20"/>
                <w:lang w:val="en-US"/>
              </w:rPr>
              <w:t>Biodieselolja</w:t>
            </w:r>
            <w:proofErr w:type="spellEnd"/>
            <w:r w:rsidRPr="00E03AB9">
              <w:rPr>
                <w:sz w:val="20"/>
                <w:lang w:val="en-US"/>
              </w:rPr>
              <w:t xml:space="preserve"> P R cent/l</w:t>
            </w:r>
          </w:p>
        </w:tc>
        <w:tc>
          <w:tcPr>
            <w:tcW w:w="960" w:type="dxa"/>
            <w:shd w:val="clear" w:color="auto" w:fill="auto"/>
            <w:hideMark/>
          </w:tcPr>
          <w:p w:rsidR="00BB3319" w:rsidRPr="00E03AB9" w:rsidRDefault="00BB3319" w:rsidP="00BB3319">
            <w:pPr>
              <w:jc w:val="center"/>
              <w:rPr>
                <w:sz w:val="20"/>
              </w:rPr>
            </w:pPr>
            <w:r w:rsidRPr="00E03AB9">
              <w:rPr>
                <w:sz w:val="20"/>
              </w:rPr>
              <w:t>56</w:t>
            </w:r>
          </w:p>
        </w:tc>
        <w:tc>
          <w:tcPr>
            <w:tcW w:w="1178" w:type="dxa"/>
            <w:shd w:val="clear" w:color="auto" w:fill="auto"/>
            <w:hideMark/>
          </w:tcPr>
          <w:p w:rsidR="00BB3319" w:rsidRPr="00E03AB9" w:rsidRDefault="00BB3319" w:rsidP="00BB3319">
            <w:pPr>
              <w:jc w:val="center"/>
              <w:rPr>
                <w:sz w:val="20"/>
              </w:rPr>
            </w:pPr>
            <w:r w:rsidRPr="00E03AB9">
              <w:rPr>
                <w:sz w:val="20"/>
              </w:rPr>
              <w:t>31,62</w:t>
            </w:r>
          </w:p>
        </w:tc>
        <w:tc>
          <w:tcPr>
            <w:tcW w:w="1582" w:type="dxa"/>
            <w:shd w:val="clear" w:color="auto" w:fill="auto"/>
            <w:hideMark/>
          </w:tcPr>
          <w:p w:rsidR="00BB3319" w:rsidRPr="00E03AB9" w:rsidRDefault="00BB3319" w:rsidP="00BB3319">
            <w:pPr>
              <w:jc w:val="center"/>
              <w:rPr>
                <w:sz w:val="20"/>
              </w:rPr>
            </w:pPr>
            <w:r w:rsidRPr="00E03AB9">
              <w:rPr>
                <w:sz w:val="20"/>
              </w:rPr>
              <w:t>9,34</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41,31</w:t>
            </w:r>
          </w:p>
        </w:tc>
      </w:tr>
      <w:tr w:rsidR="00E03AB9" w:rsidRPr="00E03AB9" w:rsidTr="00F2418A">
        <w:trPr>
          <w:trHeight w:val="260"/>
        </w:trPr>
        <w:tc>
          <w:tcPr>
            <w:tcW w:w="2540" w:type="dxa"/>
            <w:shd w:val="clear" w:color="auto" w:fill="auto"/>
            <w:hideMark/>
          </w:tcPr>
          <w:p w:rsidR="00BB3319" w:rsidRPr="00E03AB9" w:rsidRDefault="00BB3319" w:rsidP="00BB3319">
            <w:pPr>
              <w:rPr>
                <w:sz w:val="20"/>
                <w:lang w:val="en-US"/>
              </w:rPr>
            </w:pPr>
            <w:proofErr w:type="spellStart"/>
            <w:r w:rsidRPr="00E03AB9">
              <w:rPr>
                <w:sz w:val="20"/>
                <w:lang w:val="en-US"/>
              </w:rPr>
              <w:t>Biodieselolja</w:t>
            </w:r>
            <w:proofErr w:type="spellEnd"/>
            <w:r w:rsidRPr="00E03AB9">
              <w:rPr>
                <w:sz w:val="20"/>
                <w:lang w:val="en-US"/>
              </w:rPr>
              <w:t xml:space="preserve"> P T cent/l</w:t>
            </w:r>
          </w:p>
        </w:tc>
        <w:tc>
          <w:tcPr>
            <w:tcW w:w="960" w:type="dxa"/>
            <w:shd w:val="clear" w:color="auto" w:fill="auto"/>
            <w:hideMark/>
          </w:tcPr>
          <w:p w:rsidR="00BB3319" w:rsidRPr="00E03AB9" w:rsidRDefault="00BB3319" w:rsidP="00BB3319">
            <w:pPr>
              <w:jc w:val="center"/>
              <w:rPr>
                <w:sz w:val="20"/>
              </w:rPr>
            </w:pPr>
            <w:r w:rsidRPr="00E03AB9">
              <w:rPr>
                <w:sz w:val="20"/>
              </w:rPr>
              <w:t>57</w:t>
            </w:r>
          </w:p>
        </w:tc>
        <w:tc>
          <w:tcPr>
            <w:tcW w:w="1178" w:type="dxa"/>
            <w:shd w:val="clear" w:color="auto" w:fill="auto"/>
            <w:hideMark/>
          </w:tcPr>
          <w:p w:rsidR="00BB3319" w:rsidRPr="00E03AB9" w:rsidRDefault="00BB3319" w:rsidP="00BB3319">
            <w:pPr>
              <w:jc w:val="center"/>
              <w:rPr>
                <w:sz w:val="20"/>
              </w:rPr>
            </w:pPr>
            <w:r w:rsidRPr="00E03AB9">
              <w:rPr>
                <w:sz w:val="20"/>
              </w:rPr>
              <w:t>31,62</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31,97</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Lätt brännolja cent/l</w:t>
            </w:r>
          </w:p>
        </w:tc>
        <w:tc>
          <w:tcPr>
            <w:tcW w:w="960" w:type="dxa"/>
            <w:shd w:val="clear" w:color="auto" w:fill="auto"/>
            <w:hideMark/>
          </w:tcPr>
          <w:p w:rsidR="00BB3319" w:rsidRPr="00E03AB9" w:rsidRDefault="00BB3319" w:rsidP="00BB3319">
            <w:pPr>
              <w:jc w:val="center"/>
              <w:rPr>
                <w:sz w:val="20"/>
              </w:rPr>
            </w:pPr>
            <w:r w:rsidRPr="00E03AB9">
              <w:rPr>
                <w:sz w:val="20"/>
              </w:rPr>
              <w:t>60</w:t>
            </w:r>
          </w:p>
        </w:tc>
        <w:tc>
          <w:tcPr>
            <w:tcW w:w="1178" w:type="dxa"/>
            <w:shd w:val="clear" w:color="auto" w:fill="auto"/>
            <w:hideMark/>
          </w:tcPr>
          <w:p w:rsidR="00BB3319" w:rsidRPr="00E03AB9" w:rsidRDefault="00BB3319" w:rsidP="00BB3319">
            <w:pPr>
              <w:jc w:val="center"/>
              <w:rPr>
                <w:sz w:val="20"/>
              </w:rPr>
            </w:pPr>
            <w:r w:rsidRPr="00E03AB9">
              <w:rPr>
                <w:sz w:val="20"/>
              </w:rPr>
              <w:t>10,28</w:t>
            </w:r>
          </w:p>
        </w:tc>
        <w:tc>
          <w:tcPr>
            <w:tcW w:w="1582" w:type="dxa"/>
            <w:shd w:val="clear" w:color="auto" w:fill="auto"/>
            <w:hideMark/>
          </w:tcPr>
          <w:p w:rsidR="00BB3319" w:rsidRPr="00E03AB9" w:rsidRDefault="00BB3319" w:rsidP="00BB3319">
            <w:pPr>
              <w:jc w:val="center"/>
              <w:rPr>
                <w:sz w:val="20"/>
              </w:rPr>
            </w:pPr>
            <w:r w:rsidRPr="00E03AB9">
              <w:rPr>
                <w:sz w:val="20"/>
              </w:rPr>
              <w:t>16,90</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27,53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Lätt brännolja, svavelfri cent/l</w:t>
            </w:r>
          </w:p>
        </w:tc>
        <w:tc>
          <w:tcPr>
            <w:tcW w:w="960" w:type="dxa"/>
            <w:shd w:val="clear" w:color="auto" w:fill="auto"/>
            <w:hideMark/>
          </w:tcPr>
          <w:p w:rsidR="00BB3319" w:rsidRPr="00E03AB9" w:rsidRDefault="00BB3319" w:rsidP="00BB3319">
            <w:pPr>
              <w:jc w:val="center"/>
              <w:rPr>
                <w:sz w:val="20"/>
              </w:rPr>
            </w:pPr>
            <w:r w:rsidRPr="00E03AB9">
              <w:rPr>
                <w:sz w:val="20"/>
              </w:rPr>
              <w:t>61</w:t>
            </w:r>
          </w:p>
        </w:tc>
        <w:tc>
          <w:tcPr>
            <w:tcW w:w="1178" w:type="dxa"/>
            <w:shd w:val="clear" w:color="auto" w:fill="auto"/>
            <w:hideMark/>
          </w:tcPr>
          <w:p w:rsidR="00BB3319" w:rsidRPr="00E03AB9" w:rsidRDefault="00BB3319" w:rsidP="00BB3319">
            <w:pPr>
              <w:jc w:val="center"/>
              <w:rPr>
                <w:sz w:val="20"/>
              </w:rPr>
            </w:pPr>
            <w:r w:rsidRPr="00E03AB9">
              <w:rPr>
                <w:sz w:val="20"/>
              </w:rPr>
              <w:t>7,63</w:t>
            </w:r>
          </w:p>
        </w:tc>
        <w:tc>
          <w:tcPr>
            <w:tcW w:w="1582" w:type="dxa"/>
            <w:shd w:val="clear" w:color="auto" w:fill="auto"/>
            <w:hideMark/>
          </w:tcPr>
          <w:p w:rsidR="00BB3319" w:rsidRPr="00E03AB9" w:rsidRDefault="00BB3319" w:rsidP="00BB3319">
            <w:pPr>
              <w:jc w:val="center"/>
              <w:rPr>
                <w:sz w:val="20"/>
              </w:rPr>
            </w:pPr>
            <w:r w:rsidRPr="00E03AB9">
              <w:rPr>
                <w:sz w:val="20"/>
              </w:rPr>
              <w:t>16,90</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24,88</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Biobrännolja cent/l</w:t>
            </w:r>
          </w:p>
        </w:tc>
        <w:tc>
          <w:tcPr>
            <w:tcW w:w="960" w:type="dxa"/>
            <w:shd w:val="clear" w:color="auto" w:fill="auto"/>
            <w:hideMark/>
          </w:tcPr>
          <w:p w:rsidR="00BB3319" w:rsidRPr="00E03AB9" w:rsidRDefault="00BB3319" w:rsidP="00BB3319">
            <w:pPr>
              <w:jc w:val="center"/>
              <w:rPr>
                <w:sz w:val="20"/>
              </w:rPr>
            </w:pPr>
            <w:r w:rsidRPr="00E03AB9">
              <w:rPr>
                <w:sz w:val="20"/>
              </w:rPr>
              <w:t>62</w:t>
            </w:r>
          </w:p>
        </w:tc>
        <w:tc>
          <w:tcPr>
            <w:tcW w:w="1178" w:type="dxa"/>
            <w:shd w:val="clear" w:color="auto" w:fill="auto"/>
            <w:hideMark/>
          </w:tcPr>
          <w:p w:rsidR="00BB3319" w:rsidRPr="00E03AB9" w:rsidRDefault="00BB3319" w:rsidP="00BB3319">
            <w:pPr>
              <w:jc w:val="center"/>
              <w:rPr>
                <w:sz w:val="20"/>
              </w:rPr>
            </w:pPr>
            <w:r w:rsidRPr="00E03AB9">
              <w:rPr>
                <w:sz w:val="20"/>
              </w:rPr>
              <w:t>7,63</w:t>
            </w:r>
          </w:p>
        </w:tc>
        <w:tc>
          <w:tcPr>
            <w:tcW w:w="1582" w:type="dxa"/>
            <w:shd w:val="clear" w:color="auto" w:fill="auto"/>
            <w:hideMark/>
          </w:tcPr>
          <w:p w:rsidR="00BB3319" w:rsidRPr="00E03AB9" w:rsidRDefault="00BB3319" w:rsidP="00BB3319">
            <w:pPr>
              <w:jc w:val="center"/>
              <w:rPr>
                <w:sz w:val="20"/>
              </w:rPr>
            </w:pPr>
            <w:r w:rsidRPr="00E03AB9">
              <w:rPr>
                <w:sz w:val="20"/>
              </w:rPr>
              <w:t>16,90</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24,88</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Biobrännolja R cent/l</w:t>
            </w:r>
          </w:p>
        </w:tc>
        <w:tc>
          <w:tcPr>
            <w:tcW w:w="960" w:type="dxa"/>
            <w:shd w:val="clear" w:color="auto" w:fill="auto"/>
            <w:hideMark/>
          </w:tcPr>
          <w:p w:rsidR="00BB3319" w:rsidRPr="00E03AB9" w:rsidRDefault="00BB3319" w:rsidP="00BB3319">
            <w:pPr>
              <w:jc w:val="center"/>
              <w:rPr>
                <w:sz w:val="20"/>
              </w:rPr>
            </w:pPr>
            <w:r w:rsidRPr="00E03AB9">
              <w:rPr>
                <w:sz w:val="20"/>
              </w:rPr>
              <w:t>63</w:t>
            </w:r>
          </w:p>
        </w:tc>
        <w:tc>
          <w:tcPr>
            <w:tcW w:w="1178" w:type="dxa"/>
            <w:shd w:val="clear" w:color="auto" w:fill="auto"/>
            <w:hideMark/>
          </w:tcPr>
          <w:p w:rsidR="00BB3319" w:rsidRPr="00E03AB9" w:rsidRDefault="00BB3319" w:rsidP="00BB3319">
            <w:pPr>
              <w:jc w:val="center"/>
              <w:rPr>
                <w:sz w:val="20"/>
              </w:rPr>
            </w:pPr>
            <w:r w:rsidRPr="00E03AB9">
              <w:rPr>
                <w:sz w:val="20"/>
              </w:rPr>
              <w:t>7,63</w:t>
            </w:r>
          </w:p>
        </w:tc>
        <w:tc>
          <w:tcPr>
            <w:tcW w:w="1582" w:type="dxa"/>
            <w:shd w:val="clear" w:color="auto" w:fill="auto"/>
            <w:hideMark/>
          </w:tcPr>
          <w:p w:rsidR="00BB3319" w:rsidRPr="00E03AB9" w:rsidRDefault="00BB3319" w:rsidP="00BB3319">
            <w:pPr>
              <w:jc w:val="center"/>
              <w:rPr>
                <w:sz w:val="20"/>
              </w:rPr>
            </w:pPr>
            <w:r w:rsidRPr="00E03AB9">
              <w:rPr>
                <w:sz w:val="20"/>
              </w:rPr>
              <w:t>8,45</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16,43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Biobrännolja T cent/l</w:t>
            </w:r>
          </w:p>
        </w:tc>
        <w:tc>
          <w:tcPr>
            <w:tcW w:w="960" w:type="dxa"/>
            <w:shd w:val="clear" w:color="auto" w:fill="auto"/>
            <w:hideMark/>
          </w:tcPr>
          <w:p w:rsidR="00BB3319" w:rsidRPr="00E03AB9" w:rsidRDefault="00BB3319" w:rsidP="00BB3319">
            <w:pPr>
              <w:jc w:val="center"/>
              <w:rPr>
                <w:sz w:val="20"/>
              </w:rPr>
            </w:pPr>
            <w:r w:rsidRPr="00E03AB9">
              <w:rPr>
                <w:sz w:val="20"/>
              </w:rPr>
              <w:t>64</w:t>
            </w:r>
          </w:p>
        </w:tc>
        <w:tc>
          <w:tcPr>
            <w:tcW w:w="1178" w:type="dxa"/>
            <w:shd w:val="clear" w:color="auto" w:fill="auto"/>
            <w:hideMark/>
          </w:tcPr>
          <w:p w:rsidR="00BB3319" w:rsidRPr="00E03AB9" w:rsidRDefault="00BB3319" w:rsidP="00BB3319">
            <w:pPr>
              <w:jc w:val="center"/>
              <w:rPr>
                <w:sz w:val="20"/>
              </w:rPr>
            </w:pPr>
            <w:r w:rsidRPr="00E03AB9">
              <w:rPr>
                <w:sz w:val="20"/>
              </w:rPr>
              <w:t>7,63</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7,98</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Tung brännolja cent/kg</w:t>
            </w:r>
          </w:p>
        </w:tc>
        <w:tc>
          <w:tcPr>
            <w:tcW w:w="960" w:type="dxa"/>
            <w:shd w:val="clear" w:color="auto" w:fill="auto"/>
            <w:hideMark/>
          </w:tcPr>
          <w:p w:rsidR="00BB3319" w:rsidRPr="00E03AB9" w:rsidRDefault="00BB3319" w:rsidP="00BB3319">
            <w:pPr>
              <w:jc w:val="center"/>
              <w:rPr>
                <w:sz w:val="20"/>
              </w:rPr>
            </w:pPr>
            <w:r w:rsidRPr="00E03AB9">
              <w:rPr>
                <w:sz w:val="20"/>
              </w:rPr>
              <w:t>71</w:t>
            </w:r>
          </w:p>
        </w:tc>
        <w:tc>
          <w:tcPr>
            <w:tcW w:w="1178" w:type="dxa"/>
            <w:shd w:val="clear" w:color="auto" w:fill="auto"/>
            <w:hideMark/>
          </w:tcPr>
          <w:p w:rsidR="00BB3319" w:rsidRPr="00E03AB9" w:rsidRDefault="00BB3319" w:rsidP="00BB3319">
            <w:pPr>
              <w:jc w:val="center"/>
              <w:rPr>
                <w:sz w:val="20"/>
              </w:rPr>
            </w:pPr>
            <w:r w:rsidRPr="00E03AB9">
              <w:rPr>
                <w:sz w:val="20"/>
              </w:rPr>
              <w:t>8,56</w:t>
            </w:r>
          </w:p>
        </w:tc>
        <w:tc>
          <w:tcPr>
            <w:tcW w:w="1582" w:type="dxa"/>
            <w:shd w:val="clear" w:color="auto" w:fill="auto"/>
            <w:hideMark/>
          </w:tcPr>
          <w:p w:rsidR="00BB3319" w:rsidRPr="00E03AB9" w:rsidRDefault="00BB3319" w:rsidP="00BB3319">
            <w:pPr>
              <w:jc w:val="center"/>
              <w:rPr>
                <w:sz w:val="20"/>
              </w:rPr>
            </w:pPr>
            <w:r w:rsidRPr="00E03AB9">
              <w:rPr>
                <w:sz w:val="20"/>
              </w:rPr>
              <w:t>18,67</w:t>
            </w:r>
          </w:p>
        </w:tc>
        <w:tc>
          <w:tcPr>
            <w:tcW w:w="1160" w:type="dxa"/>
            <w:shd w:val="clear" w:color="auto" w:fill="auto"/>
            <w:hideMark/>
          </w:tcPr>
          <w:p w:rsidR="00BB3319" w:rsidRPr="00E03AB9" w:rsidRDefault="00BB3319" w:rsidP="00BB3319">
            <w:pPr>
              <w:jc w:val="center"/>
              <w:rPr>
                <w:sz w:val="20"/>
              </w:rPr>
            </w:pPr>
            <w:r w:rsidRPr="00E03AB9">
              <w:rPr>
                <w:sz w:val="20"/>
              </w:rPr>
              <w:t>0,28</w:t>
            </w:r>
          </w:p>
        </w:tc>
        <w:tc>
          <w:tcPr>
            <w:tcW w:w="960" w:type="dxa"/>
            <w:shd w:val="clear" w:color="auto" w:fill="auto"/>
            <w:hideMark/>
          </w:tcPr>
          <w:p w:rsidR="00BB3319" w:rsidRPr="00E03AB9" w:rsidRDefault="00BB3319" w:rsidP="00BB3319">
            <w:pPr>
              <w:jc w:val="center"/>
              <w:rPr>
                <w:sz w:val="20"/>
              </w:rPr>
            </w:pPr>
            <w:r w:rsidRPr="00E03AB9">
              <w:rPr>
                <w:sz w:val="20"/>
              </w:rPr>
              <w:t>27,51</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Flygpetroleum cent/l</w:t>
            </w:r>
          </w:p>
        </w:tc>
        <w:tc>
          <w:tcPr>
            <w:tcW w:w="960" w:type="dxa"/>
            <w:shd w:val="clear" w:color="auto" w:fill="auto"/>
            <w:hideMark/>
          </w:tcPr>
          <w:p w:rsidR="00BB3319" w:rsidRPr="00E03AB9" w:rsidRDefault="00BB3319" w:rsidP="00BB3319">
            <w:pPr>
              <w:jc w:val="center"/>
              <w:rPr>
                <w:sz w:val="20"/>
              </w:rPr>
            </w:pPr>
            <w:r w:rsidRPr="00E03AB9">
              <w:rPr>
                <w:sz w:val="20"/>
              </w:rPr>
              <w:t>81</w:t>
            </w:r>
          </w:p>
        </w:tc>
        <w:tc>
          <w:tcPr>
            <w:tcW w:w="1178" w:type="dxa"/>
            <w:shd w:val="clear" w:color="auto" w:fill="auto"/>
            <w:hideMark/>
          </w:tcPr>
          <w:p w:rsidR="00BB3319" w:rsidRPr="00E03AB9" w:rsidRDefault="00BB3319" w:rsidP="00BB3319">
            <w:pPr>
              <w:jc w:val="center"/>
              <w:rPr>
                <w:sz w:val="20"/>
              </w:rPr>
            </w:pPr>
            <w:r w:rsidRPr="00E03AB9">
              <w:rPr>
                <w:sz w:val="20"/>
              </w:rPr>
              <w:t>61,49</w:t>
            </w:r>
          </w:p>
        </w:tc>
        <w:tc>
          <w:tcPr>
            <w:tcW w:w="1582" w:type="dxa"/>
            <w:shd w:val="clear" w:color="auto" w:fill="auto"/>
            <w:hideMark/>
          </w:tcPr>
          <w:p w:rsidR="00BB3319" w:rsidRPr="00E03AB9" w:rsidRDefault="00BB3319" w:rsidP="00BB3319">
            <w:pPr>
              <w:jc w:val="center"/>
              <w:rPr>
                <w:sz w:val="20"/>
              </w:rPr>
            </w:pPr>
            <w:r w:rsidRPr="00E03AB9">
              <w:rPr>
                <w:sz w:val="20"/>
              </w:rPr>
              <w:t>18,79</w:t>
            </w:r>
          </w:p>
        </w:tc>
        <w:tc>
          <w:tcPr>
            <w:tcW w:w="1160" w:type="dxa"/>
            <w:shd w:val="clear" w:color="auto" w:fill="auto"/>
            <w:hideMark/>
          </w:tcPr>
          <w:p w:rsidR="00BB3319" w:rsidRPr="00E03AB9" w:rsidRDefault="00BB3319" w:rsidP="00BB3319">
            <w:pPr>
              <w:jc w:val="center"/>
              <w:rPr>
                <w:sz w:val="20"/>
              </w:rPr>
            </w:pPr>
            <w:r w:rsidRPr="00E03AB9">
              <w:rPr>
                <w:sz w:val="20"/>
              </w:rPr>
              <w:t>0,35</w:t>
            </w:r>
          </w:p>
        </w:tc>
        <w:tc>
          <w:tcPr>
            <w:tcW w:w="960" w:type="dxa"/>
            <w:shd w:val="clear" w:color="auto" w:fill="auto"/>
            <w:hideMark/>
          </w:tcPr>
          <w:p w:rsidR="00BB3319" w:rsidRPr="00E03AB9" w:rsidRDefault="00BB3319" w:rsidP="00BB3319">
            <w:pPr>
              <w:jc w:val="center"/>
              <w:rPr>
                <w:sz w:val="20"/>
              </w:rPr>
            </w:pPr>
            <w:r w:rsidRPr="00E03AB9">
              <w:rPr>
                <w:sz w:val="20"/>
              </w:rPr>
              <w:t>80,63</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Flygbensin cent/l</w:t>
            </w:r>
          </w:p>
        </w:tc>
        <w:tc>
          <w:tcPr>
            <w:tcW w:w="960" w:type="dxa"/>
            <w:shd w:val="clear" w:color="auto" w:fill="auto"/>
            <w:hideMark/>
          </w:tcPr>
          <w:p w:rsidR="00BB3319" w:rsidRPr="00E03AB9" w:rsidRDefault="00BB3319" w:rsidP="00BB3319">
            <w:pPr>
              <w:jc w:val="center"/>
              <w:rPr>
                <w:sz w:val="20"/>
              </w:rPr>
            </w:pPr>
            <w:r w:rsidRPr="00E03AB9">
              <w:rPr>
                <w:sz w:val="20"/>
              </w:rPr>
              <w:t>91</w:t>
            </w:r>
          </w:p>
        </w:tc>
        <w:tc>
          <w:tcPr>
            <w:tcW w:w="1178" w:type="dxa"/>
            <w:shd w:val="clear" w:color="auto" w:fill="auto"/>
            <w:hideMark/>
          </w:tcPr>
          <w:p w:rsidR="00BB3319" w:rsidRPr="00E03AB9" w:rsidRDefault="00BB3319" w:rsidP="00BB3319">
            <w:pPr>
              <w:jc w:val="center"/>
              <w:rPr>
                <w:sz w:val="20"/>
              </w:rPr>
            </w:pPr>
            <w:r w:rsidRPr="00E03AB9">
              <w:rPr>
                <w:sz w:val="20"/>
              </w:rPr>
              <w:t>55,74</w:t>
            </w:r>
          </w:p>
        </w:tc>
        <w:tc>
          <w:tcPr>
            <w:tcW w:w="1582" w:type="dxa"/>
            <w:shd w:val="clear" w:color="auto" w:fill="auto"/>
            <w:hideMark/>
          </w:tcPr>
          <w:p w:rsidR="00BB3319" w:rsidRPr="00E03AB9" w:rsidRDefault="00BB3319" w:rsidP="00BB3319">
            <w:pPr>
              <w:jc w:val="center"/>
              <w:rPr>
                <w:sz w:val="20"/>
              </w:rPr>
            </w:pPr>
            <w:r w:rsidRPr="00E03AB9">
              <w:rPr>
                <w:sz w:val="20"/>
              </w:rPr>
              <w:t>16,76</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73,18</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Metanol cent/l</w:t>
            </w:r>
          </w:p>
        </w:tc>
        <w:tc>
          <w:tcPr>
            <w:tcW w:w="960" w:type="dxa"/>
            <w:shd w:val="clear" w:color="auto" w:fill="auto"/>
            <w:hideMark/>
          </w:tcPr>
          <w:p w:rsidR="00BB3319" w:rsidRPr="00E03AB9" w:rsidRDefault="00BB3319" w:rsidP="00BB3319">
            <w:pPr>
              <w:jc w:val="center"/>
              <w:rPr>
                <w:sz w:val="20"/>
              </w:rPr>
            </w:pPr>
            <w:r w:rsidRPr="00E03AB9">
              <w:rPr>
                <w:sz w:val="20"/>
              </w:rPr>
              <w:t>100</w:t>
            </w:r>
          </w:p>
        </w:tc>
        <w:tc>
          <w:tcPr>
            <w:tcW w:w="1178" w:type="dxa"/>
            <w:shd w:val="clear" w:color="auto" w:fill="auto"/>
            <w:hideMark/>
          </w:tcPr>
          <w:p w:rsidR="00BB3319" w:rsidRPr="00E03AB9" w:rsidRDefault="00BB3319" w:rsidP="00BB3319">
            <w:pPr>
              <w:jc w:val="center"/>
              <w:rPr>
                <w:sz w:val="20"/>
              </w:rPr>
            </w:pPr>
            <w:r w:rsidRPr="00E03AB9">
              <w:rPr>
                <w:sz w:val="20"/>
              </w:rPr>
              <w:t>28,77</w:t>
            </w:r>
          </w:p>
        </w:tc>
        <w:tc>
          <w:tcPr>
            <w:tcW w:w="1582" w:type="dxa"/>
            <w:shd w:val="clear" w:color="auto" w:fill="auto"/>
            <w:hideMark/>
          </w:tcPr>
          <w:p w:rsidR="00BB3319" w:rsidRPr="00E03AB9" w:rsidRDefault="00BB3319" w:rsidP="00BB3319">
            <w:pPr>
              <w:jc w:val="center"/>
              <w:rPr>
                <w:sz w:val="20"/>
              </w:rPr>
            </w:pPr>
            <w:r w:rsidRPr="00E03AB9">
              <w:rPr>
                <w:sz w:val="20"/>
              </w:rPr>
              <w:t>8,65</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38,10</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Metanol R cent/l</w:t>
            </w:r>
          </w:p>
        </w:tc>
        <w:tc>
          <w:tcPr>
            <w:tcW w:w="960" w:type="dxa"/>
            <w:shd w:val="clear" w:color="auto" w:fill="auto"/>
            <w:hideMark/>
          </w:tcPr>
          <w:p w:rsidR="00BB3319" w:rsidRPr="00E03AB9" w:rsidRDefault="00BB3319" w:rsidP="00BB3319">
            <w:pPr>
              <w:jc w:val="center"/>
              <w:rPr>
                <w:sz w:val="20"/>
              </w:rPr>
            </w:pPr>
            <w:r w:rsidRPr="00E03AB9">
              <w:rPr>
                <w:sz w:val="20"/>
              </w:rPr>
              <w:t>101</w:t>
            </w:r>
          </w:p>
        </w:tc>
        <w:tc>
          <w:tcPr>
            <w:tcW w:w="1178" w:type="dxa"/>
            <w:shd w:val="clear" w:color="auto" w:fill="auto"/>
            <w:hideMark/>
          </w:tcPr>
          <w:p w:rsidR="00BB3319" w:rsidRPr="00E03AB9" w:rsidRDefault="00BB3319" w:rsidP="00BB3319">
            <w:pPr>
              <w:jc w:val="center"/>
              <w:rPr>
                <w:sz w:val="20"/>
              </w:rPr>
            </w:pPr>
            <w:r w:rsidRPr="00E03AB9">
              <w:rPr>
                <w:sz w:val="20"/>
              </w:rPr>
              <w:t>28,77</w:t>
            </w:r>
          </w:p>
        </w:tc>
        <w:tc>
          <w:tcPr>
            <w:tcW w:w="1582" w:type="dxa"/>
            <w:shd w:val="clear" w:color="auto" w:fill="auto"/>
            <w:hideMark/>
          </w:tcPr>
          <w:p w:rsidR="00BB3319" w:rsidRPr="00E03AB9" w:rsidRDefault="00BB3319" w:rsidP="00BB3319">
            <w:pPr>
              <w:jc w:val="center"/>
              <w:rPr>
                <w:sz w:val="20"/>
              </w:rPr>
            </w:pPr>
            <w:r w:rsidRPr="00E03AB9">
              <w:rPr>
                <w:sz w:val="20"/>
              </w:rPr>
              <w:t>4,33</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33,78</w:t>
            </w:r>
          </w:p>
        </w:tc>
      </w:tr>
      <w:tr w:rsidR="00E03AB9" w:rsidRPr="00E03AB9" w:rsidTr="00F2418A">
        <w:trPr>
          <w:trHeight w:val="260"/>
        </w:trPr>
        <w:tc>
          <w:tcPr>
            <w:tcW w:w="2540" w:type="dxa"/>
            <w:shd w:val="clear" w:color="auto" w:fill="auto"/>
            <w:hideMark/>
          </w:tcPr>
          <w:p w:rsidR="00BB3319" w:rsidRPr="00E03AB9" w:rsidRDefault="00BB3319" w:rsidP="00BB3319">
            <w:pPr>
              <w:rPr>
                <w:sz w:val="20"/>
              </w:rPr>
            </w:pPr>
            <w:r w:rsidRPr="00E03AB9">
              <w:rPr>
                <w:sz w:val="20"/>
              </w:rPr>
              <w:t>Metanol T cent/l</w:t>
            </w:r>
          </w:p>
        </w:tc>
        <w:tc>
          <w:tcPr>
            <w:tcW w:w="960" w:type="dxa"/>
            <w:shd w:val="clear" w:color="auto" w:fill="auto"/>
            <w:hideMark/>
          </w:tcPr>
          <w:p w:rsidR="00BB3319" w:rsidRPr="00E03AB9" w:rsidRDefault="00BB3319" w:rsidP="00BB3319">
            <w:pPr>
              <w:jc w:val="center"/>
              <w:rPr>
                <w:sz w:val="20"/>
              </w:rPr>
            </w:pPr>
            <w:r w:rsidRPr="00E03AB9">
              <w:rPr>
                <w:sz w:val="20"/>
              </w:rPr>
              <w:t>102</w:t>
            </w:r>
          </w:p>
        </w:tc>
        <w:tc>
          <w:tcPr>
            <w:tcW w:w="1178" w:type="dxa"/>
            <w:shd w:val="clear" w:color="auto" w:fill="auto"/>
            <w:hideMark/>
          </w:tcPr>
          <w:p w:rsidR="00BB3319" w:rsidRPr="00E03AB9" w:rsidRDefault="00BB3319" w:rsidP="00BB3319">
            <w:pPr>
              <w:jc w:val="center"/>
              <w:rPr>
                <w:sz w:val="20"/>
              </w:rPr>
            </w:pPr>
            <w:r w:rsidRPr="00E03AB9">
              <w:rPr>
                <w:sz w:val="20"/>
              </w:rPr>
              <w:t>28,77</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0,68</w:t>
            </w:r>
          </w:p>
        </w:tc>
        <w:tc>
          <w:tcPr>
            <w:tcW w:w="960" w:type="dxa"/>
            <w:shd w:val="clear" w:color="auto" w:fill="auto"/>
            <w:hideMark/>
          </w:tcPr>
          <w:p w:rsidR="00BB3319" w:rsidRPr="00E03AB9" w:rsidRDefault="00BB3319" w:rsidP="00BB3319">
            <w:pPr>
              <w:jc w:val="center"/>
              <w:rPr>
                <w:sz w:val="20"/>
              </w:rPr>
            </w:pPr>
            <w:r w:rsidRPr="00E03AB9">
              <w:rPr>
                <w:sz w:val="20"/>
              </w:rPr>
              <w:t>29,45</w:t>
            </w:r>
          </w:p>
        </w:tc>
      </w:tr>
      <w:tr w:rsidR="00E03AB9" w:rsidRPr="00E03AB9" w:rsidTr="00F2418A">
        <w:trPr>
          <w:trHeight w:val="260"/>
        </w:trPr>
        <w:tc>
          <w:tcPr>
            <w:tcW w:w="2540" w:type="dxa"/>
            <w:shd w:val="clear" w:color="auto" w:fill="auto"/>
            <w:noWrap/>
            <w:vAlign w:val="bottom"/>
            <w:hideMark/>
          </w:tcPr>
          <w:p w:rsidR="00BB3319" w:rsidRPr="00E03AB9" w:rsidRDefault="00BB3319" w:rsidP="00BB3319">
            <w:pPr>
              <w:rPr>
                <w:sz w:val="20"/>
              </w:rPr>
            </w:pPr>
            <w:proofErr w:type="spellStart"/>
            <w:r w:rsidRPr="00E03AB9">
              <w:rPr>
                <w:sz w:val="20"/>
              </w:rPr>
              <w:t>Flytgas</w:t>
            </w:r>
            <w:proofErr w:type="spellEnd"/>
            <w:r w:rsidRPr="00E03AB9">
              <w:rPr>
                <w:sz w:val="20"/>
              </w:rPr>
              <w:t xml:space="preserve"> cent/kg</w:t>
            </w:r>
          </w:p>
        </w:tc>
        <w:tc>
          <w:tcPr>
            <w:tcW w:w="960" w:type="dxa"/>
            <w:shd w:val="clear" w:color="auto" w:fill="auto"/>
            <w:hideMark/>
          </w:tcPr>
          <w:p w:rsidR="00BB3319" w:rsidRPr="00E03AB9" w:rsidRDefault="00BB3319" w:rsidP="00BB3319">
            <w:pPr>
              <w:jc w:val="center"/>
              <w:rPr>
                <w:sz w:val="20"/>
              </w:rPr>
            </w:pPr>
            <w:r w:rsidRPr="00E03AB9">
              <w:rPr>
                <w:sz w:val="20"/>
              </w:rPr>
              <w:t>110</w:t>
            </w:r>
          </w:p>
        </w:tc>
        <w:tc>
          <w:tcPr>
            <w:tcW w:w="1178" w:type="dxa"/>
            <w:shd w:val="clear" w:color="auto" w:fill="auto"/>
            <w:hideMark/>
          </w:tcPr>
          <w:p w:rsidR="00BB3319" w:rsidRPr="00E03AB9" w:rsidRDefault="00BB3319" w:rsidP="00BB3319">
            <w:pPr>
              <w:jc w:val="center"/>
              <w:rPr>
                <w:sz w:val="20"/>
              </w:rPr>
            </w:pPr>
            <w:r w:rsidRPr="00E03AB9">
              <w:rPr>
                <w:sz w:val="20"/>
              </w:rPr>
              <w:t>9,81</w:t>
            </w:r>
          </w:p>
        </w:tc>
        <w:tc>
          <w:tcPr>
            <w:tcW w:w="1582" w:type="dxa"/>
            <w:shd w:val="clear" w:color="auto" w:fill="auto"/>
            <w:hideMark/>
          </w:tcPr>
          <w:p w:rsidR="00BB3319" w:rsidRPr="00E03AB9" w:rsidRDefault="00BB3319" w:rsidP="00BB3319">
            <w:pPr>
              <w:jc w:val="center"/>
              <w:rPr>
                <w:sz w:val="20"/>
              </w:rPr>
            </w:pPr>
            <w:r w:rsidRPr="00E03AB9">
              <w:rPr>
                <w:sz w:val="20"/>
              </w:rPr>
              <w:t>18,09</w:t>
            </w:r>
          </w:p>
        </w:tc>
        <w:tc>
          <w:tcPr>
            <w:tcW w:w="1160" w:type="dxa"/>
            <w:shd w:val="clear" w:color="auto" w:fill="auto"/>
            <w:hideMark/>
          </w:tcPr>
          <w:p w:rsidR="00BB3319" w:rsidRPr="00E03AB9" w:rsidRDefault="00BB3319" w:rsidP="00BB3319">
            <w:pPr>
              <w:jc w:val="center"/>
              <w:rPr>
                <w:sz w:val="20"/>
              </w:rPr>
            </w:pPr>
            <w:r w:rsidRPr="00E03AB9">
              <w:rPr>
                <w:sz w:val="20"/>
              </w:rPr>
              <w:t>0,11</w:t>
            </w:r>
          </w:p>
        </w:tc>
        <w:tc>
          <w:tcPr>
            <w:tcW w:w="960" w:type="dxa"/>
            <w:shd w:val="clear" w:color="auto" w:fill="auto"/>
            <w:hideMark/>
          </w:tcPr>
          <w:p w:rsidR="00BB3319" w:rsidRPr="00E03AB9" w:rsidRDefault="00BB3319" w:rsidP="00BB3319">
            <w:pPr>
              <w:jc w:val="center"/>
              <w:rPr>
                <w:sz w:val="20"/>
              </w:rPr>
            </w:pPr>
            <w:r w:rsidRPr="00E03AB9">
              <w:rPr>
                <w:sz w:val="20"/>
              </w:rPr>
              <w:t>28,01</w:t>
            </w:r>
          </w:p>
        </w:tc>
      </w:tr>
      <w:tr w:rsidR="00E03AB9" w:rsidRPr="00E03AB9" w:rsidTr="00F2418A">
        <w:trPr>
          <w:trHeight w:val="260"/>
        </w:trPr>
        <w:tc>
          <w:tcPr>
            <w:tcW w:w="2540" w:type="dxa"/>
            <w:shd w:val="clear" w:color="auto" w:fill="auto"/>
            <w:noWrap/>
            <w:vAlign w:val="bottom"/>
            <w:hideMark/>
          </w:tcPr>
          <w:p w:rsidR="00BB3319" w:rsidRPr="00E03AB9" w:rsidRDefault="00BB3319" w:rsidP="00BB3319">
            <w:pPr>
              <w:rPr>
                <w:sz w:val="20"/>
              </w:rPr>
            </w:pPr>
            <w:proofErr w:type="spellStart"/>
            <w:r w:rsidRPr="00E03AB9">
              <w:rPr>
                <w:sz w:val="20"/>
              </w:rPr>
              <w:t>Bioflytgas</w:t>
            </w:r>
            <w:proofErr w:type="spellEnd"/>
            <w:r w:rsidRPr="00E03AB9">
              <w:rPr>
                <w:sz w:val="20"/>
              </w:rPr>
              <w:t xml:space="preserve"> cent/kg</w:t>
            </w:r>
          </w:p>
        </w:tc>
        <w:tc>
          <w:tcPr>
            <w:tcW w:w="960" w:type="dxa"/>
            <w:shd w:val="clear" w:color="auto" w:fill="auto"/>
            <w:hideMark/>
          </w:tcPr>
          <w:p w:rsidR="00BB3319" w:rsidRPr="00E03AB9" w:rsidRDefault="00BB3319" w:rsidP="00BB3319">
            <w:pPr>
              <w:jc w:val="center"/>
              <w:rPr>
                <w:sz w:val="20"/>
              </w:rPr>
            </w:pPr>
            <w:r w:rsidRPr="00E03AB9">
              <w:rPr>
                <w:sz w:val="20"/>
              </w:rPr>
              <w:t>111</w:t>
            </w:r>
          </w:p>
        </w:tc>
        <w:tc>
          <w:tcPr>
            <w:tcW w:w="1178" w:type="dxa"/>
            <w:shd w:val="clear" w:color="auto" w:fill="auto"/>
            <w:hideMark/>
          </w:tcPr>
          <w:p w:rsidR="00BB3319" w:rsidRPr="00E03AB9" w:rsidRDefault="00BB3319" w:rsidP="00BB3319">
            <w:pPr>
              <w:jc w:val="center"/>
              <w:rPr>
                <w:sz w:val="20"/>
              </w:rPr>
            </w:pPr>
            <w:r w:rsidRPr="00E03AB9">
              <w:rPr>
                <w:sz w:val="20"/>
              </w:rPr>
              <w:t>9,81</w:t>
            </w:r>
          </w:p>
        </w:tc>
        <w:tc>
          <w:tcPr>
            <w:tcW w:w="1582" w:type="dxa"/>
            <w:shd w:val="clear" w:color="auto" w:fill="auto"/>
            <w:hideMark/>
          </w:tcPr>
          <w:p w:rsidR="00BB3319" w:rsidRPr="00E03AB9" w:rsidRDefault="00BB3319" w:rsidP="00BB3319">
            <w:pPr>
              <w:jc w:val="center"/>
              <w:rPr>
                <w:sz w:val="20"/>
              </w:rPr>
            </w:pPr>
            <w:r w:rsidRPr="00E03AB9">
              <w:rPr>
                <w:sz w:val="20"/>
              </w:rPr>
              <w:t>18,09</w:t>
            </w:r>
          </w:p>
        </w:tc>
        <w:tc>
          <w:tcPr>
            <w:tcW w:w="1160" w:type="dxa"/>
            <w:shd w:val="clear" w:color="auto" w:fill="auto"/>
            <w:hideMark/>
          </w:tcPr>
          <w:p w:rsidR="00BB3319" w:rsidRPr="00E03AB9" w:rsidRDefault="00BB3319" w:rsidP="00BB3319">
            <w:pPr>
              <w:jc w:val="center"/>
              <w:rPr>
                <w:sz w:val="20"/>
              </w:rPr>
            </w:pPr>
            <w:r w:rsidRPr="00E03AB9">
              <w:rPr>
                <w:sz w:val="20"/>
              </w:rPr>
              <w:t>0,11</w:t>
            </w:r>
          </w:p>
        </w:tc>
        <w:tc>
          <w:tcPr>
            <w:tcW w:w="960" w:type="dxa"/>
            <w:shd w:val="clear" w:color="auto" w:fill="auto"/>
            <w:hideMark/>
          </w:tcPr>
          <w:p w:rsidR="00BB3319" w:rsidRPr="00E03AB9" w:rsidRDefault="00BB3319" w:rsidP="00BB3319">
            <w:pPr>
              <w:jc w:val="center"/>
              <w:rPr>
                <w:sz w:val="20"/>
              </w:rPr>
            </w:pPr>
            <w:r w:rsidRPr="00E03AB9">
              <w:rPr>
                <w:sz w:val="20"/>
              </w:rPr>
              <w:t>28,01</w:t>
            </w:r>
          </w:p>
        </w:tc>
      </w:tr>
      <w:tr w:rsidR="00E03AB9" w:rsidRPr="00E03AB9" w:rsidTr="00F2418A">
        <w:trPr>
          <w:trHeight w:val="260"/>
        </w:trPr>
        <w:tc>
          <w:tcPr>
            <w:tcW w:w="2540" w:type="dxa"/>
            <w:shd w:val="clear" w:color="auto" w:fill="auto"/>
            <w:noWrap/>
            <w:vAlign w:val="bottom"/>
            <w:hideMark/>
          </w:tcPr>
          <w:p w:rsidR="00BB3319" w:rsidRPr="00E03AB9" w:rsidRDefault="00BB3319" w:rsidP="00BB3319">
            <w:pPr>
              <w:rPr>
                <w:sz w:val="20"/>
              </w:rPr>
            </w:pPr>
            <w:proofErr w:type="spellStart"/>
            <w:r w:rsidRPr="00E03AB9">
              <w:rPr>
                <w:sz w:val="20"/>
              </w:rPr>
              <w:t>Bioflytgas</w:t>
            </w:r>
            <w:proofErr w:type="spellEnd"/>
            <w:r w:rsidRPr="00E03AB9">
              <w:rPr>
                <w:sz w:val="20"/>
              </w:rPr>
              <w:t xml:space="preserve"> R cent/kg</w:t>
            </w:r>
          </w:p>
        </w:tc>
        <w:tc>
          <w:tcPr>
            <w:tcW w:w="960" w:type="dxa"/>
            <w:shd w:val="clear" w:color="auto" w:fill="auto"/>
            <w:hideMark/>
          </w:tcPr>
          <w:p w:rsidR="00BB3319" w:rsidRPr="00E03AB9" w:rsidRDefault="00BB3319" w:rsidP="00BB3319">
            <w:pPr>
              <w:jc w:val="center"/>
              <w:rPr>
                <w:sz w:val="20"/>
              </w:rPr>
            </w:pPr>
            <w:r w:rsidRPr="00E03AB9">
              <w:rPr>
                <w:sz w:val="20"/>
              </w:rPr>
              <w:t>112</w:t>
            </w:r>
          </w:p>
        </w:tc>
        <w:tc>
          <w:tcPr>
            <w:tcW w:w="1178" w:type="dxa"/>
            <w:shd w:val="clear" w:color="auto" w:fill="auto"/>
            <w:hideMark/>
          </w:tcPr>
          <w:p w:rsidR="00BB3319" w:rsidRPr="00E03AB9" w:rsidRDefault="00BB3319" w:rsidP="00BB3319">
            <w:pPr>
              <w:jc w:val="center"/>
              <w:rPr>
                <w:sz w:val="20"/>
              </w:rPr>
            </w:pPr>
            <w:r w:rsidRPr="00E03AB9">
              <w:rPr>
                <w:sz w:val="20"/>
              </w:rPr>
              <w:t>9,81</w:t>
            </w:r>
          </w:p>
        </w:tc>
        <w:tc>
          <w:tcPr>
            <w:tcW w:w="1582" w:type="dxa"/>
            <w:shd w:val="clear" w:color="auto" w:fill="auto"/>
            <w:hideMark/>
          </w:tcPr>
          <w:p w:rsidR="00BB3319" w:rsidRPr="00E03AB9" w:rsidRDefault="00BB3319" w:rsidP="00BB3319">
            <w:pPr>
              <w:jc w:val="center"/>
              <w:rPr>
                <w:sz w:val="20"/>
              </w:rPr>
            </w:pPr>
            <w:r w:rsidRPr="00E03AB9">
              <w:rPr>
                <w:sz w:val="20"/>
              </w:rPr>
              <w:t>9,04</w:t>
            </w:r>
          </w:p>
        </w:tc>
        <w:tc>
          <w:tcPr>
            <w:tcW w:w="1160" w:type="dxa"/>
            <w:shd w:val="clear" w:color="auto" w:fill="auto"/>
            <w:hideMark/>
          </w:tcPr>
          <w:p w:rsidR="00BB3319" w:rsidRPr="00E03AB9" w:rsidRDefault="00BB3319" w:rsidP="00BB3319">
            <w:pPr>
              <w:jc w:val="center"/>
              <w:rPr>
                <w:sz w:val="20"/>
              </w:rPr>
            </w:pPr>
            <w:r w:rsidRPr="00E03AB9">
              <w:rPr>
                <w:sz w:val="20"/>
              </w:rPr>
              <w:t>0,11</w:t>
            </w:r>
          </w:p>
        </w:tc>
        <w:tc>
          <w:tcPr>
            <w:tcW w:w="960" w:type="dxa"/>
            <w:shd w:val="clear" w:color="auto" w:fill="auto"/>
            <w:hideMark/>
          </w:tcPr>
          <w:p w:rsidR="00BB3319" w:rsidRPr="00E03AB9" w:rsidRDefault="00BB3319" w:rsidP="00BB3319">
            <w:pPr>
              <w:jc w:val="center"/>
              <w:rPr>
                <w:sz w:val="20"/>
              </w:rPr>
            </w:pPr>
            <w:r w:rsidRPr="00E03AB9">
              <w:rPr>
                <w:sz w:val="20"/>
              </w:rPr>
              <w:t>18,96</w:t>
            </w:r>
          </w:p>
        </w:tc>
      </w:tr>
      <w:tr w:rsidR="00E03AB9" w:rsidRPr="00E03AB9" w:rsidTr="00F2418A">
        <w:trPr>
          <w:trHeight w:val="270"/>
        </w:trPr>
        <w:tc>
          <w:tcPr>
            <w:tcW w:w="2540" w:type="dxa"/>
            <w:shd w:val="clear" w:color="auto" w:fill="auto"/>
            <w:noWrap/>
            <w:vAlign w:val="bottom"/>
            <w:hideMark/>
          </w:tcPr>
          <w:p w:rsidR="00BB3319" w:rsidRPr="00E03AB9" w:rsidRDefault="00BB3319" w:rsidP="00BB3319">
            <w:pPr>
              <w:rPr>
                <w:sz w:val="20"/>
              </w:rPr>
            </w:pPr>
            <w:proofErr w:type="spellStart"/>
            <w:r w:rsidRPr="00E03AB9">
              <w:rPr>
                <w:sz w:val="20"/>
              </w:rPr>
              <w:t>Bioflytgas</w:t>
            </w:r>
            <w:proofErr w:type="spellEnd"/>
            <w:r w:rsidRPr="00E03AB9">
              <w:rPr>
                <w:sz w:val="20"/>
              </w:rPr>
              <w:t xml:space="preserve"> T cent/kg</w:t>
            </w:r>
          </w:p>
        </w:tc>
        <w:tc>
          <w:tcPr>
            <w:tcW w:w="960" w:type="dxa"/>
            <w:shd w:val="clear" w:color="auto" w:fill="auto"/>
            <w:hideMark/>
          </w:tcPr>
          <w:p w:rsidR="00BB3319" w:rsidRPr="00E03AB9" w:rsidRDefault="00BB3319" w:rsidP="00BB3319">
            <w:pPr>
              <w:jc w:val="center"/>
              <w:rPr>
                <w:sz w:val="20"/>
              </w:rPr>
            </w:pPr>
            <w:r w:rsidRPr="00E03AB9">
              <w:rPr>
                <w:sz w:val="20"/>
              </w:rPr>
              <w:t>113</w:t>
            </w:r>
          </w:p>
        </w:tc>
        <w:tc>
          <w:tcPr>
            <w:tcW w:w="1178" w:type="dxa"/>
            <w:shd w:val="clear" w:color="auto" w:fill="auto"/>
            <w:hideMark/>
          </w:tcPr>
          <w:p w:rsidR="00BB3319" w:rsidRPr="00E03AB9" w:rsidRDefault="00BB3319" w:rsidP="00BB3319">
            <w:pPr>
              <w:jc w:val="center"/>
              <w:rPr>
                <w:sz w:val="20"/>
              </w:rPr>
            </w:pPr>
            <w:r w:rsidRPr="00E03AB9">
              <w:rPr>
                <w:sz w:val="20"/>
              </w:rPr>
              <w:t>9,81</w:t>
            </w:r>
          </w:p>
        </w:tc>
        <w:tc>
          <w:tcPr>
            <w:tcW w:w="1582" w:type="dxa"/>
            <w:shd w:val="clear" w:color="auto" w:fill="auto"/>
            <w:hideMark/>
          </w:tcPr>
          <w:p w:rsidR="00BB3319" w:rsidRPr="00E03AB9" w:rsidRDefault="00BB3319" w:rsidP="00BB3319">
            <w:pPr>
              <w:jc w:val="center"/>
              <w:rPr>
                <w:sz w:val="20"/>
              </w:rPr>
            </w:pPr>
            <w:r w:rsidRPr="00E03AB9">
              <w:rPr>
                <w:sz w:val="20"/>
              </w:rPr>
              <w:t>0,00</w:t>
            </w:r>
          </w:p>
        </w:tc>
        <w:tc>
          <w:tcPr>
            <w:tcW w:w="1160" w:type="dxa"/>
            <w:shd w:val="clear" w:color="auto" w:fill="auto"/>
            <w:hideMark/>
          </w:tcPr>
          <w:p w:rsidR="00BB3319" w:rsidRPr="00E03AB9" w:rsidRDefault="00BB3319" w:rsidP="00BB3319">
            <w:pPr>
              <w:jc w:val="center"/>
              <w:rPr>
                <w:sz w:val="20"/>
              </w:rPr>
            </w:pPr>
            <w:r w:rsidRPr="00E03AB9">
              <w:rPr>
                <w:sz w:val="20"/>
              </w:rPr>
              <w:t>0,11</w:t>
            </w:r>
          </w:p>
        </w:tc>
        <w:tc>
          <w:tcPr>
            <w:tcW w:w="960" w:type="dxa"/>
            <w:shd w:val="clear" w:color="auto" w:fill="auto"/>
            <w:hideMark/>
          </w:tcPr>
          <w:p w:rsidR="00BB3319" w:rsidRPr="00E03AB9" w:rsidRDefault="00BB3319" w:rsidP="00BB3319">
            <w:pPr>
              <w:jc w:val="center"/>
              <w:rPr>
                <w:sz w:val="20"/>
              </w:rPr>
            </w:pPr>
            <w:r w:rsidRPr="00E03AB9">
              <w:rPr>
                <w:sz w:val="20"/>
              </w:rPr>
              <w:t>9,92</w:t>
            </w:r>
          </w:p>
        </w:tc>
      </w:tr>
    </w:tbl>
    <w:p w:rsidR="000977E0" w:rsidRDefault="000977E0" w:rsidP="000977E0">
      <w:pPr>
        <w:pStyle w:val="LLNormaali"/>
      </w:pPr>
    </w:p>
    <w:p w:rsidR="000977E0" w:rsidRDefault="000977E0">
      <w:pPr>
        <w:rPr>
          <w:sz w:val="22"/>
          <w:szCs w:val="24"/>
          <w:lang w:eastAsia="fi-FI"/>
        </w:rPr>
      </w:pPr>
      <w:r>
        <w:br w:type="page"/>
      </w:r>
    </w:p>
    <w:p w:rsidR="000977E0" w:rsidRDefault="00445DE2" w:rsidP="000977E0">
      <w:pPr>
        <w:pStyle w:val="LLLainNumero"/>
      </w:pPr>
      <w:r w:rsidRPr="00E03AB9">
        <w:lastRenderedPageBreak/>
        <w:t>2</w:t>
      </w:r>
      <w:r w:rsidRPr="00E03AB9">
        <w:rPr>
          <w:bCs/>
        </w:rPr>
        <w:t>.</w:t>
      </w:r>
    </w:p>
    <w:p w:rsidR="004D3CEE" w:rsidRPr="00E03AB9" w:rsidRDefault="00445DE2" w:rsidP="000977E0">
      <w:pPr>
        <w:pStyle w:val="LLLaki"/>
      </w:pPr>
      <w:r w:rsidRPr="00E03AB9">
        <w:t>Lag</w:t>
      </w:r>
    </w:p>
    <w:p w:rsidR="004D3CEE" w:rsidRPr="00E03AB9" w:rsidRDefault="004D3CEE" w:rsidP="000977E0">
      <w:pPr>
        <w:pStyle w:val="LLSaadoksenNimi"/>
      </w:pPr>
      <w:bookmarkStart w:id="21" w:name="_Toc19199036"/>
      <w:r w:rsidRPr="00E03AB9">
        <w:t>om ändring av 5 § i punktskattelagen</w:t>
      </w:r>
      <w:bookmarkEnd w:id="21"/>
    </w:p>
    <w:p w:rsidR="004D3CEE" w:rsidRPr="00E03AB9" w:rsidRDefault="004D3CEE" w:rsidP="000977E0">
      <w:pPr>
        <w:pStyle w:val="LLJohtolauseKappaleet"/>
      </w:pPr>
      <w:r w:rsidRPr="00E03AB9">
        <w:t>I enlighet med riksdagens beslut</w:t>
      </w:r>
    </w:p>
    <w:p w:rsidR="004D3CEE" w:rsidRPr="00E03AB9" w:rsidRDefault="004D3CEE" w:rsidP="006D18CF">
      <w:pPr>
        <w:pStyle w:val="LLJohtolauseKappaleet"/>
      </w:pPr>
      <w:r w:rsidRPr="000977E0">
        <w:rPr>
          <w:i/>
        </w:rPr>
        <w:t>ändras</w:t>
      </w:r>
      <w:r w:rsidRPr="00E03AB9">
        <w:t xml:space="preserve"> i punktskattelagen (182/2010) 5 §, sådan den lyder delvis ändrad i lag 495/2014, som följer:</w:t>
      </w:r>
    </w:p>
    <w:p w:rsidR="004D3CEE" w:rsidRPr="00E03AB9" w:rsidRDefault="004D3CEE" w:rsidP="004D3CEE">
      <w:pPr>
        <w:pStyle w:val="LLNormaali"/>
      </w:pPr>
    </w:p>
    <w:p w:rsidR="000977E0" w:rsidRDefault="004D3CEE" w:rsidP="000977E0">
      <w:pPr>
        <w:pStyle w:val="LLPykala"/>
      </w:pPr>
      <w:r w:rsidRPr="00E03AB9">
        <w:t>5 §</w:t>
      </w:r>
    </w:p>
    <w:p w:rsidR="000977E0" w:rsidRDefault="004D3CEE" w:rsidP="000977E0">
      <w:pPr>
        <w:pStyle w:val="LLPykalanOtsikko"/>
      </w:pPr>
      <w:r w:rsidRPr="00E03AB9">
        <w:t>Geografiska definitioner</w:t>
      </w:r>
      <w:r w:rsidR="006D18CF">
        <w:t>.</w:t>
      </w:r>
    </w:p>
    <w:p w:rsidR="004D3CEE" w:rsidRPr="00E03AB9" w:rsidRDefault="004D3CEE" w:rsidP="000977E0">
      <w:pPr>
        <w:pStyle w:val="LLMomentinJohdantoKappale"/>
      </w:pPr>
      <w:r w:rsidRPr="00E03AB9">
        <w:t>I denna lag avses med</w:t>
      </w:r>
    </w:p>
    <w:p w:rsidR="004D3CEE" w:rsidRPr="00E03AB9" w:rsidRDefault="004D3CEE" w:rsidP="000977E0">
      <w:pPr>
        <w:pStyle w:val="LLMomentinKohta"/>
      </w:pPr>
      <w:r w:rsidRPr="00E03AB9">
        <w:t xml:space="preserve">1) </w:t>
      </w:r>
      <w:r w:rsidRPr="00E03AB9">
        <w:rPr>
          <w:i/>
          <w:iCs/>
        </w:rPr>
        <w:t>unionen och unionens territorium</w:t>
      </w:r>
      <w:r w:rsidRPr="00E03AB9">
        <w:t xml:space="preserve"> Europeiska unionens medlemsstaters territorier,</w:t>
      </w:r>
    </w:p>
    <w:p w:rsidR="004D3CEE" w:rsidRPr="00E03AB9" w:rsidRDefault="004D3CEE" w:rsidP="000977E0">
      <w:pPr>
        <w:pStyle w:val="LLMomentinKohta"/>
      </w:pPr>
      <w:r w:rsidRPr="00E03AB9">
        <w:t xml:space="preserve">2) </w:t>
      </w:r>
      <w:r w:rsidRPr="00E03AB9">
        <w:rPr>
          <w:i/>
          <w:iCs/>
        </w:rPr>
        <w:t>tredjeterritorium</w:t>
      </w:r>
      <w:r w:rsidRPr="00E03AB9">
        <w:t xml:space="preserve"> Kanarieöarna, landskapet Åland, Kanalöarna, ön Helgoland, territoriet </w:t>
      </w:r>
      <w:proofErr w:type="spellStart"/>
      <w:r w:rsidRPr="00E03AB9">
        <w:t>Büsingen</w:t>
      </w:r>
      <w:proofErr w:type="spellEnd"/>
      <w:r w:rsidRPr="00E03AB9">
        <w:t xml:space="preserve">, Ceuta, Melilla och Livigno samt de franska områden som avses i artiklarna 349 och </w:t>
      </w:r>
      <w:proofErr w:type="gramStart"/>
      <w:r w:rsidRPr="00E03AB9">
        <w:t>355.1</w:t>
      </w:r>
      <w:proofErr w:type="gramEnd"/>
      <w:r w:rsidRPr="00E03AB9">
        <w:t xml:space="preserve"> i fördraget om Europeiska unionens funktionssätt,</w:t>
      </w:r>
    </w:p>
    <w:p w:rsidR="004D3CEE" w:rsidRPr="00E03AB9" w:rsidRDefault="004D3CEE" w:rsidP="000977E0">
      <w:pPr>
        <w:pStyle w:val="LLMomentinKohta"/>
      </w:pPr>
      <w:r w:rsidRPr="00E03AB9">
        <w:t xml:space="preserve">3) </w:t>
      </w:r>
      <w:r w:rsidRPr="00E03AB9">
        <w:rPr>
          <w:i/>
          <w:iCs/>
        </w:rPr>
        <w:t>medlemsstat och en medlemsstats territorium</w:t>
      </w:r>
      <w:r w:rsidRPr="00E03AB9">
        <w:t xml:space="preserve"> territoriet i varje medlemsstat i unionen där unionens lagstiftning är tillämplig, med undantag av tredjeterritorier,</w:t>
      </w:r>
    </w:p>
    <w:p w:rsidR="004D3CEE" w:rsidRPr="00E03AB9" w:rsidRDefault="004D3CEE" w:rsidP="000977E0">
      <w:pPr>
        <w:pStyle w:val="LLMomentinKohta"/>
      </w:pPr>
      <w:r w:rsidRPr="00E03AB9">
        <w:t xml:space="preserve">4) </w:t>
      </w:r>
      <w:r w:rsidRPr="00E03AB9">
        <w:rPr>
          <w:i/>
          <w:iCs/>
        </w:rPr>
        <w:t>Finland</w:t>
      </w:r>
      <w:r w:rsidRPr="00E03AB9">
        <w:t xml:space="preserve"> Finlands territorium enligt unionens lagstiftning, inklusive landskapet Åland,</w:t>
      </w:r>
    </w:p>
    <w:p w:rsidR="004D3CEE" w:rsidRPr="00E03AB9" w:rsidRDefault="004D3CEE" w:rsidP="000977E0">
      <w:pPr>
        <w:pStyle w:val="LLMomentinKohta"/>
      </w:pPr>
      <w:r w:rsidRPr="00E03AB9">
        <w:t xml:space="preserve">5) </w:t>
      </w:r>
      <w:r w:rsidRPr="00E03AB9">
        <w:rPr>
          <w:i/>
          <w:iCs/>
        </w:rPr>
        <w:t>tredjeland</w:t>
      </w:r>
      <w:r w:rsidRPr="00E03AB9">
        <w:t xml:space="preserve"> varje stat eller territorium där fördraget om Europeiska unionen och fördraget om Europeiska unionens funktionssätt inte gäller, dock inte Monaco, San Marino, Förenade kungarikets suveräna basområden </w:t>
      </w:r>
      <w:proofErr w:type="spellStart"/>
      <w:r w:rsidRPr="00E03AB9">
        <w:t>Akrotiri</w:t>
      </w:r>
      <w:proofErr w:type="spellEnd"/>
      <w:r w:rsidRPr="00E03AB9">
        <w:t xml:space="preserve"> och Dhekelia samt Isle </w:t>
      </w:r>
      <w:proofErr w:type="spellStart"/>
      <w:r w:rsidRPr="00E03AB9">
        <w:t>of</w:t>
      </w:r>
      <w:proofErr w:type="spellEnd"/>
      <w:r w:rsidRPr="00E03AB9">
        <w:t xml:space="preserve"> Man; flyttningar av punktskattepliktiga produkter som utgår från eller är avsedda för</w:t>
      </w:r>
    </w:p>
    <w:p w:rsidR="004D3CEE" w:rsidRPr="00E03AB9" w:rsidRDefault="004D3CEE" w:rsidP="000977E0">
      <w:pPr>
        <w:pStyle w:val="LLMomentinAlakohta"/>
      </w:pPr>
      <w:r w:rsidRPr="00E03AB9">
        <w:t>a) Monaco ska behandlas som flyttningar som utgår från eller är avsedda för Frankrike,</w:t>
      </w:r>
    </w:p>
    <w:p w:rsidR="004D3CEE" w:rsidRPr="00E03AB9" w:rsidRDefault="004D3CEE" w:rsidP="000977E0">
      <w:pPr>
        <w:pStyle w:val="LLMomentinAlakohta"/>
      </w:pPr>
      <w:r w:rsidRPr="00E03AB9">
        <w:t>b) San Marino ska behandlas som flyttningar som utgår från eller är avsedda för Italien,</w:t>
      </w:r>
    </w:p>
    <w:p w:rsidR="004D3CEE" w:rsidRPr="00E03AB9" w:rsidRDefault="004D3CEE" w:rsidP="000977E0">
      <w:pPr>
        <w:pStyle w:val="LLMomentinAlakohta"/>
      </w:pPr>
      <w:r w:rsidRPr="00E03AB9">
        <w:t xml:space="preserve">c) Förenade kungarikets suveräna basområden </w:t>
      </w:r>
      <w:proofErr w:type="spellStart"/>
      <w:r w:rsidRPr="00E03AB9">
        <w:t>Akrotiri</w:t>
      </w:r>
      <w:proofErr w:type="spellEnd"/>
      <w:r w:rsidRPr="00E03AB9">
        <w:t xml:space="preserve"> och Dhekelia ska behandlas som flyttningar som utgår från eller är avsedda för Cypern,</w:t>
      </w:r>
    </w:p>
    <w:p w:rsidR="004D3CEE" w:rsidRPr="00E03AB9" w:rsidRDefault="004D3CEE" w:rsidP="000977E0">
      <w:pPr>
        <w:pStyle w:val="LLMomentinAlakohta"/>
      </w:pPr>
      <w:r w:rsidRPr="00E03AB9">
        <w:t xml:space="preserve">d) Isle </w:t>
      </w:r>
      <w:proofErr w:type="spellStart"/>
      <w:r w:rsidRPr="00E03AB9">
        <w:t>of</w:t>
      </w:r>
      <w:proofErr w:type="spellEnd"/>
      <w:r w:rsidRPr="00E03AB9">
        <w:t xml:space="preserve"> Man behandlas som flyttningar som utgår från eller är avsedda för Förenade kungariket,</w:t>
      </w:r>
    </w:p>
    <w:p w:rsidR="004D3CEE" w:rsidRDefault="004D3CEE" w:rsidP="000977E0">
      <w:pPr>
        <w:pStyle w:val="LLMomentinAlakohta"/>
      </w:pPr>
      <w:r w:rsidRPr="00E03AB9">
        <w:t xml:space="preserve">e) </w:t>
      </w:r>
      <w:proofErr w:type="spellStart"/>
      <w:r w:rsidRPr="00E03AB9">
        <w:t>Jungholtz</w:t>
      </w:r>
      <w:proofErr w:type="spellEnd"/>
      <w:r w:rsidRPr="00E03AB9">
        <w:t xml:space="preserve"> och Mittelberg (</w:t>
      </w:r>
      <w:proofErr w:type="spellStart"/>
      <w:r w:rsidRPr="00E03AB9">
        <w:t>Kleines</w:t>
      </w:r>
      <w:proofErr w:type="spellEnd"/>
      <w:r w:rsidRPr="00E03AB9">
        <w:t xml:space="preserve"> </w:t>
      </w:r>
      <w:proofErr w:type="spellStart"/>
      <w:r w:rsidRPr="00E03AB9">
        <w:t>Walsertal</w:t>
      </w:r>
      <w:proofErr w:type="spellEnd"/>
      <w:r w:rsidRPr="00E03AB9">
        <w:t>) ska behandlas som flyttningar som utgår från eller är avsedda för Tyskland.</w:t>
      </w:r>
    </w:p>
    <w:p w:rsidR="00093653" w:rsidRDefault="00093653" w:rsidP="000977E0">
      <w:pPr>
        <w:pStyle w:val="LLMomentinAlakohta"/>
      </w:pPr>
      <w:proofErr w:type="gramStart"/>
      <w:r>
        <w:t>—</w:t>
      </w:r>
      <w:proofErr w:type="gramEnd"/>
      <w:r>
        <w:t xml:space="preserve"> — — — — — — — — — — — — — — — — — — — — — — — — — — — — —</w:t>
      </w:r>
    </w:p>
    <w:p w:rsidR="00093653" w:rsidRPr="00E03AB9" w:rsidRDefault="00093653" w:rsidP="000977E0">
      <w:pPr>
        <w:pStyle w:val="LLMomentinAlakohta"/>
      </w:pPr>
    </w:p>
    <w:p w:rsidR="0079426D" w:rsidRPr="00093653" w:rsidRDefault="000977E0" w:rsidP="000977E0">
      <w:pPr>
        <w:pStyle w:val="LLNormaali"/>
        <w:jc w:val="center"/>
      </w:pPr>
      <w:proofErr w:type="gramStart"/>
      <w:r w:rsidRPr="00093653">
        <w:t>—</w:t>
      </w:r>
      <w:proofErr w:type="gramEnd"/>
      <w:r w:rsidRPr="00093653">
        <w:t>——</w:t>
      </w:r>
    </w:p>
    <w:p w:rsidR="00093653" w:rsidRDefault="00093653" w:rsidP="00093653">
      <w:pPr>
        <w:pStyle w:val="LLKappalejako"/>
      </w:pPr>
      <w:r w:rsidRPr="00093653">
        <w:t xml:space="preserve">Denna lag träder i kraft </w:t>
      </w:r>
      <w:proofErr w:type="gramStart"/>
      <w:r w:rsidRPr="00093653">
        <w:t>den   januari</w:t>
      </w:r>
      <w:proofErr w:type="gramEnd"/>
      <w:r w:rsidRPr="00093653">
        <w:t xml:space="preserve"> 20  </w:t>
      </w:r>
    </w:p>
    <w:p w:rsidR="000977E0" w:rsidRDefault="000977E0" w:rsidP="000977E0">
      <w:pPr>
        <w:pStyle w:val="LLNormaali"/>
        <w:jc w:val="center"/>
        <w:rPr>
          <w:lang w:val="fi-FI"/>
        </w:rPr>
      </w:pPr>
      <w:r>
        <w:rPr>
          <w:lang w:val="fi-FI"/>
        </w:rPr>
        <w:t>—————</w:t>
      </w:r>
    </w:p>
    <w:p w:rsidR="000977E0" w:rsidRDefault="006D18CF" w:rsidP="006D18CF">
      <w:pPr>
        <w:pStyle w:val="LLPaivays"/>
        <w:rPr>
          <w:lang w:val="fi-FI"/>
        </w:rPr>
      </w:pPr>
      <w:r>
        <w:rPr>
          <w:lang w:val="fi-FI"/>
        </w:rPr>
        <w:t xml:space="preserve">Helsingfors </w:t>
      </w:r>
      <w:proofErr w:type="spellStart"/>
      <w:r>
        <w:rPr>
          <w:lang w:val="fi-FI"/>
        </w:rPr>
        <w:t>den</w:t>
      </w:r>
      <w:proofErr w:type="spellEnd"/>
      <w:r>
        <w:rPr>
          <w:lang w:val="fi-FI"/>
        </w:rPr>
        <w:t xml:space="preserve">    </w:t>
      </w:r>
      <w:proofErr w:type="spellStart"/>
      <w:r>
        <w:rPr>
          <w:lang w:val="fi-FI"/>
        </w:rPr>
        <w:t>oktober</w:t>
      </w:r>
      <w:proofErr w:type="spellEnd"/>
      <w:r>
        <w:rPr>
          <w:lang w:val="fi-FI"/>
        </w:rPr>
        <w:t xml:space="preserve"> 2019</w:t>
      </w:r>
    </w:p>
    <w:p w:rsidR="006D18CF" w:rsidRPr="006D18CF" w:rsidRDefault="006D18CF" w:rsidP="006D18CF">
      <w:pPr>
        <w:pStyle w:val="LLAllekirjoitus"/>
      </w:pPr>
      <w:r w:rsidRPr="006D18CF">
        <w:t>Statsminister</w:t>
      </w:r>
    </w:p>
    <w:p w:rsidR="006D18CF" w:rsidRPr="006D18CF" w:rsidRDefault="006D18CF" w:rsidP="006D18CF">
      <w:pPr>
        <w:pStyle w:val="LLNimenselvennys"/>
      </w:pPr>
      <w:r w:rsidRPr="006D18CF">
        <w:t>Antti Rinne</w:t>
      </w:r>
    </w:p>
    <w:p w:rsidR="006D18CF" w:rsidRPr="006D18CF" w:rsidRDefault="006D18CF" w:rsidP="006D18CF">
      <w:pPr>
        <w:pStyle w:val="LLVarmennus"/>
      </w:pPr>
      <w:r w:rsidRPr="006D18CF">
        <w:t xml:space="preserve">Finansminister Mika </w:t>
      </w:r>
      <w:proofErr w:type="spellStart"/>
      <w:r w:rsidRPr="006D18CF">
        <w:t>Lintilä</w:t>
      </w:r>
      <w:proofErr w:type="spellEnd"/>
    </w:p>
    <w:p w:rsidR="00093653" w:rsidRDefault="00093653">
      <w:pPr>
        <w:rPr>
          <w:sz w:val="22"/>
          <w:szCs w:val="24"/>
          <w:lang w:eastAsia="fi-FI"/>
        </w:rPr>
      </w:pPr>
      <w:r>
        <w:br w:type="page"/>
      </w:r>
    </w:p>
    <w:p w:rsidR="006D18CF" w:rsidRDefault="00093653" w:rsidP="00093653">
      <w:pPr>
        <w:pStyle w:val="LLRinnakkaistekstit"/>
      </w:pPr>
      <w:bookmarkStart w:id="22" w:name="_Toc19199037"/>
      <w:r>
        <w:lastRenderedPageBreak/>
        <w:t>Parallelltext</w:t>
      </w:r>
      <w:bookmarkEnd w:id="22"/>
    </w:p>
    <w:p w:rsidR="00093653" w:rsidRDefault="00093653" w:rsidP="00093653">
      <w:pPr>
        <w:pStyle w:val="LLLainNumero"/>
      </w:pPr>
      <w:r>
        <w:t>1.</w:t>
      </w:r>
    </w:p>
    <w:p w:rsidR="00093653" w:rsidRDefault="00093653" w:rsidP="00093653">
      <w:pPr>
        <w:pStyle w:val="LLLaki"/>
      </w:pPr>
      <w:r w:rsidRPr="00E03AB9">
        <w:t>Lag</w:t>
      </w:r>
    </w:p>
    <w:p w:rsidR="00093653" w:rsidRPr="00E03AB9" w:rsidRDefault="00093653" w:rsidP="00093653">
      <w:pPr>
        <w:pStyle w:val="LLSaadoksenNimi"/>
      </w:pPr>
      <w:r w:rsidRPr="00E03AB9">
        <w:t xml:space="preserve"> </w:t>
      </w:r>
      <w:bookmarkStart w:id="23" w:name="_Toc19199038"/>
      <w:r w:rsidRPr="00E03AB9">
        <w:t>om ändring av skattetabellen i bilagan till lagen om punktskatt på flytande bränslen</w:t>
      </w:r>
      <w:bookmarkEnd w:id="23"/>
    </w:p>
    <w:p w:rsidR="00093653" w:rsidRPr="00E03AB9" w:rsidRDefault="00093653" w:rsidP="00093653">
      <w:pPr>
        <w:pStyle w:val="LLJohtolauseKappaleet"/>
      </w:pPr>
      <w:r w:rsidRPr="00E03AB9">
        <w:t>I enlighet med riksdagens beslut</w:t>
      </w:r>
    </w:p>
    <w:p w:rsidR="00093653" w:rsidRPr="00E03AB9" w:rsidRDefault="00093653" w:rsidP="00093653">
      <w:pPr>
        <w:pStyle w:val="LLJohtolauseKappaleet"/>
      </w:pPr>
      <w:r w:rsidRPr="00E03AB9">
        <w:rPr>
          <w:i/>
          <w:iCs/>
        </w:rPr>
        <w:t>ändras</w:t>
      </w:r>
      <w:r w:rsidRPr="00E03AB9">
        <w:t xml:space="preserve"> bilagan till lagen om punktskatt på flytande bränslen (1472/1994), sådan bilagan lyder i lag 1225/2018, som följer:</w:t>
      </w:r>
    </w:p>
    <w:p w:rsidR="00093653" w:rsidRDefault="00093653" w:rsidP="00093653">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093653" w:rsidTr="00093653">
        <w:tc>
          <w:tcPr>
            <w:tcW w:w="4168" w:type="dxa"/>
            <w:shd w:val="clear" w:color="auto" w:fill="auto"/>
          </w:tcPr>
          <w:p w:rsidR="00093653" w:rsidRPr="00093653" w:rsidRDefault="00093653" w:rsidP="00093653">
            <w:pPr>
              <w:pStyle w:val="LLNormaali"/>
              <w:rPr>
                <w:i/>
              </w:rPr>
            </w:pPr>
            <w:r w:rsidRPr="00093653">
              <w:rPr>
                <w:i/>
              </w:rPr>
              <w:t>Gällande lydelse</w:t>
            </w:r>
          </w:p>
        </w:tc>
        <w:tc>
          <w:tcPr>
            <w:tcW w:w="4168" w:type="dxa"/>
            <w:shd w:val="clear" w:color="auto" w:fill="auto"/>
          </w:tcPr>
          <w:p w:rsidR="00093653" w:rsidRDefault="00093653" w:rsidP="00093653">
            <w:pPr>
              <w:pStyle w:val="LLNormaali"/>
            </w:pPr>
          </w:p>
        </w:tc>
      </w:tr>
    </w:tbl>
    <w:p w:rsidR="00093653" w:rsidRDefault="00093653" w:rsidP="00093653">
      <w:pPr>
        <w:pStyle w:val="LLNormaali"/>
      </w:pPr>
    </w:p>
    <w:tbl>
      <w:tblPr>
        <w:tblW w:w="8380" w:type="dxa"/>
        <w:tblCellMar>
          <w:left w:w="70" w:type="dxa"/>
          <w:right w:w="70" w:type="dxa"/>
        </w:tblCellMar>
        <w:tblLook w:val="04A0" w:firstRow="1" w:lastRow="0" w:firstColumn="1" w:lastColumn="0" w:noHBand="0" w:noVBand="1"/>
      </w:tblPr>
      <w:tblGrid>
        <w:gridCol w:w="2540"/>
        <w:gridCol w:w="960"/>
        <w:gridCol w:w="1178"/>
        <w:gridCol w:w="1582"/>
        <w:gridCol w:w="1160"/>
        <w:gridCol w:w="960"/>
      </w:tblGrid>
      <w:tr w:rsidR="005A683B" w:rsidRPr="00E03AB9" w:rsidTr="005A683B">
        <w:trPr>
          <w:trHeight w:val="790"/>
        </w:trPr>
        <w:tc>
          <w:tcPr>
            <w:tcW w:w="8380" w:type="dxa"/>
            <w:gridSpan w:val="6"/>
            <w:shd w:val="clear" w:color="auto" w:fill="auto"/>
            <w:vAlign w:val="bottom"/>
            <w:hideMark/>
          </w:tcPr>
          <w:p w:rsidR="005A683B" w:rsidRPr="00E03AB9" w:rsidRDefault="005A683B" w:rsidP="005A683B">
            <w:pPr>
              <w:jc w:val="center"/>
              <w:rPr>
                <w:b/>
                <w:bCs/>
                <w:sz w:val="22"/>
                <w:szCs w:val="22"/>
              </w:rPr>
            </w:pPr>
            <w:r w:rsidRPr="00E03AB9">
              <w:rPr>
                <w:b/>
                <w:bCs/>
                <w:sz w:val="22"/>
                <w:szCs w:val="22"/>
              </w:rPr>
              <w:t>SKATTETABELL</w:t>
            </w:r>
          </w:p>
        </w:tc>
      </w:tr>
      <w:tr w:rsidR="005A683B" w:rsidRPr="00E03AB9" w:rsidTr="005A683B">
        <w:trPr>
          <w:trHeight w:val="260"/>
        </w:trPr>
        <w:tc>
          <w:tcPr>
            <w:tcW w:w="2540" w:type="dxa"/>
            <w:vMerge w:val="restart"/>
            <w:shd w:val="clear" w:color="auto" w:fill="auto"/>
            <w:hideMark/>
          </w:tcPr>
          <w:p w:rsidR="005A683B" w:rsidRPr="00E03AB9" w:rsidRDefault="005A683B" w:rsidP="005A683B">
            <w:pPr>
              <w:rPr>
                <w:b/>
                <w:bCs/>
                <w:sz w:val="20"/>
              </w:rPr>
            </w:pPr>
            <w:r w:rsidRPr="00E03AB9">
              <w:rPr>
                <w:b/>
                <w:bCs/>
                <w:sz w:val="20"/>
              </w:rPr>
              <w:t>Produkt</w:t>
            </w:r>
          </w:p>
        </w:tc>
        <w:tc>
          <w:tcPr>
            <w:tcW w:w="960" w:type="dxa"/>
            <w:shd w:val="clear" w:color="auto" w:fill="auto"/>
            <w:hideMark/>
          </w:tcPr>
          <w:p w:rsidR="005A683B" w:rsidRPr="00E03AB9" w:rsidRDefault="005A683B" w:rsidP="005A683B">
            <w:pPr>
              <w:jc w:val="center"/>
              <w:rPr>
                <w:b/>
                <w:bCs/>
                <w:sz w:val="20"/>
              </w:rPr>
            </w:pPr>
            <w:r w:rsidRPr="00E03AB9">
              <w:rPr>
                <w:b/>
                <w:bCs/>
                <w:sz w:val="20"/>
              </w:rPr>
              <w:t>Produkt-</w:t>
            </w:r>
          </w:p>
        </w:tc>
        <w:tc>
          <w:tcPr>
            <w:tcW w:w="1178" w:type="dxa"/>
            <w:vMerge w:val="restart"/>
            <w:shd w:val="clear" w:color="auto" w:fill="auto"/>
            <w:hideMark/>
          </w:tcPr>
          <w:p w:rsidR="005A683B" w:rsidRPr="00E03AB9" w:rsidRDefault="005A683B" w:rsidP="005A683B">
            <w:pPr>
              <w:jc w:val="center"/>
              <w:rPr>
                <w:b/>
                <w:bCs/>
                <w:sz w:val="20"/>
              </w:rPr>
            </w:pPr>
            <w:r w:rsidRPr="00E03AB9">
              <w:rPr>
                <w:b/>
                <w:bCs/>
                <w:sz w:val="20"/>
              </w:rPr>
              <w:t>Energiinnehållsskatt</w:t>
            </w:r>
          </w:p>
        </w:tc>
        <w:tc>
          <w:tcPr>
            <w:tcW w:w="1582" w:type="dxa"/>
            <w:vMerge w:val="restart"/>
            <w:shd w:val="clear" w:color="auto" w:fill="auto"/>
            <w:hideMark/>
          </w:tcPr>
          <w:p w:rsidR="005A683B" w:rsidRPr="00E03AB9" w:rsidRDefault="005A683B" w:rsidP="005A683B">
            <w:pPr>
              <w:jc w:val="center"/>
              <w:rPr>
                <w:b/>
                <w:bCs/>
                <w:sz w:val="20"/>
              </w:rPr>
            </w:pPr>
            <w:r w:rsidRPr="00E03AB9">
              <w:rPr>
                <w:b/>
                <w:bCs/>
                <w:sz w:val="20"/>
              </w:rPr>
              <w:t>Koldioxidskatt</w:t>
            </w:r>
          </w:p>
        </w:tc>
        <w:tc>
          <w:tcPr>
            <w:tcW w:w="1160" w:type="dxa"/>
            <w:shd w:val="clear" w:color="auto" w:fill="auto"/>
            <w:hideMark/>
          </w:tcPr>
          <w:p w:rsidR="005A683B" w:rsidRPr="00E03AB9" w:rsidRDefault="005A683B" w:rsidP="005A683B">
            <w:pPr>
              <w:jc w:val="center"/>
              <w:rPr>
                <w:b/>
                <w:bCs/>
                <w:sz w:val="20"/>
              </w:rPr>
            </w:pPr>
            <w:r w:rsidRPr="00E03AB9">
              <w:rPr>
                <w:b/>
                <w:bCs/>
                <w:sz w:val="20"/>
              </w:rPr>
              <w:t>Försörjnings-</w:t>
            </w:r>
          </w:p>
        </w:tc>
        <w:tc>
          <w:tcPr>
            <w:tcW w:w="960" w:type="dxa"/>
            <w:vMerge w:val="restart"/>
            <w:shd w:val="clear" w:color="auto" w:fill="auto"/>
            <w:hideMark/>
          </w:tcPr>
          <w:p w:rsidR="005A683B" w:rsidRPr="00E03AB9" w:rsidRDefault="005A683B" w:rsidP="005A683B">
            <w:pPr>
              <w:jc w:val="center"/>
              <w:rPr>
                <w:b/>
                <w:bCs/>
                <w:sz w:val="20"/>
              </w:rPr>
            </w:pPr>
            <w:r w:rsidRPr="00E03AB9">
              <w:rPr>
                <w:b/>
                <w:bCs/>
                <w:sz w:val="20"/>
              </w:rPr>
              <w:t>Sammanlagt</w:t>
            </w:r>
          </w:p>
        </w:tc>
      </w:tr>
      <w:tr w:rsidR="005A683B" w:rsidRPr="00E03AB9" w:rsidTr="005A683B">
        <w:trPr>
          <w:trHeight w:val="260"/>
        </w:trPr>
        <w:tc>
          <w:tcPr>
            <w:tcW w:w="2540" w:type="dxa"/>
            <w:vMerge/>
            <w:vAlign w:val="center"/>
            <w:hideMark/>
          </w:tcPr>
          <w:p w:rsidR="005A683B" w:rsidRPr="00E03AB9" w:rsidRDefault="005A683B" w:rsidP="005A683B">
            <w:pPr>
              <w:rPr>
                <w:b/>
                <w:bCs/>
                <w:sz w:val="20"/>
                <w:lang w:eastAsia="fi-FI"/>
              </w:rPr>
            </w:pPr>
          </w:p>
        </w:tc>
        <w:tc>
          <w:tcPr>
            <w:tcW w:w="960" w:type="dxa"/>
            <w:shd w:val="clear" w:color="auto" w:fill="auto"/>
            <w:hideMark/>
          </w:tcPr>
          <w:p w:rsidR="005A683B" w:rsidRPr="00E03AB9" w:rsidRDefault="005A683B" w:rsidP="005A683B">
            <w:pPr>
              <w:jc w:val="center"/>
              <w:rPr>
                <w:b/>
                <w:bCs/>
                <w:sz w:val="20"/>
              </w:rPr>
            </w:pPr>
            <w:r w:rsidRPr="00E03AB9">
              <w:rPr>
                <w:b/>
                <w:bCs/>
                <w:sz w:val="20"/>
              </w:rPr>
              <w:t>grupp</w:t>
            </w:r>
          </w:p>
        </w:tc>
        <w:tc>
          <w:tcPr>
            <w:tcW w:w="1178" w:type="dxa"/>
            <w:vMerge/>
            <w:vAlign w:val="center"/>
            <w:hideMark/>
          </w:tcPr>
          <w:p w:rsidR="005A683B" w:rsidRPr="00E03AB9" w:rsidRDefault="005A683B" w:rsidP="005A683B">
            <w:pPr>
              <w:rPr>
                <w:b/>
                <w:bCs/>
                <w:sz w:val="20"/>
                <w:lang w:eastAsia="fi-FI"/>
              </w:rPr>
            </w:pPr>
          </w:p>
        </w:tc>
        <w:tc>
          <w:tcPr>
            <w:tcW w:w="1582" w:type="dxa"/>
            <w:vMerge/>
            <w:vAlign w:val="center"/>
            <w:hideMark/>
          </w:tcPr>
          <w:p w:rsidR="005A683B" w:rsidRPr="00E03AB9" w:rsidRDefault="005A683B" w:rsidP="005A683B">
            <w:pPr>
              <w:rPr>
                <w:b/>
                <w:bCs/>
                <w:sz w:val="20"/>
                <w:lang w:eastAsia="fi-FI"/>
              </w:rPr>
            </w:pPr>
          </w:p>
        </w:tc>
        <w:tc>
          <w:tcPr>
            <w:tcW w:w="1160" w:type="dxa"/>
            <w:shd w:val="clear" w:color="auto" w:fill="auto"/>
            <w:hideMark/>
          </w:tcPr>
          <w:p w:rsidR="005A683B" w:rsidRPr="00E03AB9" w:rsidRDefault="005A683B" w:rsidP="005A683B">
            <w:pPr>
              <w:jc w:val="center"/>
              <w:rPr>
                <w:b/>
                <w:bCs/>
                <w:sz w:val="20"/>
              </w:rPr>
            </w:pPr>
            <w:r w:rsidRPr="00E03AB9">
              <w:rPr>
                <w:b/>
                <w:bCs/>
                <w:sz w:val="20"/>
              </w:rPr>
              <w:t>beredskaps-</w:t>
            </w:r>
          </w:p>
        </w:tc>
        <w:tc>
          <w:tcPr>
            <w:tcW w:w="960" w:type="dxa"/>
            <w:vMerge/>
            <w:vAlign w:val="center"/>
            <w:hideMark/>
          </w:tcPr>
          <w:p w:rsidR="005A683B" w:rsidRPr="00E03AB9" w:rsidRDefault="005A683B" w:rsidP="005A683B">
            <w:pPr>
              <w:rPr>
                <w:b/>
                <w:bCs/>
                <w:sz w:val="20"/>
                <w:lang w:eastAsia="fi-FI"/>
              </w:rPr>
            </w:pPr>
          </w:p>
        </w:tc>
      </w:tr>
      <w:tr w:rsidR="005A683B" w:rsidRPr="00E03AB9" w:rsidTr="005A683B">
        <w:trPr>
          <w:trHeight w:val="260"/>
        </w:trPr>
        <w:tc>
          <w:tcPr>
            <w:tcW w:w="2540" w:type="dxa"/>
            <w:vMerge/>
            <w:vAlign w:val="center"/>
            <w:hideMark/>
          </w:tcPr>
          <w:p w:rsidR="005A683B" w:rsidRPr="00E03AB9" w:rsidRDefault="005A683B" w:rsidP="005A683B">
            <w:pPr>
              <w:rPr>
                <w:b/>
                <w:bCs/>
                <w:sz w:val="20"/>
                <w:lang w:eastAsia="fi-FI"/>
              </w:rPr>
            </w:pPr>
          </w:p>
        </w:tc>
        <w:tc>
          <w:tcPr>
            <w:tcW w:w="960" w:type="dxa"/>
            <w:shd w:val="clear" w:color="auto" w:fill="auto"/>
            <w:hideMark/>
          </w:tcPr>
          <w:p w:rsidR="005A683B" w:rsidRPr="00E03AB9" w:rsidRDefault="005A683B" w:rsidP="005A683B">
            <w:pPr>
              <w:jc w:val="center"/>
              <w:rPr>
                <w:b/>
                <w:bCs/>
                <w:sz w:val="20"/>
                <w:lang w:eastAsia="fi-FI"/>
              </w:rPr>
            </w:pPr>
          </w:p>
        </w:tc>
        <w:tc>
          <w:tcPr>
            <w:tcW w:w="1178" w:type="dxa"/>
            <w:vMerge/>
            <w:vAlign w:val="center"/>
            <w:hideMark/>
          </w:tcPr>
          <w:p w:rsidR="005A683B" w:rsidRPr="00E03AB9" w:rsidRDefault="005A683B" w:rsidP="005A683B">
            <w:pPr>
              <w:rPr>
                <w:b/>
                <w:bCs/>
                <w:sz w:val="20"/>
                <w:lang w:eastAsia="fi-FI"/>
              </w:rPr>
            </w:pPr>
          </w:p>
        </w:tc>
        <w:tc>
          <w:tcPr>
            <w:tcW w:w="1582" w:type="dxa"/>
            <w:vMerge/>
            <w:vAlign w:val="center"/>
            <w:hideMark/>
          </w:tcPr>
          <w:p w:rsidR="005A683B" w:rsidRPr="00E03AB9" w:rsidRDefault="005A683B" w:rsidP="005A683B">
            <w:pPr>
              <w:rPr>
                <w:b/>
                <w:bCs/>
                <w:sz w:val="20"/>
                <w:lang w:eastAsia="fi-FI"/>
              </w:rPr>
            </w:pPr>
          </w:p>
        </w:tc>
        <w:tc>
          <w:tcPr>
            <w:tcW w:w="1160" w:type="dxa"/>
            <w:shd w:val="clear" w:color="auto" w:fill="auto"/>
            <w:hideMark/>
          </w:tcPr>
          <w:p w:rsidR="005A683B" w:rsidRPr="00E03AB9" w:rsidRDefault="005A683B" w:rsidP="005A683B">
            <w:pPr>
              <w:jc w:val="center"/>
              <w:rPr>
                <w:b/>
                <w:bCs/>
                <w:sz w:val="20"/>
              </w:rPr>
            </w:pPr>
            <w:r w:rsidRPr="00E03AB9">
              <w:rPr>
                <w:b/>
                <w:bCs/>
                <w:sz w:val="20"/>
              </w:rPr>
              <w:t>avgift</w:t>
            </w:r>
          </w:p>
        </w:tc>
        <w:tc>
          <w:tcPr>
            <w:tcW w:w="960" w:type="dxa"/>
            <w:vMerge/>
            <w:vAlign w:val="center"/>
            <w:hideMark/>
          </w:tcPr>
          <w:p w:rsidR="005A683B" w:rsidRPr="00E03AB9" w:rsidRDefault="005A683B" w:rsidP="005A683B">
            <w:pPr>
              <w:rPr>
                <w:b/>
                <w:bCs/>
                <w:sz w:val="20"/>
                <w:lang w:eastAsia="fi-FI"/>
              </w:rPr>
            </w:pP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Motorbensin cent/l</w:t>
            </w:r>
          </w:p>
        </w:tc>
        <w:tc>
          <w:tcPr>
            <w:tcW w:w="960" w:type="dxa"/>
            <w:shd w:val="clear" w:color="auto" w:fill="auto"/>
            <w:hideMark/>
          </w:tcPr>
          <w:p w:rsidR="005A683B" w:rsidRPr="00E03AB9" w:rsidRDefault="005A683B" w:rsidP="005A683B">
            <w:pPr>
              <w:jc w:val="center"/>
              <w:rPr>
                <w:sz w:val="20"/>
              </w:rPr>
            </w:pPr>
            <w:r w:rsidRPr="00E03AB9">
              <w:rPr>
                <w:sz w:val="20"/>
              </w:rPr>
              <w:t>10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52,19</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17,38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70,25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Bensin för små motorer cent/l</w:t>
            </w:r>
          </w:p>
        </w:tc>
        <w:tc>
          <w:tcPr>
            <w:tcW w:w="960" w:type="dxa"/>
            <w:shd w:val="clear" w:color="auto" w:fill="auto"/>
            <w:hideMark/>
          </w:tcPr>
          <w:p w:rsidR="005A683B" w:rsidRPr="00E03AB9" w:rsidRDefault="005A683B" w:rsidP="005A683B">
            <w:pPr>
              <w:jc w:val="center"/>
              <w:rPr>
                <w:sz w:val="20"/>
              </w:rPr>
            </w:pPr>
            <w:r w:rsidRPr="00E03AB9">
              <w:rPr>
                <w:sz w:val="20"/>
              </w:rPr>
              <w:t>11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32,19</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17,38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50,25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Bioetanol cent/l</w:t>
            </w:r>
          </w:p>
        </w:tc>
        <w:tc>
          <w:tcPr>
            <w:tcW w:w="960" w:type="dxa"/>
            <w:shd w:val="clear" w:color="auto" w:fill="auto"/>
            <w:hideMark/>
          </w:tcPr>
          <w:p w:rsidR="005A683B" w:rsidRPr="00E03AB9" w:rsidRDefault="005A683B" w:rsidP="005A683B">
            <w:pPr>
              <w:jc w:val="center"/>
              <w:rPr>
                <w:sz w:val="20"/>
              </w:rPr>
            </w:pPr>
            <w:r w:rsidRPr="00E03AB9">
              <w:rPr>
                <w:sz w:val="20"/>
              </w:rPr>
              <w:t>20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34,25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11,40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46,33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Bioetanol R cent/l</w:t>
            </w:r>
          </w:p>
        </w:tc>
        <w:tc>
          <w:tcPr>
            <w:tcW w:w="960" w:type="dxa"/>
            <w:shd w:val="clear" w:color="auto" w:fill="auto"/>
            <w:hideMark/>
          </w:tcPr>
          <w:p w:rsidR="005A683B" w:rsidRPr="00E03AB9" w:rsidRDefault="005A683B" w:rsidP="005A683B">
            <w:pPr>
              <w:jc w:val="center"/>
              <w:rPr>
                <w:sz w:val="20"/>
              </w:rPr>
            </w:pPr>
            <w:r w:rsidRPr="00E03AB9">
              <w:rPr>
                <w:sz w:val="20"/>
              </w:rPr>
              <w:t>21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34,25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5,70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40,63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Bioetanol T cent/l</w:t>
            </w:r>
          </w:p>
        </w:tc>
        <w:tc>
          <w:tcPr>
            <w:tcW w:w="960" w:type="dxa"/>
            <w:shd w:val="clear" w:color="auto" w:fill="auto"/>
            <w:hideMark/>
          </w:tcPr>
          <w:p w:rsidR="005A683B" w:rsidRPr="00E03AB9" w:rsidRDefault="005A683B" w:rsidP="005A683B">
            <w:pPr>
              <w:jc w:val="center"/>
              <w:rPr>
                <w:sz w:val="20"/>
              </w:rPr>
            </w:pPr>
            <w:r w:rsidRPr="00E03AB9">
              <w:rPr>
                <w:sz w:val="20"/>
              </w:rPr>
              <w:t>22</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34,25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34,93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MTBE</w:t>
            </w:r>
            <w:proofErr w:type="spellEnd"/>
            <w:r w:rsidRPr="00E03AB9">
              <w:rPr>
                <w:sz w:val="20"/>
              </w:rPr>
              <w:t xml:space="preserve"> cent/l</w:t>
            </w:r>
          </w:p>
        </w:tc>
        <w:tc>
          <w:tcPr>
            <w:tcW w:w="960" w:type="dxa"/>
            <w:shd w:val="clear" w:color="auto" w:fill="auto"/>
            <w:hideMark/>
          </w:tcPr>
          <w:p w:rsidR="005A683B" w:rsidRPr="00E03AB9" w:rsidRDefault="005A683B" w:rsidP="005A683B">
            <w:pPr>
              <w:jc w:val="center"/>
              <w:rPr>
                <w:sz w:val="20"/>
              </w:rPr>
            </w:pPr>
            <w:r w:rsidRPr="00E03AB9">
              <w:rPr>
                <w:sz w:val="20"/>
              </w:rPr>
              <w:t>23</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42,41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14,12</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57,21</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MTBE</w:t>
            </w:r>
            <w:proofErr w:type="spellEnd"/>
            <w:r w:rsidRPr="00E03AB9">
              <w:rPr>
                <w:sz w:val="20"/>
              </w:rPr>
              <w:t xml:space="preserve"> R cent/l</w:t>
            </w:r>
          </w:p>
        </w:tc>
        <w:tc>
          <w:tcPr>
            <w:tcW w:w="960" w:type="dxa"/>
            <w:shd w:val="clear" w:color="auto" w:fill="auto"/>
            <w:hideMark/>
          </w:tcPr>
          <w:p w:rsidR="005A683B" w:rsidRPr="00E03AB9" w:rsidRDefault="005A683B" w:rsidP="005A683B">
            <w:pPr>
              <w:jc w:val="center"/>
              <w:rPr>
                <w:sz w:val="20"/>
              </w:rPr>
            </w:pPr>
            <w:r w:rsidRPr="00E03AB9">
              <w:rPr>
                <w:sz w:val="20"/>
              </w:rPr>
              <w:t>24</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42,41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12,56</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55,65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MTBE</w:t>
            </w:r>
            <w:proofErr w:type="spellEnd"/>
            <w:r w:rsidRPr="00E03AB9">
              <w:rPr>
                <w:sz w:val="20"/>
              </w:rPr>
              <w:t xml:space="preserve"> T cent/l</w:t>
            </w:r>
          </w:p>
        </w:tc>
        <w:tc>
          <w:tcPr>
            <w:tcW w:w="960" w:type="dxa"/>
            <w:shd w:val="clear" w:color="auto" w:fill="auto"/>
            <w:hideMark/>
          </w:tcPr>
          <w:p w:rsidR="005A683B" w:rsidRPr="00E03AB9" w:rsidRDefault="005A683B" w:rsidP="005A683B">
            <w:pPr>
              <w:jc w:val="center"/>
              <w:rPr>
                <w:sz w:val="20"/>
              </w:rPr>
            </w:pPr>
            <w:r w:rsidRPr="00E03AB9">
              <w:rPr>
                <w:sz w:val="20"/>
              </w:rPr>
              <w:t>25</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42,41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11,01</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54,10</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TAME cent/l</w:t>
            </w:r>
          </w:p>
        </w:tc>
        <w:tc>
          <w:tcPr>
            <w:tcW w:w="960" w:type="dxa"/>
            <w:shd w:val="clear" w:color="auto" w:fill="auto"/>
            <w:hideMark/>
          </w:tcPr>
          <w:p w:rsidR="005A683B" w:rsidRPr="00E03AB9" w:rsidRDefault="005A683B" w:rsidP="005A683B">
            <w:pPr>
              <w:jc w:val="center"/>
              <w:rPr>
                <w:sz w:val="20"/>
              </w:rPr>
            </w:pPr>
            <w:r w:rsidRPr="00E03AB9">
              <w:rPr>
                <w:sz w:val="20"/>
              </w:rPr>
              <w:t>26</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45,67</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15,20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61,55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TAME R cent/l</w:t>
            </w:r>
          </w:p>
        </w:tc>
        <w:tc>
          <w:tcPr>
            <w:tcW w:w="960" w:type="dxa"/>
            <w:shd w:val="clear" w:color="auto" w:fill="auto"/>
            <w:hideMark/>
          </w:tcPr>
          <w:p w:rsidR="005A683B" w:rsidRPr="00E03AB9" w:rsidRDefault="005A683B" w:rsidP="005A683B">
            <w:pPr>
              <w:jc w:val="center"/>
              <w:rPr>
                <w:sz w:val="20"/>
              </w:rPr>
            </w:pPr>
            <w:r w:rsidRPr="00E03AB9">
              <w:rPr>
                <w:sz w:val="20"/>
              </w:rPr>
              <w:t>27</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45,67</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13,84</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60,19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TAME T cent/l</w:t>
            </w:r>
          </w:p>
        </w:tc>
        <w:tc>
          <w:tcPr>
            <w:tcW w:w="960" w:type="dxa"/>
            <w:shd w:val="clear" w:color="auto" w:fill="auto"/>
            <w:hideMark/>
          </w:tcPr>
          <w:p w:rsidR="005A683B" w:rsidRPr="00E03AB9" w:rsidRDefault="005A683B" w:rsidP="005A683B">
            <w:pPr>
              <w:jc w:val="center"/>
              <w:rPr>
                <w:sz w:val="20"/>
              </w:rPr>
            </w:pPr>
            <w:r w:rsidRPr="00E03AB9">
              <w:rPr>
                <w:sz w:val="20"/>
              </w:rPr>
              <w:t>28</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45,67</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12,47</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58,82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ETBE</w:t>
            </w:r>
            <w:proofErr w:type="spellEnd"/>
            <w:r w:rsidRPr="00E03AB9">
              <w:rPr>
                <w:sz w:val="20"/>
              </w:rPr>
              <w:t xml:space="preserve"> cent/l</w:t>
            </w:r>
          </w:p>
        </w:tc>
        <w:tc>
          <w:tcPr>
            <w:tcW w:w="960" w:type="dxa"/>
            <w:shd w:val="clear" w:color="auto" w:fill="auto"/>
            <w:hideMark/>
          </w:tcPr>
          <w:p w:rsidR="005A683B" w:rsidRPr="00E03AB9" w:rsidRDefault="005A683B" w:rsidP="005A683B">
            <w:pPr>
              <w:jc w:val="center"/>
              <w:rPr>
                <w:sz w:val="20"/>
              </w:rPr>
            </w:pPr>
            <w:r w:rsidRPr="00E03AB9">
              <w:rPr>
                <w:sz w:val="20"/>
              </w:rPr>
              <w:t>29</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44,04</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14,66</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59,38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ETBE</w:t>
            </w:r>
            <w:proofErr w:type="spellEnd"/>
            <w:r w:rsidRPr="00E03AB9">
              <w:rPr>
                <w:sz w:val="20"/>
              </w:rPr>
              <w:t xml:space="preserve"> R cent/l</w:t>
            </w:r>
          </w:p>
        </w:tc>
        <w:tc>
          <w:tcPr>
            <w:tcW w:w="960" w:type="dxa"/>
            <w:shd w:val="clear" w:color="auto" w:fill="auto"/>
            <w:hideMark/>
          </w:tcPr>
          <w:p w:rsidR="005A683B" w:rsidRPr="00E03AB9" w:rsidRDefault="005A683B" w:rsidP="005A683B">
            <w:pPr>
              <w:jc w:val="center"/>
              <w:rPr>
                <w:sz w:val="20"/>
              </w:rPr>
            </w:pPr>
            <w:r w:rsidRPr="00E03AB9">
              <w:rPr>
                <w:sz w:val="20"/>
              </w:rPr>
              <w:t>30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44,04</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11,95</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56,67</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ETBE</w:t>
            </w:r>
            <w:proofErr w:type="spellEnd"/>
            <w:r w:rsidRPr="00E03AB9">
              <w:rPr>
                <w:sz w:val="20"/>
              </w:rPr>
              <w:t xml:space="preserve"> T cent/l</w:t>
            </w:r>
          </w:p>
        </w:tc>
        <w:tc>
          <w:tcPr>
            <w:tcW w:w="960" w:type="dxa"/>
            <w:shd w:val="clear" w:color="auto" w:fill="auto"/>
            <w:hideMark/>
          </w:tcPr>
          <w:p w:rsidR="005A683B" w:rsidRPr="00E03AB9" w:rsidRDefault="005A683B" w:rsidP="005A683B">
            <w:pPr>
              <w:jc w:val="center"/>
              <w:rPr>
                <w:sz w:val="20"/>
              </w:rPr>
            </w:pPr>
            <w:r w:rsidRPr="00E03AB9">
              <w:rPr>
                <w:sz w:val="20"/>
              </w:rPr>
              <w:t>31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44,04</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9,24</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53,96</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TAEE</w:t>
            </w:r>
            <w:proofErr w:type="spellEnd"/>
            <w:r w:rsidRPr="00E03AB9">
              <w:rPr>
                <w:sz w:val="20"/>
              </w:rPr>
              <w:t xml:space="preserve"> cent/l</w:t>
            </w:r>
          </w:p>
        </w:tc>
        <w:tc>
          <w:tcPr>
            <w:tcW w:w="960" w:type="dxa"/>
            <w:shd w:val="clear" w:color="auto" w:fill="auto"/>
            <w:hideMark/>
          </w:tcPr>
          <w:p w:rsidR="005A683B" w:rsidRPr="00E03AB9" w:rsidRDefault="005A683B" w:rsidP="005A683B">
            <w:pPr>
              <w:jc w:val="center"/>
              <w:rPr>
                <w:sz w:val="20"/>
              </w:rPr>
            </w:pPr>
            <w:r w:rsidRPr="00E03AB9">
              <w:rPr>
                <w:sz w:val="20"/>
              </w:rPr>
              <w:t>32</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47,30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15,75</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63,73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TAEE</w:t>
            </w:r>
            <w:proofErr w:type="spellEnd"/>
            <w:r w:rsidRPr="00E03AB9">
              <w:rPr>
                <w:sz w:val="20"/>
              </w:rPr>
              <w:t xml:space="preserve"> R cent/l</w:t>
            </w:r>
          </w:p>
        </w:tc>
        <w:tc>
          <w:tcPr>
            <w:tcW w:w="960" w:type="dxa"/>
            <w:shd w:val="clear" w:color="auto" w:fill="auto"/>
            <w:hideMark/>
          </w:tcPr>
          <w:p w:rsidR="005A683B" w:rsidRPr="00E03AB9" w:rsidRDefault="005A683B" w:rsidP="005A683B">
            <w:pPr>
              <w:jc w:val="center"/>
              <w:rPr>
                <w:sz w:val="20"/>
              </w:rPr>
            </w:pPr>
            <w:r w:rsidRPr="00E03AB9">
              <w:rPr>
                <w:sz w:val="20"/>
              </w:rPr>
              <w:t>33</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47,30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13,46</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61,44</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TAEE</w:t>
            </w:r>
            <w:proofErr w:type="spellEnd"/>
            <w:r w:rsidRPr="00E03AB9">
              <w:rPr>
                <w:sz w:val="20"/>
              </w:rPr>
              <w:t xml:space="preserve"> T cent/l</w:t>
            </w:r>
          </w:p>
        </w:tc>
        <w:tc>
          <w:tcPr>
            <w:tcW w:w="960" w:type="dxa"/>
            <w:shd w:val="clear" w:color="auto" w:fill="auto"/>
            <w:hideMark/>
          </w:tcPr>
          <w:p w:rsidR="005A683B" w:rsidRPr="00E03AB9" w:rsidRDefault="005A683B" w:rsidP="005A683B">
            <w:pPr>
              <w:jc w:val="center"/>
              <w:rPr>
                <w:sz w:val="20"/>
              </w:rPr>
            </w:pPr>
            <w:r w:rsidRPr="00E03AB9">
              <w:rPr>
                <w:sz w:val="20"/>
              </w:rPr>
              <w:t>34</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47,30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11,18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59,16</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Biobensin cent/l</w:t>
            </w:r>
          </w:p>
        </w:tc>
        <w:tc>
          <w:tcPr>
            <w:tcW w:w="960" w:type="dxa"/>
            <w:shd w:val="clear" w:color="auto" w:fill="auto"/>
            <w:hideMark/>
          </w:tcPr>
          <w:p w:rsidR="005A683B" w:rsidRPr="00E03AB9" w:rsidRDefault="005A683B" w:rsidP="005A683B">
            <w:pPr>
              <w:jc w:val="center"/>
              <w:rPr>
                <w:sz w:val="20"/>
              </w:rPr>
            </w:pPr>
            <w:r w:rsidRPr="00E03AB9">
              <w:rPr>
                <w:sz w:val="20"/>
              </w:rPr>
              <w:t>38</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52,19</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17,38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70,25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Biobensin R cent/l</w:t>
            </w:r>
          </w:p>
        </w:tc>
        <w:tc>
          <w:tcPr>
            <w:tcW w:w="960" w:type="dxa"/>
            <w:shd w:val="clear" w:color="auto" w:fill="auto"/>
            <w:hideMark/>
          </w:tcPr>
          <w:p w:rsidR="005A683B" w:rsidRPr="00E03AB9" w:rsidRDefault="005A683B" w:rsidP="005A683B">
            <w:pPr>
              <w:jc w:val="center"/>
              <w:rPr>
                <w:sz w:val="20"/>
              </w:rPr>
            </w:pPr>
            <w:r w:rsidRPr="00E03AB9">
              <w:rPr>
                <w:sz w:val="20"/>
              </w:rPr>
              <w:t>39</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52,19</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8,69</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61,56</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Biobensin T cent/l</w:t>
            </w:r>
          </w:p>
        </w:tc>
        <w:tc>
          <w:tcPr>
            <w:tcW w:w="960" w:type="dxa"/>
            <w:shd w:val="clear" w:color="auto" w:fill="auto"/>
            <w:hideMark/>
          </w:tcPr>
          <w:p w:rsidR="005A683B" w:rsidRPr="00E03AB9" w:rsidRDefault="005A683B" w:rsidP="005A683B">
            <w:pPr>
              <w:jc w:val="center"/>
              <w:rPr>
                <w:sz w:val="20"/>
              </w:rPr>
            </w:pPr>
            <w:r w:rsidRPr="00E03AB9">
              <w:rPr>
                <w:sz w:val="20"/>
              </w:rPr>
              <w:t>40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52,19</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52,87</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Etanoldiesel cent/l</w:t>
            </w:r>
          </w:p>
        </w:tc>
        <w:tc>
          <w:tcPr>
            <w:tcW w:w="960" w:type="dxa"/>
            <w:shd w:val="clear" w:color="auto" w:fill="auto"/>
            <w:hideMark/>
          </w:tcPr>
          <w:p w:rsidR="005A683B" w:rsidRPr="00E03AB9" w:rsidRDefault="005A683B" w:rsidP="005A683B">
            <w:pPr>
              <w:jc w:val="center"/>
              <w:rPr>
                <w:sz w:val="20"/>
              </w:rPr>
            </w:pPr>
            <w:r w:rsidRPr="00E03AB9">
              <w:rPr>
                <w:sz w:val="20"/>
              </w:rPr>
              <w:t>47</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15,18</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11,65</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27,18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Etanoldiesel R cent/l</w:t>
            </w:r>
          </w:p>
        </w:tc>
        <w:tc>
          <w:tcPr>
            <w:tcW w:w="960" w:type="dxa"/>
            <w:shd w:val="clear" w:color="auto" w:fill="auto"/>
            <w:hideMark/>
          </w:tcPr>
          <w:p w:rsidR="005A683B" w:rsidRPr="00E03AB9" w:rsidRDefault="005A683B" w:rsidP="005A683B">
            <w:pPr>
              <w:jc w:val="center"/>
              <w:rPr>
                <w:sz w:val="20"/>
              </w:rPr>
            </w:pPr>
            <w:r w:rsidRPr="00E03AB9">
              <w:rPr>
                <w:sz w:val="20"/>
              </w:rPr>
              <w:t>48</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15,18</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6,40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21,93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Etanoldiesel T cent/l</w:t>
            </w:r>
          </w:p>
        </w:tc>
        <w:tc>
          <w:tcPr>
            <w:tcW w:w="960" w:type="dxa"/>
            <w:shd w:val="clear" w:color="auto" w:fill="auto"/>
            <w:hideMark/>
          </w:tcPr>
          <w:p w:rsidR="005A683B" w:rsidRPr="00E03AB9" w:rsidRDefault="005A683B" w:rsidP="005A683B">
            <w:pPr>
              <w:jc w:val="center"/>
              <w:rPr>
                <w:sz w:val="20"/>
              </w:rPr>
            </w:pPr>
            <w:r w:rsidRPr="00E03AB9">
              <w:rPr>
                <w:sz w:val="20"/>
              </w:rPr>
              <w:t>49</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15,18</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1,15</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16,68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Dieselolja cent/l</w:t>
            </w:r>
          </w:p>
        </w:tc>
        <w:tc>
          <w:tcPr>
            <w:tcW w:w="960" w:type="dxa"/>
            <w:shd w:val="clear" w:color="auto" w:fill="auto"/>
            <w:hideMark/>
          </w:tcPr>
          <w:p w:rsidR="005A683B" w:rsidRPr="00E03AB9" w:rsidRDefault="005A683B" w:rsidP="005A683B">
            <w:pPr>
              <w:jc w:val="center"/>
              <w:rPr>
                <w:sz w:val="20"/>
              </w:rPr>
            </w:pPr>
            <w:r w:rsidRPr="00E03AB9">
              <w:rPr>
                <w:sz w:val="20"/>
              </w:rPr>
              <w:t>50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32,77</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19,90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53,02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lastRenderedPageBreak/>
              <w:t>Dieselolja para cent/l</w:t>
            </w:r>
          </w:p>
        </w:tc>
        <w:tc>
          <w:tcPr>
            <w:tcW w:w="960" w:type="dxa"/>
            <w:shd w:val="clear" w:color="auto" w:fill="auto"/>
            <w:hideMark/>
          </w:tcPr>
          <w:p w:rsidR="005A683B" w:rsidRPr="00E03AB9" w:rsidRDefault="005A683B" w:rsidP="005A683B">
            <w:pPr>
              <w:jc w:val="center"/>
              <w:rPr>
                <w:sz w:val="20"/>
              </w:rPr>
            </w:pPr>
            <w:r w:rsidRPr="00E03AB9">
              <w:rPr>
                <w:sz w:val="20"/>
              </w:rPr>
              <w:t>51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25,95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18,79</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45,09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cent/l</w:t>
            </w:r>
          </w:p>
        </w:tc>
        <w:tc>
          <w:tcPr>
            <w:tcW w:w="960" w:type="dxa"/>
            <w:shd w:val="clear" w:color="auto" w:fill="auto"/>
            <w:hideMark/>
          </w:tcPr>
          <w:p w:rsidR="005A683B" w:rsidRPr="00E03AB9" w:rsidRDefault="005A683B" w:rsidP="005A683B">
            <w:pPr>
              <w:jc w:val="center"/>
              <w:rPr>
                <w:sz w:val="20"/>
              </w:rPr>
            </w:pPr>
            <w:r w:rsidRPr="00E03AB9">
              <w:rPr>
                <w:sz w:val="20"/>
              </w:rPr>
              <w:t>52</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30,04</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18,24</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48,63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R cent/l</w:t>
            </w:r>
          </w:p>
        </w:tc>
        <w:tc>
          <w:tcPr>
            <w:tcW w:w="960" w:type="dxa"/>
            <w:shd w:val="clear" w:color="auto" w:fill="auto"/>
            <w:hideMark/>
          </w:tcPr>
          <w:p w:rsidR="005A683B" w:rsidRPr="00E03AB9" w:rsidRDefault="005A683B" w:rsidP="005A683B">
            <w:pPr>
              <w:jc w:val="center"/>
              <w:rPr>
                <w:sz w:val="20"/>
              </w:rPr>
            </w:pPr>
            <w:r w:rsidRPr="00E03AB9">
              <w:rPr>
                <w:sz w:val="20"/>
              </w:rPr>
              <w:t>53</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30,04</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9,12</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39,51</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T cent/l</w:t>
            </w:r>
          </w:p>
        </w:tc>
        <w:tc>
          <w:tcPr>
            <w:tcW w:w="960" w:type="dxa"/>
            <w:shd w:val="clear" w:color="auto" w:fill="auto"/>
            <w:hideMark/>
          </w:tcPr>
          <w:p w:rsidR="005A683B" w:rsidRPr="00E03AB9" w:rsidRDefault="005A683B" w:rsidP="005A683B">
            <w:pPr>
              <w:jc w:val="center"/>
              <w:rPr>
                <w:sz w:val="20"/>
              </w:rPr>
            </w:pPr>
            <w:r w:rsidRPr="00E03AB9">
              <w:rPr>
                <w:sz w:val="20"/>
              </w:rPr>
              <w:t>54</w:t>
            </w:r>
          </w:p>
        </w:tc>
        <w:tc>
          <w:tcPr>
            <w:tcW w:w="1178" w:type="dxa"/>
            <w:shd w:val="clear" w:color="auto" w:fill="auto"/>
            <w:hideMark/>
          </w:tcPr>
          <w:p w:rsidR="005A683B" w:rsidRPr="00D66A70" w:rsidRDefault="005A683B" w:rsidP="005A683B">
            <w:pPr>
              <w:jc w:val="center"/>
              <w:rPr>
                <w:sz w:val="20"/>
                <w:lang w:eastAsia="fi-FI"/>
              </w:rPr>
            </w:pPr>
            <w:r w:rsidRPr="00D66A70">
              <w:rPr>
                <w:sz w:val="20"/>
                <w:lang w:eastAsia="fi-FI"/>
              </w:rPr>
              <w:t>30,04</w:t>
            </w:r>
          </w:p>
        </w:tc>
        <w:tc>
          <w:tcPr>
            <w:tcW w:w="1582" w:type="dxa"/>
            <w:shd w:val="clear" w:color="auto" w:fill="auto"/>
            <w:hideMark/>
          </w:tcPr>
          <w:p w:rsidR="005A683B" w:rsidRPr="00D66A70" w:rsidRDefault="005A683B" w:rsidP="005A683B">
            <w:pPr>
              <w:jc w:val="center"/>
              <w:rPr>
                <w:sz w:val="20"/>
                <w:lang w:eastAsia="fi-FI"/>
              </w:rPr>
            </w:pPr>
            <w:r w:rsidRPr="00D66A70">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sidRPr="00D66A70">
              <w:rPr>
                <w:sz w:val="20"/>
                <w:lang w:eastAsia="fi-FI"/>
              </w:rPr>
              <w:t>30,39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P cent/l</w:t>
            </w:r>
          </w:p>
        </w:tc>
        <w:tc>
          <w:tcPr>
            <w:tcW w:w="960" w:type="dxa"/>
            <w:shd w:val="clear" w:color="auto" w:fill="auto"/>
            <w:hideMark/>
          </w:tcPr>
          <w:p w:rsidR="005A683B" w:rsidRPr="00E03AB9" w:rsidRDefault="005A683B" w:rsidP="005A683B">
            <w:pPr>
              <w:jc w:val="center"/>
              <w:rPr>
                <w:sz w:val="20"/>
              </w:rPr>
            </w:pPr>
            <w:r w:rsidRPr="00E03AB9">
              <w:rPr>
                <w:sz w:val="20"/>
              </w:rPr>
              <w:t>55</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25,95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18,79</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45,09</w:t>
            </w:r>
          </w:p>
        </w:tc>
      </w:tr>
      <w:tr w:rsidR="005A683B" w:rsidRPr="00E03AB9" w:rsidTr="005A683B">
        <w:trPr>
          <w:trHeight w:val="260"/>
        </w:trPr>
        <w:tc>
          <w:tcPr>
            <w:tcW w:w="2540" w:type="dxa"/>
            <w:shd w:val="clear" w:color="auto" w:fill="auto"/>
            <w:hideMark/>
          </w:tcPr>
          <w:p w:rsidR="005A683B" w:rsidRPr="00E03AB9" w:rsidRDefault="005A683B" w:rsidP="005A683B">
            <w:pPr>
              <w:rPr>
                <w:sz w:val="20"/>
                <w:lang w:val="en-US"/>
              </w:rPr>
            </w:pPr>
            <w:proofErr w:type="spellStart"/>
            <w:r w:rsidRPr="00E03AB9">
              <w:rPr>
                <w:sz w:val="20"/>
                <w:lang w:val="en-US"/>
              </w:rPr>
              <w:t>Biodieselolja</w:t>
            </w:r>
            <w:proofErr w:type="spellEnd"/>
            <w:r w:rsidRPr="00E03AB9">
              <w:rPr>
                <w:sz w:val="20"/>
                <w:lang w:val="en-US"/>
              </w:rPr>
              <w:t xml:space="preserve"> P R cent/l</w:t>
            </w:r>
          </w:p>
        </w:tc>
        <w:tc>
          <w:tcPr>
            <w:tcW w:w="960" w:type="dxa"/>
            <w:shd w:val="clear" w:color="auto" w:fill="auto"/>
            <w:hideMark/>
          </w:tcPr>
          <w:p w:rsidR="005A683B" w:rsidRPr="00E03AB9" w:rsidRDefault="005A683B" w:rsidP="005A683B">
            <w:pPr>
              <w:jc w:val="center"/>
              <w:rPr>
                <w:sz w:val="20"/>
              </w:rPr>
            </w:pPr>
            <w:r w:rsidRPr="00E03AB9">
              <w:rPr>
                <w:sz w:val="20"/>
              </w:rPr>
              <w:t>56</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25,95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9,40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35,70</w:t>
            </w:r>
          </w:p>
        </w:tc>
      </w:tr>
      <w:tr w:rsidR="005A683B" w:rsidRPr="00E03AB9" w:rsidTr="005A683B">
        <w:trPr>
          <w:trHeight w:val="260"/>
        </w:trPr>
        <w:tc>
          <w:tcPr>
            <w:tcW w:w="2540" w:type="dxa"/>
            <w:shd w:val="clear" w:color="auto" w:fill="auto"/>
            <w:hideMark/>
          </w:tcPr>
          <w:p w:rsidR="005A683B" w:rsidRPr="00E03AB9" w:rsidRDefault="005A683B" w:rsidP="005A683B">
            <w:pPr>
              <w:rPr>
                <w:sz w:val="20"/>
                <w:lang w:val="en-US"/>
              </w:rPr>
            </w:pPr>
            <w:proofErr w:type="spellStart"/>
            <w:r w:rsidRPr="00E03AB9">
              <w:rPr>
                <w:sz w:val="20"/>
                <w:lang w:val="en-US"/>
              </w:rPr>
              <w:t>Biodieselolja</w:t>
            </w:r>
            <w:proofErr w:type="spellEnd"/>
            <w:r w:rsidRPr="00E03AB9">
              <w:rPr>
                <w:sz w:val="20"/>
                <w:lang w:val="en-US"/>
              </w:rPr>
              <w:t xml:space="preserve"> P T cent/l</w:t>
            </w:r>
          </w:p>
        </w:tc>
        <w:tc>
          <w:tcPr>
            <w:tcW w:w="960" w:type="dxa"/>
            <w:shd w:val="clear" w:color="auto" w:fill="auto"/>
            <w:hideMark/>
          </w:tcPr>
          <w:p w:rsidR="005A683B" w:rsidRPr="00E03AB9" w:rsidRDefault="005A683B" w:rsidP="005A683B">
            <w:pPr>
              <w:jc w:val="center"/>
              <w:rPr>
                <w:sz w:val="20"/>
              </w:rPr>
            </w:pPr>
            <w:r w:rsidRPr="00E03AB9">
              <w:rPr>
                <w:sz w:val="20"/>
              </w:rPr>
              <w:t>57</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25,95</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26,30</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Lätt brännolja cent/l</w:t>
            </w:r>
          </w:p>
        </w:tc>
        <w:tc>
          <w:tcPr>
            <w:tcW w:w="960" w:type="dxa"/>
            <w:shd w:val="clear" w:color="auto" w:fill="auto"/>
            <w:hideMark/>
          </w:tcPr>
          <w:p w:rsidR="005A683B" w:rsidRPr="00E03AB9" w:rsidRDefault="005A683B" w:rsidP="005A683B">
            <w:pPr>
              <w:jc w:val="center"/>
              <w:rPr>
                <w:sz w:val="20"/>
              </w:rPr>
            </w:pPr>
            <w:r w:rsidRPr="00E03AB9">
              <w:rPr>
                <w:sz w:val="20"/>
              </w:rPr>
              <w:t>60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10,28</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16,90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27,53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Lätt brännolja, svavelfri cent/l</w:t>
            </w:r>
          </w:p>
        </w:tc>
        <w:tc>
          <w:tcPr>
            <w:tcW w:w="960" w:type="dxa"/>
            <w:shd w:val="clear" w:color="auto" w:fill="auto"/>
            <w:hideMark/>
          </w:tcPr>
          <w:p w:rsidR="005A683B" w:rsidRPr="00E03AB9" w:rsidRDefault="005A683B" w:rsidP="005A683B">
            <w:pPr>
              <w:jc w:val="center"/>
              <w:rPr>
                <w:sz w:val="20"/>
              </w:rPr>
            </w:pPr>
            <w:r w:rsidRPr="00E03AB9">
              <w:rPr>
                <w:sz w:val="20"/>
              </w:rPr>
              <w:t>61</w:t>
            </w:r>
          </w:p>
        </w:tc>
        <w:tc>
          <w:tcPr>
            <w:tcW w:w="1178" w:type="dxa"/>
            <w:shd w:val="clear" w:color="auto" w:fill="auto"/>
            <w:hideMark/>
          </w:tcPr>
          <w:p w:rsidR="005A683B" w:rsidRPr="00D66A70" w:rsidRDefault="005A683B" w:rsidP="005A683B">
            <w:pPr>
              <w:jc w:val="center"/>
              <w:rPr>
                <w:sz w:val="20"/>
                <w:lang w:eastAsia="fi-FI"/>
              </w:rPr>
            </w:pPr>
            <w:r w:rsidRPr="00D66A70">
              <w:rPr>
                <w:sz w:val="20"/>
                <w:lang w:eastAsia="fi-FI"/>
              </w:rPr>
              <w:t>7,6</w:t>
            </w:r>
            <w:r>
              <w:rPr>
                <w:sz w:val="20"/>
                <w:lang w:eastAsia="fi-FI"/>
              </w:rPr>
              <w:t>3</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16,90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24,88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Biobrännolja cent/l</w:t>
            </w:r>
          </w:p>
        </w:tc>
        <w:tc>
          <w:tcPr>
            <w:tcW w:w="960" w:type="dxa"/>
            <w:shd w:val="clear" w:color="auto" w:fill="auto"/>
            <w:hideMark/>
          </w:tcPr>
          <w:p w:rsidR="005A683B" w:rsidRPr="00E03AB9" w:rsidRDefault="005A683B" w:rsidP="005A683B">
            <w:pPr>
              <w:jc w:val="center"/>
              <w:rPr>
                <w:sz w:val="20"/>
              </w:rPr>
            </w:pPr>
            <w:r w:rsidRPr="00E03AB9">
              <w:rPr>
                <w:sz w:val="20"/>
              </w:rPr>
              <w:t>62</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7,63</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16,90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24,88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Biobrännolja R cent/l</w:t>
            </w:r>
          </w:p>
        </w:tc>
        <w:tc>
          <w:tcPr>
            <w:tcW w:w="960" w:type="dxa"/>
            <w:shd w:val="clear" w:color="auto" w:fill="auto"/>
            <w:hideMark/>
          </w:tcPr>
          <w:p w:rsidR="005A683B" w:rsidRPr="00E03AB9" w:rsidRDefault="005A683B" w:rsidP="005A683B">
            <w:pPr>
              <w:jc w:val="center"/>
              <w:rPr>
                <w:sz w:val="20"/>
              </w:rPr>
            </w:pPr>
            <w:r w:rsidRPr="00E03AB9">
              <w:rPr>
                <w:sz w:val="20"/>
              </w:rPr>
              <w:t>63</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7,63</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8,45</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16,43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Biobrännolja T cent/l</w:t>
            </w:r>
          </w:p>
        </w:tc>
        <w:tc>
          <w:tcPr>
            <w:tcW w:w="960" w:type="dxa"/>
            <w:shd w:val="clear" w:color="auto" w:fill="auto"/>
            <w:hideMark/>
          </w:tcPr>
          <w:p w:rsidR="005A683B" w:rsidRPr="00E03AB9" w:rsidRDefault="005A683B" w:rsidP="005A683B">
            <w:pPr>
              <w:jc w:val="center"/>
              <w:rPr>
                <w:sz w:val="20"/>
              </w:rPr>
            </w:pPr>
            <w:r w:rsidRPr="00E03AB9">
              <w:rPr>
                <w:sz w:val="20"/>
              </w:rPr>
              <w:t>64</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7,63</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7,98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Tung brännolja cent/kg</w:t>
            </w:r>
          </w:p>
        </w:tc>
        <w:tc>
          <w:tcPr>
            <w:tcW w:w="960" w:type="dxa"/>
            <w:shd w:val="clear" w:color="auto" w:fill="auto"/>
            <w:hideMark/>
          </w:tcPr>
          <w:p w:rsidR="005A683B" w:rsidRPr="00E03AB9" w:rsidRDefault="005A683B" w:rsidP="005A683B">
            <w:pPr>
              <w:jc w:val="center"/>
              <w:rPr>
                <w:sz w:val="20"/>
              </w:rPr>
            </w:pPr>
            <w:r w:rsidRPr="00E03AB9">
              <w:rPr>
                <w:sz w:val="20"/>
              </w:rPr>
              <w:t>71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8,56</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18,67</w:t>
            </w:r>
          </w:p>
        </w:tc>
        <w:tc>
          <w:tcPr>
            <w:tcW w:w="1160" w:type="dxa"/>
            <w:shd w:val="clear" w:color="auto" w:fill="auto"/>
            <w:hideMark/>
          </w:tcPr>
          <w:p w:rsidR="005A683B" w:rsidRPr="00E03AB9" w:rsidRDefault="005A683B" w:rsidP="005A683B">
            <w:pPr>
              <w:jc w:val="center"/>
              <w:rPr>
                <w:sz w:val="20"/>
              </w:rPr>
            </w:pPr>
            <w:r w:rsidRPr="00E03AB9">
              <w:rPr>
                <w:sz w:val="20"/>
              </w:rPr>
              <w:t>0,28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27,51</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Flygpetroleum cent/l</w:t>
            </w:r>
          </w:p>
        </w:tc>
        <w:tc>
          <w:tcPr>
            <w:tcW w:w="960" w:type="dxa"/>
            <w:shd w:val="clear" w:color="auto" w:fill="auto"/>
            <w:hideMark/>
          </w:tcPr>
          <w:p w:rsidR="005A683B" w:rsidRPr="00E03AB9" w:rsidRDefault="005A683B" w:rsidP="005A683B">
            <w:pPr>
              <w:jc w:val="center"/>
              <w:rPr>
                <w:sz w:val="20"/>
              </w:rPr>
            </w:pPr>
            <w:r w:rsidRPr="00E03AB9">
              <w:rPr>
                <w:sz w:val="20"/>
              </w:rPr>
              <w:t>81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56,76</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19,24</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D66A70" w:rsidRDefault="005A683B" w:rsidP="005A683B">
            <w:pPr>
              <w:jc w:val="center"/>
              <w:rPr>
                <w:sz w:val="20"/>
                <w:lang w:eastAsia="fi-FI"/>
              </w:rPr>
            </w:pPr>
            <w:r>
              <w:rPr>
                <w:sz w:val="20"/>
                <w:lang w:eastAsia="fi-FI"/>
              </w:rPr>
              <w:t>76,35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Flygbensin cent/l</w:t>
            </w:r>
          </w:p>
        </w:tc>
        <w:tc>
          <w:tcPr>
            <w:tcW w:w="960" w:type="dxa"/>
            <w:shd w:val="clear" w:color="auto" w:fill="auto"/>
            <w:hideMark/>
          </w:tcPr>
          <w:p w:rsidR="005A683B" w:rsidRPr="00E03AB9" w:rsidRDefault="005A683B" w:rsidP="005A683B">
            <w:pPr>
              <w:jc w:val="center"/>
              <w:rPr>
                <w:sz w:val="20"/>
              </w:rPr>
            </w:pPr>
            <w:r w:rsidRPr="00E03AB9">
              <w:rPr>
                <w:sz w:val="20"/>
              </w:rPr>
              <w:t>91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51,70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17,21</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69,59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Metanol cent/l</w:t>
            </w:r>
          </w:p>
        </w:tc>
        <w:tc>
          <w:tcPr>
            <w:tcW w:w="960" w:type="dxa"/>
            <w:shd w:val="clear" w:color="auto" w:fill="auto"/>
            <w:hideMark/>
          </w:tcPr>
          <w:p w:rsidR="005A683B" w:rsidRPr="00E03AB9" w:rsidRDefault="005A683B" w:rsidP="005A683B">
            <w:pPr>
              <w:jc w:val="center"/>
              <w:rPr>
                <w:sz w:val="20"/>
              </w:rPr>
            </w:pPr>
            <w:r w:rsidRPr="00E03AB9">
              <w:rPr>
                <w:sz w:val="20"/>
              </w:rPr>
              <w:t>100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26,10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8,69</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35,47</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Metanol R cent/l</w:t>
            </w:r>
          </w:p>
        </w:tc>
        <w:tc>
          <w:tcPr>
            <w:tcW w:w="960" w:type="dxa"/>
            <w:shd w:val="clear" w:color="auto" w:fill="auto"/>
            <w:hideMark/>
          </w:tcPr>
          <w:p w:rsidR="005A683B" w:rsidRPr="00E03AB9" w:rsidRDefault="005A683B" w:rsidP="005A683B">
            <w:pPr>
              <w:jc w:val="center"/>
              <w:rPr>
                <w:sz w:val="20"/>
              </w:rPr>
            </w:pPr>
            <w:r w:rsidRPr="00E03AB9">
              <w:rPr>
                <w:sz w:val="20"/>
              </w:rPr>
              <w:t>101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26,10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4,34</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31,12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Metanol T cent/l</w:t>
            </w:r>
          </w:p>
        </w:tc>
        <w:tc>
          <w:tcPr>
            <w:tcW w:w="960" w:type="dxa"/>
            <w:shd w:val="clear" w:color="auto" w:fill="auto"/>
            <w:hideMark/>
          </w:tcPr>
          <w:p w:rsidR="005A683B" w:rsidRPr="00E03AB9" w:rsidRDefault="005A683B" w:rsidP="005A683B">
            <w:pPr>
              <w:jc w:val="center"/>
              <w:rPr>
                <w:sz w:val="20"/>
              </w:rPr>
            </w:pPr>
            <w:r w:rsidRPr="00E03AB9">
              <w:rPr>
                <w:sz w:val="20"/>
              </w:rPr>
              <w:t>102</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26,10</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26,78</w:t>
            </w:r>
          </w:p>
        </w:tc>
      </w:tr>
      <w:tr w:rsidR="005A683B" w:rsidRPr="00E03AB9" w:rsidTr="005A683B">
        <w:trPr>
          <w:trHeight w:val="26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Flytgas</w:t>
            </w:r>
            <w:proofErr w:type="spellEnd"/>
            <w:r w:rsidRPr="00E03AB9">
              <w:rPr>
                <w:sz w:val="20"/>
              </w:rPr>
              <w:t xml:space="preserve"> cent/kg</w:t>
            </w:r>
          </w:p>
        </w:tc>
        <w:tc>
          <w:tcPr>
            <w:tcW w:w="960" w:type="dxa"/>
            <w:shd w:val="clear" w:color="auto" w:fill="auto"/>
            <w:hideMark/>
          </w:tcPr>
          <w:p w:rsidR="005A683B" w:rsidRPr="00E03AB9" w:rsidRDefault="005A683B" w:rsidP="005A683B">
            <w:pPr>
              <w:jc w:val="center"/>
              <w:rPr>
                <w:sz w:val="20"/>
              </w:rPr>
            </w:pPr>
            <w:r w:rsidRPr="00E03AB9">
              <w:rPr>
                <w:sz w:val="20"/>
              </w:rPr>
              <w:t>110</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9,81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18,09</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28,01</w:t>
            </w:r>
          </w:p>
        </w:tc>
      </w:tr>
      <w:tr w:rsidR="005A683B" w:rsidRPr="00E03AB9" w:rsidTr="005A683B">
        <w:trPr>
          <w:trHeight w:val="26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Bioflytgas</w:t>
            </w:r>
            <w:proofErr w:type="spellEnd"/>
            <w:r w:rsidRPr="00E03AB9">
              <w:rPr>
                <w:sz w:val="20"/>
              </w:rPr>
              <w:t xml:space="preserve"> cent/kg</w:t>
            </w:r>
          </w:p>
        </w:tc>
        <w:tc>
          <w:tcPr>
            <w:tcW w:w="960" w:type="dxa"/>
            <w:shd w:val="clear" w:color="auto" w:fill="auto"/>
            <w:hideMark/>
          </w:tcPr>
          <w:p w:rsidR="005A683B" w:rsidRPr="00E03AB9" w:rsidRDefault="005A683B" w:rsidP="005A683B">
            <w:pPr>
              <w:jc w:val="center"/>
              <w:rPr>
                <w:sz w:val="20"/>
              </w:rPr>
            </w:pPr>
            <w:r w:rsidRPr="00E03AB9">
              <w:rPr>
                <w:sz w:val="20"/>
              </w:rPr>
              <w:t>111</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9,81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18,09</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D66A70" w:rsidRDefault="005A683B" w:rsidP="005A683B">
            <w:pPr>
              <w:jc w:val="center"/>
              <w:rPr>
                <w:sz w:val="20"/>
                <w:lang w:eastAsia="fi-FI"/>
              </w:rPr>
            </w:pPr>
            <w:r>
              <w:rPr>
                <w:sz w:val="20"/>
                <w:lang w:eastAsia="fi-FI"/>
              </w:rPr>
              <w:t>28,01</w:t>
            </w:r>
          </w:p>
        </w:tc>
      </w:tr>
      <w:tr w:rsidR="005A683B" w:rsidRPr="00E03AB9" w:rsidTr="005A683B">
        <w:trPr>
          <w:trHeight w:val="26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Bioflytgas</w:t>
            </w:r>
            <w:proofErr w:type="spellEnd"/>
            <w:r w:rsidRPr="00E03AB9">
              <w:rPr>
                <w:sz w:val="20"/>
              </w:rPr>
              <w:t xml:space="preserve"> R cent/kg</w:t>
            </w:r>
          </w:p>
        </w:tc>
        <w:tc>
          <w:tcPr>
            <w:tcW w:w="960" w:type="dxa"/>
            <w:shd w:val="clear" w:color="auto" w:fill="auto"/>
            <w:hideMark/>
          </w:tcPr>
          <w:p w:rsidR="005A683B" w:rsidRPr="00E03AB9" w:rsidRDefault="005A683B" w:rsidP="005A683B">
            <w:pPr>
              <w:jc w:val="center"/>
              <w:rPr>
                <w:sz w:val="20"/>
              </w:rPr>
            </w:pPr>
            <w:r w:rsidRPr="00E03AB9">
              <w:rPr>
                <w:sz w:val="20"/>
              </w:rPr>
              <w:t>112</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9,81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9,04</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D66A70" w:rsidRDefault="005A683B" w:rsidP="005A683B">
            <w:pPr>
              <w:jc w:val="center"/>
              <w:rPr>
                <w:sz w:val="20"/>
                <w:lang w:eastAsia="fi-FI"/>
              </w:rPr>
            </w:pPr>
            <w:r>
              <w:rPr>
                <w:sz w:val="20"/>
                <w:lang w:eastAsia="fi-FI"/>
              </w:rPr>
              <w:t>18,96</w:t>
            </w:r>
          </w:p>
        </w:tc>
      </w:tr>
      <w:tr w:rsidR="005A683B" w:rsidRPr="00E03AB9" w:rsidTr="005A683B">
        <w:trPr>
          <w:trHeight w:val="27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Bioflytgas</w:t>
            </w:r>
            <w:proofErr w:type="spellEnd"/>
            <w:r w:rsidRPr="00E03AB9">
              <w:rPr>
                <w:sz w:val="20"/>
              </w:rPr>
              <w:t xml:space="preserve"> T cent/kg</w:t>
            </w:r>
          </w:p>
        </w:tc>
        <w:tc>
          <w:tcPr>
            <w:tcW w:w="960" w:type="dxa"/>
            <w:shd w:val="clear" w:color="auto" w:fill="auto"/>
            <w:hideMark/>
          </w:tcPr>
          <w:p w:rsidR="005A683B" w:rsidRPr="00E03AB9" w:rsidRDefault="005A683B" w:rsidP="005A683B">
            <w:pPr>
              <w:jc w:val="center"/>
              <w:rPr>
                <w:sz w:val="20"/>
              </w:rPr>
            </w:pPr>
            <w:r w:rsidRPr="00E03AB9">
              <w:rPr>
                <w:sz w:val="20"/>
              </w:rPr>
              <w:t>113</w:t>
            </w:r>
          </w:p>
        </w:tc>
        <w:tc>
          <w:tcPr>
            <w:tcW w:w="1178" w:type="dxa"/>
            <w:shd w:val="clear" w:color="auto" w:fill="auto"/>
            <w:hideMark/>
          </w:tcPr>
          <w:p w:rsidR="005A683B" w:rsidRPr="00D66A70" w:rsidRDefault="005A683B" w:rsidP="005A683B">
            <w:pPr>
              <w:jc w:val="center"/>
              <w:rPr>
                <w:sz w:val="20"/>
                <w:lang w:eastAsia="fi-FI"/>
              </w:rPr>
            </w:pPr>
            <w:r>
              <w:rPr>
                <w:sz w:val="20"/>
                <w:lang w:eastAsia="fi-FI"/>
              </w:rPr>
              <w:t>9,81</w:t>
            </w:r>
          </w:p>
        </w:tc>
        <w:tc>
          <w:tcPr>
            <w:tcW w:w="1582" w:type="dxa"/>
            <w:shd w:val="clear" w:color="auto" w:fill="auto"/>
            <w:hideMark/>
          </w:tcPr>
          <w:p w:rsidR="005A683B" w:rsidRPr="00D66A70" w:rsidRDefault="005A683B" w:rsidP="005A683B">
            <w:pPr>
              <w:jc w:val="center"/>
              <w:rPr>
                <w:sz w:val="20"/>
                <w:lang w:eastAsia="fi-FI"/>
              </w:rPr>
            </w:pPr>
            <w:r>
              <w:rPr>
                <w:sz w:val="20"/>
                <w:lang w:eastAsia="fi-FI"/>
              </w:rPr>
              <w:t>0,00</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D66A70" w:rsidRDefault="005A683B" w:rsidP="005A683B">
            <w:pPr>
              <w:jc w:val="center"/>
              <w:rPr>
                <w:sz w:val="20"/>
                <w:lang w:eastAsia="fi-FI"/>
              </w:rPr>
            </w:pPr>
            <w:r>
              <w:rPr>
                <w:sz w:val="20"/>
                <w:lang w:eastAsia="fi-FI"/>
              </w:rPr>
              <w:t>9,92</w:t>
            </w:r>
          </w:p>
        </w:tc>
      </w:tr>
    </w:tbl>
    <w:p w:rsidR="00093653" w:rsidRDefault="00093653" w:rsidP="00093653">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5A683B" w:rsidTr="005A683B">
        <w:tc>
          <w:tcPr>
            <w:tcW w:w="4168" w:type="dxa"/>
            <w:shd w:val="clear" w:color="auto" w:fill="auto"/>
          </w:tcPr>
          <w:p w:rsidR="005A683B" w:rsidRPr="005A683B" w:rsidRDefault="005A683B" w:rsidP="00093653">
            <w:pPr>
              <w:pStyle w:val="LLNormaali"/>
            </w:pPr>
          </w:p>
        </w:tc>
        <w:tc>
          <w:tcPr>
            <w:tcW w:w="4168" w:type="dxa"/>
            <w:shd w:val="clear" w:color="auto" w:fill="auto"/>
          </w:tcPr>
          <w:p w:rsidR="005A683B" w:rsidRPr="005A683B" w:rsidRDefault="005A683B" w:rsidP="00093653">
            <w:pPr>
              <w:pStyle w:val="LLNormaali"/>
              <w:rPr>
                <w:i/>
              </w:rPr>
            </w:pPr>
            <w:r w:rsidRPr="005A683B">
              <w:rPr>
                <w:i/>
              </w:rPr>
              <w:t>Föreslagen lydelse</w:t>
            </w:r>
          </w:p>
        </w:tc>
      </w:tr>
    </w:tbl>
    <w:p w:rsidR="005A683B" w:rsidRDefault="005A683B" w:rsidP="00093653">
      <w:pPr>
        <w:pStyle w:val="LLNormaali"/>
      </w:pPr>
    </w:p>
    <w:tbl>
      <w:tblPr>
        <w:tblW w:w="8380" w:type="dxa"/>
        <w:tblCellMar>
          <w:left w:w="70" w:type="dxa"/>
          <w:right w:w="70" w:type="dxa"/>
        </w:tblCellMar>
        <w:tblLook w:val="04A0" w:firstRow="1" w:lastRow="0" w:firstColumn="1" w:lastColumn="0" w:noHBand="0" w:noVBand="1"/>
      </w:tblPr>
      <w:tblGrid>
        <w:gridCol w:w="2540"/>
        <w:gridCol w:w="960"/>
        <w:gridCol w:w="1178"/>
        <w:gridCol w:w="1582"/>
        <w:gridCol w:w="1160"/>
        <w:gridCol w:w="960"/>
      </w:tblGrid>
      <w:tr w:rsidR="005A683B" w:rsidRPr="00E03AB9" w:rsidTr="005A683B">
        <w:trPr>
          <w:trHeight w:val="790"/>
        </w:trPr>
        <w:tc>
          <w:tcPr>
            <w:tcW w:w="8380" w:type="dxa"/>
            <w:gridSpan w:val="6"/>
            <w:shd w:val="clear" w:color="auto" w:fill="auto"/>
            <w:vAlign w:val="bottom"/>
            <w:hideMark/>
          </w:tcPr>
          <w:p w:rsidR="005A683B" w:rsidRPr="00E03AB9" w:rsidRDefault="005A683B" w:rsidP="005A683B">
            <w:pPr>
              <w:jc w:val="center"/>
              <w:rPr>
                <w:b/>
                <w:bCs/>
                <w:sz w:val="22"/>
                <w:szCs w:val="22"/>
              </w:rPr>
            </w:pPr>
            <w:r w:rsidRPr="00E03AB9">
              <w:rPr>
                <w:b/>
                <w:bCs/>
                <w:sz w:val="22"/>
                <w:szCs w:val="22"/>
              </w:rPr>
              <w:t>SKATTETABELL</w:t>
            </w:r>
          </w:p>
        </w:tc>
      </w:tr>
      <w:tr w:rsidR="005A683B" w:rsidRPr="00E03AB9" w:rsidTr="005A683B">
        <w:trPr>
          <w:trHeight w:val="260"/>
        </w:trPr>
        <w:tc>
          <w:tcPr>
            <w:tcW w:w="2540" w:type="dxa"/>
            <w:vMerge w:val="restart"/>
            <w:shd w:val="clear" w:color="auto" w:fill="auto"/>
            <w:hideMark/>
          </w:tcPr>
          <w:p w:rsidR="005A683B" w:rsidRPr="00E03AB9" w:rsidRDefault="005A683B" w:rsidP="005A683B">
            <w:pPr>
              <w:rPr>
                <w:b/>
                <w:bCs/>
                <w:sz w:val="20"/>
              </w:rPr>
            </w:pPr>
            <w:r w:rsidRPr="00E03AB9">
              <w:rPr>
                <w:b/>
                <w:bCs/>
                <w:sz w:val="20"/>
              </w:rPr>
              <w:t>Produkt</w:t>
            </w:r>
          </w:p>
        </w:tc>
        <w:tc>
          <w:tcPr>
            <w:tcW w:w="960" w:type="dxa"/>
            <w:shd w:val="clear" w:color="auto" w:fill="auto"/>
            <w:hideMark/>
          </w:tcPr>
          <w:p w:rsidR="005A683B" w:rsidRPr="00E03AB9" w:rsidRDefault="005A683B" w:rsidP="005A683B">
            <w:pPr>
              <w:jc w:val="center"/>
              <w:rPr>
                <w:b/>
                <w:bCs/>
                <w:sz w:val="20"/>
              </w:rPr>
            </w:pPr>
            <w:r w:rsidRPr="00E03AB9">
              <w:rPr>
                <w:b/>
                <w:bCs/>
                <w:sz w:val="20"/>
              </w:rPr>
              <w:t>Produkt-</w:t>
            </w:r>
          </w:p>
        </w:tc>
        <w:tc>
          <w:tcPr>
            <w:tcW w:w="1178" w:type="dxa"/>
            <w:vMerge w:val="restart"/>
            <w:shd w:val="clear" w:color="auto" w:fill="auto"/>
            <w:hideMark/>
          </w:tcPr>
          <w:p w:rsidR="005A683B" w:rsidRPr="00E03AB9" w:rsidRDefault="005A683B" w:rsidP="005A683B">
            <w:pPr>
              <w:jc w:val="center"/>
              <w:rPr>
                <w:b/>
                <w:bCs/>
                <w:sz w:val="20"/>
              </w:rPr>
            </w:pPr>
            <w:r w:rsidRPr="00E03AB9">
              <w:rPr>
                <w:b/>
                <w:bCs/>
                <w:sz w:val="20"/>
              </w:rPr>
              <w:t>Energiinnehållsskatt</w:t>
            </w:r>
          </w:p>
        </w:tc>
        <w:tc>
          <w:tcPr>
            <w:tcW w:w="1582" w:type="dxa"/>
            <w:vMerge w:val="restart"/>
            <w:shd w:val="clear" w:color="auto" w:fill="auto"/>
            <w:hideMark/>
          </w:tcPr>
          <w:p w:rsidR="005A683B" w:rsidRPr="00E03AB9" w:rsidRDefault="005A683B" w:rsidP="005A683B">
            <w:pPr>
              <w:jc w:val="center"/>
              <w:rPr>
                <w:b/>
                <w:bCs/>
                <w:sz w:val="20"/>
              </w:rPr>
            </w:pPr>
            <w:r w:rsidRPr="00E03AB9">
              <w:rPr>
                <w:b/>
                <w:bCs/>
                <w:sz w:val="20"/>
              </w:rPr>
              <w:t>Koldioxidskatt</w:t>
            </w:r>
          </w:p>
        </w:tc>
        <w:tc>
          <w:tcPr>
            <w:tcW w:w="1160" w:type="dxa"/>
            <w:shd w:val="clear" w:color="auto" w:fill="auto"/>
            <w:hideMark/>
          </w:tcPr>
          <w:p w:rsidR="005A683B" w:rsidRPr="00E03AB9" w:rsidRDefault="005A683B" w:rsidP="005A683B">
            <w:pPr>
              <w:jc w:val="center"/>
              <w:rPr>
                <w:b/>
                <w:bCs/>
                <w:sz w:val="20"/>
              </w:rPr>
            </w:pPr>
            <w:r w:rsidRPr="00E03AB9">
              <w:rPr>
                <w:b/>
                <w:bCs/>
                <w:sz w:val="20"/>
              </w:rPr>
              <w:t>Försörjnings-</w:t>
            </w:r>
          </w:p>
        </w:tc>
        <w:tc>
          <w:tcPr>
            <w:tcW w:w="960" w:type="dxa"/>
            <w:vMerge w:val="restart"/>
            <w:shd w:val="clear" w:color="auto" w:fill="auto"/>
            <w:hideMark/>
          </w:tcPr>
          <w:p w:rsidR="005A683B" w:rsidRPr="00E03AB9" w:rsidRDefault="005A683B" w:rsidP="005A683B">
            <w:pPr>
              <w:jc w:val="center"/>
              <w:rPr>
                <w:b/>
                <w:bCs/>
                <w:sz w:val="20"/>
              </w:rPr>
            </w:pPr>
            <w:r w:rsidRPr="00E03AB9">
              <w:rPr>
                <w:b/>
                <w:bCs/>
                <w:sz w:val="20"/>
              </w:rPr>
              <w:t>Sammanlagt</w:t>
            </w:r>
          </w:p>
        </w:tc>
      </w:tr>
      <w:tr w:rsidR="005A683B" w:rsidRPr="00E03AB9" w:rsidTr="005A683B">
        <w:trPr>
          <w:trHeight w:val="260"/>
        </w:trPr>
        <w:tc>
          <w:tcPr>
            <w:tcW w:w="2540" w:type="dxa"/>
            <w:vMerge/>
            <w:vAlign w:val="center"/>
            <w:hideMark/>
          </w:tcPr>
          <w:p w:rsidR="005A683B" w:rsidRPr="00E03AB9" w:rsidRDefault="005A683B" w:rsidP="005A683B">
            <w:pPr>
              <w:rPr>
                <w:b/>
                <w:bCs/>
                <w:sz w:val="20"/>
                <w:lang w:eastAsia="fi-FI"/>
              </w:rPr>
            </w:pPr>
          </w:p>
        </w:tc>
        <w:tc>
          <w:tcPr>
            <w:tcW w:w="960" w:type="dxa"/>
            <w:shd w:val="clear" w:color="auto" w:fill="auto"/>
            <w:hideMark/>
          </w:tcPr>
          <w:p w:rsidR="005A683B" w:rsidRPr="00E03AB9" w:rsidRDefault="005A683B" w:rsidP="005A683B">
            <w:pPr>
              <w:jc w:val="center"/>
              <w:rPr>
                <w:b/>
                <w:bCs/>
                <w:sz w:val="20"/>
              </w:rPr>
            </w:pPr>
            <w:r w:rsidRPr="00E03AB9">
              <w:rPr>
                <w:b/>
                <w:bCs/>
                <w:sz w:val="20"/>
              </w:rPr>
              <w:t>grupp</w:t>
            </w:r>
          </w:p>
        </w:tc>
        <w:tc>
          <w:tcPr>
            <w:tcW w:w="1178" w:type="dxa"/>
            <w:vMerge/>
            <w:vAlign w:val="center"/>
            <w:hideMark/>
          </w:tcPr>
          <w:p w:rsidR="005A683B" w:rsidRPr="00E03AB9" w:rsidRDefault="005A683B" w:rsidP="005A683B">
            <w:pPr>
              <w:rPr>
                <w:b/>
                <w:bCs/>
                <w:sz w:val="20"/>
                <w:lang w:eastAsia="fi-FI"/>
              </w:rPr>
            </w:pPr>
          </w:p>
        </w:tc>
        <w:tc>
          <w:tcPr>
            <w:tcW w:w="1582" w:type="dxa"/>
            <w:vMerge/>
            <w:vAlign w:val="center"/>
            <w:hideMark/>
          </w:tcPr>
          <w:p w:rsidR="005A683B" w:rsidRPr="00E03AB9" w:rsidRDefault="005A683B" w:rsidP="005A683B">
            <w:pPr>
              <w:rPr>
                <w:b/>
                <w:bCs/>
                <w:sz w:val="20"/>
                <w:lang w:eastAsia="fi-FI"/>
              </w:rPr>
            </w:pPr>
          </w:p>
        </w:tc>
        <w:tc>
          <w:tcPr>
            <w:tcW w:w="1160" w:type="dxa"/>
            <w:shd w:val="clear" w:color="auto" w:fill="auto"/>
            <w:hideMark/>
          </w:tcPr>
          <w:p w:rsidR="005A683B" w:rsidRPr="00E03AB9" w:rsidRDefault="005A683B" w:rsidP="005A683B">
            <w:pPr>
              <w:jc w:val="center"/>
              <w:rPr>
                <w:b/>
                <w:bCs/>
                <w:sz w:val="20"/>
              </w:rPr>
            </w:pPr>
            <w:r w:rsidRPr="00E03AB9">
              <w:rPr>
                <w:b/>
                <w:bCs/>
                <w:sz w:val="20"/>
              </w:rPr>
              <w:t>beredskaps-</w:t>
            </w:r>
          </w:p>
        </w:tc>
        <w:tc>
          <w:tcPr>
            <w:tcW w:w="960" w:type="dxa"/>
            <w:vMerge/>
            <w:vAlign w:val="center"/>
            <w:hideMark/>
          </w:tcPr>
          <w:p w:rsidR="005A683B" w:rsidRPr="00E03AB9" w:rsidRDefault="005A683B" w:rsidP="005A683B">
            <w:pPr>
              <w:rPr>
                <w:b/>
                <w:bCs/>
                <w:sz w:val="20"/>
                <w:lang w:eastAsia="fi-FI"/>
              </w:rPr>
            </w:pPr>
          </w:p>
        </w:tc>
      </w:tr>
      <w:tr w:rsidR="005A683B" w:rsidRPr="00E03AB9" w:rsidTr="005A683B">
        <w:trPr>
          <w:trHeight w:val="260"/>
        </w:trPr>
        <w:tc>
          <w:tcPr>
            <w:tcW w:w="2540" w:type="dxa"/>
            <w:vMerge/>
            <w:vAlign w:val="center"/>
            <w:hideMark/>
          </w:tcPr>
          <w:p w:rsidR="005A683B" w:rsidRPr="00E03AB9" w:rsidRDefault="005A683B" w:rsidP="005A683B">
            <w:pPr>
              <w:rPr>
                <w:b/>
                <w:bCs/>
                <w:sz w:val="20"/>
                <w:lang w:eastAsia="fi-FI"/>
              </w:rPr>
            </w:pPr>
          </w:p>
        </w:tc>
        <w:tc>
          <w:tcPr>
            <w:tcW w:w="960" w:type="dxa"/>
            <w:shd w:val="clear" w:color="auto" w:fill="auto"/>
            <w:hideMark/>
          </w:tcPr>
          <w:p w:rsidR="005A683B" w:rsidRPr="00E03AB9" w:rsidRDefault="005A683B" w:rsidP="005A683B">
            <w:pPr>
              <w:jc w:val="center"/>
              <w:rPr>
                <w:b/>
                <w:bCs/>
                <w:sz w:val="20"/>
                <w:lang w:eastAsia="fi-FI"/>
              </w:rPr>
            </w:pPr>
          </w:p>
        </w:tc>
        <w:tc>
          <w:tcPr>
            <w:tcW w:w="1178" w:type="dxa"/>
            <w:vMerge/>
            <w:vAlign w:val="center"/>
            <w:hideMark/>
          </w:tcPr>
          <w:p w:rsidR="005A683B" w:rsidRPr="00E03AB9" w:rsidRDefault="005A683B" w:rsidP="005A683B">
            <w:pPr>
              <w:rPr>
                <w:b/>
                <w:bCs/>
                <w:sz w:val="20"/>
                <w:lang w:eastAsia="fi-FI"/>
              </w:rPr>
            </w:pPr>
          </w:p>
        </w:tc>
        <w:tc>
          <w:tcPr>
            <w:tcW w:w="1582" w:type="dxa"/>
            <w:vMerge/>
            <w:vAlign w:val="center"/>
            <w:hideMark/>
          </w:tcPr>
          <w:p w:rsidR="005A683B" w:rsidRPr="00E03AB9" w:rsidRDefault="005A683B" w:rsidP="005A683B">
            <w:pPr>
              <w:rPr>
                <w:b/>
                <w:bCs/>
                <w:sz w:val="20"/>
                <w:lang w:eastAsia="fi-FI"/>
              </w:rPr>
            </w:pPr>
          </w:p>
        </w:tc>
        <w:tc>
          <w:tcPr>
            <w:tcW w:w="1160" w:type="dxa"/>
            <w:shd w:val="clear" w:color="auto" w:fill="auto"/>
            <w:hideMark/>
          </w:tcPr>
          <w:p w:rsidR="005A683B" w:rsidRPr="00E03AB9" w:rsidRDefault="005A683B" w:rsidP="005A683B">
            <w:pPr>
              <w:jc w:val="center"/>
              <w:rPr>
                <w:b/>
                <w:bCs/>
                <w:sz w:val="20"/>
              </w:rPr>
            </w:pPr>
            <w:r w:rsidRPr="00E03AB9">
              <w:rPr>
                <w:b/>
                <w:bCs/>
                <w:sz w:val="20"/>
              </w:rPr>
              <w:t>avgift</w:t>
            </w:r>
          </w:p>
        </w:tc>
        <w:tc>
          <w:tcPr>
            <w:tcW w:w="960" w:type="dxa"/>
            <w:vMerge/>
            <w:vAlign w:val="center"/>
            <w:hideMark/>
          </w:tcPr>
          <w:p w:rsidR="005A683B" w:rsidRPr="00E03AB9" w:rsidRDefault="005A683B" w:rsidP="005A683B">
            <w:pPr>
              <w:rPr>
                <w:b/>
                <w:bCs/>
                <w:sz w:val="20"/>
                <w:lang w:eastAsia="fi-FI"/>
              </w:rPr>
            </w:pP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Motorbensin cent/l</w:t>
            </w:r>
          </w:p>
        </w:tc>
        <w:tc>
          <w:tcPr>
            <w:tcW w:w="960" w:type="dxa"/>
            <w:shd w:val="clear" w:color="auto" w:fill="auto"/>
            <w:hideMark/>
          </w:tcPr>
          <w:p w:rsidR="005A683B" w:rsidRPr="00E03AB9" w:rsidRDefault="005A683B" w:rsidP="005A683B">
            <w:pPr>
              <w:jc w:val="center"/>
              <w:rPr>
                <w:sz w:val="20"/>
              </w:rPr>
            </w:pPr>
            <w:r w:rsidRPr="00E03AB9">
              <w:rPr>
                <w:sz w:val="20"/>
              </w:rPr>
              <w:t>10</w:t>
            </w:r>
          </w:p>
        </w:tc>
        <w:tc>
          <w:tcPr>
            <w:tcW w:w="1178" w:type="dxa"/>
            <w:shd w:val="clear" w:color="auto" w:fill="auto"/>
            <w:hideMark/>
          </w:tcPr>
          <w:p w:rsidR="005A683B" w:rsidRPr="004E4ED4" w:rsidRDefault="005A683B" w:rsidP="005A683B">
            <w:pPr>
              <w:jc w:val="center"/>
              <w:rPr>
                <w:i/>
                <w:sz w:val="20"/>
              </w:rPr>
            </w:pPr>
            <w:r w:rsidRPr="004E4ED4">
              <w:rPr>
                <w:i/>
                <w:sz w:val="20"/>
              </w:rPr>
              <w:t>57,54</w:t>
            </w:r>
          </w:p>
        </w:tc>
        <w:tc>
          <w:tcPr>
            <w:tcW w:w="1582" w:type="dxa"/>
            <w:shd w:val="clear" w:color="auto" w:fill="auto"/>
            <w:hideMark/>
          </w:tcPr>
          <w:p w:rsidR="005A683B" w:rsidRPr="004E4ED4" w:rsidRDefault="005A683B" w:rsidP="005A683B">
            <w:pPr>
              <w:jc w:val="center"/>
              <w:rPr>
                <w:i/>
                <w:sz w:val="20"/>
              </w:rPr>
            </w:pPr>
            <w:r w:rsidRPr="004E4ED4">
              <w:rPr>
                <w:i/>
                <w:sz w:val="20"/>
              </w:rPr>
              <w:t>17,30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75,52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Bensin för små motorer cent/l</w:t>
            </w:r>
          </w:p>
        </w:tc>
        <w:tc>
          <w:tcPr>
            <w:tcW w:w="960" w:type="dxa"/>
            <w:shd w:val="clear" w:color="auto" w:fill="auto"/>
            <w:hideMark/>
          </w:tcPr>
          <w:p w:rsidR="005A683B" w:rsidRPr="00E03AB9" w:rsidRDefault="005A683B" w:rsidP="005A683B">
            <w:pPr>
              <w:jc w:val="center"/>
              <w:rPr>
                <w:sz w:val="20"/>
              </w:rPr>
            </w:pPr>
            <w:r w:rsidRPr="00E03AB9">
              <w:rPr>
                <w:sz w:val="20"/>
              </w:rPr>
              <w:t>11</w:t>
            </w:r>
          </w:p>
        </w:tc>
        <w:tc>
          <w:tcPr>
            <w:tcW w:w="1178" w:type="dxa"/>
            <w:shd w:val="clear" w:color="auto" w:fill="auto"/>
            <w:hideMark/>
          </w:tcPr>
          <w:p w:rsidR="005A683B" w:rsidRPr="004E4ED4" w:rsidRDefault="005A683B" w:rsidP="005A683B">
            <w:pPr>
              <w:jc w:val="center"/>
              <w:rPr>
                <w:i/>
                <w:sz w:val="20"/>
              </w:rPr>
            </w:pPr>
            <w:r w:rsidRPr="004E4ED4">
              <w:rPr>
                <w:i/>
                <w:sz w:val="20"/>
              </w:rPr>
              <w:t>37,54</w:t>
            </w:r>
          </w:p>
        </w:tc>
        <w:tc>
          <w:tcPr>
            <w:tcW w:w="1582" w:type="dxa"/>
            <w:shd w:val="clear" w:color="auto" w:fill="auto"/>
            <w:hideMark/>
          </w:tcPr>
          <w:p w:rsidR="005A683B" w:rsidRPr="004E4ED4" w:rsidRDefault="005A683B" w:rsidP="005A683B">
            <w:pPr>
              <w:jc w:val="center"/>
              <w:rPr>
                <w:i/>
                <w:sz w:val="20"/>
              </w:rPr>
            </w:pPr>
            <w:r w:rsidRPr="004E4ED4">
              <w:rPr>
                <w:i/>
                <w:sz w:val="20"/>
              </w:rPr>
              <w:t>17,30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55,52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Bioetanol cent/l</w:t>
            </w:r>
          </w:p>
        </w:tc>
        <w:tc>
          <w:tcPr>
            <w:tcW w:w="960" w:type="dxa"/>
            <w:shd w:val="clear" w:color="auto" w:fill="auto"/>
            <w:hideMark/>
          </w:tcPr>
          <w:p w:rsidR="005A683B" w:rsidRPr="00E03AB9" w:rsidRDefault="005A683B" w:rsidP="005A683B">
            <w:pPr>
              <w:jc w:val="center"/>
              <w:rPr>
                <w:sz w:val="20"/>
              </w:rPr>
            </w:pPr>
            <w:r w:rsidRPr="00E03AB9">
              <w:rPr>
                <w:sz w:val="20"/>
              </w:rPr>
              <w:t>20</w:t>
            </w:r>
          </w:p>
        </w:tc>
        <w:tc>
          <w:tcPr>
            <w:tcW w:w="1178" w:type="dxa"/>
            <w:shd w:val="clear" w:color="auto" w:fill="auto"/>
            <w:hideMark/>
          </w:tcPr>
          <w:p w:rsidR="005A683B" w:rsidRPr="004E4ED4" w:rsidRDefault="005A683B" w:rsidP="005A683B">
            <w:pPr>
              <w:jc w:val="center"/>
              <w:rPr>
                <w:i/>
                <w:sz w:val="20"/>
              </w:rPr>
            </w:pPr>
            <w:r w:rsidRPr="004E4ED4">
              <w:rPr>
                <w:i/>
                <w:sz w:val="20"/>
              </w:rPr>
              <w:t>37,76</w:t>
            </w:r>
          </w:p>
        </w:tc>
        <w:tc>
          <w:tcPr>
            <w:tcW w:w="1582" w:type="dxa"/>
            <w:shd w:val="clear" w:color="auto" w:fill="auto"/>
            <w:hideMark/>
          </w:tcPr>
          <w:p w:rsidR="005A683B" w:rsidRPr="004E4ED4" w:rsidRDefault="005A683B" w:rsidP="005A683B">
            <w:pPr>
              <w:jc w:val="center"/>
              <w:rPr>
                <w:i/>
                <w:sz w:val="20"/>
              </w:rPr>
            </w:pPr>
            <w:r w:rsidRPr="004E4ED4">
              <w:rPr>
                <w:i/>
                <w:sz w:val="20"/>
              </w:rPr>
              <w:t>11,35</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49,79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Bioetanol R cent/l</w:t>
            </w:r>
          </w:p>
        </w:tc>
        <w:tc>
          <w:tcPr>
            <w:tcW w:w="960" w:type="dxa"/>
            <w:shd w:val="clear" w:color="auto" w:fill="auto"/>
            <w:hideMark/>
          </w:tcPr>
          <w:p w:rsidR="005A683B" w:rsidRPr="00E03AB9" w:rsidRDefault="005A683B" w:rsidP="005A683B">
            <w:pPr>
              <w:jc w:val="center"/>
              <w:rPr>
                <w:sz w:val="20"/>
              </w:rPr>
            </w:pPr>
            <w:r w:rsidRPr="00E03AB9">
              <w:rPr>
                <w:sz w:val="20"/>
              </w:rPr>
              <w:t>21</w:t>
            </w:r>
          </w:p>
        </w:tc>
        <w:tc>
          <w:tcPr>
            <w:tcW w:w="1178" w:type="dxa"/>
            <w:shd w:val="clear" w:color="auto" w:fill="auto"/>
            <w:hideMark/>
          </w:tcPr>
          <w:p w:rsidR="005A683B" w:rsidRPr="004E4ED4" w:rsidRDefault="005A683B" w:rsidP="005A683B">
            <w:pPr>
              <w:jc w:val="center"/>
              <w:rPr>
                <w:i/>
                <w:sz w:val="20"/>
              </w:rPr>
            </w:pPr>
            <w:r w:rsidRPr="004E4ED4">
              <w:rPr>
                <w:i/>
                <w:sz w:val="20"/>
              </w:rPr>
              <w:t>37,76</w:t>
            </w:r>
          </w:p>
        </w:tc>
        <w:tc>
          <w:tcPr>
            <w:tcW w:w="1582" w:type="dxa"/>
            <w:shd w:val="clear" w:color="auto" w:fill="auto"/>
            <w:hideMark/>
          </w:tcPr>
          <w:p w:rsidR="005A683B" w:rsidRPr="004E4ED4" w:rsidRDefault="005A683B" w:rsidP="005A683B">
            <w:pPr>
              <w:jc w:val="center"/>
              <w:rPr>
                <w:i/>
                <w:sz w:val="20"/>
              </w:rPr>
            </w:pPr>
            <w:r w:rsidRPr="004E4ED4">
              <w:rPr>
                <w:i/>
                <w:sz w:val="20"/>
              </w:rPr>
              <w:t>5,68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44,12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Bioetanol T cent/l</w:t>
            </w:r>
          </w:p>
        </w:tc>
        <w:tc>
          <w:tcPr>
            <w:tcW w:w="960" w:type="dxa"/>
            <w:shd w:val="clear" w:color="auto" w:fill="auto"/>
            <w:hideMark/>
          </w:tcPr>
          <w:p w:rsidR="005A683B" w:rsidRPr="00E03AB9" w:rsidRDefault="005A683B" w:rsidP="005A683B">
            <w:pPr>
              <w:jc w:val="center"/>
              <w:rPr>
                <w:sz w:val="20"/>
              </w:rPr>
            </w:pPr>
            <w:r w:rsidRPr="00E03AB9">
              <w:rPr>
                <w:sz w:val="20"/>
              </w:rPr>
              <w:t>22</w:t>
            </w:r>
          </w:p>
        </w:tc>
        <w:tc>
          <w:tcPr>
            <w:tcW w:w="1178" w:type="dxa"/>
            <w:shd w:val="clear" w:color="auto" w:fill="auto"/>
            <w:hideMark/>
          </w:tcPr>
          <w:p w:rsidR="005A683B" w:rsidRPr="004E4ED4" w:rsidRDefault="005A683B" w:rsidP="005A683B">
            <w:pPr>
              <w:jc w:val="center"/>
              <w:rPr>
                <w:i/>
                <w:sz w:val="20"/>
              </w:rPr>
            </w:pPr>
            <w:r w:rsidRPr="004E4ED4">
              <w:rPr>
                <w:i/>
                <w:sz w:val="20"/>
              </w:rPr>
              <w:t>37,76</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38,44</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MTBE</w:t>
            </w:r>
            <w:proofErr w:type="spellEnd"/>
            <w:r w:rsidRPr="00E03AB9">
              <w:rPr>
                <w:sz w:val="20"/>
              </w:rPr>
              <w:t xml:space="preserve"> cent/l</w:t>
            </w:r>
          </w:p>
        </w:tc>
        <w:tc>
          <w:tcPr>
            <w:tcW w:w="960" w:type="dxa"/>
            <w:shd w:val="clear" w:color="auto" w:fill="auto"/>
            <w:hideMark/>
          </w:tcPr>
          <w:p w:rsidR="005A683B" w:rsidRPr="00E03AB9" w:rsidRDefault="005A683B" w:rsidP="005A683B">
            <w:pPr>
              <w:jc w:val="center"/>
              <w:rPr>
                <w:sz w:val="20"/>
              </w:rPr>
            </w:pPr>
            <w:r w:rsidRPr="00E03AB9">
              <w:rPr>
                <w:sz w:val="20"/>
              </w:rPr>
              <w:t>23</w:t>
            </w:r>
          </w:p>
        </w:tc>
        <w:tc>
          <w:tcPr>
            <w:tcW w:w="1178" w:type="dxa"/>
            <w:shd w:val="clear" w:color="auto" w:fill="auto"/>
            <w:hideMark/>
          </w:tcPr>
          <w:p w:rsidR="005A683B" w:rsidRPr="004E4ED4" w:rsidRDefault="005A683B" w:rsidP="005A683B">
            <w:pPr>
              <w:jc w:val="center"/>
              <w:rPr>
                <w:i/>
                <w:sz w:val="20"/>
              </w:rPr>
            </w:pPr>
            <w:r w:rsidRPr="004E4ED4">
              <w:rPr>
                <w:i/>
                <w:sz w:val="20"/>
              </w:rPr>
              <w:t>46,75</w:t>
            </w:r>
          </w:p>
        </w:tc>
        <w:tc>
          <w:tcPr>
            <w:tcW w:w="1582" w:type="dxa"/>
            <w:shd w:val="clear" w:color="auto" w:fill="auto"/>
            <w:hideMark/>
          </w:tcPr>
          <w:p w:rsidR="005A683B" w:rsidRPr="004E4ED4" w:rsidRDefault="005A683B" w:rsidP="005A683B">
            <w:pPr>
              <w:jc w:val="center"/>
              <w:rPr>
                <w:i/>
                <w:sz w:val="20"/>
              </w:rPr>
            </w:pPr>
            <w:r w:rsidRPr="004E4ED4">
              <w:rPr>
                <w:i/>
                <w:sz w:val="20"/>
              </w:rPr>
              <w:t>14,06</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61,49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MTBE</w:t>
            </w:r>
            <w:proofErr w:type="spellEnd"/>
            <w:r w:rsidRPr="00E03AB9">
              <w:rPr>
                <w:sz w:val="20"/>
              </w:rPr>
              <w:t xml:space="preserve"> R cent/l</w:t>
            </w:r>
          </w:p>
        </w:tc>
        <w:tc>
          <w:tcPr>
            <w:tcW w:w="960" w:type="dxa"/>
            <w:shd w:val="clear" w:color="auto" w:fill="auto"/>
            <w:hideMark/>
          </w:tcPr>
          <w:p w:rsidR="005A683B" w:rsidRPr="00E03AB9" w:rsidRDefault="005A683B" w:rsidP="005A683B">
            <w:pPr>
              <w:jc w:val="center"/>
              <w:rPr>
                <w:sz w:val="20"/>
              </w:rPr>
            </w:pPr>
            <w:r w:rsidRPr="00E03AB9">
              <w:rPr>
                <w:sz w:val="20"/>
              </w:rPr>
              <w:t>24</w:t>
            </w:r>
          </w:p>
        </w:tc>
        <w:tc>
          <w:tcPr>
            <w:tcW w:w="1178" w:type="dxa"/>
            <w:shd w:val="clear" w:color="auto" w:fill="auto"/>
            <w:hideMark/>
          </w:tcPr>
          <w:p w:rsidR="005A683B" w:rsidRPr="004E4ED4" w:rsidRDefault="005A683B" w:rsidP="005A683B">
            <w:pPr>
              <w:jc w:val="center"/>
              <w:rPr>
                <w:i/>
                <w:sz w:val="20"/>
              </w:rPr>
            </w:pPr>
            <w:r w:rsidRPr="004E4ED4">
              <w:rPr>
                <w:i/>
                <w:sz w:val="20"/>
              </w:rPr>
              <w:t>46,75</w:t>
            </w:r>
          </w:p>
        </w:tc>
        <w:tc>
          <w:tcPr>
            <w:tcW w:w="1582" w:type="dxa"/>
            <w:shd w:val="clear" w:color="auto" w:fill="auto"/>
            <w:hideMark/>
          </w:tcPr>
          <w:p w:rsidR="005A683B" w:rsidRPr="004E4ED4" w:rsidRDefault="005A683B" w:rsidP="005A683B">
            <w:pPr>
              <w:jc w:val="center"/>
              <w:rPr>
                <w:i/>
                <w:sz w:val="20"/>
              </w:rPr>
            </w:pPr>
            <w:r w:rsidRPr="004E4ED4">
              <w:rPr>
                <w:i/>
                <w:sz w:val="20"/>
              </w:rPr>
              <w:t>12,51</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59,94</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MTBE</w:t>
            </w:r>
            <w:proofErr w:type="spellEnd"/>
            <w:r w:rsidRPr="00E03AB9">
              <w:rPr>
                <w:sz w:val="20"/>
              </w:rPr>
              <w:t xml:space="preserve"> T cent/l</w:t>
            </w:r>
          </w:p>
        </w:tc>
        <w:tc>
          <w:tcPr>
            <w:tcW w:w="960" w:type="dxa"/>
            <w:shd w:val="clear" w:color="auto" w:fill="auto"/>
            <w:hideMark/>
          </w:tcPr>
          <w:p w:rsidR="005A683B" w:rsidRPr="00E03AB9" w:rsidRDefault="005A683B" w:rsidP="005A683B">
            <w:pPr>
              <w:jc w:val="center"/>
              <w:rPr>
                <w:sz w:val="20"/>
              </w:rPr>
            </w:pPr>
            <w:r w:rsidRPr="00E03AB9">
              <w:rPr>
                <w:sz w:val="20"/>
              </w:rPr>
              <w:t>25</w:t>
            </w:r>
          </w:p>
        </w:tc>
        <w:tc>
          <w:tcPr>
            <w:tcW w:w="1178" w:type="dxa"/>
            <w:shd w:val="clear" w:color="auto" w:fill="auto"/>
            <w:hideMark/>
          </w:tcPr>
          <w:p w:rsidR="005A683B" w:rsidRPr="004E4ED4" w:rsidRDefault="005A683B" w:rsidP="005A683B">
            <w:pPr>
              <w:jc w:val="center"/>
              <w:rPr>
                <w:i/>
                <w:sz w:val="20"/>
              </w:rPr>
            </w:pPr>
            <w:r w:rsidRPr="004E4ED4">
              <w:rPr>
                <w:i/>
                <w:sz w:val="20"/>
              </w:rPr>
              <w:t>46,75</w:t>
            </w:r>
          </w:p>
        </w:tc>
        <w:tc>
          <w:tcPr>
            <w:tcW w:w="1582" w:type="dxa"/>
            <w:shd w:val="clear" w:color="auto" w:fill="auto"/>
            <w:hideMark/>
          </w:tcPr>
          <w:p w:rsidR="005A683B" w:rsidRPr="004E4ED4" w:rsidRDefault="005A683B" w:rsidP="005A683B">
            <w:pPr>
              <w:jc w:val="center"/>
              <w:rPr>
                <w:i/>
                <w:sz w:val="20"/>
              </w:rPr>
            </w:pPr>
            <w:r w:rsidRPr="004E4ED4">
              <w:rPr>
                <w:i/>
                <w:sz w:val="20"/>
              </w:rPr>
              <w:t>10,96</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58,39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TAME cent/l</w:t>
            </w:r>
          </w:p>
        </w:tc>
        <w:tc>
          <w:tcPr>
            <w:tcW w:w="960" w:type="dxa"/>
            <w:shd w:val="clear" w:color="auto" w:fill="auto"/>
            <w:hideMark/>
          </w:tcPr>
          <w:p w:rsidR="005A683B" w:rsidRPr="00E03AB9" w:rsidRDefault="005A683B" w:rsidP="005A683B">
            <w:pPr>
              <w:jc w:val="center"/>
              <w:rPr>
                <w:sz w:val="20"/>
              </w:rPr>
            </w:pPr>
            <w:r w:rsidRPr="00E03AB9">
              <w:rPr>
                <w:sz w:val="20"/>
              </w:rPr>
              <w:t>26</w:t>
            </w:r>
          </w:p>
        </w:tc>
        <w:tc>
          <w:tcPr>
            <w:tcW w:w="1178" w:type="dxa"/>
            <w:shd w:val="clear" w:color="auto" w:fill="auto"/>
            <w:hideMark/>
          </w:tcPr>
          <w:p w:rsidR="005A683B" w:rsidRPr="004E4ED4" w:rsidRDefault="005A683B" w:rsidP="005A683B">
            <w:pPr>
              <w:jc w:val="center"/>
              <w:rPr>
                <w:i/>
                <w:sz w:val="20"/>
              </w:rPr>
            </w:pPr>
            <w:r w:rsidRPr="004E4ED4">
              <w:rPr>
                <w:i/>
                <w:sz w:val="20"/>
              </w:rPr>
              <w:t>50,34</w:t>
            </w:r>
          </w:p>
        </w:tc>
        <w:tc>
          <w:tcPr>
            <w:tcW w:w="1582" w:type="dxa"/>
            <w:shd w:val="clear" w:color="auto" w:fill="auto"/>
            <w:hideMark/>
          </w:tcPr>
          <w:p w:rsidR="005A683B" w:rsidRPr="004E4ED4" w:rsidRDefault="005A683B" w:rsidP="005A683B">
            <w:pPr>
              <w:jc w:val="center"/>
              <w:rPr>
                <w:i/>
                <w:sz w:val="20"/>
              </w:rPr>
            </w:pPr>
            <w:r w:rsidRPr="004E4ED4">
              <w:rPr>
                <w:i/>
                <w:sz w:val="20"/>
              </w:rPr>
              <w:t>15,14</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66,16</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TAME R cent/l</w:t>
            </w:r>
          </w:p>
        </w:tc>
        <w:tc>
          <w:tcPr>
            <w:tcW w:w="960" w:type="dxa"/>
            <w:shd w:val="clear" w:color="auto" w:fill="auto"/>
            <w:hideMark/>
          </w:tcPr>
          <w:p w:rsidR="005A683B" w:rsidRPr="00E03AB9" w:rsidRDefault="005A683B" w:rsidP="005A683B">
            <w:pPr>
              <w:jc w:val="center"/>
              <w:rPr>
                <w:sz w:val="20"/>
              </w:rPr>
            </w:pPr>
            <w:r w:rsidRPr="00E03AB9">
              <w:rPr>
                <w:sz w:val="20"/>
              </w:rPr>
              <w:t>27</w:t>
            </w:r>
          </w:p>
        </w:tc>
        <w:tc>
          <w:tcPr>
            <w:tcW w:w="1178" w:type="dxa"/>
            <w:shd w:val="clear" w:color="auto" w:fill="auto"/>
            <w:hideMark/>
          </w:tcPr>
          <w:p w:rsidR="005A683B" w:rsidRPr="004E4ED4" w:rsidRDefault="005A683B" w:rsidP="005A683B">
            <w:pPr>
              <w:jc w:val="center"/>
              <w:rPr>
                <w:i/>
                <w:sz w:val="20"/>
              </w:rPr>
            </w:pPr>
            <w:r w:rsidRPr="004E4ED4">
              <w:rPr>
                <w:i/>
                <w:sz w:val="20"/>
              </w:rPr>
              <w:t>50,34</w:t>
            </w:r>
          </w:p>
        </w:tc>
        <w:tc>
          <w:tcPr>
            <w:tcW w:w="1582" w:type="dxa"/>
            <w:shd w:val="clear" w:color="auto" w:fill="auto"/>
            <w:hideMark/>
          </w:tcPr>
          <w:p w:rsidR="005A683B" w:rsidRPr="004E4ED4" w:rsidRDefault="005A683B" w:rsidP="005A683B">
            <w:pPr>
              <w:jc w:val="center"/>
              <w:rPr>
                <w:i/>
                <w:sz w:val="20"/>
              </w:rPr>
            </w:pPr>
            <w:r w:rsidRPr="004E4ED4">
              <w:rPr>
                <w:i/>
                <w:sz w:val="20"/>
              </w:rPr>
              <w:t>13,78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64,80</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TAME T cent/l</w:t>
            </w:r>
          </w:p>
        </w:tc>
        <w:tc>
          <w:tcPr>
            <w:tcW w:w="960" w:type="dxa"/>
            <w:shd w:val="clear" w:color="auto" w:fill="auto"/>
            <w:hideMark/>
          </w:tcPr>
          <w:p w:rsidR="005A683B" w:rsidRPr="00E03AB9" w:rsidRDefault="005A683B" w:rsidP="005A683B">
            <w:pPr>
              <w:jc w:val="center"/>
              <w:rPr>
                <w:sz w:val="20"/>
              </w:rPr>
            </w:pPr>
            <w:r w:rsidRPr="00E03AB9">
              <w:rPr>
                <w:sz w:val="20"/>
              </w:rPr>
              <w:t>28</w:t>
            </w:r>
          </w:p>
        </w:tc>
        <w:tc>
          <w:tcPr>
            <w:tcW w:w="1178" w:type="dxa"/>
            <w:shd w:val="clear" w:color="auto" w:fill="auto"/>
            <w:hideMark/>
          </w:tcPr>
          <w:p w:rsidR="005A683B" w:rsidRPr="004E4ED4" w:rsidRDefault="005A683B" w:rsidP="005A683B">
            <w:pPr>
              <w:jc w:val="center"/>
              <w:rPr>
                <w:i/>
                <w:sz w:val="20"/>
              </w:rPr>
            </w:pPr>
            <w:r w:rsidRPr="004E4ED4">
              <w:rPr>
                <w:i/>
                <w:sz w:val="20"/>
              </w:rPr>
              <w:t>50,34</w:t>
            </w:r>
          </w:p>
        </w:tc>
        <w:tc>
          <w:tcPr>
            <w:tcW w:w="1582" w:type="dxa"/>
            <w:shd w:val="clear" w:color="auto" w:fill="auto"/>
            <w:hideMark/>
          </w:tcPr>
          <w:p w:rsidR="005A683B" w:rsidRPr="004E4ED4" w:rsidRDefault="005A683B" w:rsidP="005A683B">
            <w:pPr>
              <w:jc w:val="center"/>
              <w:rPr>
                <w:i/>
                <w:sz w:val="20"/>
              </w:rPr>
            </w:pPr>
            <w:r w:rsidRPr="004E4ED4">
              <w:rPr>
                <w:i/>
                <w:sz w:val="20"/>
              </w:rPr>
              <w:t>12,41</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63,43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lastRenderedPageBreak/>
              <w:t>ETBE</w:t>
            </w:r>
            <w:proofErr w:type="spellEnd"/>
            <w:r w:rsidRPr="00E03AB9">
              <w:rPr>
                <w:sz w:val="20"/>
              </w:rPr>
              <w:t xml:space="preserve"> cent/l</w:t>
            </w:r>
          </w:p>
        </w:tc>
        <w:tc>
          <w:tcPr>
            <w:tcW w:w="960" w:type="dxa"/>
            <w:shd w:val="clear" w:color="auto" w:fill="auto"/>
            <w:hideMark/>
          </w:tcPr>
          <w:p w:rsidR="005A683B" w:rsidRPr="00E03AB9" w:rsidRDefault="005A683B" w:rsidP="005A683B">
            <w:pPr>
              <w:jc w:val="center"/>
              <w:rPr>
                <w:sz w:val="20"/>
              </w:rPr>
            </w:pPr>
            <w:r w:rsidRPr="00E03AB9">
              <w:rPr>
                <w:sz w:val="20"/>
              </w:rPr>
              <w:t>29</w:t>
            </w:r>
          </w:p>
        </w:tc>
        <w:tc>
          <w:tcPr>
            <w:tcW w:w="1178" w:type="dxa"/>
            <w:shd w:val="clear" w:color="auto" w:fill="auto"/>
            <w:hideMark/>
          </w:tcPr>
          <w:p w:rsidR="005A683B" w:rsidRPr="004E4ED4" w:rsidRDefault="005A683B" w:rsidP="005A683B">
            <w:pPr>
              <w:jc w:val="center"/>
              <w:rPr>
                <w:i/>
                <w:sz w:val="20"/>
              </w:rPr>
            </w:pPr>
            <w:r w:rsidRPr="004E4ED4">
              <w:rPr>
                <w:i/>
                <w:sz w:val="20"/>
              </w:rPr>
              <w:t>48,55</w:t>
            </w:r>
          </w:p>
        </w:tc>
        <w:tc>
          <w:tcPr>
            <w:tcW w:w="1582" w:type="dxa"/>
            <w:shd w:val="clear" w:color="auto" w:fill="auto"/>
            <w:hideMark/>
          </w:tcPr>
          <w:p w:rsidR="005A683B" w:rsidRPr="004E4ED4" w:rsidRDefault="005A683B" w:rsidP="005A683B">
            <w:pPr>
              <w:jc w:val="center"/>
              <w:rPr>
                <w:i/>
                <w:sz w:val="20"/>
              </w:rPr>
            </w:pPr>
            <w:r w:rsidRPr="004E4ED4">
              <w:rPr>
                <w:i/>
                <w:sz w:val="20"/>
              </w:rPr>
              <w:t>14,60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63,83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ETBE</w:t>
            </w:r>
            <w:proofErr w:type="spellEnd"/>
            <w:r w:rsidRPr="00E03AB9">
              <w:rPr>
                <w:sz w:val="20"/>
              </w:rPr>
              <w:t xml:space="preserve"> R cent/l</w:t>
            </w:r>
          </w:p>
        </w:tc>
        <w:tc>
          <w:tcPr>
            <w:tcW w:w="960" w:type="dxa"/>
            <w:shd w:val="clear" w:color="auto" w:fill="auto"/>
            <w:hideMark/>
          </w:tcPr>
          <w:p w:rsidR="005A683B" w:rsidRPr="00E03AB9" w:rsidRDefault="005A683B" w:rsidP="005A683B">
            <w:pPr>
              <w:jc w:val="center"/>
              <w:rPr>
                <w:sz w:val="20"/>
              </w:rPr>
            </w:pPr>
            <w:r w:rsidRPr="00E03AB9">
              <w:rPr>
                <w:sz w:val="20"/>
              </w:rPr>
              <w:t>30</w:t>
            </w:r>
          </w:p>
        </w:tc>
        <w:tc>
          <w:tcPr>
            <w:tcW w:w="1178" w:type="dxa"/>
            <w:shd w:val="clear" w:color="auto" w:fill="auto"/>
            <w:hideMark/>
          </w:tcPr>
          <w:p w:rsidR="005A683B" w:rsidRPr="004E4ED4" w:rsidRDefault="005A683B" w:rsidP="005A683B">
            <w:pPr>
              <w:jc w:val="center"/>
              <w:rPr>
                <w:i/>
                <w:sz w:val="20"/>
              </w:rPr>
            </w:pPr>
            <w:r w:rsidRPr="004E4ED4">
              <w:rPr>
                <w:i/>
                <w:sz w:val="20"/>
              </w:rPr>
              <w:t>48,55</w:t>
            </w:r>
          </w:p>
        </w:tc>
        <w:tc>
          <w:tcPr>
            <w:tcW w:w="1582" w:type="dxa"/>
            <w:shd w:val="clear" w:color="auto" w:fill="auto"/>
            <w:hideMark/>
          </w:tcPr>
          <w:p w:rsidR="005A683B" w:rsidRPr="004E4ED4" w:rsidRDefault="005A683B" w:rsidP="005A683B">
            <w:pPr>
              <w:jc w:val="center"/>
              <w:rPr>
                <w:i/>
                <w:sz w:val="20"/>
              </w:rPr>
            </w:pPr>
            <w:r w:rsidRPr="004E4ED4">
              <w:rPr>
                <w:i/>
                <w:sz w:val="20"/>
              </w:rPr>
              <w:t>11,90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61,13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ETBE</w:t>
            </w:r>
            <w:proofErr w:type="spellEnd"/>
            <w:r w:rsidRPr="00E03AB9">
              <w:rPr>
                <w:sz w:val="20"/>
              </w:rPr>
              <w:t xml:space="preserve"> T cent/l</w:t>
            </w:r>
          </w:p>
        </w:tc>
        <w:tc>
          <w:tcPr>
            <w:tcW w:w="960" w:type="dxa"/>
            <w:shd w:val="clear" w:color="auto" w:fill="auto"/>
            <w:hideMark/>
          </w:tcPr>
          <w:p w:rsidR="005A683B" w:rsidRPr="00E03AB9" w:rsidRDefault="005A683B" w:rsidP="005A683B">
            <w:pPr>
              <w:jc w:val="center"/>
              <w:rPr>
                <w:sz w:val="20"/>
              </w:rPr>
            </w:pPr>
            <w:r w:rsidRPr="00E03AB9">
              <w:rPr>
                <w:sz w:val="20"/>
              </w:rPr>
              <w:t>31</w:t>
            </w:r>
          </w:p>
        </w:tc>
        <w:tc>
          <w:tcPr>
            <w:tcW w:w="1178" w:type="dxa"/>
            <w:shd w:val="clear" w:color="auto" w:fill="auto"/>
            <w:hideMark/>
          </w:tcPr>
          <w:p w:rsidR="005A683B" w:rsidRPr="004E4ED4" w:rsidRDefault="005A683B" w:rsidP="005A683B">
            <w:pPr>
              <w:jc w:val="center"/>
              <w:rPr>
                <w:i/>
                <w:sz w:val="20"/>
              </w:rPr>
            </w:pPr>
            <w:r w:rsidRPr="004E4ED4">
              <w:rPr>
                <w:i/>
                <w:sz w:val="20"/>
              </w:rPr>
              <w:t>48,55</w:t>
            </w:r>
          </w:p>
        </w:tc>
        <w:tc>
          <w:tcPr>
            <w:tcW w:w="1582" w:type="dxa"/>
            <w:shd w:val="clear" w:color="auto" w:fill="auto"/>
            <w:hideMark/>
          </w:tcPr>
          <w:p w:rsidR="005A683B" w:rsidRPr="004E4ED4" w:rsidRDefault="005A683B" w:rsidP="005A683B">
            <w:pPr>
              <w:jc w:val="center"/>
              <w:rPr>
                <w:i/>
                <w:sz w:val="20"/>
              </w:rPr>
            </w:pPr>
            <w:r w:rsidRPr="004E4ED4">
              <w:rPr>
                <w:i/>
                <w:sz w:val="20"/>
              </w:rPr>
              <w:t>9,20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58,43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TAEE</w:t>
            </w:r>
            <w:proofErr w:type="spellEnd"/>
            <w:r w:rsidRPr="00E03AB9">
              <w:rPr>
                <w:sz w:val="20"/>
              </w:rPr>
              <w:t xml:space="preserve"> cent/l</w:t>
            </w:r>
          </w:p>
        </w:tc>
        <w:tc>
          <w:tcPr>
            <w:tcW w:w="960" w:type="dxa"/>
            <w:shd w:val="clear" w:color="auto" w:fill="auto"/>
            <w:hideMark/>
          </w:tcPr>
          <w:p w:rsidR="005A683B" w:rsidRPr="00E03AB9" w:rsidRDefault="005A683B" w:rsidP="005A683B">
            <w:pPr>
              <w:jc w:val="center"/>
              <w:rPr>
                <w:sz w:val="20"/>
              </w:rPr>
            </w:pPr>
            <w:r w:rsidRPr="00E03AB9">
              <w:rPr>
                <w:sz w:val="20"/>
              </w:rPr>
              <w:t>32</w:t>
            </w:r>
          </w:p>
        </w:tc>
        <w:tc>
          <w:tcPr>
            <w:tcW w:w="1178" w:type="dxa"/>
            <w:shd w:val="clear" w:color="auto" w:fill="auto"/>
            <w:hideMark/>
          </w:tcPr>
          <w:p w:rsidR="005A683B" w:rsidRPr="004E4ED4" w:rsidRDefault="005A683B" w:rsidP="005A683B">
            <w:pPr>
              <w:jc w:val="center"/>
              <w:rPr>
                <w:i/>
                <w:sz w:val="20"/>
              </w:rPr>
            </w:pPr>
            <w:r w:rsidRPr="004E4ED4">
              <w:rPr>
                <w:i/>
                <w:sz w:val="20"/>
              </w:rPr>
              <w:t>52,14</w:t>
            </w:r>
          </w:p>
        </w:tc>
        <w:tc>
          <w:tcPr>
            <w:tcW w:w="1582" w:type="dxa"/>
            <w:shd w:val="clear" w:color="auto" w:fill="auto"/>
            <w:hideMark/>
          </w:tcPr>
          <w:p w:rsidR="005A683B" w:rsidRPr="004E4ED4" w:rsidRDefault="005A683B" w:rsidP="005A683B">
            <w:pPr>
              <w:jc w:val="center"/>
              <w:rPr>
                <w:i/>
                <w:sz w:val="20"/>
              </w:rPr>
            </w:pPr>
            <w:r w:rsidRPr="004E4ED4">
              <w:rPr>
                <w:i/>
                <w:sz w:val="20"/>
              </w:rPr>
              <w:t>15,68</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68,50</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TAEE</w:t>
            </w:r>
            <w:proofErr w:type="spellEnd"/>
            <w:r w:rsidRPr="00E03AB9">
              <w:rPr>
                <w:sz w:val="20"/>
              </w:rPr>
              <w:t xml:space="preserve"> R cent/l</w:t>
            </w:r>
          </w:p>
        </w:tc>
        <w:tc>
          <w:tcPr>
            <w:tcW w:w="960" w:type="dxa"/>
            <w:shd w:val="clear" w:color="auto" w:fill="auto"/>
            <w:hideMark/>
          </w:tcPr>
          <w:p w:rsidR="005A683B" w:rsidRPr="00E03AB9" w:rsidRDefault="005A683B" w:rsidP="005A683B">
            <w:pPr>
              <w:jc w:val="center"/>
              <w:rPr>
                <w:sz w:val="20"/>
              </w:rPr>
            </w:pPr>
            <w:r w:rsidRPr="00E03AB9">
              <w:rPr>
                <w:sz w:val="20"/>
              </w:rPr>
              <w:t>33</w:t>
            </w:r>
          </w:p>
        </w:tc>
        <w:tc>
          <w:tcPr>
            <w:tcW w:w="1178" w:type="dxa"/>
            <w:shd w:val="clear" w:color="auto" w:fill="auto"/>
            <w:hideMark/>
          </w:tcPr>
          <w:p w:rsidR="005A683B" w:rsidRPr="004E4ED4" w:rsidRDefault="005A683B" w:rsidP="005A683B">
            <w:pPr>
              <w:jc w:val="center"/>
              <w:rPr>
                <w:i/>
                <w:sz w:val="20"/>
              </w:rPr>
            </w:pPr>
            <w:r w:rsidRPr="004E4ED4">
              <w:rPr>
                <w:i/>
                <w:sz w:val="20"/>
              </w:rPr>
              <w:t>52,14</w:t>
            </w:r>
          </w:p>
        </w:tc>
        <w:tc>
          <w:tcPr>
            <w:tcW w:w="1582" w:type="dxa"/>
            <w:shd w:val="clear" w:color="auto" w:fill="auto"/>
            <w:hideMark/>
          </w:tcPr>
          <w:p w:rsidR="005A683B" w:rsidRPr="004E4ED4" w:rsidRDefault="005A683B" w:rsidP="005A683B">
            <w:pPr>
              <w:jc w:val="center"/>
              <w:rPr>
                <w:i/>
                <w:sz w:val="20"/>
              </w:rPr>
            </w:pPr>
            <w:r w:rsidRPr="004E4ED4">
              <w:rPr>
                <w:i/>
                <w:sz w:val="20"/>
              </w:rPr>
              <w:t>13,41</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66,23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proofErr w:type="spellStart"/>
            <w:r w:rsidRPr="00E03AB9">
              <w:rPr>
                <w:sz w:val="20"/>
              </w:rPr>
              <w:t>TAEE</w:t>
            </w:r>
            <w:proofErr w:type="spellEnd"/>
            <w:r w:rsidRPr="00E03AB9">
              <w:rPr>
                <w:sz w:val="20"/>
              </w:rPr>
              <w:t xml:space="preserve"> T cent/l</w:t>
            </w:r>
          </w:p>
        </w:tc>
        <w:tc>
          <w:tcPr>
            <w:tcW w:w="960" w:type="dxa"/>
            <w:shd w:val="clear" w:color="auto" w:fill="auto"/>
            <w:hideMark/>
          </w:tcPr>
          <w:p w:rsidR="005A683B" w:rsidRPr="00E03AB9" w:rsidRDefault="005A683B" w:rsidP="005A683B">
            <w:pPr>
              <w:jc w:val="center"/>
              <w:rPr>
                <w:sz w:val="20"/>
              </w:rPr>
            </w:pPr>
            <w:r w:rsidRPr="00E03AB9">
              <w:rPr>
                <w:sz w:val="20"/>
              </w:rPr>
              <w:t>34</w:t>
            </w:r>
          </w:p>
        </w:tc>
        <w:tc>
          <w:tcPr>
            <w:tcW w:w="1178" w:type="dxa"/>
            <w:shd w:val="clear" w:color="auto" w:fill="auto"/>
            <w:hideMark/>
          </w:tcPr>
          <w:p w:rsidR="005A683B" w:rsidRPr="004E4ED4" w:rsidRDefault="005A683B" w:rsidP="005A683B">
            <w:pPr>
              <w:jc w:val="center"/>
              <w:rPr>
                <w:i/>
                <w:sz w:val="20"/>
              </w:rPr>
            </w:pPr>
            <w:r w:rsidRPr="004E4ED4">
              <w:rPr>
                <w:i/>
                <w:sz w:val="20"/>
              </w:rPr>
              <w:t>52,14</w:t>
            </w:r>
          </w:p>
        </w:tc>
        <w:tc>
          <w:tcPr>
            <w:tcW w:w="1582" w:type="dxa"/>
            <w:shd w:val="clear" w:color="auto" w:fill="auto"/>
            <w:hideMark/>
          </w:tcPr>
          <w:p w:rsidR="005A683B" w:rsidRPr="004E4ED4" w:rsidRDefault="005A683B" w:rsidP="005A683B">
            <w:pPr>
              <w:jc w:val="center"/>
              <w:rPr>
                <w:i/>
                <w:sz w:val="20"/>
              </w:rPr>
            </w:pPr>
            <w:r w:rsidRPr="004E4ED4">
              <w:rPr>
                <w:i/>
                <w:sz w:val="20"/>
              </w:rPr>
              <w:t>11,13</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63,95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Biobensin cent/l</w:t>
            </w:r>
          </w:p>
        </w:tc>
        <w:tc>
          <w:tcPr>
            <w:tcW w:w="960" w:type="dxa"/>
            <w:shd w:val="clear" w:color="auto" w:fill="auto"/>
            <w:hideMark/>
          </w:tcPr>
          <w:p w:rsidR="005A683B" w:rsidRPr="00E03AB9" w:rsidRDefault="005A683B" w:rsidP="005A683B">
            <w:pPr>
              <w:jc w:val="center"/>
              <w:rPr>
                <w:sz w:val="20"/>
              </w:rPr>
            </w:pPr>
            <w:r w:rsidRPr="00E03AB9">
              <w:rPr>
                <w:sz w:val="20"/>
              </w:rPr>
              <w:t>38</w:t>
            </w:r>
          </w:p>
        </w:tc>
        <w:tc>
          <w:tcPr>
            <w:tcW w:w="1178" w:type="dxa"/>
            <w:shd w:val="clear" w:color="auto" w:fill="auto"/>
            <w:hideMark/>
          </w:tcPr>
          <w:p w:rsidR="005A683B" w:rsidRPr="004E4ED4" w:rsidRDefault="005A683B" w:rsidP="005A683B">
            <w:pPr>
              <w:jc w:val="center"/>
              <w:rPr>
                <w:i/>
                <w:sz w:val="20"/>
              </w:rPr>
            </w:pPr>
            <w:r w:rsidRPr="004E4ED4">
              <w:rPr>
                <w:i/>
                <w:sz w:val="20"/>
              </w:rPr>
              <w:t>57,54</w:t>
            </w:r>
          </w:p>
        </w:tc>
        <w:tc>
          <w:tcPr>
            <w:tcW w:w="1582" w:type="dxa"/>
            <w:shd w:val="clear" w:color="auto" w:fill="auto"/>
            <w:hideMark/>
          </w:tcPr>
          <w:p w:rsidR="005A683B" w:rsidRPr="004E4ED4" w:rsidRDefault="005A683B" w:rsidP="005A683B">
            <w:pPr>
              <w:jc w:val="center"/>
              <w:rPr>
                <w:i/>
                <w:sz w:val="20"/>
              </w:rPr>
            </w:pPr>
            <w:r w:rsidRPr="004E4ED4">
              <w:rPr>
                <w:i/>
                <w:sz w:val="20"/>
              </w:rPr>
              <w:t>17,30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75,52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Biobensin R cent/l</w:t>
            </w:r>
          </w:p>
        </w:tc>
        <w:tc>
          <w:tcPr>
            <w:tcW w:w="960" w:type="dxa"/>
            <w:shd w:val="clear" w:color="auto" w:fill="auto"/>
            <w:hideMark/>
          </w:tcPr>
          <w:p w:rsidR="005A683B" w:rsidRPr="00E03AB9" w:rsidRDefault="005A683B" w:rsidP="005A683B">
            <w:pPr>
              <w:jc w:val="center"/>
              <w:rPr>
                <w:sz w:val="20"/>
              </w:rPr>
            </w:pPr>
            <w:r w:rsidRPr="00E03AB9">
              <w:rPr>
                <w:sz w:val="20"/>
              </w:rPr>
              <w:t>39</w:t>
            </w:r>
          </w:p>
        </w:tc>
        <w:tc>
          <w:tcPr>
            <w:tcW w:w="1178" w:type="dxa"/>
            <w:shd w:val="clear" w:color="auto" w:fill="auto"/>
            <w:hideMark/>
          </w:tcPr>
          <w:p w:rsidR="005A683B" w:rsidRPr="004E4ED4" w:rsidRDefault="005A683B" w:rsidP="005A683B">
            <w:pPr>
              <w:jc w:val="center"/>
              <w:rPr>
                <w:i/>
                <w:sz w:val="20"/>
              </w:rPr>
            </w:pPr>
            <w:r w:rsidRPr="004E4ED4">
              <w:rPr>
                <w:i/>
                <w:sz w:val="20"/>
              </w:rPr>
              <w:t>57,54</w:t>
            </w:r>
          </w:p>
        </w:tc>
        <w:tc>
          <w:tcPr>
            <w:tcW w:w="1582" w:type="dxa"/>
            <w:shd w:val="clear" w:color="auto" w:fill="auto"/>
            <w:hideMark/>
          </w:tcPr>
          <w:p w:rsidR="005A683B" w:rsidRPr="004E4ED4" w:rsidRDefault="005A683B" w:rsidP="005A683B">
            <w:pPr>
              <w:jc w:val="center"/>
              <w:rPr>
                <w:i/>
                <w:sz w:val="20"/>
              </w:rPr>
            </w:pPr>
            <w:r w:rsidRPr="004E4ED4">
              <w:rPr>
                <w:i/>
                <w:sz w:val="20"/>
              </w:rPr>
              <w:t>8,65</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66,87</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Biobensin T cent/l</w:t>
            </w:r>
          </w:p>
        </w:tc>
        <w:tc>
          <w:tcPr>
            <w:tcW w:w="960" w:type="dxa"/>
            <w:shd w:val="clear" w:color="auto" w:fill="auto"/>
            <w:hideMark/>
          </w:tcPr>
          <w:p w:rsidR="005A683B" w:rsidRPr="00E03AB9" w:rsidRDefault="005A683B" w:rsidP="005A683B">
            <w:pPr>
              <w:jc w:val="center"/>
              <w:rPr>
                <w:sz w:val="20"/>
              </w:rPr>
            </w:pPr>
            <w:r w:rsidRPr="00E03AB9">
              <w:rPr>
                <w:sz w:val="20"/>
              </w:rPr>
              <w:t>40</w:t>
            </w:r>
          </w:p>
        </w:tc>
        <w:tc>
          <w:tcPr>
            <w:tcW w:w="1178" w:type="dxa"/>
            <w:shd w:val="clear" w:color="auto" w:fill="auto"/>
            <w:hideMark/>
          </w:tcPr>
          <w:p w:rsidR="005A683B" w:rsidRPr="004E4ED4" w:rsidRDefault="005A683B" w:rsidP="005A683B">
            <w:pPr>
              <w:jc w:val="center"/>
              <w:rPr>
                <w:i/>
                <w:sz w:val="20"/>
              </w:rPr>
            </w:pPr>
            <w:r w:rsidRPr="004E4ED4">
              <w:rPr>
                <w:i/>
                <w:sz w:val="20"/>
              </w:rPr>
              <w:t>57,54</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58,22</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Etanoldiesel cent/l</w:t>
            </w:r>
          </w:p>
        </w:tc>
        <w:tc>
          <w:tcPr>
            <w:tcW w:w="960" w:type="dxa"/>
            <w:shd w:val="clear" w:color="auto" w:fill="auto"/>
            <w:hideMark/>
          </w:tcPr>
          <w:p w:rsidR="005A683B" w:rsidRPr="00E03AB9" w:rsidRDefault="005A683B" w:rsidP="005A683B">
            <w:pPr>
              <w:jc w:val="center"/>
              <w:rPr>
                <w:sz w:val="20"/>
              </w:rPr>
            </w:pPr>
            <w:r w:rsidRPr="00E03AB9">
              <w:rPr>
                <w:sz w:val="20"/>
              </w:rPr>
              <w:t>47</w:t>
            </w:r>
          </w:p>
        </w:tc>
        <w:tc>
          <w:tcPr>
            <w:tcW w:w="1178" w:type="dxa"/>
            <w:shd w:val="clear" w:color="auto" w:fill="auto"/>
            <w:hideMark/>
          </w:tcPr>
          <w:p w:rsidR="005A683B" w:rsidRPr="004E4ED4" w:rsidRDefault="005A683B" w:rsidP="005A683B">
            <w:pPr>
              <w:jc w:val="center"/>
              <w:rPr>
                <w:i/>
                <w:sz w:val="20"/>
              </w:rPr>
            </w:pPr>
            <w:r w:rsidRPr="004E4ED4">
              <w:rPr>
                <w:i/>
                <w:sz w:val="20"/>
              </w:rPr>
              <w:t>18,70</w:t>
            </w:r>
          </w:p>
        </w:tc>
        <w:tc>
          <w:tcPr>
            <w:tcW w:w="1582" w:type="dxa"/>
            <w:shd w:val="clear" w:color="auto" w:fill="auto"/>
            <w:hideMark/>
          </w:tcPr>
          <w:p w:rsidR="005A683B" w:rsidRPr="004E4ED4" w:rsidRDefault="005A683B" w:rsidP="005A683B">
            <w:pPr>
              <w:jc w:val="center"/>
              <w:rPr>
                <w:i/>
                <w:sz w:val="20"/>
              </w:rPr>
            </w:pPr>
            <w:r w:rsidRPr="004E4ED4">
              <w:rPr>
                <w:i/>
                <w:sz w:val="20"/>
              </w:rPr>
              <w:t>11,58</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30,63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Etanoldiesel R cent/l</w:t>
            </w:r>
          </w:p>
        </w:tc>
        <w:tc>
          <w:tcPr>
            <w:tcW w:w="960" w:type="dxa"/>
            <w:shd w:val="clear" w:color="auto" w:fill="auto"/>
            <w:hideMark/>
          </w:tcPr>
          <w:p w:rsidR="005A683B" w:rsidRPr="00E03AB9" w:rsidRDefault="005A683B" w:rsidP="005A683B">
            <w:pPr>
              <w:jc w:val="center"/>
              <w:rPr>
                <w:sz w:val="20"/>
              </w:rPr>
            </w:pPr>
            <w:r w:rsidRPr="00E03AB9">
              <w:rPr>
                <w:sz w:val="20"/>
              </w:rPr>
              <w:t>48</w:t>
            </w:r>
          </w:p>
        </w:tc>
        <w:tc>
          <w:tcPr>
            <w:tcW w:w="1178" w:type="dxa"/>
            <w:shd w:val="clear" w:color="auto" w:fill="auto"/>
            <w:hideMark/>
          </w:tcPr>
          <w:p w:rsidR="005A683B" w:rsidRPr="004E4ED4" w:rsidRDefault="005A683B" w:rsidP="005A683B">
            <w:pPr>
              <w:jc w:val="center"/>
              <w:rPr>
                <w:i/>
                <w:sz w:val="20"/>
              </w:rPr>
            </w:pPr>
            <w:r w:rsidRPr="004E4ED4">
              <w:rPr>
                <w:i/>
                <w:sz w:val="20"/>
              </w:rPr>
              <w:t>18,70</w:t>
            </w:r>
          </w:p>
        </w:tc>
        <w:tc>
          <w:tcPr>
            <w:tcW w:w="1582" w:type="dxa"/>
            <w:shd w:val="clear" w:color="auto" w:fill="auto"/>
            <w:hideMark/>
          </w:tcPr>
          <w:p w:rsidR="005A683B" w:rsidRPr="004E4ED4" w:rsidRDefault="005A683B" w:rsidP="005A683B">
            <w:pPr>
              <w:jc w:val="center"/>
              <w:rPr>
                <w:i/>
                <w:sz w:val="20"/>
              </w:rPr>
            </w:pPr>
            <w:r w:rsidRPr="004E4ED4">
              <w:rPr>
                <w:i/>
                <w:sz w:val="20"/>
              </w:rPr>
              <w:t>6,36</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25,41</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Etanoldiesel T cent/l</w:t>
            </w:r>
          </w:p>
        </w:tc>
        <w:tc>
          <w:tcPr>
            <w:tcW w:w="960" w:type="dxa"/>
            <w:shd w:val="clear" w:color="auto" w:fill="auto"/>
            <w:hideMark/>
          </w:tcPr>
          <w:p w:rsidR="005A683B" w:rsidRPr="00E03AB9" w:rsidRDefault="005A683B" w:rsidP="005A683B">
            <w:pPr>
              <w:jc w:val="center"/>
              <w:rPr>
                <w:sz w:val="20"/>
              </w:rPr>
            </w:pPr>
            <w:r w:rsidRPr="00E03AB9">
              <w:rPr>
                <w:sz w:val="20"/>
              </w:rPr>
              <w:t>49</w:t>
            </w:r>
          </w:p>
        </w:tc>
        <w:tc>
          <w:tcPr>
            <w:tcW w:w="1178" w:type="dxa"/>
            <w:shd w:val="clear" w:color="auto" w:fill="auto"/>
            <w:hideMark/>
          </w:tcPr>
          <w:p w:rsidR="005A683B" w:rsidRPr="004E4ED4" w:rsidRDefault="005A683B" w:rsidP="005A683B">
            <w:pPr>
              <w:jc w:val="center"/>
              <w:rPr>
                <w:i/>
                <w:sz w:val="20"/>
              </w:rPr>
            </w:pPr>
            <w:r w:rsidRPr="004E4ED4">
              <w:rPr>
                <w:i/>
                <w:sz w:val="20"/>
              </w:rPr>
              <w:t>18,70</w:t>
            </w:r>
          </w:p>
        </w:tc>
        <w:tc>
          <w:tcPr>
            <w:tcW w:w="1582" w:type="dxa"/>
            <w:shd w:val="clear" w:color="auto" w:fill="auto"/>
            <w:hideMark/>
          </w:tcPr>
          <w:p w:rsidR="005A683B" w:rsidRPr="004E4ED4" w:rsidRDefault="005A683B" w:rsidP="005A683B">
            <w:pPr>
              <w:jc w:val="center"/>
              <w:rPr>
                <w:i/>
                <w:sz w:val="20"/>
              </w:rPr>
            </w:pPr>
            <w:r w:rsidRPr="004E4ED4">
              <w:rPr>
                <w:i/>
                <w:sz w:val="20"/>
              </w:rPr>
              <w:t>1,14</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20,19</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Dieselolja cent/l</w:t>
            </w:r>
          </w:p>
        </w:tc>
        <w:tc>
          <w:tcPr>
            <w:tcW w:w="960" w:type="dxa"/>
            <w:shd w:val="clear" w:color="auto" w:fill="auto"/>
            <w:hideMark/>
          </w:tcPr>
          <w:p w:rsidR="005A683B" w:rsidRPr="00E03AB9" w:rsidRDefault="005A683B" w:rsidP="005A683B">
            <w:pPr>
              <w:jc w:val="center"/>
              <w:rPr>
                <w:sz w:val="20"/>
              </w:rPr>
            </w:pPr>
            <w:r w:rsidRPr="00E03AB9">
              <w:rPr>
                <w:sz w:val="20"/>
              </w:rPr>
              <w:t>50</w:t>
            </w:r>
          </w:p>
        </w:tc>
        <w:tc>
          <w:tcPr>
            <w:tcW w:w="1178" w:type="dxa"/>
            <w:shd w:val="clear" w:color="auto" w:fill="auto"/>
            <w:hideMark/>
          </w:tcPr>
          <w:p w:rsidR="005A683B" w:rsidRPr="004E4ED4" w:rsidRDefault="005A683B" w:rsidP="005A683B">
            <w:pPr>
              <w:jc w:val="center"/>
              <w:rPr>
                <w:i/>
                <w:sz w:val="20"/>
              </w:rPr>
            </w:pPr>
            <w:r w:rsidRPr="004E4ED4">
              <w:rPr>
                <w:i/>
                <w:sz w:val="20"/>
              </w:rPr>
              <w:t>38,78</w:t>
            </w:r>
          </w:p>
        </w:tc>
        <w:tc>
          <w:tcPr>
            <w:tcW w:w="1582" w:type="dxa"/>
            <w:shd w:val="clear" w:color="auto" w:fill="auto"/>
            <w:hideMark/>
          </w:tcPr>
          <w:p w:rsidR="005A683B" w:rsidRPr="004E4ED4" w:rsidRDefault="005A683B" w:rsidP="005A683B">
            <w:pPr>
              <w:jc w:val="center"/>
              <w:rPr>
                <w:i/>
                <w:sz w:val="20"/>
              </w:rPr>
            </w:pPr>
            <w:r w:rsidRPr="004E4ED4">
              <w:rPr>
                <w:i/>
                <w:sz w:val="20"/>
              </w:rPr>
              <w:t>19,78</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58,91</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Dieselolja para cent/l</w:t>
            </w:r>
          </w:p>
        </w:tc>
        <w:tc>
          <w:tcPr>
            <w:tcW w:w="960" w:type="dxa"/>
            <w:shd w:val="clear" w:color="auto" w:fill="auto"/>
            <w:hideMark/>
          </w:tcPr>
          <w:p w:rsidR="005A683B" w:rsidRPr="00E03AB9" w:rsidRDefault="005A683B" w:rsidP="005A683B">
            <w:pPr>
              <w:jc w:val="center"/>
              <w:rPr>
                <w:sz w:val="20"/>
              </w:rPr>
            </w:pPr>
            <w:r w:rsidRPr="00E03AB9">
              <w:rPr>
                <w:sz w:val="20"/>
              </w:rPr>
              <w:t>51</w:t>
            </w:r>
          </w:p>
        </w:tc>
        <w:tc>
          <w:tcPr>
            <w:tcW w:w="1178" w:type="dxa"/>
            <w:shd w:val="clear" w:color="auto" w:fill="auto"/>
            <w:hideMark/>
          </w:tcPr>
          <w:p w:rsidR="005A683B" w:rsidRPr="004E4ED4" w:rsidRDefault="005A683B" w:rsidP="005A683B">
            <w:pPr>
              <w:jc w:val="center"/>
              <w:rPr>
                <w:i/>
                <w:sz w:val="20"/>
              </w:rPr>
            </w:pPr>
            <w:r w:rsidRPr="004E4ED4">
              <w:rPr>
                <w:i/>
                <w:sz w:val="20"/>
              </w:rPr>
              <w:t>31,62</w:t>
            </w:r>
          </w:p>
        </w:tc>
        <w:tc>
          <w:tcPr>
            <w:tcW w:w="1582" w:type="dxa"/>
            <w:shd w:val="clear" w:color="auto" w:fill="auto"/>
            <w:hideMark/>
          </w:tcPr>
          <w:p w:rsidR="005A683B" w:rsidRPr="004E4ED4" w:rsidRDefault="005A683B" w:rsidP="005A683B">
            <w:pPr>
              <w:jc w:val="center"/>
              <w:rPr>
                <w:i/>
                <w:sz w:val="20"/>
              </w:rPr>
            </w:pPr>
            <w:r w:rsidRPr="004E4ED4">
              <w:rPr>
                <w:i/>
                <w:sz w:val="20"/>
              </w:rPr>
              <w:t>18,68</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50,65</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cent/l</w:t>
            </w:r>
          </w:p>
        </w:tc>
        <w:tc>
          <w:tcPr>
            <w:tcW w:w="960" w:type="dxa"/>
            <w:shd w:val="clear" w:color="auto" w:fill="auto"/>
            <w:hideMark/>
          </w:tcPr>
          <w:p w:rsidR="005A683B" w:rsidRPr="00E03AB9" w:rsidRDefault="005A683B" w:rsidP="005A683B">
            <w:pPr>
              <w:jc w:val="center"/>
              <w:rPr>
                <w:sz w:val="20"/>
              </w:rPr>
            </w:pPr>
            <w:r w:rsidRPr="00E03AB9">
              <w:rPr>
                <w:sz w:val="20"/>
              </w:rPr>
              <w:t>52</w:t>
            </w:r>
          </w:p>
        </w:tc>
        <w:tc>
          <w:tcPr>
            <w:tcW w:w="1178" w:type="dxa"/>
            <w:shd w:val="clear" w:color="auto" w:fill="auto"/>
            <w:hideMark/>
          </w:tcPr>
          <w:p w:rsidR="005A683B" w:rsidRPr="004E4ED4" w:rsidRDefault="005A683B" w:rsidP="005A683B">
            <w:pPr>
              <w:jc w:val="center"/>
              <w:rPr>
                <w:i/>
                <w:sz w:val="20"/>
              </w:rPr>
            </w:pPr>
            <w:r w:rsidRPr="004E4ED4">
              <w:rPr>
                <w:i/>
                <w:sz w:val="20"/>
              </w:rPr>
              <w:t>35,55</w:t>
            </w:r>
          </w:p>
        </w:tc>
        <w:tc>
          <w:tcPr>
            <w:tcW w:w="1582" w:type="dxa"/>
            <w:shd w:val="clear" w:color="auto" w:fill="auto"/>
            <w:hideMark/>
          </w:tcPr>
          <w:p w:rsidR="005A683B" w:rsidRPr="004E4ED4" w:rsidRDefault="005A683B" w:rsidP="005A683B">
            <w:pPr>
              <w:jc w:val="center"/>
              <w:rPr>
                <w:i/>
                <w:sz w:val="20"/>
              </w:rPr>
            </w:pPr>
            <w:r w:rsidRPr="004E4ED4">
              <w:rPr>
                <w:i/>
                <w:sz w:val="20"/>
              </w:rPr>
              <w:t>18,13</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54,03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R cent/l</w:t>
            </w:r>
          </w:p>
        </w:tc>
        <w:tc>
          <w:tcPr>
            <w:tcW w:w="960" w:type="dxa"/>
            <w:shd w:val="clear" w:color="auto" w:fill="auto"/>
            <w:hideMark/>
          </w:tcPr>
          <w:p w:rsidR="005A683B" w:rsidRPr="00E03AB9" w:rsidRDefault="005A683B" w:rsidP="005A683B">
            <w:pPr>
              <w:jc w:val="center"/>
              <w:rPr>
                <w:sz w:val="20"/>
              </w:rPr>
            </w:pPr>
            <w:r w:rsidRPr="00E03AB9">
              <w:rPr>
                <w:sz w:val="20"/>
              </w:rPr>
              <w:t>53</w:t>
            </w:r>
          </w:p>
        </w:tc>
        <w:tc>
          <w:tcPr>
            <w:tcW w:w="1178" w:type="dxa"/>
            <w:shd w:val="clear" w:color="auto" w:fill="auto"/>
            <w:hideMark/>
          </w:tcPr>
          <w:p w:rsidR="005A683B" w:rsidRPr="004E4ED4" w:rsidRDefault="005A683B" w:rsidP="005A683B">
            <w:pPr>
              <w:jc w:val="center"/>
              <w:rPr>
                <w:i/>
                <w:sz w:val="20"/>
              </w:rPr>
            </w:pPr>
            <w:r w:rsidRPr="004E4ED4">
              <w:rPr>
                <w:i/>
                <w:sz w:val="20"/>
              </w:rPr>
              <w:t>35,55</w:t>
            </w:r>
          </w:p>
        </w:tc>
        <w:tc>
          <w:tcPr>
            <w:tcW w:w="1582" w:type="dxa"/>
            <w:shd w:val="clear" w:color="auto" w:fill="auto"/>
            <w:hideMark/>
          </w:tcPr>
          <w:p w:rsidR="005A683B" w:rsidRPr="004E4ED4" w:rsidRDefault="005A683B" w:rsidP="005A683B">
            <w:pPr>
              <w:jc w:val="center"/>
              <w:rPr>
                <w:i/>
                <w:sz w:val="20"/>
              </w:rPr>
            </w:pPr>
            <w:r w:rsidRPr="004E4ED4">
              <w:rPr>
                <w:i/>
                <w:sz w:val="20"/>
              </w:rPr>
              <w:t>9,06</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44,96</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T cent/l</w:t>
            </w:r>
          </w:p>
        </w:tc>
        <w:tc>
          <w:tcPr>
            <w:tcW w:w="960" w:type="dxa"/>
            <w:shd w:val="clear" w:color="auto" w:fill="auto"/>
            <w:hideMark/>
          </w:tcPr>
          <w:p w:rsidR="005A683B" w:rsidRPr="00E03AB9" w:rsidRDefault="005A683B" w:rsidP="005A683B">
            <w:pPr>
              <w:jc w:val="center"/>
              <w:rPr>
                <w:sz w:val="20"/>
              </w:rPr>
            </w:pPr>
            <w:r w:rsidRPr="00E03AB9">
              <w:rPr>
                <w:sz w:val="20"/>
              </w:rPr>
              <w:t>54</w:t>
            </w:r>
          </w:p>
        </w:tc>
        <w:tc>
          <w:tcPr>
            <w:tcW w:w="1178" w:type="dxa"/>
            <w:shd w:val="clear" w:color="auto" w:fill="auto"/>
            <w:hideMark/>
          </w:tcPr>
          <w:p w:rsidR="005A683B" w:rsidRPr="004E4ED4" w:rsidRDefault="005A683B" w:rsidP="005A683B">
            <w:pPr>
              <w:jc w:val="center"/>
              <w:rPr>
                <w:i/>
                <w:sz w:val="20"/>
              </w:rPr>
            </w:pPr>
            <w:r w:rsidRPr="004E4ED4">
              <w:rPr>
                <w:i/>
                <w:sz w:val="20"/>
              </w:rPr>
              <w:t>35,55</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E03AB9" w:rsidRDefault="005A683B" w:rsidP="005A683B">
            <w:pPr>
              <w:jc w:val="center"/>
              <w:rPr>
                <w:sz w:val="20"/>
              </w:rPr>
            </w:pPr>
            <w:r w:rsidRPr="00E03AB9">
              <w:rPr>
                <w:sz w:val="20"/>
              </w:rPr>
              <w:t>35,90</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Biodieselolja P cent/l</w:t>
            </w:r>
          </w:p>
        </w:tc>
        <w:tc>
          <w:tcPr>
            <w:tcW w:w="960" w:type="dxa"/>
            <w:shd w:val="clear" w:color="auto" w:fill="auto"/>
            <w:hideMark/>
          </w:tcPr>
          <w:p w:rsidR="005A683B" w:rsidRPr="00E03AB9" w:rsidRDefault="005A683B" w:rsidP="005A683B">
            <w:pPr>
              <w:jc w:val="center"/>
              <w:rPr>
                <w:sz w:val="20"/>
              </w:rPr>
            </w:pPr>
            <w:r w:rsidRPr="00E03AB9">
              <w:rPr>
                <w:sz w:val="20"/>
              </w:rPr>
              <w:t>55</w:t>
            </w:r>
          </w:p>
        </w:tc>
        <w:tc>
          <w:tcPr>
            <w:tcW w:w="1178" w:type="dxa"/>
            <w:shd w:val="clear" w:color="auto" w:fill="auto"/>
            <w:hideMark/>
          </w:tcPr>
          <w:p w:rsidR="005A683B" w:rsidRPr="004E4ED4" w:rsidRDefault="005A683B" w:rsidP="005A683B">
            <w:pPr>
              <w:jc w:val="center"/>
              <w:rPr>
                <w:i/>
                <w:sz w:val="20"/>
              </w:rPr>
            </w:pPr>
            <w:r w:rsidRPr="004E4ED4">
              <w:rPr>
                <w:i/>
                <w:sz w:val="20"/>
              </w:rPr>
              <w:t>31,62</w:t>
            </w:r>
          </w:p>
        </w:tc>
        <w:tc>
          <w:tcPr>
            <w:tcW w:w="1582" w:type="dxa"/>
            <w:shd w:val="clear" w:color="auto" w:fill="auto"/>
            <w:hideMark/>
          </w:tcPr>
          <w:p w:rsidR="005A683B" w:rsidRPr="004E4ED4" w:rsidRDefault="005A683B" w:rsidP="005A683B">
            <w:pPr>
              <w:jc w:val="center"/>
              <w:rPr>
                <w:i/>
                <w:sz w:val="20"/>
              </w:rPr>
            </w:pPr>
            <w:r w:rsidRPr="004E4ED4">
              <w:rPr>
                <w:i/>
                <w:sz w:val="20"/>
              </w:rPr>
              <w:t>18,68</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50,65</w:t>
            </w:r>
          </w:p>
        </w:tc>
      </w:tr>
      <w:tr w:rsidR="005A683B" w:rsidRPr="00E03AB9" w:rsidTr="005A683B">
        <w:trPr>
          <w:trHeight w:val="260"/>
        </w:trPr>
        <w:tc>
          <w:tcPr>
            <w:tcW w:w="2540" w:type="dxa"/>
            <w:shd w:val="clear" w:color="auto" w:fill="auto"/>
            <w:hideMark/>
          </w:tcPr>
          <w:p w:rsidR="005A683B" w:rsidRPr="00E03AB9" w:rsidRDefault="005A683B" w:rsidP="005A683B">
            <w:pPr>
              <w:rPr>
                <w:sz w:val="20"/>
                <w:lang w:val="en-US"/>
              </w:rPr>
            </w:pPr>
            <w:proofErr w:type="spellStart"/>
            <w:r w:rsidRPr="00E03AB9">
              <w:rPr>
                <w:sz w:val="20"/>
                <w:lang w:val="en-US"/>
              </w:rPr>
              <w:t>Biodieselolja</w:t>
            </w:r>
            <w:proofErr w:type="spellEnd"/>
            <w:r w:rsidRPr="00E03AB9">
              <w:rPr>
                <w:sz w:val="20"/>
                <w:lang w:val="en-US"/>
              </w:rPr>
              <w:t xml:space="preserve"> P R cent/l</w:t>
            </w:r>
          </w:p>
        </w:tc>
        <w:tc>
          <w:tcPr>
            <w:tcW w:w="960" w:type="dxa"/>
            <w:shd w:val="clear" w:color="auto" w:fill="auto"/>
            <w:hideMark/>
          </w:tcPr>
          <w:p w:rsidR="005A683B" w:rsidRPr="00E03AB9" w:rsidRDefault="005A683B" w:rsidP="005A683B">
            <w:pPr>
              <w:jc w:val="center"/>
              <w:rPr>
                <w:sz w:val="20"/>
              </w:rPr>
            </w:pPr>
            <w:r w:rsidRPr="00E03AB9">
              <w:rPr>
                <w:sz w:val="20"/>
              </w:rPr>
              <w:t>56</w:t>
            </w:r>
          </w:p>
        </w:tc>
        <w:tc>
          <w:tcPr>
            <w:tcW w:w="1178" w:type="dxa"/>
            <w:shd w:val="clear" w:color="auto" w:fill="auto"/>
            <w:hideMark/>
          </w:tcPr>
          <w:p w:rsidR="005A683B" w:rsidRPr="004E4ED4" w:rsidRDefault="005A683B" w:rsidP="005A683B">
            <w:pPr>
              <w:jc w:val="center"/>
              <w:rPr>
                <w:i/>
                <w:sz w:val="20"/>
              </w:rPr>
            </w:pPr>
            <w:r w:rsidRPr="004E4ED4">
              <w:rPr>
                <w:i/>
                <w:sz w:val="20"/>
              </w:rPr>
              <w:t>31,62</w:t>
            </w:r>
          </w:p>
        </w:tc>
        <w:tc>
          <w:tcPr>
            <w:tcW w:w="1582" w:type="dxa"/>
            <w:shd w:val="clear" w:color="auto" w:fill="auto"/>
            <w:hideMark/>
          </w:tcPr>
          <w:p w:rsidR="005A683B" w:rsidRPr="004E4ED4" w:rsidRDefault="005A683B" w:rsidP="005A683B">
            <w:pPr>
              <w:jc w:val="center"/>
              <w:rPr>
                <w:i/>
                <w:sz w:val="20"/>
              </w:rPr>
            </w:pPr>
            <w:r w:rsidRPr="004E4ED4">
              <w:rPr>
                <w:i/>
                <w:sz w:val="20"/>
              </w:rPr>
              <w:t>9,34</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41,31</w:t>
            </w:r>
          </w:p>
        </w:tc>
      </w:tr>
      <w:tr w:rsidR="005A683B" w:rsidRPr="00E03AB9" w:rsidTr="005A683B">
        <w:trPr>
          <w:trHeight w:val="260"/>
        </w:trPr>
        <w:tc>
          <w:tcPr>
            <w:tcW w:w="2540" w:type="dxa"/>
            <w:shd w:val="clear" w:color="auto" w:fill="auto"/>
            <w:hideMark/>
          </w:tcPr>
          <w:p w:rsidR="005A683B" w:rsidRPr="00E03AB9" w:rsidRDefault="005A683B" w:rsidP="005A683B">
            <w:pPr>
              <w:rPr>
                <w:sz w:val="20"/>
                <w:lang w:val="en-US"/>
              </w:rPr>
            </w:pPr>
            <w:proofErr w:type="spellStart"/>
            <w:r w:rsidRPr="00E03AB9">
              <w:rPr>
                <w:sz w:val="20"/>
                <w:lang w:val="en-US"/>
              </w:rPr>
              <w:t>Biodieselolja</w:t>
            </w:r>
            <w:proofErr w:type="spellEnd"/>
            <w:r w:rsidRPr="00E03AB9">
              <w:rPr>
                <w:sz w:val="20"/>
                <w:lang w:val="en-US"/>
              </w:rPr>
              <w:t xml:space="preserve"> P T cent/l</w:t>
            </w:r>
          </w:p>
        </w:tc>
        <w:tc>
          <w:tcPr>
            <w:tcW w:w="960" w:type="dxa"/>
            <w:shd w:val="clear" w:color="auto" w:fill="auto"/>
            <w:hideMark/>
          </w:tcPr>
          <w:p w:rsidR="005A683B" w:rsidRPr="00E03AB9" w:rsidRDefault="005A683B" w:rsidP="005A683B">
            <w:pPr>
              <w:jc w:val="center"/>
              <w:rPr>
                <w:sz w:val="20"/>
              </w:rPr>
            </w:pPr>
            <w:r w:rsidRPr="00E03AB9">
              <w:rPr>
                <w:sz w:val="20"/>
              </w:rPr>
              <w:t>57</w:t>
            </w:r>
          </w:p>
        </w:tc>
        <w:tc>
          <w:tcPr>
            <w:tcW w:w="1178" w:type="dxa"/>
            <w:shd w:val="clear" w:color="auto" w:fill="auto"/>
            <w:hideMark/>
          </w:tcPr>
          <w:p w:rsidR="005A683B" w:rsidRPr="00E03AB9" w:rsidRDefault="005A683B" w:rsidP="005A683B">
            <w:pPr>
              <w:jc w:val="center"/>
              <w:rPr>
                <w:sz w:val="20"/>
              </w:rPr>
            </w:pPr>
            <w:r w:rsidRPr="00E03AB9">
              <w:rPr>
                <w:sz w:val="20"/>
              </w:rPr>
              <w:t>31,62</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31,97</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Lätt brännolja cent/l</w:t>
            </w:r>
          </w:p>
        </w:tc>
        <w:tc>
          <w:tcPr>
            <w:tcW w:w="960" w:type="dxa"/>
            <w:shd w:val="clear" w:color="auto" w:fill="auto"/>
            <w:hideMark/>
          </w:tcPr>
          <w:p w:rsidR="005A683B" w:rsidRPr="00E03AB9" w:rsidRDefault="005A683B" w:rsidP="005A683B">
            <w:pPr>
              <w:jc w:val="center"/>
              <w:rPr>
                <w:sz w:val="20"/>
              </w:rPr>
            </w:pPr>
            <w:r w:rsidRPr="00E03AB9">
              <w:rPr>
                <w:sz w:val="20"/>
              </w:rPr>
              <w:t>60</w:t>
            </w:r>
          </w:p>
        </w:tc>
        <w:tc>
          <w:tcPr>
            <w:tcW w:w="1178" w:type="dxa"/>
            <w:shd w:val="clear" w:color="auto" w:fill="auto"/>
            <w:hideMark/>
          </w:tcPr>
          <w:p w:rsidR="005A683B" w:rsidRPr="00E03AB9" w:rsidRDefault="005A683B" w:rsidP="005A683B">
            <w:pPr>
              <w:jc w:val="center"/>
              <w:rPr>
                <w:sz w:val="20"/>
              </w:rPr>
            </w:pPr>
            <w:r w:rsidRPr="00E03AB9">
              <w:rPr>
                <w:sz w:val="20"/>
              </w:rPr>
              <w:t>10,28</w:t>
            </w:r>
          </w:p>
        </w:tc>
        <w:tc>
          <w:tcPr>
            <w:tcW w:w="1582" w:type="dxa"/>
            <w:shd w:val="clear" w:color="auto" w:fill="auto"/>
            <w:hideMark/>
          </w:tcPr>
          <w:p w:rsidR="005A683B" w:rsidRPr="00E03AB9" w:rsidRDefault="005A683B" w:rsidP="005A683B">
            <w:pPr>
              <w:jc w:val="center"/>
              <w:rPr>
                <w:sz w:val="20"/>
              </w:rPr>
            </w:pPr>
            <w:r w:rsidRPr="00E03AB9">
              <w:rPr>
                <w:sz w:val="20"/>
              </w:rPr>
              <w:t>16,90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E03AB9" w:rsidRDefault="005A683B" w:rsidP="005A683B">
            <w:pPr>
              <w:jc w:val="center"/>
              <w:rPr>
                <w:sz w:val="20"/>
              </w:rPr>
            </w:pPr>
            <w:r w:rsidRPr="00E03AB9">
              <w:rPr>
                <w:sz w:val="20"/>
              </w:rPr>
              <w:t>27,53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Lätt brännolja, svavelfri cent/l</w:t>
            </w:r>
          </w:p>
        </w:tc>
        <w:tc>
          <w:tcPr>
            <w:tcW w:w="960" w:type="dxa"/>
            <w:shd w:val="clear" w:color="auto" w:fill="auto"/>
            <w:hideMark/>
          </w:tcPr>
          <w:p w:rsidR="005A683B" w:rsidRPr="00E03AB9" w:rsidRDefault="005A683B" w:rsidP="005A683B">
            <w:pPr>
              <w:jc w:val="center"/>
              <w:rPr>
                <w:sz w:val="20"/>
              </w:rPr>
            </w:pPr>
            <w:r w:rsidRPr="00E03AB9">
              <w:rPr>
                <w:sz w:val="20"/>
              </w:rPr>
              <w:t>61</w:t>
            </w:r>
          </w:p>
        </w:tc>
        <w:tc>
          <w:tcPr>
            <w:tcW w:w="1178" w:type="dxa"/>
            <w:shd w:val="clear" w:color="auto" w:fill="auto"/>
            <w:hideMark/>
          </w:tcPr>
          <w:p w:rsidR="005A683B" w:rsidRPr="00E03AB9" w:rsidRDefault="005A683B" w:rsidP="005A683B">
            <w:pPr>
              <w:jc w:val="center"/>
              <w:rPr>
                <w:sz w:val="20"/>
              </w:rPr>
            </w:pPr>
            <w:r w:rsidRPr="00E03AB9">
              <w:rPr>
                <w:sz w:val="20"/>
              </w:rPr>
              <w:t>7,63</w:t>
            </w:r>
          </w:p>
        </w:tc>
        <w:tc>
          <w:tcPr>
            <w:tcW w:w="1582" w:type="dxa"/>
            <w:shd w:val="clear" w:color="auto" w:fill="auto"/>
            <w:hideMark/>
          </w:tcPr>
          <w:p w:rsidR="005A683B" w:rsidRPr="00E03AB9" w:rsidRDefault="005A683B" w:rsidP="005A683B">
            <w:pPr>
              <w:jc w:val="center"/>
              <w:rPr>
                <w:sz w:val="20"/>
              </w:rPr>
            </w:pPr>
            <w:r w:rsidRPr="00E03AB9">
              <w:rPr>
                <w:sz w:val="20"/>
              </w:rPr>
              <w:t>16,90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E03AB9" w:rsidRDefault="005A683B" w:rsidP="005A683B">
            <w:pPr>
              <w:jc w:val="center"/>
              <w:rPr>
                <w:sz w:val="20"/>
              </w:rPr>
            </w:pPr>
            <w:r w:rsidRPr="00E03AB9">
              <w:rPr>
                <w:sz w:val="20"/>
              </w:rPr>
              <w:t>24,88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Biobrännolja cent/l</w:t>
            </w:r>
          </w:p>
        </w:tc>
        <w:tc>
          <w:tcPr>
            <w:tcW w:w="960" w:type="dxa"/>
            <w:shd w:val="clear" w:color="auto" w:fill="auto"/>
            <w:hideMark/>
          </w:tcPr>
          <w:p w:rsidR="005A683B" w:rsidRPr="00E03AB9" w:rsidRDefault="005A683B" w:rsidP="005A683B">
            <w:pPr>
              <w:jc w:val="center"/>
              <w:rPr>
                <w:sz w:val="20"/>
              </w:rPr>
            </w:pPr>
            <w:r w:rsidRPr="00E03AB9">
              <w:rPr>
                <w:sz w:val="20"/>
              </w:rPr>
              <w:t>62</w:t>
            </w:r>
          </w:p>
        </w:tc>
        <w:tc>
          <w:tcPr>
            <w:tcW w:w="1178" w:type="dxa"/>
            <w:shd w:val="clear" w:color="auto" w:fill="auto"/>
            <w:hideMark/>
          </w:tcPr>
          <w:p w:rsidR="005A683B" w:rsidRPr="00E03AB9" w:rsidRDefault="005A683B" w:rsidP="005A683B">
            <w:pPr>
              <w:jc w:val="center"/>
              <w:rPr>
                <w:sz w:val="20"/>
              </w:rPr>
            </w:pPr>
            <w:r w:rsidRPr="00E03AB9">
              <w:rPr>
                <w:sz w:val="20"/>
              </w:rPr>
              <w:t>7,63</w:t>
            </w:r>
          </w:p>
        </w:tc>
        <w:tc>
          <w:tcPr>
            <w:tcW w:w="1582" w:type="dxa"/>
            <w:shd w:val="clear" w:color="auto" w:fill="auto"/>
            <w:hideMark/>
          </w:tcPr>
          <w:p w:rsidR="005A683B" w:rsidRPr="00E03AB9" w:rsidRDefault="005A683B" w:rsidP="005A683B">
            <w:pPr>
              <w:jc w:val="center"/>
              <w:rPr>
                <w:sz w:val="20"/>
              </w:rPr>
            </w:pPr>
            <w:r w:rsidRPr="00E03AB9">
              <w:rPr>
                <w:sz w:val="20"/>
              </w:rPr>
              <w:t>16,90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E03AB9" w:rsidRDefault="005A683B" w:rsidP="005A683B">
            <w:pPr>
              <w:jc w:val="center"/>
              <w:rPr>
                <w:sz w:val="20"/>
              </w:rPr>
            </w:pPr>
            <w:r w:rsidRPr="00E03AB9">
              <w:rPr>
                <w:sz w:val="20"/>
              </w:rPr>
              <w:t>24,88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Biobrännolja R cent/l</w:t>
            </w:r>
          </w:p>
        </w:tc>
        <w:tc>
          <w:tcPr>
            <w:tcW w:w="960" w:type="dxa"/>
            <w:shd w:val="clear" w:color="auto" w:fill="auto"/>
            <w:hideMark/>
          </w:tcPr>
          <w:p w:rsidR="005A683B" w:rsidRPr="00E03AB9" w:rsidRDefault="005A683B" w:rsidP="005A683B">
            <w:pPr>
              <w:jc w:val="center"/>
              <w:rPr>
                <w:sz w:val="20"/>
              </w:rPr>
            </w:pPr>
            <w:r w:rsidRPr="00E03AB9">
              <w:rPr>
                <w:sz w:val="20"/>
              </w:rPr>
              <w:t>63</w:t>
            </w:r>
          </w:p>
        </w:tc>
        <w:tc>
          <w:tcPr>
            <w:tcW w:w="1178" w:type="dxa"/>
            <w:shd w:val="clear" w:color="auto" w:fill="auto"/>
            <w:hideMark/>
          </w:tcPr>
          <w:p w:rsidR="005A683B" w:rsidRPr="00E03AB9" w:rsidRDefault="005A683B" w:rsidP="005A683B">
            <w:pPr>
              <w:jc w:val="center"/>
              <w:rPr>
                <w:sz w:val="20"/>
              </w:rPr>
            </w:pPr>
            <w:r w:rsidRPr="00E03AB9">
              <w:rPr>
                <w:sz w:val="20"/>
              </w:rPr>
              <w:t>7,63</w:t>
            </w:r>
          </w:p>
        </w:tc>
        <w:tc>
          <w:tcPr>
            <w:tcW w:w="1582" w:type="dxa"/>
            <w:shd w:val="clear" w:color="auto" w:fill="auto"/>
            <w:hideMark/>
          </w:tcPr>
          <w:p w:rsidR="005A683B" w:rsidRPr="00E03AB9" w:rsidRDefault="005A683B" w:rsidP="005A683B">
            <w:pPr>
              <w:jc w:val="center"/>
              <w:rPr>
                <w:sz w:val="20"/>
              </w:rPr>
            </w:pPr>
            <w:r w:rsidRPr="00E03AB9">
              <w:rPr>
                <w:sz w:val="20"/>
              </w:rPr>
              <w:t>8,45</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E03AB9" w:rsidRDefault="005A683B" w:rsidP="005A683B">
            <w:pPr>
              <w:jc w:val="center"/>
              <w:rPr>
                <w:sz w:val="20"/>
              </w:rPr>
            </w:pPr>
            <w:r w:rsidRPr="00E03AB9">
              <w:rPr>
                <w:sz w:val="20"/>
              </w:rPr>
              <w:t>16,43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Biobrännolja T cent/l</w:t>
            </w:r>
          </w:p>
        </w:tc>
        <w:tc>
          <w:tcPr>
            <w:tcW w:w="960" w:type="dxa"/>
            <w:shd w:val="clear" w:color="auto" w:fill="auto"/>
            <w:hideMark/>
          </w:tcPr>
          <w:p w:rsidR="005A683B" w:rsidRPr="00E03AB9" w:rsidRDefault="005A683B" w:rsidP="005A683B">
            <w:pPr>
              <w:jc w:val="center"/>
              <w:rPr>
                <w:sz w:val="20"/>
              </w:rPr>
            </w:pPr>
            <w:r w:rsidRPr="00E03AB9">
              <w:rPr>
                <w:sz w:val="20"/>
              </w:rPr>
              <w:t>64</w:t>
            </w:r>
          </w:p>
        </w:tc>
        <w:tc>
          <w:tcPr>
            <w:tcW w:w="1178" w:type="dxa"/>
            <w:shd w:val="clear" w:color="auto" w:fill="auto"/>
            <w:hideMark/>
          </w:tcPr>
          <w:p w:rsidR="005A683B" w:rsidRPr="00E03AB9" w:rsidRDefault="005A683B" w:rsidP="005A683B">
            <w:pPr>
              <w:jc w:val="center"/>
              <w:rPr>
                <w:sz w:val="20"/>
              </w:rPr>
            </w:pPr>
            <w:r w:rsidRPr="00E03AB9">
              <w:rPr>
                <w:sz w:val="20"/>
              </w:rPr>
              <w:t>7,63</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E03AB9" w:rsidRDefault="005A683B" w:rsidP="005A683B">
            <w:pPr>
              <w:jc w:val="center"/>
              <w:rPr>
                <w:sz w:val="20"/>
              </w:rPr>
            </w:pPr>
            <w:r w:rsidRPr="00E03AB9">
              <w:rPr>
                <w:sz w:val="20"/>
              </w:rPr>
              <w:t>7,98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Tung brännolja cent/kg</w:t>
            </w:r>
          </w:p>
        </w:tc>
        <w:tc>
          <w:tcPr>
            <w:tcW w:w="960" w:type="dxa"/>
            <w:shd w:val="clear" w:color="auto" w:fill="auto"/>
            <w:hideMark/>
          </w:tcPr>
          <w:p w:rsidR="005A683B" w:rsidRPr="00E03AB9" w:rsidRDefault="005A683B" w:rsidP="005A683B">
            <w:pPr>
              <w:jc w:val="center"/>
              <w:rPr>
                <w:sz w:val="20"/>
              </w:rPr>
            </w:pPr>
            <w:r w:rsidRPr="00E03AB9">
              <w:rPr>
                <w:sz w:val="20"/>
              </w:rPr>
              <w:t>71</w:t>
            </w:r>
          </w:p>
        </w:tc>
        <w:tc>
          <w:tcPr>
            <w:tcW w:w="1178" w:type="dxa"/>
            <w:shd w:val="clear" w:color="auto" w:fill="auto"/>
            <w:hideMark/>
          </w:tcPr>
          <w:p w:rsidR="005A683B" w:rsidRPr="00E03AB9" w:rsidRDefault="005A683B" w:rsidP="005A683B">
            <w:pPr>
              <w:jc w:val="center"/>
              <w:rPr>
                <w:sz w:val="20"/>
              </w:rPr>
            </w:pPr>
            <w:r w:rsidRPr="00E03AB9">
              <w:rPr>
                <w:sz w:val="20"/>
              </w:rPr>
              <w:t>8,56</w:t>
            </w:r>
          </w:p>
        </w:tc>
        <w:tc>
          <w:tcPr>
            <w:tcW w:w="1582" w:type="dxa"/>
            <w:shd w:val="clear" w:color="auto" w:fill="auto"/>
            <w:hideMark/>
          </w:tcPr>
          <w:p w:rsidR="005A683B" w:rsidRPr="00E03AB9" w:rsidRDefault="005A683B" w:rsidP="005A683B">
            <w:pPr>
              <w:jc w:val="center"/>
              <w:rPr>
                <w:sz w:val="20"/>
              </w:rPr>
            </w:pPr>
            <w:r w:rsidRPr="00E03AB9">
              <w:rPr>
                <w:sz w:val="20"/>
              </w:rPr>
              <w:t>18,67</w:t>
            </w:r>
          </w:p>
        </w:tc>
        <w:tc>
          <w:tcPr>
            <w:tcW w:w="1160" w:type="dxa"/>
            <w:shd w:val="clear" w:color="auto" w:fill="auto"/>
            <w:hideMark/>
          </w:tcPr>
          <w:p w:rsidR="005A683B" w:rsidRPr="00E03AB9" w:rsidRDefault="005A683B" w:rsidP="005A683B">
            <w:pPr>
              <w:jc w:val="center"/>
              <w:rPr>
                <w:sz w:val="20"/>
              </w:rPr>
            </w:pPr>
            <w:r w:rsidRPr="00E03AB9">
              <w:rPr>
                <w:sz w:val="20"/>
              </w:rPr>
              <w:t>0,28</w:t>
            </w:r>
          </w:p>
        </w:tc>
        <w:tc>
          <w:tcPr>
            <w:tcW w:w="960" w:type="dxa"/>
            <w:shd w:val="clear" w:color="auto" w:fill="auto"/>
            <w:hideMark/>
          </w:tcPr>
          <w:p w:rsidR="005A683B" w:rsidRPr="00E03AB9" w:rsidRDefault="005A683B" w:rsidP="005A683B">
            <w:pPr>
              <w:jc w:val="center"/>
              <w:rPr>
                <w:sz w:val="20"/>
              </w:rPr>
            </w:pPr>
            <w:r w:rsidRPr="00E03AB9">
              <w:rPr>
                <w:sz w:val="20"/>
              </w:rPr>
              <w:t>27,51</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Flygpetroleum cent/l</w:t>
            </w:r>
          </w:p>
        </w:tc>
        <w:tc>
          <w:tcPr>
            <w:tcW w:w="960" w:type="dxa"/>
            <w:shd w:val="clear" w:color="auto" w:fill="auto"/>
            <w:hideMark/>
          </w:tcPr>
          <w:p w:rsidR="005A683B" w:rsidRPr="00E03AB9" w:rsidRDefault="005A683B" w:rsidP="005A683B">
            <w:pPr>
              <w:jc w:val="center"/>
              <w:rPr>
                <w:sz w:val="20"/>
              </w:rPr>
            </w:pPr>
            <w:r w:rsidRPr="00E03AB9">
              <w:rPr>
                <w:sz w:val="20"/>
              </w:rPr>
              <w:t>81</w:t>
            </w:r>
          </w:p>
        </w:tc>
        <w:tc>
          <w:tcPr>
            <w:tcW w:w="1178" w:type="dxa"/>
            <w:shd w:val="clear" w:color="auto" w:fill="auto"/>
            <w:hideMark/>
          </w:tcPr>
          <w:p w:rsidR="005A683B" w:rsidRPr="004E4ED4" w:rsidRDefault="005A683B" w:rsidP="005A683B">
            <w:pPr>
              <w:jc w:val="center"/>
              <w:rPr>
                <w:i/>
                <w:sz w:val="20"/>
              </w:rPr>
            </w:pPr>
            <w:r w:rsidRPr="004E4ED4">
              <w:rPr>
                <w:i/>
                <w:sz w:val="20"/>
              </w:rPr>
              <w:t>61,49</w:t>
            </w:r>
          </w:p>
        </w:tc>
        <w:tc>
          <w:tcPr>
            <w:tcW w:w="1582" w:type="dxa"/>
            <w:shd w:val="clear" w:color="auto" w:fill="auto"/>
            <w:hideMark/>
          </w:tcPr>
          <w:p w:rsidR="005A683B" w:rsidRPr="004E4ED4" w:rsidRDefault="005A683B" w:rsidP="005A683B">
            <w:pPr>
              <w:jc w:val="center"/>
              <w:rPr>
                <w:i/>
                <w:sz w:val="20"/>
              </w:rPr>
            </w:pPr>
            <w:r w:rsidRPr="004E4ED4">
              <w:rPr>
                <w:i/>
                <w:sz w:val="20"/>
              </w:rPr>
              <w:t>18,79</w:t>
            </w:r>
          </w:p>
        </w:tc>
        <w:tc>
          <w:tcPr>
            <w:tcW w:w="1160" w:type="dxa"/>
            <w:shd w:val="clear" w:color="auto" w:fill="auto"/>
            <w:hideMark/>
          </w:tcPr>
          <w:p w:rsidR="005A683B" w:rsidRPr="00E03AB9" w:rsidRDefault="005A683B" w:rsidP="005A683B">
            <w:pPr>
              <w:jc w:val="center"/>
              <w:rPr>
                <w:sz w:val="20"/>
              </w:rPr>
            </w:pPr>
            <w:r w:rsidRPr="00E03AB9">
              <w:rPr>
                <w:sz w:val="20"/>
              </w:rPr>
              <w:t>0,35</w:t>
            </w:r>
          </w:p>
        </w:tc>
        <w:tc>
          <w:tcPr>
            <w:tcW w:w="960" w:type="dxa"/>
            <w:shd w:val="clear" w:color="auto" w:fill="auto"/>
            <w:hideMark/>
          </w:tcPr>
          <w:p w:rsidR="005A683B" w:rsidRPr="004E4ED4" w:rsidRDefault="005A683B" w:rsidP="005A683B">
            <w:pPr>
              <w:jc w:val="center"/>
              <w:rPr>
                <w:i/>
                <w:sz w:val="20"/>
              </w:rPr>
            </w:pPr>
            <w:r w:rsidRPr="004E4ED4">
              <w:rPr>
                <w:i/>
                <w:sz w:val="20"/>
              </w:rPr>
              <w:t>80,63</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Flygbensin cent/l</w:t>
            </w:r>
          </w:p>
        </w:tc>
        <w:tc>
          <w:tcPr>
            <w:tcW w:w="960" w:type="dxa"/>
            <w:shd w:val="clear" w:color="auto" w:fill="auto"/>
            <w:hideMark/>
          </w:tcPr>
          <w:p w:rsidR="005A683B" w:rsidRPr="00E03AB9" w:rsidRDefault="005A683B" w:rsidP="005A683B">
            <w:pPr>
              <w:jc w:val="center"/>
              <w:rPr>
                <w:sz w:val="20"/>
              </w:rPr>
            </w:pPr>
            <w:r w:rsidRPr="00E03AB9">
              <w:rPr>
                <w:sz w:val="20"/>
              </w:rPr>
              <w:t>91</w:t>
            </w:r>
          </w:p>
        </w:tc>
        <w:tc>
          <w:tcPr>
            <w:tcW w:w="1178" w:type="dxa"/>
            <w:shd w:val="clear" w:color="auto" w:fill="auto"/>
            <w:hideMark/>
          </w:tcPr>
          <w:p w:rsidR="005A683B" w:rsidRPr="004E4ED4" w:rsidRDefault="005A683B" w:rsidP="005A683B">
            <w:pPr>
              <w:jc w:val="center"/>
              <w:rPr>
                <w:i/>
                <w:sz w:val="20"/>
              </w:rPr>
            </w:pPr>
            <w:r w:rsidRPr="004E4ED4">
              <w:rPr>
                <w:i/>
                <w:sz w:val="20"/>
              </w:rPr>
              <w:t>55,74</w:t>
            </w:r>
          </w:p>
        </w:tc>
        <w:tc>
          <w:tcPr>
            <w:tcW w:w="1582" w:type="dxa"/>
            <w:shd w:val="clear" w:color="auto" w:fill="auto"/>
            <w:hideMark/>
          </w:tcPr>
          <w:p w:rsidR="005A683B" w:rsidRPr="004E4ED4" w:rsidRDefault="005A683B" w:rsidP="005A683B">
            <w:pPr>
              <w:jc w:val="center"/>
              <w:rPr>
                <w:i/>
                <w:sz w:val="20"/>
              </w:rPr>
            </w:pPr>
            <w:r w:rsidRPr="004E4ED4">
              <w:rPr>
                <w:i/>
                <w:sz w:val="20"/>
              </w:rPr>
              <w:t>16,76</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73,18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Metanol cent/l</w:t>
            </w:r>
          </w:p>
        </w:tc>
        <w:tc>
          <w:tcPr>
            <w:tcW w:w="960" w:type="dxa"/>
            <w:shd w:val="clear" w:color="auto" w:fill="auto"/>
            <w:hideMark/>
          </w:tcPr>
          <w:p w:rsidR="005A683B" w:rsidRPr="00E03AB9" w:rsidRDefault="005A683B" w:rsidP="005A683B">
            <w:pPr>
              <w:jc w:val="center"/>
              <w:rPr>
                <w:sz w:val="20"/>
              </w:rPr>
            </w:pPr>
            <w:r w:rsidRPr="00E03AB9">
              <w:rPr>
                <w:sz w:val="20"/>
              </w:rPr>
              <w:t>100</w:t>
            </w:r>
          </w:p>
        </w:tc>
        <w:tc>
          <w:tcPr>
            <w:tcW w:w="1178" w:type="dxa"/>
            <w:shd w:val="clear" w:color="auto" w:fill="auto"/>
            <w:hideMark/>
          </w:tcPr>
          <w:p w:rsidR="005A683B" w:rsidRPr="004E4ED4" w:rsidRDefault="005A683B" w:rsidP="005A683B">
            <w:pPr>
              <w:jc w:val="center"/>
              <w:rPr>
                <w:i/>
                <w:sz w:val="20"/>
              </w:rPr>
            </w:pPr>
            <w:r w:rsidRPr="004E4ED4">
              <w:rPr>
                <w:i/>
                <w:sz w:val="20"/>
              </w:rPr>
              <w:t>28,77</w:t>
            </w:r>
          </w:p>
        </w:tc>
        <w:tc>
          <w:tcPr>
            <w:tcW w:w="1582" w:type="dxa"/>
            <w:shd w:val="clear" w:color="auto" w:fill="auto"/>
            <w:hideMark/>
          </w:tcPr>
          <w:p w:rsidR="005A683B" w:rsidRPr="004E4ED4" w:rsidRDefault="005A683B" w:rsidP="005A683B">
            <w:pPr>
              <w:jc w:val="center"/>
              <w:rPr>
                <w:i/>
                <w:sz w:val="20"/>
              </w:rPr>
            </w:pPr>
            <w:r w:rsidRPr="004E4ED4">
              <w:rPr>
                <w:i/>
                <w:sz w:val="20"/>
              </w:rPr>
              <w:t>8,65</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38,10</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Metanol R cent/l</w:t>
            </w:r>
          </w:p>
        </w:tc>
        <w:tc>
          <w:tcPr>
            <w:tcW w:w="960" w:type="dxa"/>
            <w:shd w:val="clear" w:color="auto" w:fill="auto"/>
            <w:hideMark/>
          </w:tcPr>
          <w:p w:rsidR="005A683B" w:rsidRPr="00E03AB9" w:rsidRDefault="005A683B" w:rsidP="005A683B">
            <w:pPr>
              <w:jc w:val="center"/>
              <w:rPr>
                <w:sz w:val="20"/>
              </w:rPr>
            </w:pPr>
            <w:r w:rsidRPr="00E03AB9">
              <w:rPr>
                <w:sz w:val="20"/>
              </w:rPr>
              <w:t>101</w:t>
            </w:r>
          </w:p>
        </w:tc>
        <w:tc>
          <w:tcPr>
            <w:tcW w:w="1178" w:type="dxa"/>
            <w:shd w:val="clear" w:color="auto" w:fill="auto"/>
            <w:hideMark/>
          </w:tcPr>
          <w:p w:rsidR="005A683B" w:rsidRPr="004E4ED4" w:rsidRDefault="005A683B" w:rsidP="005A683B">
            <w:pPr>
              <w:jc w:val="center"/>
              <w:rPr>
                <w:i/>
                <w:sz w:val="20"/>
              </w:rPr>
            </w:pPr>
            <w:r w:rsidRPr="004E4ED4">
              <w:rPr>
                <w:i/>
                <w:sz w:val="20"/>
              </w:rPr>
              <w:t>28,77</w:t>
            </w:r>
          </w:p>
        </w:tc>
        <w:tc>
          <w:tcPr>
            <w:tcW w:w="1582" w:type="dxa"/>
            <w:shd w:val="clear" w:color="auto" w:fill="auto"/>
            <w:hideMark/>
          </w:tcPr>
          <w:p w:rsidR="005A683B" w:rsidRPr="004E4ED4" w:rsidRDefault="005A683B" w:rsidP="005A683B">
            <w:pPr>
              <w:jc w:val="center"/>
              <w:rPr>
                <w:i/>
                <w:sz w:val="20"/>
              </w:rPr>
            </w:pPr>
            <w:r w:rsidRPr="004E4ED4">
              <w:rPr>
                <w:i/>
                <w:sz w:val="20"/>
              </w:rPr>
              <w:t>4,33</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33,78</w:t>
            </w:r>
          </w:p>
        </w:tc>
      </w:tr>
      <w:tr w:rsidR="005A683B" w:rsidRPr="00E03AB9" w:rsidTr="005A683B">
        <w:trPr>
          <w:trHeight w:val="260"/>
        </w:trPr>
        <w:tc>
          <w:tcPr>
            <w:tcW w:w="2540" w:type="dxa"/>
            <w:shd w:val="clear" w:color="auto" w:fill="auto"/>
            <w:hideMark/>
          </w:tcPr>
          <w:p w:rsidR="005A683B" w:rsidRPr="00E03AB9" w:rsidRDefault="005A683B" w:rsidP="005A683B">
            <w:pPr>
              <w:rPr>
                <w:sz w:val="20"/>
              </w:rPr>
            </w:pPr>
            <w:r w:rsidRPr="00E03AB9">
              <w:rPr>
                <w:sz w:val="20"/>
              </w:rPr>
              <w:t>Metanol T cent/l</w:t>
            </w:r>
          </w:p>
        </w:tc>
        <w:tc>
          <w:tcPr>
            <w:tcW w:w="960" w:type="dxa"/>
            <w:shd w:val="clear" w:color="auto" w:fill="auto"/>
            <w:hideMark/>
          </w:tcPr>
          <w:p w:rsidR="005A683B" w:rsidRPr="00E03AB9" w:rsidRDefault="005A683B" w:rsidP="005A683B">
            <w:pPr>
              <w:jc w:val="center"/>
              <w:rPr>
                <w:sz w:val="20"/>
              </w:rPr>
            </w:pPr>
            <w:r w:rsidRPr="00E03AB9">
              <w:rPr>
                <w:sz w:val="20"/>
              </w:rPr>
              <w:t>102</w:t>
            </w:r>
          </w:p>
        </w:tc>
        <w:tc>
          <w:tcPr>
            <w:tcW w:w="1178" w:type="dxa"/>
            <w:shd w:val="clear" w:color="auto" w:fill="auto"/>
            <w:hideMark/>
          </w:tcPr>
          <w:p w:rsidR="005A683B" w:rsidRPr="004E4ED4" w:rsidRDefault="005A683B" w:rsidP="005A683B">
            <w:pPr>
              <w:jc w:val="center"/>
              <w:rPr>
                <w:i/>
                <w:sz w:val="20"/>
              </w:rPr>
            </w:pPr>
            <w:r w:rsidRPr="004E4ED4">
              <w:rPr>
                <w:i/>
                <w:sz w:val="20"/>
              </w:rPr>
              <w:t>28,77</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0,68</w:t>
            </w:r>
          </w:p>
        </w:tc>
        <w:tc>
          <w:tcPr>
            <w:tcW w:w="960" w:type="dxa"/>
            <w:shd w:val="clear" w:color="auto" w:fill="auto"/>
            <w:hideMark/>
          </w:tcPr>
          <w:p w:rsidR="005A683B" w:rsidRPr="004E4ED4" w:rsidRDefault="005A683B" w:rsidP="005A683B">
            <w:pPr>
              <w:jc w:val="center"/>
              <w:rPr>
                <w:i/>
                <w:sz w:val="20"/>
              </w:rPr>
            </w:pPr>
            <w:r w:rsidRPr="004E4ED4">
              <w:rPr>
                <w:i/>
                <w:sz w:val="20"/>
              </w:rPr>
              <w:t>29,45</w:t>
            </w:r>
          </w:p>
        </w:tc>
      </w:tr>
      <w:tr w:rsidR="005A683B" w:rsidRPr="00E03AB9" w:rsidTr="005A683B">
        <w:trPr>
          <w:trHeight w:val="26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Flytgas</w:t>
            </w:r>
            <w:proofErr w:type="spellEnd"/>
            <w:r w:rsidRPr="00E03AB9">
              <w:rPr>
                <w:sz w:val="20"/>
              </w:rPr>
              <w:t xml:space="preserve"> cent/kg</w:t>
            </w:r>
          </w:p>
        </w:tc>
        <w:tc>
          <w:tcPr>
            <w:tcW w:w="960" w:type="dxa"/>
            <w:shd w:val="clear" w:color="auto" w:fill="auto"/>
            <w:hideMark/>
          </w:tcPr>
          <w:p w:rsidR="005A683B" w:rsidRPr="00E03AB9" w:rsidRDefault="005A683B" w:rsidP="005A683B">
            <w:pPr>
              <w:jc w:val="center"/>
              <w:rPr>
                <w:sz w:val="20"/>
              </w:rPr>
            </w:pPr>
            <w:r w:rsidRPr="00E03AB9">
              <w:rPr>
                <w:sz w:val="20"/>
              </w:rPr>
              <w:t>110</w:t>
            </w:r>
          </w:p>
        </w:tc>
        <w:tc>
          <w:tcPr>
            <w:tcW w:w="1178" w:type="dxa"/>
            <w:shd w:val="clear" w:color="auto" w:fill="auto"/>
            <w:hideMark/>
          </w:tcPr>
          <w:p w:rsidR="005A683B" w:rsidRPr="00E03AB9" w:rsidRDefault="005A683B" w:rsidP="005A683B">
            <w:pPr>
              <w:jc w:val="center"/>
              <w:rPr>
                <w:sz w:val="20"/>
              </w:rPr>
            </w:pPr>
            <w:r w:rsidRPr="00E03AB9">
              <w:rPr>
                <w:sz w:val="20"/>
              </w:rPr>
              <w:t>9,81</w:t>
            </w:r>
          </w:p>
        </w:tc>
        <w:tc>
          <w:tcPr>
            <w:tcW w:w="1582" w:type="dxa"/>
            <w:shd w:val="clear" w:color="auto" w:fill="auto"/>
            <w:hideMark/>
          </w:tcPr>
          <w:p w:rsidR="005A683B" w:rsidRPr="00E03AB9" w:rsidRDefault="005A683B" w:rsidP="005A683B">
            <w:pPr>
              <w:jc w:val="center"/>
              <w:rPr>
                <w:sz w:val="20"/>
              </w:rPr>
            </w:pPr>
            <w:r w:rsidRPr="00E03AB9">
              <w:rPr>
                <w:sz w:val="20"/>
              </w:rPr>
              <w:t>18,09</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E03AB9" w:rsidRDefault="005A683B" w:rsidP="005A683B">
            <w:pPr>
              <w:jc w:val="center"/>
              <w:rPr>
                <w:sz w:val="20"/>
              </w:rPr>
            </w:pPr>
            <w:r w:rsidRPr="00E03AB9">
              <w:rPr>
                <w:sz w:val="20"/>
              </w:rPr>
              <w:t>28,01</w:t>
            </w:r>
          </w:p>
        </w:tc>
      </w:tr>
      <w:tr w:rsidR="005A683B" w:rsidRPr="00E03AB9" w:rsidTr="005A683B">
        <w:trPr>
          <w:trHeight w:val="26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Bioflytgas</w:t>
            </w:r>
            <w:proofErr w:type="spellEnd"/>
            <w:r w:rsidRPr="00E03AB9">
              <w:rPr>
                <w:sz w:val="20"/>
              </w:rPr>
              <w:t xml:space="preserve"> cent/kg</w:t>
            </w:r>
          </w:p>
        </w:tc>
        <w:tc>
          <w:tcPr>
            <w:tcW w:w="960" w:type="dxa"/>
            <w:shd w:val="clear" w:color="auto" w:fill="auto"/>
            <w:hideMark/>
          </w:tcPr>
          <w:p w:rsidR="005A683B" w:rsidRPr="00E03AB9" w:rsidRDefault="005A683B" w:rsidP="005A683B">
            <w:pPr>
              <w:jc w:val="center"/>
              <w:rPr>
                <w:sz w:val="20"/>
              </w:rPr>
            </w:pPr>
            <w:r w:rsidRPr="00E03AB9">
              <w:rPr>
                <w:sz w:val="20"/>
              </w:rPr>
              <w:t>111</w:t>
            </w:r>
          </w:p>
        </w:tc>
        <w:tc>
          <w:tcPr>
            <w:tcW w:w="1178" w:type="dxa"/>
            <w:shd w:val="clear" w:color="auto" w:fill="auto"/>
            <w:hideMark/>
          </w:tcPr>
          <w:p w:rsidR="005A683B" w:rsidRPr="00E03AB9" w:rsidRDefault="005A683B" w:rsidP="005A683B">
            <w:pPr>
              <w:jc w:val="center"/>
              <w:rPr>
                <w:sz w:val="20"/>
              </w:rPr>
            </w:pPr>
            <w:r w:rsidRPr="00E03AB9">
              <w:rPr>
                <w:sz w:val="20"/>
              </w:rPr>
              <w:t>9,81</w:t>
            </w:r>
          </w:p>
        </w:tc>
        <w:tc>
          <w:tcPr>
            <w:tcW w:w="1582" w:type="dxa"/>
            <w:shd w:val="clear" w:color="auto" w:fill="auto"/>
            <w:hideMark/>
          </w:tcPr>
          <w:p w:rsidR="005A683B" w:rsidRPr="00E03AB9" w:rsidRDefault="005A683B" w:rsidP="005A683B">
            <w:pPr>
              <w:jc w:val="center"/>
              <w:rPr>
                <w:sz w:val="20"/>
              </w:rPr>
            </w:pPr>
            <w:r w:rsidRPr="00E03AB9">
              <w:rPr>
                <w:sz w:val="20"/>
              </w:rPr>
              <w:t>18,09</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E03AB9" w:rsidRDefault="005A683B" w:rsidP="005A683B">
            <w:pPr>
              <w:jc w:val="center"/>
              <w:rPr>
                <w:sz w:val="20"/>
              </w:rPr>
            </w:pPr>
            <w:r w:rsidRPr="00E03AB9">
              <w:rPr>
                <w:sz w:val="20"/>
              </w:rPr>
              <w:t>28,01</w:t>
            </w:r>
          </w:p>
        </w:tc>
      </w:tr>
      <w:tr w:rsidR="005A683B" w:rsidRPr="00E03AB9" w:rsidTr="005A683B">
        <w:trPr>
          <w:trHeight w:val="26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Bioflytgas</w:t>
            </w:r>
            <w:proofErr w:type="spellEnd"/>
            <w:r w:rsidRPr="00E03AB9">
              <w:rPr>
                <w:sz w:val="20"/>
              </w:rPr>
              <w:t xml:space="preserve"> R cent/kg</w:t>
            </w:r>
          </w:p>
        </w:tc>
        <w:tc>
          <w:tcPr>
            <w:tcW w:w="960" w:type="dxa"/>
            <w:shd w:val="clear" w:color="auto" w:fill="auto"/>
            <w:hideMark/>
          </w:tcPr>
          <w:p w:rsidR="005A683B" w:rsidRPr="00E03AB9" w:rsidRDefault="005A683B" w:rsidP="005A683B">
            <w:pPr>
              <w:jc w:val="center"/>
              <w:rPr>
                <w:sz w:val="20"/>
              </w:rPr>
            </w:pPr>
            <w:r w:rsidRPr="00E03AB9">
              <w:rPr>
                <w:sz w:val="20"/>
              </w:rPr>
              <w:t>112</w:t>
            </w:r>
          </w:p>
        </w:tc>
        <w:tc>
          <w:tcPr>
            <w:tcW w:w="1178" w:type="dxa"/>
            <w:shd w:val="clear" w:color="auto" w:fill="auto"/>
            <w:hideMark/>
          </w:tcPr>
          <w:p w:rsidR="005A683B" w:rsidRPr="00E03AB9" w:rsidRDefault="005A683B" w:rsidP="005A683B">
            <w:pPr>
              <w:jc w:val="center"/>
              <w:rPr>
                <w:sz w:val="20"/>
              </w:rPr>
            </w:pPr>
            <w:r w:rsidRPr="00E03AB9">
              <w:rPr>
                <w:sz w:val="20"/>
              </w:rPr>
              <w:t>9,81</w:t>
            </w:r>
          </w:p>
        </w:tc>
        <w:tc>
          <w:tcPr>
            <w:tcW w:w="1582" w:type="dxa"/>
            <w:shd w:val="clear" w:color="auto" w:fill="auto"/>
            <w:hideMark/>
          </w:tcPr>
          <w:p w:rsidR="005A683B" w:rsidRPr="00E03AB9" w:rsidRDefault="005A683B" w:rsidP="005A683B">
            <w:pPr>
              <w:jc w:val="center"/>
              <w:rPr>
                <w:sz w:val="20"/>
              </w:rPr>
            </w:pPr>
            <w:r w:rsidRPr="00E03AB9">
              <w:rPr>
                <w:sz w:val="20"/>
              </w:rPr>
              <w:t>9,04</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E03AB9" w:rsidRDefault="005A683B" w:rsidP="005A683B">
            <w:pPr>
              <w:jc w:val="center"/>
              <w:rPr>
                <w:sz w:val="20"/>
              </w:rPr>
            </w:pPr>
            <w:r w:rsidRPr="00E03AB9">
              <w:rPr>
                <w:sz w:val="20"/>
              </w:rPr>
              <w:t>18,96</w:t>
            </w:r>
          </w:p>
        </w:tc>
      </w:tr>
      <w:tr w:rsidR="005A683B" w:rsidRPr="00E03AB9" w:rsidTr="005A683B">
        <w:trPr>
          <w:trHeight w:val="270"/>
        </w:trPr>
        <w:tc>
          <w:tcPr>
            <w:tcW w:w="2540" w:type="dxa"/>
            <w:shd w:val="clear" w:color="auto" w:fill="auto"/>
            <w:noWrap/>
            <w:vAlign w:val="bottom"/>
            <w:hideMark/>
          </w:tcPr>
          <w:p w:rsidR="005A683B" w:rsidRPr="00E03AB9" w:rsidRDefault="005A683B" w:rsidP="005A683B">
            <w:pPr>
              <w:rPr>
                <w:sz w:val="20"/>
              </w:rPr>
            </w:pPr>
            <w:proofErr w:type="spellStart"/>
            <w:r w:rsidRPr="00E03AB9">
              <w:rPr>
                <w:sz w:val="20"/>
              </w:rPr>
              <w:t>Bioflytgas</w:t>
            </w:r>
            <w:proofErr w:type="spellEnd"/>
            <w:r w:rsidRPr="00E03AB9">
              <w:rPr>
                <w:sz w:val="20"/>
              </w:rPr>
              <w:t xml:space="preserve"> T cent/kg</w:t>
            </w:r>
          </w:p>
        </w:tc>
        <w:tc>
          <w:tcPr>
            <w:tcW w:w="960" w:type="dxa"/>
            <w:shd w:val="clear" w:color="auto" w:fill="auto"/>
            <w:hideMark/>
          </w:tcPr>
          <w:p w:rsidR="005A683B" w:rsidRPr="00E03AB9" w:rsidRDefault="005A683B" w:rsidP="005A683B">
            <w:pPr>
              <w:jc w:val="center"/>
              <w:rPr>
                <w:sz w:val="20"/>
              </w:rPr>
            </w:pPr>
            <w:r w:rsidRPr="00E03AB9">
              <w:rPr>
                <w:sz w:val="20"/>
              </w:rPr>
              <w:t>113</w:t>
            </w:r>
          </w:p>
        </w:tc>
        <w:tc>
          <w:tcPr>
            <w:tcW w:w="1178" w:type="dxa"/>
            <w:shd w:val="clear" w:color="auto" w:fill="auto"/>
            <w:hideMark/>
          </w:tcPr>
          <w:p w:rsidR="005A683B" w:rsidRPr="00E03AB9" w:rsidRDefault="005A683B" w:rsidP="005A683B">
            <w:pPr>
              <w:jc w:val="center"/>
              <w:rPr>
                <w:sz w:val="20"/>
              </w:rPr>
            </w:pPr>
            <w:r w:rsidRPr="00E03AB9">
              <w:rPr>
                <w:sz w:val="20"/>
              </w:rPr>
              <w:t>9,81</w:t>
            </w:r>
          </w:p>
        </w:tc>
        <w:tc>
          <w:tcPr>
            <w:tcW w:w="1582" w:type="dxa"/>
            <w:shd w:val="clear" w:color="auto" w:fill="auto"/>
            <w:hideMark/>
          </w:tcPr>
          <w:p w:rsidR="005A683B" w:rsidRPr="00E03AB9" w:rsidRDefault="005A683B" w:rsidP="005A683B">
            <w:pPr>
              <w:jc w:val="center"/>
              <w:rPr>
                <w:sz w:val="20"/>
              </w:rPr>
            </w:pPr>
            <w:r w:rsidRPr="00E03AB9">
              <w:rPr>
                <w:sz w:val="20"/>
              </w:rPr>
              <w:t>0,00</w:t>
            </w:r>
          </w:p>
        </w:tc>
        <w:tc>
          <w:tcPr>
            <w:tcW w:w="1160" w:type="dxa"/>
            <w:shd w:val="clear" w:color="auto" w:fill="auto"/>
            <w:hideMark/>
          </w:tcPr>
          <w:p w:rsidR="005A683B" w:rsidRPr="00E03AB9" w:rsidRDefault="005A683B" w:rsidP="005A683B">
            <w:pPr>
              <w:jc w:val="center"/>
              <w:rPr>
                <w:sz w:val="20"/>
              </w:rPr>
            </w:pPr>
            <w:r w:rsidRPr="00E03AB9">
              <w:rPr>
                <w:sz w:val="20"/>
              </w:rPr>
              <w:t>0,11</w:t>
            </w:r>
          </w:p>
        </w:tc>
        <w:tc>
          <w:tcPr>
            <w:tcW w:w="960" w:type="dxa"/>
            <w:shd w:val="clear" w:color="auto" w:fill="auto"/>
            <w:hideMark/>
          </w:tcPr>
          <w:p w:rsidR="005A683B" w:rsidRPr="00E03AB9" w:rsidRDefault="005A683B" w:rsidP="005A683B">
            <w:pPr>
              <w:jc w:val="center"/>
              <w:rPr>
                <w:sz w:val="20"/>
              </w:rPr>
            </w:pPr>
            <w:r w:rsidRPr="00E03AB9">
              <w:rPr>
                <w:sz w:val="20"/>
              </w:rPr>
              <w:t>9,92</w:t>
            </w:r>
          </w:p>
        </w:tc>
      </w:tr>
    </w:tbl>
    <w:p w:rsidR="00E56A2D" w:rsidRDefault="00E56A2D" w:rsidP="00093653">
      <w:pPr>
        <w:pStyle w:val="LLNormaali"/>
      </w:pPr>
    </w:p>
    <w:p w:rsidR="00E56A2D" w:rsidRDefault="00E56A2D" w:rsidP="00E56A2D">
      <w:pPr>
        <w:pStyle w:val="LLNormaali"/>
      </w:pPr>
      <w:r>
        <w:br w:type="page"/>
      </w:r>
    </w:p>
    <w:p w:rsidR="00E56A2D" w:rsidRDefault="00E56A2D" w:rsidP="00E56A2D">
      <w:pPr>
        <w:pStyle w:val="LLLainNumero"/>
      </w:pPr>
      <w:r w:rsidRPr="00E03AB9">
        <w:lastRenderedPageBreak/>
        <w:t>2</w:t>
      </w:r>
      <w:r w:rsidRPr="00E03AB9">
        <w:rPr>
          <w:bCs/>
        </w:rPr>
        <w:t>.</w:t>
      </w:r>
    </w:p>
    <w:p w:rsidR="00E56A2D" w:rsidRPr="00E03AB9" w:rsidRDefault="00E56A2D" w:rsidP="00E56A2D">
      <w:pPr>
        <w:pStyle w:val="LLLaki"/>
      </w:pPr>
      <w:r w:rsidRPr="00E03AB9">
        <w:t>Lag</w:t>
      </w:r>
    </w:p>
    <w:p w:rsidR="00E56A2D" w:rsidRPr="00E03AB9" w:rsidRDefault="00E56A2D" w:rsidP="00E56A2D">
      <w:pPr>
        <w:pStyle w:val="LLSaadoksenNimi"/>
      </w:pPr>
      <w:bookmarkStart w:id="24" w:name="_Toc19199039"/>
      <w:r w:rsidRPr="00E03AB9">
        <w:t>om ändring av 5 § i punktskattelagen</w:t>
      </w:r>
      <w:bookmarkEnd w:id="24"/>
    </w:p>
    <w:p w:rsidR="00E56A2D" w:rsidRPr="00E03AB9" w:rsidRDefault="00E56A2D" w:rsidP="00E56A2D">
      <w:pPr>
        <w:pStyle w:val="LLJohtolauseKappaleet"/>
      </w:pPr>
      <w:r w:rsidRPr="00E03AB9">
        <w:t>I enlighet med riksdagens beslut</w:t>
      </w:r>
    </w:p>
    <w:p w:rsidR="00E56A2D" w:rsidRPr="00E03AB9" w:rsidRDefault="00E56A2D" w:rsidP="00E56A2D">
      <w:pPr>
        <w:pStyle w:val="LLJohtolauseKappaleet"/>
      </w:pPr>
      <w:r w:rsidRPr="000977E0">
        <w:rPr>
          <w:i/>
        </w:rPr>
        <w:t>ändras</w:t>
      </w:r>
      <w:r w:rsidRPr="00E03AB9">
        <w:t xml:space="preserve"> i punktskattelagen (182/2010) 5 §, sådan den lyder delvis ändrad i lag 495/2014, som följer:</w:t>
      </w:r>
    </w:p>
    <w:p w:rsidR="005A683B" w:rsidRDefault="005A683B" w:rsidP="00093653">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E56A2D" w:rsidTr="00E56A2D">
        <w:tc>
          <w:tcPr>
            <w:tcW w:w="4168" w:type="dxa"/>
            <w:shd w:val="clear" w:color="auto" w:fill="auto"/>
          </w:tcPr>
          <w:p w:rsidR="00E56A2D" w:rsidRPr="00E56A2D" w:rsidRDefault="00E56A2D" w:rsidP="00093653">
            <w:pPr>
              <w:pStyle w:val="LLNormaali"/>
              <w:rPr>
                <w:i/>
              </w:rPr>
            </w:pPr>
            <w:r w:rsidRPr="00E56A2D">
              <w:rPr>
                <w:i/>
              </w:rPr>
              <w:t>Gällande lydelse</w:t>
            </w:r>
          </w:p>
        </w:tc>
        <w:tc>
          <w:tcPr>
            <w:tcW w:w="4168" w:type="dxa"/>
            <w:shd w:val="clear" w:color="auto" w:fill="auto"/>
          </w:tcPr>
          <w:p w:rsidR="00E56A2D" w:rsidRPr="00E56A2D" w:rsidRDefault="00E56A2D" w:rsidP="00093653">
            <w:pPr>
              <w:pStyle w:val="LLNormaali"/>
              <w:rPr>
                <w:i/>
              </w:rPr>
            </w:pPr>
            <w:r w:rsidRPr="00E56A2D">
              <w:rPr>
                <w:i/>
              </w:rPr>
              <w:t>Föreslagen lydelse</w:t>
            </w:r>
          </w:p>
        </w:tc>
      </w:tr>
      <w:tr w:rsidR="00E56A2D" w:rsidTr="00E56A2D">
        <w:tc>
          <w:tcPr>
            <w:tcW w:w="4168" w:type="dxa"/>
            <w:shd w:val="clear" w:color="auto" w:fill="auto"/>
          </w:tcPr>
          <w:p w:rsidR="00E56A2D" w:rsidRPr="00E56A2D" w:rsidRDefault="00E56A2D" w:rsidP="00E56A2D">
            <w:pPr>
              <w:pStyle w:val="LLPykala"/>
            </w:pPr>
            <w:r>
              <w:t>5 §</w:t>
            </w:r>
          </w:p>
          <w:p w:rsidR="00E56A2D" w:rsidRPr="00E56A2D" w:rsidRDefault="00E56A2D" w:rsidP="00E56A2D">
            <w:pPr>
              <w:pStyle w:val="LLPykalanOtsikko"/>
            </w:pPr>
            <w:r w:rsidRPr="00E56A2D">
              <w:t>Geografiska definitioner</w:t>
            </w:r>
          </w:p>
          <w:p w:rsidR="00E56A2D" w:rsidRDefault="00E56A2D" w:rsidP="00E56A2D">
            <w:pPr>
              <w:pStyle w:val="LLMomentinJohdantoKappale"/>
            </w:pPr>
            <w:r w:rsidRPr="00E56A2D">
              <w:t>I denna lag avses med</w:t>
            </w:r>
          </w:p>
          <w:p w:rsidR="00E56A2D" w:rsidRPr="00E56A2D" w:rsidRDefault="00E56A2D" w:rsidP="00E56A2D">
            <w:pPr>
              <w:pStyle w:val="LLMomentinKohta"/>
            </w:pPr>
            <w:r w:rsidRPr="00E56A2D">
              <w:t xml:space="preserve">1) </w:t>
            </w:r>
            <w:r w:rsidRPr="00E56A2D">
              <w:rPr>
                <w:i/>
                <w:iCs/>
              </w:rPr>
              <w:t>unionen och unionens territorium</w:t>
            </w:r>
            <w:r w:rsidRPr="00E56A2D">
              <w:t xml:space="preserve"> Europeiska unionens medlemsstaters territorier,</w:t>
            </w:r>
          </w:p>
          <w:p w:rsidR="00E56A2D" w:rsidRPr="00E56A2D" w:rsidRDefault="00E56A2D" w:rsidP="00E56A2D">
            <w:pPr>
              <w:pStyle w:val="LLMomentinKohta"/>
            </w:pPr>
            <w:r w:rsidRPr="00E56A2D">
              <w:t xml:space="preserve">2) </w:t>
            </w:r>
            <w:r w:rsidRPr="00E56A2D">
              <w:rPr>
                <w:i/>
                <w:iCs/>
              </w:rPr>
              <w:t>tredjeterritorium</w:t>
            </w:r>
            <w:r w:rsidRPr="00E56A2D">
              <w:t xml:space="preserve"> Kanarieöarna, landskapet Åland, Kanalöarna, ön Helgoland, territoriet </w:t>
            </w:r>
            <w:proofErr w:type="spellStart"/>
            <w:r w:rsidRPr="00E56A2D">
              <w:t>Büsingen</w:t>
            </w:r>
            <w:proofErr w:type="spellEnd"/>
            <w:r w:rsidRPr="00E56A2D">
              <w:t>, Ceuta, Me</w:t>
            </w:r>
            <w:r>
              <w:t>lilla, Livigno</w:t>
            </w:r>
            <w:r w:rsidRPr="00E56A2D">
              <w:rPr>
                <w:i/>
              </w:rPr>
              <w:t xml:space="preserve">, </w:t>
            </w:r>
            <w:proofErr w:type="spellStart"/>
            <w:r w:rsidRPr="00E56A2D">
              <w:rPr>
                <w:i/>
              </w:rPr>
              <w:t>Campione</w:t>
            </w:r>
            <w:proofErr w:type="spellEnd"/>
            <w:r w:rsidRPr="00E56A2D">
              <w:rPr>
                <w:i/>
              </w:rPr>
              <w:t xml:space="preserve"> d’</w:t>
            </w:r>
            <w:r w:rsidRPr="00E56A2D">
              <w:rPr>
                <w:i/>
              </w:rPr>
              <w:t>Italia, de italienska delarna av Luganosjön</w:t>
            </w:r>
            <w:r w:rsidRPr="00E56A2D">
              <w:t xml:space="preserve"> samt de franska områden som avses i artiklarna 349 och </w:t>
            </w:r>
            <w:proofErr w:type="gramStart"/>
            <w:r w:rsidRPr="00E56A2D">
              <w:t>355.1</w:t>
            </w:r>
            <w:proofErr w:type="gramEnd"/>
            <w:r w:rsidRPr="00E56A2D">
              <w:t xml:space="preserve"> i fördraget om Europeiska unionens funkti</w:t>
            </w:r>
            <w:r>
              <w:t>onssätt,</w:t>
            </w:r>
          </w:p>
          <w:p w:rsidR="00E56A2D" w:rsidRPr="00E56A2D" w:rsidRDefault="00E56A2D" w:rsidP="00E56A2D">
            <w:pPr>
              <w:pStyle w:val="LLMomentinKohta"/>
            </w:pPr>
            <w:r w:rsidRPr="00E56A2D">
              <w:t xml:space="preserve">3) </w:t>
            </w:r>
            <w:r w:rsidRPr="00E56A2D">
              <w:rPr>
                <w:i/>
                <w:iCs/>
              </w:rPr>
              <w:t>medlemsstat och en medlemsstats territorium</w:t>
            </w:r>
            <w:r w:rsidRPr="00E56A2D">
              <w:t xml:space="preserve"> territoriet i varje medlemsstat i unionen där unionens lagstiftning är tillämplig, med undantag av tredjeterritorier,</w:t>
            </w:r>
          </w:p>
          <w:p w:rsidR="00E56A2D" w:rsidRPr="00E56A2D" w:rsidRDefault="00E56A2D" w:rsidP="00E56A2D">
            <w:pPr>
              <w:pStyle w:val="LLMomentinKohta"/>
            </w:pPr>
            <w:r w:rsidRPr="00E56A2D">
              <w:t xml:space="preserve">4) </w:t>
            </w:r>
            <w:r w:rsidRPr="00E56A2D">
              <w:rPr>
                <w:i/>
                <w:iCs/>
              </w:rPr>
              <w:t>Finland</w:t>
            </w:r>
            <w:r w:rsidRPr="00E56A2D">
              <w:t xml:space="preserve"> Finlands territorium enligt unionens lagstiftning, inklusive landskapet Åland,</w:t>
            </w:r>
          </w:p>
          <w:p w:rsidR="00E56A2D" w:rsidRDefault="00E56A2D" w:rsidP="00E56A2D">
            <w:pPr>
              <w:pStyle w:val="LLMomentinKohta"/>
            </w:pPr>
            <w:r w:rsidRPr="00E56A2D">
              <w:t xml:space="preserve">5) </w:t>
            </w:r>
            <w:r w:rsidRPr="00E56A2D">
              <w:rPr>
                <w:i/>
                <w:iCs/>
              </w:rPr>
              <w:t>tredjeland</w:t>
            </w:r>
            <w:r w:rsidRPr="00E56A2D">
              <w:t xml:space="preserve"> varje stat eller territorium där fördragen om Europeiska unionen inte gäller, dock inte Monaco, San Marino, Förenade kungarikets suveräna basområden </w:t>
            </w:r>
            <w:proofErr w:type="spellStart"/>
            <w:r w:rsidRPr="00E56A2D">
              <w:t>Akrotiri</w:t>
            </w:r>
            <w:proofErr w:type="spellEnd"/>
            <w:r w:rsidRPr="00E56A2D">
              <w:t xml:space="preserve"> och Dhekelia samt Isle </w:t>
            </w:r>
            <w:proofErr w:type="spellStart"/>
            <w:r w:rsidRPr="00E56A2D">
              <w:t>of</w:t>
            </w:r>
            <w:proofErr w:type="spellEnd"/>
            <w:r w:rsidRPr="00E56A2D">
              <w:t xml:space="preserve"> Man; flyttningar av punktskattepliktiga produkter som utgår från eller är avsedda för</w:t>
            </w:r>
          </w:p>
          <w:p w:rsidR="009A7AAE" w:rsidRPr="00E56A2D" w:rsidRDefault="009A7AAE" w:rsidP="00E56A2D">
            <w:pPr>
              <w:pStyle w:val="LLMomentinKohta"/>
            </w:pPr>
          </w:p>
          <w:p w:rsidR="00E56A2D" w:rsidRPr="00E56A2D" w:rsidRDefault="00E56A2D" w:rsidP="00E56A2D">
            <w:pPr>
              <w:pStyle w:val="LLMomentinAlakohta"/>
            </w:pPr>
            <w:r w:rsidRPr="00E56A2D">
              <w:t>a) Monaco ska behandlas som flyttningar som utgår från eller är avsedda för Frankrike,</w:t>
            </w:r>
          </w:p>
          <w:p w:rsidR="00E56A2D" w:rsidRPr="00E56A2D" w:rsidRDefault="00E56A2D" w:rsidP="00E56A2D">
            <w:pPr>
              <w:pStyle w:val="LLMomentinAlakohta"/>
            </w:pPr>
            <w:r w:rsidRPr="00E56A2D">
              <w:t>b) San Marino ska behandlas som flyttningar som utgår från eller är avsedda för Italien,</w:t>
            </w:r>
          </w:p>
          <w:p w:rsidR="00E56A2D" w:rsidRPr="00E56A2D" w:rsidRDefault="00E56A2D" w:rsidP="00E56A2D">
            <w:pPr>
              <w:pStyle w:val="LLMomentinAlakohta"/>
            </w:pPr>
            <w:r w:rsidRPr="00E56A2D">
              <w:t xml:space="preserve">c) Förenade kungarikets suveräna basområden </w:t>
            </w:r>
            <w:proofErr w:type="spellStart"/>
            <w:r w:rsidRPr="00E56A2D">
              <w:t>Akrotiri</w:t>
            </w:r>
            <w:proofErr w:type="spellEnd"/>
            <w:r w:rsidRPr="00E56A2D">
              <w:t xml:space="preserve"> och Dhekelia ska behandlas som flyttningar som utgår från eller är avsedda för Cypern,</w:t>
            </w:r>
          </w:p>
          <w:p w:rsidR="00E56A2D" w:rsidRPr="00E56A2D" w:rsidRDefault="00E56A2D" w:rsidP="00E56A2D">
            <w:pPr>
              <w:pStyle w:val="LLMomentinAlakohta"/>
            </w:pPr>
            <w:r w:rsidRPr="00E56A2D">
              <w:t xml:space="preserve">d) Isle </w:t>
            </w:r>
            <w:proofErr w:type="spellStart"/>
            <w:r w:rsidRPr="00E56A2D">
              <w:t>of</w:t>
            </w:r>
            <w:proofErr w:type="spellEnd"/>
            <w:r w:rsidRPr="00E56A2D">
              <w:t xml:space="preserve"> Man behandlas som flyttningar som utgår från eller är avsedda för Förenade kungariket,</w:t>
            </w:r>
          </w:p>
          <w:p w:rsidR="00E56A2D" w:rsidRPr="00E56A2D" w:rsidRDefault="00E56A2D" w:rsidP="00E56A2D">
            <w:pPr>
              <w:pStyle w:val="LLMomentinAlakohta"/>
            </w:pPr>
            <w:r w:rsidRPr="00E56A2D">
              <w:t xml:space="preserve">e) </w:t>
            </w:r>
            <w:proofErr w:type="spellStart"/>
            <w:r w:rsidRPr="00E56A2D">
              <w:t>Jungholtz</w:t>
            </w:r>
            <w:proofErr w:type="spellEnd"/>
            <w:r w:rsidRPr="00E56A2D">
              <w:t xml:space="preserve"> och Mittelberg (</w:t>
            </w:r>
            <w:proofErr w:type="spellStart"/>
            <w:r w:rsidRPr="00E56A2D">
              <w:t>Kleines</w:t>
            </w:r>
            <w:proofErr w:type="spellEnd"/>
            <w:r w:rsidRPr="00E56A2D">
              <w:t xml:space="preserve"> </w:t>
            </w:r>
            <w:proofErr w:type="spellStart"/>
            <w:r w:rsidRPr="00E56A2D">
              <w:t>Walsertal</w:t>
            </w:r>
            <w:proofErr w:type="spellEnd"/>
            <w:r w:rsidRPr="00E56A2D">
              <w:t>) ska behandlas som flyttningar som utgår från eller är avsedda för Tyskland.</w:t>
            </w:r>
          </w:p>
          <w:p w:rsidR="00E56A2D" w:rsidRPr="00E56A2D" w:rsidRDefault="00E56A2D" w:rsidP="00E56A2D">
            <w:pPr>
              <w:pStyle w:val="LLNormaali"/>
            </w:pPr>
            <w:proofErr w:type="gramStart"/>
            <w:r>
              <w:t>—</w:t>
            </w:r>
            <w:proofErr w:type="gramEnd"/>
            <w:r>
              <w:t xml:space="preserve"> — — — — — — — — — — — — — </w:t>
            </w:r>
          </w:p>
        </w:tc>
        <w:tc>
          <w:tcPr>
            <w:tcW w:w="4168" w:type="dxa"/>
            <w:shd w:val="clear" w:color="auto" w:fill="auto"/>
          </w:tcPr>
          <w:p w:rsidR="00E56A2D" w:rsidRPr="00E56A2D" w:rsidRDefault="00E56A2D" w:rsidP="00E56A2D">
            <w:pPr>
              <w:spacing w:line="220" w:lineRule="exact"/>
              <w:jc w:val="center"/>
              <w:rPr>
                <w:sz w:val="22"/>
                <w:szCs w:val="24"/>
                <w:lang w:eastAsia="fi-FI"/>
              </w:rPr>
            </w:pPr>
            <w:r w:rsidRPr="00E56A2D">
              <w:rPr>
                <w:sz w:val="22"/>
                <w:szCs w:val="24"/>
                <w:lang w:eastAsia="fi-FI"/>
              </w:rPr>
              <w:t>5 §</w:t>
            </w:r>
          </w:p>
          <w:p w:rsidR="00E56A2D" w:rsidRPr="00E56A2D" w:rsidRDefault="00E56A2D" w:rsidP="00E56A2D">
            <w:pPr>
              <w:spacing w:before="220" w:after="220" w:line="220" w:lineRule="exact"/>
              <w:jc w:val="center"/>
              <w:rPr>
                <w:i/>
                <w:sz w:val="22"/>
                <w:szCs w:val="24"/>
                <w:lang w:eastAsia="fi-FI"/>
              </w:rPr>
            </w:pPr>
            <w:r w:rsidRPr="00E56A2D">
              <w:rPr>
                <w:i/>
                <w:sz w:val="22"/>
                <w:szCs w:val="24"/>
                <w:lang w:eastAsia="fi-FI"/>
              </w:rPr>
              <w:t>Geografiska definitioner.</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I denna lag avses med</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 xml:space="preserve">1) </w:t>
            </w:r>
            <w:r w:rsidRPr="00E56A2D">
              <w:rPr>
                <w:i/>
                <w:iCs/>
                <w:sz w:val="22"/>
                <w:szCs w:val="24"/>
                <w:lang w:eastAsia="fi-FI"/>
              </w:rPr>
              <w:t>unionen och unionens territorium</w:t>
            </w:r>
            <w:r w:rsidRPr="00E56A2D">
              <w:rPr>
                <w:sz w:val="22"/>
                <w:szCs w:val="24"/>
                <w:lang w:eastAsia="fi-FI"/>
              </w:rPr>
              <w:t xml:space="preserve"> Europeiska unionens medlemsstaters territorier,</w:t>
            </w:r>
          </w:p>
          <w:p w:rsidR="00E56A2D" w:rsidRDefault="00E56A2D" w:rsidP="00E56A2D">
            <w:pPr>
              <w:spacing w:line="220" w:lineRule="exact"/>
              <w:ind w:firstLine="170"/>
              <w:jc w:val="both"/>
              <w:rPr>
                <w:sz w:val="22"/>
                <w:szCs w:val="24"/>
                <w:lang w:eastAsia="fi-FI"/>
              </w:rPr>
            </w:pPr>
            <w:r w:rsidRPr="00E56A2D">
              <w:rPr>
                <w:sz w:val="22"/>
                <w:szCs w:val="24"/>
                <w:lang w:eastAsia="fi-FI"/>
              </w:rPr>
              <w:t xml:space="preserve">2) </w:t>
            </w:r>
            <w:r w:rsidRPr="00E56A2D">
              <w:rPr>
                <w:i/>
                <w:iCs/>
                <w:sz w:val="22"/>
                <w:szCs w:val="24"/>
                <w:lang w:eastAsia="fi-FI"/>
              </w:rPr>
              <w:t>tredjeterritorium</w:t>
            </w:r>
            <w:r w:rsidRPr="00E56A2D">
              <w:rPr>
                <w:sz w:val="22"/>
                <w:szCs w:val="24"/>
                <w:lang w:eastAsia="fi-FI"/>
              </w:rPr>
              <w:t xml:space="preserve"> Kanarieöarna, landskapet Åland, Kanalöarna, ön Helgoland, territoriet </w:t>
            </w:r>
            <w:proofErr w:type="spellStart"/>
            <w:r w:rsidRPr="00E56A2D">
              <w:rPr>
                <w:sz w:val="22"/>
                <w:szCs w:val="24"/>
                <w:lang w:eastAsia="fi-FI"/>
              </w:rPr>
              <w:t>Büsingen</w:t>
            </w:r>
            <w:proofErr w:type="spellEnd"/>
            <w:r w:rsidRPr="00E56A2D">
              <w:rPr>
                <w:sz w:val="22"/>
                <w:szCs w:val="24"/>
                <w:lang w:eastAsia="fi-FI"/>
              </w:rPr>
              <w:t xml:space="preserve">, Ceuta, Melilla och Livigno samt de franska områden som avses i artiklarna 349 och </w:t>
            </w:r>
            <w:proofErr w:type="gramStart"/>
            <w:r w:rsidRPr="00E56A2D">
              <w:rPr>
                <w:sz w:val="22"/>
                <w:szCs w:val="24"/>
                <w:lang w:eastAsia="fi-FI"/>
              </w:rPr>
              <w:t>355.1</w:t>
            </w:r>
            <w:proofErr w:type="gramEnd"/>
            <w:r w:rsidRPr="00E56A2D">
              <w:rPr>
                <w:sz w:val="22"/>
                <w:szCs w:val="24"/>
                <w:lang w:eastAsia="fi-FI"/>
              </w:rPr>
              <w:t xml:space="preserve"> i fördraget om Europeiska unionens funktionssätt,</w:t>
            </w:r>
          </w:p>
          <w:p w:rsidR="00E56A2D" w:rsidRPr="00E56A2D" w:rsidRDefault="00E56A2D" w:rsidP="00E56A2D">
            <w:pPr>
              <w:spacing w:line="220" w:lineRule="exact"/>
              <w:ind w:firstLine="170"/>
              <w:jc w:val="both"/>
              <w:rPr>
                <w:sz w:val="22"/>
                <w:szCs w:val="24"/>
                <w:lang w:eastAsia="fi-FI"/>
              </w:rPr>
            </w:pP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 xml:space="preserve">3) </w:t>
            </w:r>
            <w:r w:rsidRPr="00E56A2D">
              <w:rPr>
                <w:i/>
                <w:iCs/>
                <w:sz w:val="22"/>
                <w:szCs w:val="24"/>
                <w:lang w:eastAsia="fi-FI"/>
              </w:rPr>
              <w:t>medlemsstat och en medlemsstats territorium</w:t>
            </w:r>
            <w:r w:rsidRPr="00E56A2D">
              <w:rPr>
                <w:sz w:val="22"/>
                <w:szCs w:val="24"/>
                <w:lang w:eastAsia="fi-FI"/>
              </w:rPr>
              <w:t xml:space="preserve"> territoriet i varje medlemsstat i unionen där unionens lagstiftning är tillämplig, med undantag av tredjeterritorier,</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 xml:space="preserve">4) </w:t>
            </w:r>
            <w:r w:rsidRPr="00E56A2D">
              <w:rPr>
                <w:i/>
                <w:iCs/>
                <w:sz w:val="22"/>
                <w:szCs w:val="24"/>
                <w:lang w:eastAsia="fi-FI"/>
              </w:rPr>
              <w:t>Finland</w:t>
            </w:r>
            <w:r w:rsidRPr="00E56A2D">
              <w:rPr>
                <w:sz w:val="22"/>
                <w:szCs w:val="24"/>
                <w:lang w:eastAsia="fi-FI"/>
              </w:rPr>
              <w:t xml:space="preserve"> Finlands territorium enligt unionens lagstiftning, inklusive landskapet Åland,</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 xml:space="preserve">5) </w:t>
            </w:r>
            <w:r w:rsidRPr="00E56A2D">
              <w:rPr>
                <w:i/>
                <w:iCs/>
                <w:sz w:val="22"/>
                <w:szCs w:val="24"/>
                <w:lang w:eastAsia="fi-FI"/>
              </w:rPr>
              <w:t>tredjeland</w:t>
            </w:r>
            <w:r w:rsidRPr="00E56A2D">
              <w:rPr>
                <w:sz w:val="22"/>
                <w:szCs w:val="24"/>
                <w:lang w:eastAsia="fi-FI"/>
              </w:rPr>
              <w:t xml:space="preserve"> varje stat eller territorium där fördraget om Europeiska unionen </w:t>
            </w:r>
            <w:r w:rsidRPr="00E56A2D">
              <w:rPr>
                <w:i/>
                <w:sz w:val="22"/>
                <w:szCs w:val="24"/>
                <w:lang w:eastAsia="fi-FI"/>
              </w:rPr>
              <w:t xml:space="preserve">och fördraget om Europeiska unionens funktionssätt </w:t>
            </w:r>
            <w:r w:rsidRPr="00E56A2D">
              <w:rPr>
                <w:sz w:val="22"/>
                <w:szCs w:val="24"/>
                <w:lang w:eastAsia="fi-FI"/>
              </w:rPr>
              <w:t xml:space="preserve">inte gäller, dock inte Monaco, San Marino, Förenade kungarikets suveräna basområden </w:t>
            </w:r>
            <w:proofErr w:type="spellStart"/>
            <w:r w:rsidRPr="00E56A2D">
              <w:rPr>
                <w:sz w:val="22"/>
                <w:szCs w:val="24"/>
                <w:lang w:eastAsia="fi-FI"/>
              </w:rPr>
              <w:t>Akrotiri</w:t>
            </w:r>
            <w:proofErr w:type="spellEnd"/>
            <w:r w:rsidRPr="00E56A2D">
              <w:rPr>
                <w:sz w:val="22"/>
                <w:szCs w:val="24"/>
                <w:lang w:eastAsia="fi-FI"/>
              </w:rPr>
              <w:t xml:space="preserve"> och Dhekelia samt Isle </w:t>
            </w:r>
            <w:proofErr w:type="spellStart"/>
            <w:r w:rsidRPr="00E56A2D">
              <w:rPr>
                <w:sz w:val="22"/>
                <w:szCs w:val="24"/>
                <w:lang w:eastAsia="fi-FI"/>
              </w:rPr>
              <w:t>of</w:t>
            </w:r>
            <w:proofErr w:type="spellEnd"/>
            <w:r w:rsidRPr="00E56A2D">
              <w:rPr>
                <w:sz w:val="22"/>
                <w:szCs w:val="24"/>
                <w:lang w:eastAsia="fi-FI"/>
              </w:rPr>
              <w:t xml:space="preserve"> Man; flyttningar av punktskattepliktiga produkter som utgår från eller är avsedda för</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a) Monaco ska behandlas som flyttningar som utgår från eller är avsedda för Frankrike,</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b) San Marino ska behandlas som flyttningar som utgår från eller är avsedda för Italien,</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 xml:space="preserve">c) Förenade kungarikets suveräna basområden </w:t>
            </w:r>
            <w:proofErr w:type="spellStart"/>
            <w:r w:rsidRPr="00E56A2D">
              <w:rPr>
                <w:sz w:val="22"/>
                <w:szCs w:val="24"/>
                <w:lang w:eastAsia="fi-FI"/>
              </w:rPr>
              <w:t>Akrotiri</w:t>
            </w:r>
            <w:proofErr w:type="spellEnd"/>
            <w:r w:rsidRPr="00E56A2D">
              <w:rPr>
                <w:sz w:val="22"/>
                <w:szCs w:val="24"/>
                <w:lang w:eastAsia="fi-FI"/>
              </w:rPr>
              <w:t xml:space="preserve"> och Dhekelia ska behandlas som flyttningar som utgår från eller är avsedda för Cypern,</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t xml:space="preserve">d) Isle </w:t>
            </w:r>
            <w:proofErr w:type="spellStart"/>
            <w:r w:rsidRPr="00E56A2D">
              <w:rPr>
                <w:sz w:val="22"/>
                <w:szCs w:val="24"/>
                <w:lang w:eastAsia="fi-FI"/>
              </w:rPr>
              <w:t>of</w:t>
            </w:r>
            <w:proofErr w:type="spellEnd"/>
            <w:r w:rsidRPr="00E56A2D">
              <w:rPr>
                <w:sz w:val="22"/>
                <w:szCs w:val="24"/>
                <w:lang w:eastAsia="fi-FI"/>
              </w:rPr>
              <w:t xml:space="preserve"> Man behandlas som flyttningar som utgår från eller är avsedda för Förenade kungariket,</w:t>
            </w:r>
          </w:p>
          <w:p w:rsidR="00E56A2D" w:rsidRPr="00E56A2D" w:rsidRDefault="00E56A2D" w:rsidP="00E56A2D">
            <w:pPr>
              <w:spacing w:line="220" w:lineRule="exact"/>
              <w:ind w:firstLine="170"/>
              <w:jc w:val="both"/>
              <w:rPr>
                <w:sz w:val="22"/>
                <w:szCs w:val="24"/>
                <w:lang w:eastAsia="fi-FI"/>
              </w:rPr>
            </w:pPr>
            <w:r w:rsidRPr="00E56A2D">
              <w:rPr>
                <w:sz w:val="22"/>
                <w:szCs w:val="24"/>
                <w:lang w:eastAsia="fi-FI"/>
              </w:rPr>
              <w:lastRenderedPageBreak/>
              <w:t xml:space="preserve">e) </w:t>
            </w:r>
            <w:proofErr w:type="spellStart"/>
            <w:r w:rsidRPr="00E56A2D">
              <w:rPr>
                <w:sz w:val="22"/>
                <w:szCs w:val="24"/>
                <w:lang w:eastAsia="fi-FI"/>
              </w:rPr>
              <w:t>Jungholtz</w:t>
            </w:r>
            <w:proofErr w:type="spellEnd"/>
            <w:r w:rsidRPr="00E56A2D">
              <w:rPr>
                <w:sz w:val="22"/>
                <w:szCs w:val="24"/>
                <w:lang w:eastAsia="fi-FI"/>
              </w:rPr>
              <w:t xml:space="preserve"> och Mittelberg (</w:t>
            </w:r>
            <w:proofErr w:type="spellStart"/>
            <w:r w:rsidRPr="00E56A2D">
              <w:rPr>
                <w:sz w:val="22"/>
                <w:szCs w:val="24"/>
                <w:lang w:eastAsia="fi-FI"/>
              </w:rPr>
              <w:t>Kleines</w:t>
            </w:r>
            <w:proofErr w:type="spellEnd"/>
            <w:r w:rsidRPr="00E56A2D">
              <w:rPr>
                <w:sz w:val="22"/>
                <w:szCs w:val="24"/>
                <w:lang w:eastAsia="fi-FI"/>
              </w:rPr>
              <w:t xml:space="preserve"> </w:t>
            </w:r>
            <w:proofErr w:type="spellStart"/>
            <w:r w:rsidRPr="00E56A2D">
              <w:rPr>
                <w:sz w:val="22"/>
                <w:szCs w:val="24"/>
                <w:lang w:eastAsia="fi-FI"/>
              </w:rPr>
              <w:t>Walsertal</w:t>
            </w:r>
            <w:proofErr w:type="spellEnd"/>
            <w:r w:rsidRPr="00E56A2D">
              <w:rPr>
                <w:sz w:val="22"/>
                <w:szCs w:val="24"/>
                <w:lang w:eastAsia="fi-FI"/>
              </w:rPr>
              <w:t>) ska behandlas som flyttningar som utgår från eller är avsedda för Tyskland.</w:t>
            </w:r>
          </w:p>
          <w:p w:rsidR="00E56A2D" w:rsidRPr="003F5176" w:rsidRDefault="00E56A2D" w:rsidP="003F5176">
            <w:pPr>
              <w:spacing w:line="220" w:lineRule="exact"/>
              <w:ind w:firstLine="170"/>
              <w:jc w:val="both"/>
              <w:rPr>
                <w:sz w:val="22"/>
                <w:szCs w:val="24"/>
                <w:lang w:eastAsia="fi-FI"/>
              </w:rPr>
            </w:pPr>
            <w:proofErr w:type="gramStart"/>
            <w:r>
              <w:rPr>
                <w:sz w:val="22"/>
                <w:szCs w:val="24"/>
                <w:lang w:eastAsia="fi-FI"/>
              </w:rPr>
              <w:t>—</w:t>
            </w:r>
            <w:proofErr w:type="gramEnd"/>
            <w:r>
              <w:rPr>
                <w:sz w:val="22"/>
                <w:szCs w:val="24"/>
                <w:lang w:eastAsia="fi-FI"/>
              </w:rPr>
              <w:t xml:space="preserve"> — — — — — — — — — — — — — </w:t>
            </w:r>
          </w:p>
        </w:tc>
      </w:tr>
      <w:tr w:rsidR="00E56A2D" w:rsidTr="00E56A2D">
        <w:tc>
          <w:tcPr>
            <w:tcW w:w="4168" w:type="dxa"/>
            <w:shd w:val="clear" w:color="auto" w:fill="auto"/>
          </w:tcPr>
          <w:p w:rsidR="00E56A2D" w:rsidRDefault="00E56A2D" w:rsidP="00E56A2D">
            <w:pPr>
              <w:pStyle w:val="LLPykala"/>
            </w:pPr>
          </w:p>
        </w:tc>
        <w:tc>
          <w:tcPr>
            <w:tcW w:w="4168" w:type="dxa"/>
            <w:shd w:val="clear" w:color="auto" w:fill="auto"/>
          </w:tcPr>
          <w:p w:rsidR="00E56A2D" w:rsidRPr="00E56A2D" w:rsidRDefault="00E56A2D" w:rsidP="00E56A2D">
            <w:pPr>
              <w:spacing w:line="220" w:lineRule="exact"/>
              <w:jc w:val="center"/>
              <w:rPr>
                <w:sz w:val="22"/>
                <w:szCs w:val="24"/>
                <w:lang w:eastAsia="fi-FI"/>
              </w:rPr>
            </w:pPr>
            <w:proofErr w:type="gramStart"/>
            <w:r w:rsidRPr="00E56A2D">
              <w:rPr>
                <w:sz w:val="22"/>
                <w:szCs w:val="24"/>
                <w:lang w:eastAsia="fi-FI"/>
              </w:rPr>
              <w:t>—</w:t>
            </w:r>
            <w:proofErr w:type="gramEnd"/>
            <w:r w:rsidRPr="00E56A2D">
              <w:rPr>
                <w:sz w:val="22"/>
                <w:szCs w:val="24"/>
                <w:lang w:eastAsia="fi-FI"/>
              </w:rPr>
              <w:t>——</w:t>
            </w:r>
          </w:p>
          <w:p w:rsidR="00E56A2D" w:rsidRPr="00E56A2D" w:rsidRDefault="00E56A2D" w:rsidP="00E56A2D">
            <w:pPr>
              <w:spacing w:line="220" w:lineRule="exact"/>
              <w:ind w:firstLine="170"/>
              <w:jc w:val="both"/>
              <w:rPr>
                <w:i/>
                <w:sz w:val="22"/>
                <w:szCs w:val="24"/>
                <w:lang w:eastAsia="fi-FI"/>
              </w:rPr>
            </w:pPr>
            <w:r w:rsidRPr="00E56A2D">
              <w:rPr>
                <w:i/>
                <w:sz w:val="22"/>
                <w:szCs w:val="24"/>
                <w:lang w:eastAsia="fi-FI"/>
              </w:rPr>
              <w:t xml:space="preserve">Denna lag träder i kraft </w:t>
            </w:r>
            <w:proofErr w:type="gramStart"/>
            <w:r w:rsidRPr="00E56A2D">
              <w:rPr>
                <w:i/>
                <w:sz w:val="22"/>
                <w:szCs w:val="24"/>
                <w:lang w:eastAsia="fi-FI"/>
              </w:rPr>
              <w:t>den   januari</w:t>
            </w:r>
            <w:proofErr w:type="gramEnd"/>
            <w:r w:rsidRPr="00E56A2D">
              <w:rPr>
                <w:i/>
                <w:sz w:val="22"/>
                <w:szCs w:val="24"/>
                <w:lang w:eastAsia="fi-FI"/>
              </w:rPr>
              <w:t xml:space="preserve"> 20</w:t>
            </w:r>
            <w:r>
              <w:rPr>
                <w:i/>
                <w:sz w:val="22"/>
                <w:szCs w:val="24"/>
                <w:lang w:eastAsia="fi-FI"/>
              </w:rPr>
              <w:t xml:space="preserve">  .</w:t>
            </w:r>
            <w:r w:rsidRPr="00E56A2D">
              <w:rPr>
                <w:i/>
                <w:sz w:val="22"/>
                <w:szCs w:val="24"/>
                <w:lang w:eastAsia="fi-FI"/>
              </w:rPr>
              <w:t xml:space="preserve">  </w:t>
            </w:r>
          </w:p>
          <w:p w:rsidR="00E56A2D" w:rsidRPr="00E56A2D" w:rsidRDefault="00E56A2D" w:rsidP="00E56A2D">
            <w:pPr>
              <w:pStyle w:val="LLNormaali"/>
              <w:jc w:val="center"/>
              <w:rPr>
                <w:lang w:val="fi-FI"/>
              </w:rPr>
            </w:pPr>
            <w:r>
              <w:rPr>
                <w:lang w:val="fi-FI"/>
              </w:rPr>
              <w:t>———</w:t>
            </w:r>
          </w:p>
          <w:p w:rsidR="00E56A2D" w:rsidRPr="00E56A2D" w:rsidRDefault="00E56A2D" w:rsidP="00E56A2D">
            <w:pPr>
              <w:spacing w:line="220" w:lineRule="exact"/>
              <w:jc w:val="center"/>
              <w:rPr>
                <w:sz w:val="22"/>
                <w:szCs w:val="24"/>
                <w:lang w:eastAsia="fi-FI"/>
              </w:rPr>
            </w:pPr>
          </w:p>
        </w:tc>
      </w:tr>
    </w:tbl>
    <w:p w:rsidR="00E56A2D" w:rsidRPr="00093653" w:rsidRDefault="00E56A2D" w:rsidP="00093653">
      <w:pPr>
        <w:pStyle w:val="LLNormaali"/>
      </w:pPr>
    </w:p>
    <w:sectPr w:rsidR="00E56A2D" w:rsidRPr="00093653"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3B" w:rsidRDefault="005A683B">
      <w:r>
        <w:separator/>
      </w:r>
    </w:p>
  </w:endnote>
  <w:endnote w:type="continuationSeparator" w:id="0">
    <w:p w:rsidR="005A683B" w:rsidRDefault="005A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B" w:rsidRDefault="005A683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A683B" w:rsidRDefault="005A68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A683B" w:rsidTr="000C5020">
      <w:trPr>
        <w:trHeight w:hRule="exact" w:val="356"/>
      </w:trPr>
      <w:tc>
        <w:tcPr>
          <w:tcW w:w="2828" w:type="dxa"/>
          <w:shd w:val="clear" w:color="auto" w:fill="auto"/>
          <w:vAlign w:val="bottom"/>
        </w:tcPr>
        <w:p w:rsidR="005A683B" w:rsidRPr="000C5020" w:rsidRDefault="005A683B" w:rsidP="001310B9">
          <w:pPr>
            <w:pStyle w:val="Alatunniste"/>
            <w:rPr>
              <w:sz w:val="18"/>
              <w:szCs w:val="18"/>
              <w:lang w:eastAsia="fi-FI"/>
            </w:rPr>
          </w:pPr>
        </w:p>
      </w:tc>
      <w:tc>
        <w:tcPr>
          <w:tcW w:w="2829" w:type="dxa"/>
          <w:shd w:val="clear" w:color="auto" w:fill="auto"/>
          <w:vAlign w:val="bottom"/>
        </w:tcPr>
        <w:p w:rsidR="005A683B" w:rsidRPr="000C5020" w:rsidRDefault="005A683B" w:rsidP="000C5020">
          <w:pPr>
            <w:pStyle w:val="Alatunniste"/>
            <w:jc w:val="center"/>
            <w:rPr>
              <w:sz w:val="22"/>
              <w:szCs w:val="22"/>
            </w:rPr>
          </w:pPr>
          <w:r w:rsidRPr="003913F6">
            <w:rPr>
              <w:rStyle w:val="Sivunumero"/>
              <w:sz w:val="22"/>
              <w:szCs w:val="24"/>
            </w:rPr>
            <w:fldChar w:fldCharType="begin"/>
          </w:r>
          <w:r w:rsidRPr="003913F6">
            <w:rPr>
              <w:rStyle w:val="Sivunumero"/>
              <w:sz w:val="22"/>
              <w:szCs w:val="24"/>
            </w:rPr>
            <w:instrText xml:space="preserve"> PAGE </w:instrText>
          </w:r>
          <w:r w:rsidRPr="003913F6">
            <w:rPr>
              <w:rStyle w:val="Sivunumero"/>
              <w:sz w:val="22"/>
              <w:szCs w:val="24"/>
            </w:rPr>
            <w:fldChar w:fldCharType="separate"/>
          </w:r>
          <w:r w:rsidR="001A73C6">
            <w:rPr>
              <w:rStyle w:val="Sivunumero"/>
              <w:noProof/>
              <w:sz w:val="22"/>
              <w:szCs w:val="24"/>
            </w:rPr>
            <w:t>2</w:t>
          </w:r>
          <w:r w:rsidRPr="003913F6">
            <w:rPr>
              <w:rStyle w:val="Sivunumero"/>
              <w:sz w:val="22"/>
              <w:szCs w:val="24"/>
            </w:rPr>
            <w:fldChar w:fldCharType="end"/>
          </w:r>
        </w:p>
      </w:tc>
      <w:tc>
        <w:tcPr>
          <w:tcW w:w="2829" w:type="dxa"/>
          <w:shd w:val="clear" w:color="auto" w:fill="auto"/>
          <w:vAlign w:val="bottom"/>
        </w:tcPr>
        <w:p w:rsidR="005A683B" w:rsidRPr="000C5020" w:rsidRDefault="005A683B" w:rsidP="001310B9">
          <w:pPr>
            <w:pStyle w:val="Alatunniste"/>
            <w:rPr>
              <w:sz w:val="18"/>
              <w:szCs w:val="18"/>
              <w:lang w:eastAsia="fi-FI"/>
            </w:rPr>
          </w:pPr>
        </w:p>
      </w:tc>
    </w:tr>
  </w:tbl>
  <w:p w:rsidR="005A683B" w:rsidRDefault="005A683B" w:rsidP="001310B9">
    <w:pPr>
      <w:pStyle w:val="Alatunniste"/>
    </w:pPr>
  </w:p>
  <w:p w:rsidR="005A683B" w:rsidRDefault="005A683B" w:rsidP="001310B9">
    <w:pPr>
      <w:pStyle w:val="Alatunniste"/>
      <w:framePr w:wrap="around" w:vAnchor="text" w:hAnchor="page" w:x="5921" w:y="729"/>
      <w:rPr>
        <w:rStyle w:val="Sivunumero"/>
      </w:rPr>
    </w:pPr>
  </w:p>
  <w:p w:rsidR="005A683B" w:rsidRDefault="005A683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A683B" w:rsidTr="000C5020">
      <w:trPr>
        <w:trHeight w:val="841"/>
      </w:trPr>
      <w:tc>
        <w:tcPr>
          <w:tcW w:w="2829" w:type="dxa"/>
          <w:shd w:val="clear" w:color="auto" w:fill="auto"/>
        </w:tcPr>
        <w:p w:rsidR="005A683B" w:rsidRPr="000C5020" w:rsidRDefault="005A683B" w:rsidP="005224A0">
          <w:pPr>
            <w:pStyle w:val="Alatunniste"/>
            <w:rPr>
              <w:sz w:val="17"/>
              <w:szCs w:val="18"/>
              <w:lang w:eastAsia="fi-FI"/>
            </w:rPr>
          </w:pPr>
        </w:p>
      </w:tc>
      <w:tc>
        <w:tcPr>
          <w:tcW w:w="2829" w:type="dxa"/>
          <w:shd w:val="clear" w:color="auto" w:fill="auto"/>
          <w:vAlign w:val="bottom"/>
        </w:tcPr>
        <w:p w:rsidR="005A683B" w:rsidRPr="000C5020" w:rsidRDefault="005A683B" w:rsidP="000C5020">
          <w:pPr>
            <w:pStyle w:val="Alatunniste"/>
            <w:jc w:val="center"/>
            <w:rPr>
              <w:sz w:val="22"/>
              <w:szCs w:val="22"/>
              <w:lang w:eastAsia="fi-FI"/>
            </w:rPr>
          </w:pPr>
        </w:p>
      </w:tc>
      <w:tc>
        <w:tcPr>
          <w:tcW w:w="2829" w:type="dxa"/>
          <w:shd w:val="clear" w:color="auto" w:fill="auto"/>
        </w:tcPr>
        <w:p w:rsidR="005A683B" w:rsidRPr="000C5020" w:rsidRDefault="005A683B" w:rsidP="005224A0">
          <w:pPr>
            <w:pStyle w:val="Alatunniste"/>
            <w:rPr>
              <w:sz w:val="17"/>
              <w:szCs w:val="18"/>
              <w:lang w:eastAsia="fi-FI"/>
            </w:rPr>
          </w:pPr>
        </w:p>
      </w:tc>
    </w:tr>
  </w:tbl>
  <w:p w:rsidR="005A683B" w:rsidRPr="001310B9" w:rsidRDefault="005A683B">
    <w:pPr>
      <w:pStyle w:val="Alatunniste"/>
      <w:rPr>
        <w:sz w:val="22"/>
        <w:szCs w:val="22"/>
      </w:rPr>
    </w:pPr>
  </w:p>
  <w:p w:rsidR="005A683B" w:rsidRDefault="005A68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3B" w:rsidRDefault="005A683B">
      <w:r>
        <w:separator/>
      </w:r>
    </w:p>
  </w:footnote>
  <w:footnote w:type="continuationSeparator" w:id="0">
    <w:p w:rsidR="005A683B" w:rsidRDefault="005A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A683B" w:rsidTr="00C95716">
      <w:tc>
        <w:tcPr>
          <w:tcW w:w="2140" w:type="dxa"/>
        </w:tcPr>
        <w:p w:rsidR="005A683B" w:rsidRDefault="005A683B" w:rsidP="00C95716">
          <w:pPr>
            <w:pStyle w:val="LLNormaali"/>
            <w:rPr>
              <w:lang w:val="en-US"/>
            </w:rPr>
          </w:pPr>
        </w:p>
      </w:tc>
      <w:tc>
        <w:tcPr>
          <w:tcW w:w="4281" w:type="dxa"/>
          <w:gridSpan w:val="2"/>
        </w:tcPr>
        <w:p w:rsidR="005A683B" w:rsidRDefault="005A683B" w:rsidP="00C95716">
          <w:pPr>
            <w:pStyle w:val="LLNormaali"/>
            <w:jc w:val="center"/>
          </w:pPr>
        </w:p>
      </w:tc>
      <w:tc>
        <w:tcPr>
          <w:tcW w:w="2141" w:type="dxa"/>
        </w:tcPr>
        <w:p w:rsidR="005A683B" w:rsidRDefault="005A683B" w:rsidP="00C95716">
          <w:pPr>
            <w:pStyle w:val="LLNormaali"/>
            <w:rPr>
              <w:lang w:val="en-US"/>
            </w:rPr>
          </w:pPr>
        </w:p>
      </w:tc>
    </w:tr>
    <w:tr w:rsidR="005A683B" w:rsidTr="00C95716">
      <w:tc>
        <w:tcPr>
          <w:tcW w:w="4281" w:type="dxa"/>
          <w:gridSpan w:val="2"/>
        </w:tcPr>
        <w:p w:rsidR="005A683B" w:rsidRPr="00AC3BA6" w:rsidRDefault="005A683B" w:rsidP="00C95716">
          <w:pPr>
            <w:pStyle w:val="LLNormaali"/>
            <w:rPr>
              <w:i/>
            </w:rPr>
          </w:pPr>
        </w:p>
      </w:tc>
      <w:tc>
        <w:tcPr>
          <w:tcW w:w="4281" w:type="dxa"/>
          <w:gridSpan w:val="2"/>
        </w:tcPr>
        <w:p w:rsidR="005A683B" w:rsidRPr="00AC3BA6" w:rsidRDefault="005A683B" w:rsidP="00C95716">
          <w:pPr>
            <w:pStyle w:val="LLNormaali"/>
            <w:rPr>
              <w:i/>
            </w:rPr>
          </w:pPr>
        </w:p>
      </w:tc>
    </w:tr>
  </w:tbl>
  <w:p w:rsidR="005A683B" w:rsidRDefault="005A683B"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A683B" w:rsidTr="00F674CC">
      <w:tc>
        <w:tcPr>
          <w:tcW w:w="2140" w:type="dxa"/>
        </w:tcPr>
        <w:p w:rsidR="005A683B" w:rsidRDefault="005A683B" w:rsidP="00F674CC">
          <w:pPr>
            <w:pStyle w:val="LLNormaali"/>
            <w:rPr>
              <w:lang w:val="en-US"/>
            </w:rPr>
          </w:pPr>
        </w:p>
      </w:tc>
      <w:tc>
        <w:tcPr>
          <w:tcW w:w="4281" w:type="dxa"/>
          <w:gridSpan w:val="2"/>
        </w:tcPr>
        <w:p w:rsidR="005A683B" w:rsidRDefault="005A683B" w:rsidP="00F674CC">
          <w:pPr>
            <w:pStyle w:val="LLNormaali"/>
            <w:jc w:val="center"/>
          </w:pPr>
        </w:p>
      </w:tc>
      <w:tc>
        <w:tcPr>
          <w:tcW w:w="2141" w:type="dxa"/>
        </w:tcPr>
        <w:p w:rsidR="005A683B" w:rsidRDefault="005A683B" w:rsidP="00F674CC">
          <w:pPr>
            <w:pStyle w:val="LLNormaali"/>
            <w:rPr>
              <w:lang w:val="en-US"/>
            </w:rPr>
          </w:pPr>
        </w:p>
      </w:tc>
    </w:tr>
    <w:tr w:rsidR="005A683B" w:rsidTr="00F674CC">
      <w:tc>
        <w:tcPr>
          <w:tcW w:w="4281" w:type="dxa"/>
          <w:gridSpan w:val="2"/>
        </w:tcPr>
        <w:p w:rsidR="005A683B" w:rsidRPr="00AC3BA6" w:rsidRDefault="005A683B" w:rsidP="00F674CC">
          <w:pPr>
            <w:pStyle w:val="LLNormaali"/>
            <w:rPr>
              <w:i/>
            </w:rPr>
          </w:pPr>
        </w:p>
      </w:tc>
      <w:tc>
        <w:tcPr>
          <w:tcW w:w="4281" w:type="dxa"/>
          <w:gridSpan w:val="2"/>
        </w:tcPr>
        <w:p w:rsidR="005A683B" w:rsidRPr="00AC3BA6" w:rsidRDefault="005A683B" w:rsidP="00F674CC">
          <w:pPr>
            <w:pStyle w:val="LLNormaali"/>
            <w:rPr>
              <w:i/>
            </w:rPr>
          </w:pPr>
        </w:p>
      </w:tc>
    </w:tr>
  </w:tbl>
  <w:p w:rsidR="005A683B" w:rsidRDefault="005A68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C3A"/>
    <w:multiLevelType w:val="hybridMultilevel"/>
    <w:tmpl w:val="9234596E"/>
    <w:lvl w:ilvl="0" w:tplc="699274A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1E01BF4"/>
    <w:multiLevelType w:val="multilevel"/>
    <w:tmpl w:val="509A9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014B9"/>
    <w:multiLevelType w:val="hybridMultilevel"/>
    <w:tmpl w:val="6ADAA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48008F"/>
    <w:multiLevelType w:val="hybridMultilevel"/>
    <w:tmpl w:val="FE744200"/>
    <w:lvl w:ilvl="0" w:tplc="322AD87E">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A06EFD"/>
    <w:multiLevelType w:val="hybridMultilevel"/>
    <w:tmpl w:val="858267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1BD59D2"/>
    <w:multiLevelType w:val="hybridMultilevel"/>
    <w:tmpl w:val="0E70437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2EF4362"/>
    <w:multiLevelType w:val="hybridMultilevel"/>
    <w:tmpl w:val="AA2A8C82"/>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9" w15:restartNumberingAfterBreak="0">
    <w:nsid w:val="62983007"/>
    <w:multiLevelType w:val="multilevel"/>
    <w:tmpl w:val="93525DA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8"/>
  </w:num>
  <w:num w:numId="3">
    <w:abstractNumId w:val="7"/>
  </w:num>
  <w:num w:numId="4">
    <w:abstractNumId w:val="10"/>
  </w:num>
  <w:num w:numId="5">
    <w:abstractNumId w:val="0"/>
  </w:num>
  <w:num w:numId="6">
    <w:abstractNumId w:val="3"/>
  </w:num>
  <w:num w:numId="7">
    <w:abstractNumId w:val="9"/>
  </w:num>
  <w:num w:numId="8">
    <w:abstractNumId w:val="9"/>
  </w:num>
  <w:num w:numId="9">
    <w:abstractNumId w:val="9"/>
  </w:num>
  <w:num w:numId="10">
    <w:abstractNumId w:val="1"/>
  </w:num>
  <w:num w:numId="11">
    <w:abstractNumId w:val="9"/>
    <w:lvlOverride w:ilvl="0">
      <w:startOverride w:val="1"/>
    </w:lvlOverride>
    <w:lvlOverride w:ilvl="1">
      <w:startOverride w:val="4"/>
    </w:lvlOverride>
  </w:num>
  <w:num w:numId="12">
    <w:abstractNumId w:val="9"/>
    <w:lvlOverride w:ilvl="0">
      <w:startOverride w:val="1"/>
    </w:lvlOverride>
    <w:lvlOverride w:ilvl="1">
      <w:startOverride w:val="4"/>
    </w:lvlOverride>
    <w:lvlOverride w:ilvl="2">
      <w:startOverride w:val="2"/>
    </w:lvlOverride>
  </w:num>
  <w:num w:numId="13">
    <w:abstractNumId w:val="2"/>
  </w:num>
  <w:num w:numId="14">
    <w:abstractNumId w:val="5"/>
  </w:num>
  <w:num w:numId="15">
    <w:abstractNumId w:val="4"/>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7A"/>
    <w:rsid w:val="00000B13"/>
    <w:rsid w:val="00000D79"/>
    <w:rsid w:val="00001C65"/>
    <w:rsid w:val="000020D6"/>
    <w:rsid w:val="000026A6"/>
    <w:rsid w:val="00005736"/>
    <w:rsid w:val="00006FA1"/>
    <w:rsid w:val="00007C03"/>
    <w:rsid w:val="00007EA2"/>
    <w:rsid w:val="00011736"/>
    <w:rsid w:val="000131D0"/>
    <w:rsid w:val="0001433B"/>
    <w:rsid w:val="0001582F"/>
    <w:rsid w:val="00015D45"/>
    <w:rsid w:val="000166D0"/>
    <w:rsid w:val="00017270"/>
    <w:rsid w:val="000202B9"/>
    <w:rsid w:val="000202BC"/>
    <w:rsid w:val="000208A6"/>
    <w:rsid w:val="0002194F"/>
    <w:rsid w:val="00023201"/>
    <w:rsid w:val="00024B6D"/>
    <w:rsid w:val="00030044"/>
    <w:rsid w:val="00030AC1"/>
    <w:rsid w:val="00031806"/>
    <w:rsid w:val="000320F0"/>
    <w:rsid w:val="0003265F"/>
    <w:rsid w:val="0003393F"/>
    <w:rsid w:val="00034B95"/>
    <w:rsid w:val="00035FD7"/>
    <w:rsid w:val="0003652F"/>
    <w:rsid w:val="000370C8"/>
    <w:rsid w:val="00040AE3"/>
    <w:rsid w:val="00040D23"/>
    <w:rsid w:val="00041A0B"/>
    <w:rsid w:val="00043723"/>
    <w:rsid w:val="00044201"/>
    <w:rsid w:val="00044451"/>
    <w:rsid w:val="000450D2"/>
    <w:rsid w:val="00047B66"/>
    <w:rsid w:val="000502E9"/>
    <w:rsid w:val="00050C95"/>
    <w:rsid w:val="00052549"/>
    <w:rsid w:val="00052E56"/>
    <w:rsid w:val="000543D1"/>
    <w:rsid w:val="000547E2"/>
    <w:rsid w:val="0005676C"/>
    <w:rsid w:val="00060843"/>
    <w:rsid w:val="000608D6"/>
    <w:rsid w:val="00061325"/>
    <w:rsid w:val="000614BC"/>
    <w:rsid w:val="00061565"/>
    <w:rsid w:val="00061FE7"/>
    <w:rsid w:val="00062A38"/>
    <w:rsid w:val="00063BCB"/>
    <w:rsid w:val="00063DCC"/>
    <w:rsid w:val="00064872"/>
    <w:rsid w:val="00066DC3"/>
    <w:rsid w:val="000677E9"/>
    <w:rsid w:val="00067EF6"/>
    <w:rsid w:val="00070B45"/>
    <w:rsid w:val="00070C92"/>
    <w:rsid w:val="000722C4"/>
    <w:rsid w:val="00072627"/>
    <w:rsid w:val="00073A99"/>
    <w:rsid w:val="00074190"/>
    <w:rsid w:val="00075ADB"/>
    <w:rsid w:val="000764E7"/>
    <w:rsid w:val="000769BB"/>
    <w:rsid w:val="00077867"/>
    <w:rsid w:val="000811EC"/>
    <w:rsid w:val="000819E3"/>
    <w:rsid w:val="00083E71"/>
    <w:rsid w:val="00084034"/>
    <w:rsid w:val="00085925"/>
    <w:rsid w:val="000867A9"/>
    <w:rsid w:val="000869D6"/>
    <w:rsid w:val="00086A31"/>
    <w:rsid w:val="00086D51"/>
    <w:rsid w:val="00086E44"/>
    <w:rsid w:val="00091ADB"/>
    <w:rsid w:val="0009275E"/>
    <w:rsid w:val="000931E7"/>
    <w:rsid w:val="00093653"/>
    <w:rsid w:val="00094938"/>
    <w:rsid w:val="000968AF"/>
    <w:rsid w:val="000977E0"/>
    <w:rsid w:val="00097836"/>
    <w:rsid w:val="00097A49"/>
    <w:rsid w:val="000A11C9"/>
    <w:rsid w:val="000A23C8"/>
    <w:rsid w:val="000A2C2D"/>
    <w:rsid w:val="000A2EC3"/>
    <w:rsid w:val="000A3181"/>
    <w:rsid w:val="000A3B66"/>
    <w:rsid w:val="000A48BD"/>
    <w:rsid w:val="000A4CC1"/>
    <w:rsid w:val="000A4F4F"/>
    <w:rsid w:val="000A55E5"/>
    <w:rsid w:val="000A6A0D"/>
    <w:rsid w:val="000A6C3E"/>
    <w:rsid w:val="000A7212"/>
    <w:rsid w:val="000A75CB"/>
    <w:rsid w:val="000B0F5F"/>
    <w:rsid w:val="000B2410"/>
    <w:rsid w:val="000B3DC5"/>
    <w:rsid w:val="000B43F5"/>
    <w:rsid w:val="000B699F"/>
    <w:rsid w:val="000B7064"/>
    <w:rsid w:val="000C0B03"/>
    <w:rsid w:val="000C13BA"/>
    <w:rsid w:val="000C15D4"/>
    <w:rsid w:val="000C1725"/>
    <w:rsid w:val="000C3A8E"/>
    <w:rsid w:val="000C4809"/>
    <w:rsid w:val="000C4BB0"/>
    <w:rsid w:val="000C5020"/>
    <w:rsid w:val="000D0AA3"/>
    <w:rsid w:val="000D0E30"/>
    <w:rsid w:val="000D1D74"/>
    <w:rsid w:val="000D3443"/>
    <w:rsid w:val="000D38CD"/>
    <w:rsid w:val="000D425F"/>
    <w:rsid w:val="000D4882"/>
    <w:rsid w:val="000D4BFA"/>
    <w:rsid w:val="000D5454"/>
    <w:rsid w:val="000D550A"/>
    <w:rsid w:val="000D5694"/>
    <w:rsid w:val="000D5DBD"/>
    <w:rsid w:val="000D5E86"/>
    <w:rsid w:val="000D6E55"/>
    <w:rsid w:val="000D7D20"/>
    <w:rsid w:val="000E0B7D"/>
    <w:rsid w:val="000E1BB8"/>
    <w:rsid w:val="000E2BF4"/>
    <w:rsid w:val="000E446C"/>
    <w:rsid w:val="000E4544"/>
    <w:rsid w:val="000F02E2"/>
    <w:rsid w:val="000F06B2"/>
    <w:rsid w:val="000F1313"/>
    <w:rsid w:val="000F1A50"/>
    <w:rsid w:val="000F1AE5"/>
    <w:rsid w:val="000F1F95"/>
    <w:rsid w:val="000F3981"/>
    <w:rsid w:val="000F3EE9"/>
    <w:rsid w:val="000F3FDB"/>
    <w:rsid w:val="000F43FA"/>
    <w:rsid w:val="000F5A45"/>
    <w:rsid w:val="000F6077"/>
    <w:rsid w:val="000F66A0"/>
    <w:rsid w:val="000F6CDD"/>
    <w:rsid w:val="000F6DC9"/>
    <w:rsid w:val="000F70C7"/>
    <w:rsid w:val="000F71FD"/>
    <w:rsid w:val="000F77E5"/>
    <w:rsid w:val="00100EB7"/>
    <w:rsid w:val="00103ACA"/>
    <w:rsid w:val="00103C5F"/>
    <w:rsid w:val="0010437C"/>
    <w:rsid w:val="001044A0"/>
    <w:rsid w:val="001063A9"/>
    <w:rsid w:val="00106FD6"/>
    <w:rsid w:val="00107C32"/>
    <w:rsid w:val="00111C33"/>
    <w:rsid w:val="00113012"/>
    <w:rsid w:val="0011363B"/>
    <w:rsid w:val="00113CCD"/>
    <w:rsid w:val="00113D42"/>
    <w:rsid w:val="00113E4A"/>
    <w:rsid w:val="00113FEF"/>
    <w:rsid w:val="00114D89"/>
    <w:rsid w:val="00115121"/>
    <w:rsid w:val="0011693E"/>
    <w:rsid w:val="00116E79"/>
    <w:rsid w:val="00117C3F"/>
    <w:rsid w:val="001202F8"/>
    <w:rsid w:val="00120A6F"/>
    <w:rsid w:val="001216C0"/>
    <w:rsid w:val="001216E1"/>
    <w:rsid w:val="00121E3B"/>
    <w:rsid w:val="0012475C"/>
    <w:rsid w:val="00124F7C"/>
    <w:rsid w:val="00126B82"/>
    <w:rsid w:val="00127D8D"/>
    <w:rsid w:val="001305A0"/>
    <w:rsid w:val="001310B9"/>
    <w:rsid w:val="00131A7E"/>
    <w:rsid w:val="00132AA2"/>
    <w:rsid w:val="00133CAE"/>
    <w:rsid w:val="00134119"/>
    <w:rsid w:val="001355D3"/>
    <w:rsid w:val="00140421"/>
    <w:rsid w:val="0014201B"/>
    <w:rsid w:val="001421FF"/>
    <w:rsid w:val="00150ED7"/>
    <w:rsid w:val="0015238F"/>
    <w:rsid w:val="00152BB8"/>
    <w:rsid w:val="001534DC"/>
    <w:rsid w:val="00153658"/>
    <w:rsid w:val="00161626"/>
    <w:rsid w:val="001619B4"/>
    <w:rsid w:val="00161A08"/>
    <w:rsid w:val="00161CBA"/>
    <w:rsid w:val="001628A5"/>
    <w:rsid w:val="00162EBA"/>
    <w:rsid w:val="00164936"/>
    <w:rsid w:val="00167060"/>
    <w:rsid w:val="00170B5F"/>
    <w:rsid w:val="0017133A"/>
    <w:rsid w:val="00171AEB"/>
    <w:rsid w:val="00172F9D"/>
    <w:rsid w:val="001737ED"/>
    <w:rsid w:val="00173F89"/>
    <w:rsid w:val="00174DFE"/>
    <w:rsid w:val="00174FCA"/>
    <w:rsid w:val="00175AD6"/>
    <w:rsid w:val="00177976"/>
    <w:rsid w:val="00177B4E"/>
    <w:rsid w:val="001809D8"/>
    <w:rsid w:val="00181D79"/>
    <w:rsid w:val="001838CA"/>
    <w:rsid w:val="0018390D"/>
    <w:rsid w:val="00183F9A"/>
    <w:rsid w:val="00185F2E"/>
    <w:rsid w:val="0018711F"/>
    <w:rsid w:val="001913BE"/>
    <w:rsid w:val="0019152A"/>
    <w:rsid w:val="00192357"/>
    <w:rsid w:val="0019244A"/>
    <w:rsid w:val="00193232"/>
    <w:rsid w:val="001942C3"/>
    <w:rsid w:val="001960DF"/>
    <w:rsid w:val="001969F3"/>
    <w:rsid w:val="00197B82"/>
    <w:rsid w:val="00197F54"/>
    <w:rsid w:val="001A0813"/>
    <w:rsid w:val="001A119D"/>
    <w:rsid w:val="001A15F0"/>
    <w:rsid w:val="001A1722"/>
    <w:rsid w:val="001A20EA"/>
    <w:rsid w:val="001A2377"/>
    <w:rsid w:val="001A2585"/>
    <w:rsid w:val="001A2C87"/>
    <w:rsid w:val="001A2E59"/>
    <w:rsid w:val="001A5FE9"/>
    <w:rsid w:val="001A699C"/>
    <w:rsid w:val="001A6BB6"/>
    <w:rsid w:val="001A73C6"/>
    <w:rsid w:val="001B0461"/>
    <w:rsid w:val="001B05DD"/>
    <w:rsid w:val="001B0E89"/>
    <w:rsid w:val="001B1D4B"/>
    <w:rsid w:val="001B2D47"/>
    <w:rsid w:val="001B3072"/>
    <w:rsid w:val="001B369C"/>
    <w:rsid w:val="001B3C37"/>
    <w:rsid w:val="001B4438"/>
    <w:rsid w:val="001B5202"/>
    <w:rsid w:val="001B537E"/>
    <w:rsid w:val="001B5E85"/>
    <w:rsid w:val="001B67C7"/>
    <w:rsid w:val="001B6BBA"/>
    <w:rsid w:val="001C1665"/>
    <w:rsid w:val="001C1AD9"/>
    <w:rsid w:val="001C2301"/>
    <w:rsid w:val="001C35EE"/>
    <w:rsid w:val="001C428A"/>
    <w:rsid w:val="001C5331"/>
    <w:rsid w:val="001C64ED"/>
    <w:rsid w:val="001C77EA"/>
    <w:rsid w:val="001D333D"/>
    <w:rsid w:val="001D3953"/>
    <w:rsid w:val="001D40A5"/>
    <w:rsid w:val="001D4936"/>
    <w:rsid w:val="001D605E"/>
    <w:rsid w:val="001D74D6"/>
    <w:rsid w:val="001D75DE"/>
    <w:rsid w:val="001D7C93"/>
    <w:rsid w:val="001D7D4D"/>
    <w:rsid w:val="001E07D9"/>
    <w:rsid w:val="001E0895"/>
    <w:rsid w:val="001E1AAA"/>
    <w:rsid w:val="001E2233"/>
    <w:rsid w:val="001E2815"/>
    <w:rsid w:val="001E3303"/>
    <w:rsid w:val="001E391B"/>
    <w:rsid w:val="001E3CAB"/>
    <w:rsid w:val="001E4295"/>
    <w:rsid w:val="001E577C"/>
    <w:rsid w:val="001E6CCB"/>
    <w:rsid w:val="001F050A"/>
    <w:rsid w:val="001F0934"/>
    <w:rsid w:val="001F2362"/>
    <w:rsid w:val="001F579F"/>
    <w:rsid w:val="001F6A50"/>
    <w:rsid w:val="001F6E1A"/>
    <w:rsid w:val="001F6E78"/>
    <w:rsid w:val="001F7A9D"/>
    <w:rsid w:val="001F7E85"/>
    <w:rsid w:val="002013EA"/>
    <w:rsid w:val="00203617"/>
    <w:rsid w:val="00203E58"/>
    <w:rsid w:val="002042DB"/>
    <w:rsid w:val="002049A0"/>
    <w:rsid w:val="00205F1C"/>
    <w:rsid w:val="002070FC"/>
    <w:rsid w:val="00207526"/>
    <w:rsid w:val="002103DD"/>
    <w:rsid w:val="00210650"/>
    <w:rsid w:val="00211089"/>
    <w:rsid w:val="00213078"/>
    <w:rsid w:val="002133C2"/>
    <w:rsid w:val="00214F6B"/>
    <w:rsid w:val="00216884"/>
    <w:rsid w:val="00216F59"/>
    <w:rsid w:val="0021781C"/>
    <w:rsid w:val="00220C7D"/>
    <w:rsid w:val="00222BD8"/>
    <w:rsid w:val="002233F1"/>
    <w:rsid w:val="00223565"/>
    <w:rsid w:val="00223FC3"/>
    <w:rsid w:val="00226552"/>
    <w:rsid w:val="002305CB"/>
    <w:rsid w:val="00232CF3"/>
    <w:rsid w:val="00232E8B"/>
    <w:rsid w:val="00233151"/>
    <w:rsid w:val="0023464A"/>
    <w:rsid w:val="00234C38"/>
    <w:rsid w:val="00234D01"/>
    <w:rsid w:val="00236F17"/>
    <w:rsid w:val="00241124"/>
    <w:rsid w:val="00241CEC"/>
    <w:rsid w:val="00241EBC"/>
    <w:rsid w:val="002445F2"/>
    <w:rsid w:val="002446DA"/>
    <w:rsid w:val="00244B73"/>
    <w:rsid w:val="00245257"/>
    <w:rsid w:val="00245804"/>
    <w:rsid w:val="0024634E"/>
    <w:rsid w:val="002478DC"/>
    <w:rsid w:val="00247B38"/>
    <w:rsid w:val="00247D0A"/>
    <w:rsid w:val="00250289"/>
    <w:rsid w:val="002502FA"/>
    <w:rsid w:val="002505A5"/>
    <w:rsid w:val="00251092"/>
    <w:rsid w:val="002519A0"/>
    <w:rsid w:val="0025236F"/>
    <w:rsid w:val="002523A3"/>
    <w:rsid w:val="002523B2"/>
    <w:rsid w:val="002528F1"/>
    <w:rsid w:val="00252C30"/>
    <w:rsid w:val="00252C37"/>
    <w:rsid w:val="00253030"/>
    <w:rsid w:val="00253ED4"/>
    <w:rsid w:val="00254B1E"/>
    <w:rsid w:val="00255C8C"/>
    <w:rsid w:val="00255E45"/>
    <w:rsid w:val="002568F3"/>
    <w:rsid w:val="00257043"/>
    <w:rsid w:val="002600EF"/>
    <w:rsid w:val="00260ED8"/>
    <w:rsid w:val="00261B3D"/>
    <w:rsid w:val="00262777"/>
    <w:rsid w:val="00262CBB"/>
    <w:rsid w:val="00263506"/>
    <w:rsid w:val="002637F9"/>
    <w:rsid w:val="002640C3"/>
    <w:rsid w:val="002643EC"/>
    <w:rsid w:val="00264939"/>
    <w:rsid w:val="002658BE"/>
    <w:rsid w:val="00265B63"/>
    <w:rsid w:val="00265D2C"/>
    <w:rsid w:val="00266690"/>
    <w:rsid w:val="0026797E"/>
    <w:rsid w:val="00267BF6"/>
    <w:rsid w:val="00270661"/>
    <w:rsid w:val="00271347"/>
    <w:rsid w:val="00272B00"/>
    <w:rsid w:val="00273F65"/>
    <w:rsid w:val="00275B67"/>
    <w:rsid w:val="0027666C"/>
    <w:rsid w:val="002767A8"/>
    <w:rsid w:val="0027698E"/>
    <w:rsid w:val="00276A6E"/>
    <w:rsid w:val="00276C0A"/>
    <w:rsid w:val="00281E1A"/>
    <w:rsid w:val="0028520A"/>
    <w:rsid w:val="00285DF3"/>
    <w:rsid w:val="00290376"/>
    <w:rsid w:val="00290558"/>
    <w:rsid w:val="002909D0"/>
    <w:rsid w:val="00290BBF"/>
    <w:rsid w:val="00292AC4"/>
    <w:rsid w:val="00292DB8"/>
    <w:rsid w:val="00293DCE"/>
    <w:rsid w:val="00295268"/>
    <w:rsid w:val="002953B9"/>
    <w:rsid w:val="00296F1F"/>
    <w:rsid w:val="002A046C"/>
    <w:rsid w:val="002A0577"/>
    <w:rsid w:val="002A2066"/>
    <w:rsid w:val="002A253E"/>
    <w:rsid w:val="002A4575"/>
    <w:rsid w:val="002A5827"/>
    <w:rsid w:val="002A5894"/>
    <w:rsid w:val="002A630E"/>
    <w:rsid w:val="002B0120"/>
    <w:rsid w:val="002B0E7D"/>
    <w:rsid w:val="002B3891"/>
    <w:rsid w:val="002B3D4D"/>
    <w:rsid w:val="002B4A7F"/>
    <w:rsid w:val="002B5647"/>
    <w:rsid w:val="002B6786"/>
    <w:rsid w:val="002B712B"/>
    <w:rsid w:val="002C19FF"/>
    <w:rsid w:val="002C25AD"/>
    <w:rsid w:val="002C2AD3"/>
    <w:rsid w:val="002C3473"/>
    <w:rsid w:val="002C6500"/>
    <w:rsid w:val="002C651A"/>
    <w:rsid w:val="002C694B"/>
    <w:rsid w:val="002D0561"/>
    <w:rsid w:val="002D0F37"/>
    <w:rsid w:val="002D158A"/>
    <w:rsid w:val="002D2DFF"/>
    <w:rsid w:val="002D33C0"/>
    <w:rsid w:val="002D3E0B"/>
    <w:rsid w:val="002D4B26"/>
    <w:rsid w:val="002D4C0B"/>
    <w:rsid w:val="002D5630"/>
    <w:rsid w:val="002D68E3"/>
    <w:rsid w:val="002D6FBC"/>
    <w:rsid w:val="002E0619"/>
    <w:rsid w:val="002E0770"/>
    <w:rsid w:val="002E0859"/>
    <w:rsid w:val="002E136D"/>
    <w:rsid w:val="002E1793"/>
    <w:rsid w:val="002E1C57"/>
    <w:rsid w:val="002E58B2"/>
    <w:rsid w:val="002E73F2"/>
    <w:rsid w:val="002F036A"/>
    <w:rsid w:val="002F0503"/>
    <w:rsid w:val="002F0DA6"/>
    <w:rsid w:val="002F221E"/>
    <w:rsid w:val="002F22E0"/>
    <w:rsid w:val="002F3ECD"/>
    <w:rsid w:val="002F486D"/>
    <w:rsid w:val="002F690F"/>
    <w:rsid w:val="0030010F"/>
    <w:rsid w:val="00301BDD"/>
    <w:rsid w:val="00302A04"/>
    <w:rsid w:val="00303A7A"/>
    <w:rsid w:val="00303A94"/>
    <w:rsid w:val="0030433D"/>
    <w:rsid w:val="00304948"/>
    <w:rsid w:val="00310E38"/>
    <w:rsid w:val="003115B9"/>
    <w:rsid w:val="00311A68"/>
    <w:rsid w:val="00312ED2"/>
    <w:rsid w:val="00313379"/>
    <w:rsid w:val="0031475A"/>
    <w:rsid w:val="00314807"/>
    <w:rsid w:val="00315476"/>
    <w:rsid w:val="00315799"/>
    <w:rsid w:val="00317836"/>
    <w:rsid w:val="003206A2"/>
    <w:rsid w:val="00321594"/>
    <w:rsid w:val="003250A4"/>
    <w:rsid w:val="0032557F"/>
    <w:rsid w:val="00326029"/>
    <w:rsid w:val="00327921"/>
    <w:rsid w:val="00327C20"/>
    <w:rsid w:val="0033013E"/>
    <w:rsid w:val="00331079"/>
    <w:rsid w:val="00332AFA"/>
    <w:rsid w:val="0033438A"/>
    <w:rsid w:val="003344AD"/>
    <w:rsid w:val="0033482E"/>
    <w:rsid w:val="00334D23"/>
    <w:rsid w:val="00334E5C"/>
    <w:rsid w:val="003358BD"/>
    <w:rsid w:val="00336539"/>
    <w:rsid w:val="003369E6"/>
    <w:rsid w:val="00337046"/>
    <w:rsid w:val="003377DA"/>
    <w:rsid w:val="00337B35"/>
    <w:rsid w:val="003407D3"/>
    <w:rsid w:val="00341046"/>
    <w:rsid w:val="00342547"/>
    <w:rsid w:val="003426B7"/>
    <w:rsid w:val="003433C2"/>
    <w:rsid w:val="003440BC"/>
    <w:rsid w:val="003470C8"/>
    <w:rsid w:val="0035308D"/>
    <w:rsid w:val="0035316E"/>
    <w:rsid w:val="00353702"/>
    <w:rsid w:val="00354B33"/>
    <w:rsid w:val="003569FE"/>
    <w:rsid w:val="00356B72"/>
    <w:rsid w:val="00356D61"/>
    <w:rsid w:val="00360341"/>
    <w:rsid w:val="00360E69"/>
    <w:rsid w:val="00362079"/>
    <w:rsid w:val="0036367F"/>
    <w:rsid w:val="0037009A"/>
    <w:rsid w:val="00373F61"/>
    <w:rsid w:val="00374108"/>
    <w:rsid w:val="003741DD"/>
    <w:rsid w:val="0037489B"/>
    <w:rsid w:val="00375206"/>
    <w:rsid w:val="0037538C"/>
    <w:rsid w:val="0037558E"/>
    <w:rsid w:val="00375A5D"/>
    <w:rsid w:val="00376890"/>
    <w:rsid w:val="00377BFD"/>
    <w:rsid w:val="003801DE"/>
    <w:rsid w:val="0038158D"/>
    <w:rsid w:val="003823CD"/>
    <w:rsid w:val="00382C26"/>
    <w:rsid w:val="00383815"/>
    <w:rsid w:val="00384AF4"/>
    <w:rsid w:val="00384BEB"/>
    <w:rsid w:val="003874D5"/>
    <w:rsid w:val="003903A2"/>
    <w:rsid w:val="0039043F"/>
    <w:rsid w:val="00390BBF"/>
    <w:rsid w:val="00390ECE"/>
    <w:rsid w:val="003913F6"/>
    <w:rsid w:val="0039215A"/>
    <w:rsid w:val="00392808"/>
    <w:rsid w:val="00392B9C"/>
    <w:rsid w:val="00392BB4"/>
    <w:rsid w:val="003932E2"/>
    <w:rsid w:val="00394176"/>
    <w:rsid w:val="0039641F"/>
    <w:rsid w:val="00397FE1"/>
    <w:rsid w:val="003A157F"/>
    <w:rsid w:val="003A15B0"/>
    <w:rsid w:val="003A58B2"/>
    <w:rsid w:val="003A7AF7"/>
    <w:rsid w:val="003B0771"/>
    <w:rsid w:val="003B1252"/>
    <w:rsid w:val="003B1CA9"/>
    <w:rsid w:val="003B1D71"/>
    <w:rsid w:val="003B2065"/>
    <w:rsid w:val="003B2B16"/>
    <w:rsid w:val="003B2DC7"/>
    <w:rsid w:val="003B2F0E"/>
    <w:rsid w:val="003B4A9F"/>
    <w:rsid w:val="003B63D8"/>
    <w:rsid w:val="003B6BDB"/>
    <w:rsid w:val="003B6E1F"/>
    <w:rsid w:val="003B6F5A"/>
    <w:rsid w:val="003C19F8"/>
    <w:rsid w:val="003C2B7B"/>
    <w:rsid w:val="003C5215"/>
    <w:rsid w:val="003C58BD"/>
    <w:rsid w:val="003C5B93"/>
    <w:rsid w:val="003C5C12"/>
    <w:rsid w:val="003C65E6"/>
    <w:rsid w:val="003C7618"/>
    <w:rsid w:val="003D038A"/>
    <w:rsid w:val="003D429A"/>
    <w:rsid w:val="003D50DF"/>
    <w:rsid w:val="003D6403"/>
    <w:rsid w:val="003D7447"/>
    <w:rsid w:val="003E10C5"/>
    <w:rsid w:val="003E2774"/>
    <w:rsid w:val="003E3AA4"/>
    <w:rsid w:val="003E46C0"/>
    <w:rsid w:val="003E4F2F"/>
    <w:rsid w:val="003E5B80"/>
    <w:rsid w:val="003E5E2E"/>
    <w:rsid w:val="003F0137"/>
    <w:rsid w:val="003F0A9C"/>
    <w:rsid w:val="003F2EF8"/>
    <w:rsid w:val="003F3C52"/>
    <w:rsid w:val="003F4E7F"/>
    <w:rsid w:val="003F5176"/>
    <w:rsid w:val="003F672A"/>
    <w:rsid w:val="003F6D80"/>
    <w:rsid w:val="003F702D"/>
    <w:rsid w:val="003F7948"/>
    <w:rsid w:val="003F7A17"/>
    <w:rsid w:val="0040078A"/>
    <w:rsid w:val="00400C9A"/>
    <w:rsid w:val="0040234E"/>
    <w:rsid w:val="004029D3"/>
    <w:rsid w:val="00403051"/>
    <w:rsid w:val="004050B1"/>
    <w:rsid w:val="0040522D"/>
    <w:rsid w:val="0040537C"/>
    <w:rsid w:val="00405865"/>
    <w:rsid w:val="00406860"/>
    <w:rsid w:val="00407254"/>
    <w:rsid w:val="00407335"/>
    <w:rsid w:val="00407AE9"/>
    <w:rsid w:val="00407EDE"/>
    <w:rsid w:val="00412B76"/>
    <w:rsid w:val="00412DDA"/>
    <w:rsid w:val="00412F15"/>
    <w:rsid w:val="00413287"/>
    <w:rsid w:val="00413E31"/>
    <w:rsid w:val="00416595"/>
    <w:rsid w:val="00417D24"/>
    <w:rsid w:val="00420AF8"/>
    <w:rsid w:val="00421B61"/>
    <w:rsid w:val="00421C3C"/>
    <w:rsid w:val="004232D2"/>
    <w:rsid w:val="00423DB4"/>
    <w:rsid w:val="00424DB0"/>
    <w:rsid w:val="00424EDF"/>
    <w:rsid w:val="00427F43"/>
    <w:rsid w:val="004300A4"/>
    <w:rsid w:val="00431A47"/>
    <w:rsid w:val="00432AF3"/>
    <w:rsid w:val="004340A9"/>
    <w:rsid w:val="00434283"/>
    <w:rsid w:val="004348C9"/>
    <w:rsid w:val="004357BA"/>
    <w:rsid w:val="0043637E"/>
    <w:rsid w:val="00436A88"/>
    <w:rsid w:val="00440C37"/>
    <w:rsid w:val="00441255"/>
    <w:rsid w:val="004417F1"/>
    <w:rsid w:val="00442197"/>
    <w:rsid w:val="00443589"/>
    <w:rsid w:val="0044376A"/>
    <w:rsid w:val="00443949"/>
    <w:rsid w:val="00444185"/>
    <w:rsid w:val="00444EF0"/>
    <w:rsid w:val="00445534"/>
    <w:rsid w:val="00445DE2"/>
    <w:rsid w:val="00446040"/>
    <w:rsid w:val="004465E7"/>
    <w:rsid w:val="00447902"/>
    <w:rsid w:val="00447D86"/>
    <w:rsid w:val="0045072D"/>
    <w:rsid w:val="00450CA5"/>
    <w:rsid w:val="00451B3B"/>
    <w:rsid w:val="00452280"/>
    <w:rsid w:val="00452377"/>
    <w:rsid w:val="004556A2"/>
    <w:rsid w:val="004558C8"/>
    <w:rsid w:val="00456368"/>
    <w:rsid w:val="0045667E"/>
    <w:rsid w:val="00456803"/>
    <w:rsid w:val="00460201"/>
    <w:rsid w:val="00460353"/>
    <w:rsid w:val="0046089E"/>
    <w:rsid w:val="004612E9"/>
    <w:rsid w:val="00463249"/>
    <w:rsid w:val="00463FD2"/>
    <w:rsid w:val="00466535"/>
    <w:rsid w:val="0047100A"/>
    <w:rsid w:val="00471F5F"/>
    <w:rsid w:val="00474164"/>
    <w:rsid w:val="004752C5"/>
    <w:rsid w:val="004753A3"/>
    <w:rsid w:val="00475584"/>
    <w:rsid w:val="00475A85"/>
    <w:rsid w:val="004768CC"/>
    <w:rsid w:val="00480A41"/>
    <w:rsid w:val="00482025"/>
    <w:rsid w:val="004821F9"/>
    <w:rsid w:val="0048248E"/>
    <w:rsid w:val="00483449"/>
    <w:rsid w:val="0048502E"/>
    <w:rsid w:val="00485B55"/>
    <w:rsid w:val="0049168D"/>
    <w:rsid w:val="00492149"/>
    <w:rsid w:val="00492DBF"/>
    <w:rsid w:val="00492FA9"/>
    <w:rsid w:val="00493235"/>
    <w:rsid w:val="00493FC2"/>
    <w:rsid w:val="004941E5"/>
    <w:rsid w:val="00494D76"/>
    <w:rsid w:val="004967AF"/>
    <w:rsid w:val="00496B14"/>
    <w:rsid w:val="004A061E"/>
    <w:rsid w:val="004A20F3"/>
    <w:rsid w:val="004A2138"/>
    <w:rsid w:val="004A58F9"/>
    <w:rsid w:val="004A6E42"/>
    <w:rsid w:val="004B076F"/>
    <w:rsid w:val="004B2A08"/>
    <w:rsid w:val="004B47FC"/>
    <w:rsid w:val="004B4B00"/>
    <w:rsid w:val="004B5A50"/>
    <w:rsid w:val="004B69A7"/>
    <w:rsid w:val="004B7136"/>
    <w:rsid w:val="004B741F"/>
    <w:rsid w:val="004C0A86"/>
    <w:rsid w:val="004C0F0E"/>
    <w:rsid w:val="004C2447"/>
    <w:rsid w:val="004C556E"/>
    <w:rsid w:val="004C56B7"/>
    <w:rsid w:val="004C5949"/>
    <w:rsid w:val="004C60C3"/>
    <w:rsid w:val="004C6D41"/>
    <w:rsid w:val="004D0904"/>
    <w:rsid w:val="004D0BE7"/>
    <w:rsid w:val="004D1299"/>
    <w:rsid w:val="004D1B70"/>
    <w:rsid w:val="004D1C90"/>
    <w:rsid w:val="004D30BE"/>
    <w:rsid w:val="004D328B"/>
    <w:rsid w:val="004D35CD"/>
    <w:rsid w:val="004D3CEE"/>
    <w:rsid w:val="004D3E0C"/>
    <w:rsid w:val="004D4146"/>
    <w:rsid w:val="004D4D19"/>
    <w:rsid w:val="004D5C20"/>
    <w:rsid w:val="004E0F73"/>
    <w:rsid w:val="004E2153"/>
    <w:rsid w:val="004E232B"/>
    <w:rsid w:val="004E2672"/>
    <w:rsid w:val="004E3AD4"/>
    <w:rsid w:val="004E4ED4"/>
    <w:rsid w:val="004E6722"/>
    <w:rsid w:val="004F1386"/>
    <w:rsid w:val="004F2A6F"/>
    <w:rsid w:val="004F3145"/>
    <w:rsid w:val="004F3408"/>
    <w:rsid w:val="004F37CF"/>
    <w:rsid w:val="004F3ADF"/>
    <w:rsid w:val="004F45F5"/>
    <w:rsid w:val="004F6413"/>
    <w:rsid w:val="004F6D83"/>
    <w:rsid w:val="004F7315"/>
    <w:rsid w:val="004F7CE5"/>
    <w:rsid w:val="00500AA9"/>
    <w:rsid w:val="00500E65"/>
    <w:rsid w:val="00502A51"/>
    <w:rsid w:val="005036A1"/>
    <w:rsid w:val="0050415F"/>
    <w:rsid w:val="00504321"/>
    <w:rsid w:val="005045AC"/>
    <w:rsid w:val="00504A37"/>
    <w:rsid w:val="00506BF0"/>
    <w:rsid w:val="005078C4"/>
    <w:rsid w:val="00507AB7"/>
    <w:rsid w:val="005112AE"/>
    <w:rsid w:val="00511A00"/>
    <w:rsid w:val="005121CA"/>
    <w:rsid w:val="00512DBE"/>
    <w:rsid w:val="00515ED7"/>
    <w:rsid w:val="00516C58"/>
    <w:rsid w:val="0051737D"/>
    <w:rsid w:val="005224A0"/>
    <w:rsid w:val="00522A88"/>
    <w:rsid w:val="0052352A"/>
    <w:rsid w:val="00524481"/>
    <w:rsid w:val="005248DC"/>
    <w:rsid w:val="00524CDE"/>
    <w:rsid w:val="00525752"/>
    <w:rsid w:val="00526862"/>
    <w:rsid w:val="00530A3A"/>
    <w:rsid w:val="00531933"/>
    <w:rsid w:val="00531B49"/>
    <w:rsid w:val="00533274"/>
    <w:rsid w:val="005359A7"/>
    <w:rsid w:val="00535B71"/>
    <w:rsid w:val="00535DA6"/>
    <w:rsid w:val="00536E21"/>
    <w:rsid w:val="005371D6"/>
    <w:rsid w:val="00537322"/>
    <w:rsid w:val="005377A0"/>
    <w:rsid w:val="00540668"/>
    <w:rsid w:val="00540C5D"/>
    <w:rsid w:val="005415CB"/>
    <w:rsid w:val="00541E6B"/>
    <w:rsid w:val="00543113"/>
    <w:rsid w:val="00544EC5"/>
    <w:rsid w:val="00544FF6"/>
    <w:rsid w:val="00545C69"/>
    <w:rsid w:val="005462FC"/>
    <w:rsid w:val="0054654C"/>
    <w:rsid w:val="0054681A"/>
    <w:rsid w:val="00546C4C"/>
    <w:rsid w:val="00550C34"/>
    <w:rsid w:val="005514BD"/>
    <w:rsid w:val="0055188D"/>
    <w:rsid w:val="0055413D"/>
    <w:rsid w:val="00554EB3"/>
    <w:rsid w:val="00555190"/>
    <w:rsid w:val="00555DB4"/>
    <w:rsid w:val="005562D1"/>
    <w:rsid w:val="00556BBA"/>
    <w:rsid w:val="0055704B"/>
    <w:rsid w:val="00564DEC"/>
    <w:rsid w:val="00564F6D"/>
    <w:rsid w:val="005662AC"/>
    <w:rsid w:val="005714C4"/>
    <w:rsid w:val="0057199A"/>
    <w:rsid w:val="005747C4"/>
    <w:rsid w:val="00574C7A"/>
    <w:rsid w:val="0057597E"/>
    <w:rsid w:val="00575D0C"/>
    <w:rsid w:val="005815CB"/>
    <w:rsid w:val="00584725"/>
    <w:rsid w:val="005853E6"/>
    <w:rsid w:val="005858BE"/>
    <w:rsid w:val="00587CD7"/>
    <w:rsid w:val="005902AA"/>
    <w:rsid w:val="0059124A"/>
    <w:rsid w:val="00591464"/>
    <w:rsid w:val="005914C0"/>
    <w:rsid w:val="00591FC9"/>
    <w:rsid w:val="005945DE"/>
    <w:rsid w:val="00596EA5"/>
    <w:rsid w:val="005A02DF"/>
    <w:rsid w:val="005A10EA"/>
    <w:rsid w:val="005A1605"/>
    <w:rsid w:val="005A1C33"/>
    <w:rsid w:val="005A2DC8"/>
    <w:rsid w:val="005A38B8"/>
    <w:rsid w:val="005A4B85"/>
    <w:rsid w:val="005A4C29"/>
    <w:rsid w:val="005A4EBF"/>
    <w:rsid w:val="005A5054"/>
    <w:rsid w:val="005A6734"/>
    <w:rsid w:val="005A683B"/>
    <w:rsid w:val="005A788C"/>
    <w:rsid w:val="005A7B14"/>
    <w:rsid w:val="005A7BBE"/>
    <w:rsid w:val="005B0BF3"/>
    <w:rsid w:val="005B184E"/>
    <w:rsid w:val="005B46D7"/>
    <w:rsid w:val="005B5A45"/>
    <w:rsid w:val="005B7A21"/>
    <w:rsid w:val="005C2755"/>
    <w:rsid w:val="005C28BF"/>
    <w:rsid w:val="005C2F6C"/>
    <w:rsid w:val="005C319D"/>
    <w:rsid w:val="005C4FE0"/>
    <w:rsid w:val="005C6705"/>
    <w:rsid w:val="005C6CAC"/>
    <w:rsid w:val="005C6E54"/>
    <w:rsid w:val="005C747A"/>
    <w:rsid w:val="005C7E83"/>
    <w:rsid w:val="005D0313"/>
    <w:rsid w:val="005D0466"/>
    <w:rsid w:val="005D047B"/>
    <w:rsid w:val="005D0A08"/>
    <w:rsid w:val="005D15B5"/>
    <w:rsid w:val="005D16C0"/>
    <w:rsid w:val="005D1D26"/>
    <w:rsid w:val="005D569A"/>
    <w:rsid w:val="005D5B30"/>
    <w:rsid w:val="005D752A"/>
    <w:rsid w:val="005E0011"/>
    <w:rsid w:val="005E079F"/>
    <w:rsid w:val="005E0AB7"/>
    <w:rsid w:val="005E0DFA"/>
    <w:rsid w:val="005E2323"/>
    <w:rsid w:val="005E2AD9"/>
    <w:rsid w:val="005E3A65"/>
    <w:rsid w:val="005E3CEE"/>
    <w:rsid w:val="005E410C"/>
    <w:rsid w:val="005E5813"/>
    <w:rsid w:val="005E6691"/>
    <w:rsid w:val="005E7444"/>
    <w:rsid w:val="005F04BD"/>
    <w:rsid w:val="005F0795"/>
    <w:rsid w:val="005F35B9"/>
    <w:rsid w:val="005F3B36"/>
    <w:rsid w:val="005F466A"/>
    <w:rsid w:val="005F561B"/>
    <w:rsid w:val="00600AE3"/>
    <w:rsid w:val="00601A43"/>
    <w:rsid w:val="00602715"/>
    <w:rsid w:val="00602870"/>
    <w:rsid w:val="00602A20"/>
    <w:rsid w:val="00605507"/>
    <w:rsid w:val="00606968"/>
    <w:rsid w:val="006079E6"/>
    <w:rsid w:val="00607AD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18EF"/>
    <w:rsid w:val="00621F03"/>
    <w:rsid w:val="0062259D"/>
    <w:rsid w:val="00622DE8"/>
    <w:rsid w:val="0062354D"/>
    <w:rsid w:val="0062665A"/>
    <w:rsid w:val="0062698C"/>
    <w:rsid w:val="006300CF"/>
    <w:rsid w:val="00630648"/>
    <w:rsid w:val="006309A0"/>
    <w:rsid w:val="00630DDB"/>
    <w:rsid w:val="00633602"/>
    <w:rsid w:val="00636704"/>
    <w:rsid w:val="006372F4"/>
    <w:rsid w:val="00637C8E"/>
    <w:rsid w:val="00640A11"/>
    <w:rsid w:val="006413ED"/>
    <w:rsid w:val="0064145D"/>
    <w:rsid w:val="006417EC"/>
    <w:rsid w:val="00641B6A"/>
    <w:rsid w:val="00641BA2"/>
    <w:rsid w:val="006428BE"/>
    <w:rsid w:val="00644189"/>
    <w:rsid w:val="006465F3"/>
    <w:rsid w:val="00650521"/>
    <w:rsid w:val="006509B7"/>
    <w:rsid w:val="00651023"/>
    <w:rsid w:val="006518D5"/>
    <w:rsid w:val="006524E7"/>
    <w:rsid w:val="00654681"/>
    <w:rsid w:val="0065540D"/>
    <w:rsid w:val="006565C8"/>
    <w:rsid w:val="00660696"/>
    <w:rsid w:val="00660FA6"/>
    <w:rsid w:val="006613B6"/>
    <w:rsid w:val="00661707"/>
    <w:rsid w:val="00661C40"/>
    <w:rsid w:val="00664184"/>
    <w:rsid w:val="00664803"/>
    <w:rsid w:val="00664C36"/>
    <w:rsid w:val="006652DD"/>
    <w:rsid w:val="006657D8"/>
    <w:rsid w:val="0066592E"/>
    <w:rsid w:val="006669BF"/>
    <w:rsid w:val="00667A60"/>
    <w:rsid w:val="00670358"/>
    <w:rsid w:val="00670496"/>
    <w:rsid w:val="006724B9"/>
    <w:rsid w:val="006726A9"/>
    <w:rsid w:val="00672E0E"/>
    <w:rsid w:val="006747C5"/>
    <w:rsid w:val="00676463"/>
    <w:rsid w:val="006765B5"/>
    <w:rsid w:val="00676883"/>
    <w:rsid w:val="00677A8E"/>
    <w:rsid w:val="00680CBB"/>
    <w:rsid w:val="0068147C"/>
    <w:rsid w:val="00683309"/>
    <w:rsid w:val="006834AF"/>
    <w:rsid w:val="00683843"/>
    <w:rsid w:val="00683EF6"/>
    <w:rsid w:val="00683F3E"/>
    <w:rsid w:val="0068454F"/>
    <w:rsid w:val="0068489B"/>
    <w:rsid w:val="0068492B"/>
    <w:rsid w:val="00685B6B"/>
    <w:rsid w:val="00690920"/>
    <w:rsid w:val="0069186E"/>
    <w:rsid w:val="00693643"/>
    <w:rsid w:val="00693C1C"/>
    <w:rsid w:val="00693DAD"/>
    <w:rsid w:val="006944D6"/>
    <w:rsid w:val="00695838"/>
    <w:rsid w:val="00695D94"/>
    <w:rsid w:val="006960DA"/>
    <w:rsid w:val="00696488"/>
    <w:rsid w:val="00696977"/>
    <w:rsid w:val="006A02B2"/>
    <w:rsid w:val="006A0F0B"/>
    <w:rsid w:val="006A10B5"/>
    <w:rsid w:val="006A1E9E"/>
    <w:rsid w:val="006A21FC"/>
    <w:rsid w:val="006A2F36"/>
    <w:rsid w:val="006A3E87"/>
    <w:rsid w:val="006A5163"/>
    <w:rsid w:val="006B089D"/>
    <w:rsid w:val="006B0989"/>
    <w:rsid w:val="006B0E5E"/>
    <w:rsid w:val="006B0F49"/>
    <w:rsid w:val="006B2658"/>
    <w:rsid w:val="006B2F61"/>
    <w:rsid w:val="006B2FF9"/>
    <w:rsid w:val="006B3597"/>
    <w:rsid w:val="006B557E"/>
    <w:rsid w:val="006B5894"/>
    <w:rsid w:val="006B5FA6"/>
    <w:rsid w:val="006B6985"/>
    <w:rsid w:val="006B7B0A"/>
    <w:rsid w:val="006C070F"/>
    <w:rsid w:val="006C0AFD"/>
    <w:rsid w:val="006C170E"/>
    <w:rsid w:val="006C2445"/>
    <w:rsid w:val="006C2616"/>
    <w:rsid w:val="006C38CE"/>
    <w:rsid w:val="006C38DC"/>
    <w:rsid w:val="006C45AA"/>
    <w:rsid w:val="006C4822"/>
    <w:rsid w:val="006C5E4F"/>
    <w:rsid w:val="006C6CBA"/>
    <w:rsid w:val="006D18CF"/>
    <w:rsid w:val="006D225C"/>
    <w:rsid w:val="006D229C"/>
    <w:rsid w:val="006D4BFF"/>
    <w:rsid w:val="006D4C55"/>
    <w:rsid w:val="006D4FED"/>
    <w:rsid w:val="006D642E"/>
    <w:rsid w:val="006D751C"/>
    <w:rsid w:val="006D7C9A"/>
    <w:rsid w:val="006E00ED"/>
    <w:rsid w:val="006E0967"/>
    <w:rsid w:val="006E3E9C"/>
    <w:rsid w:val="006E3F19"/>
    <w:rsid w:val="006E45DD"/>
    <w:rsid w:val="006E4E71"/>
    <w:rsid w:val="006E56A2"/>
    <w:rsid w:val="006E56D4"/>
    <w:rsid w:val="006E640F"/>
    <w:rsid w:val="006E7E9F"/>
    <w:rsid w:val="006F0B1A"/>
    <w:rsid w:val="006F1A2F"/>
    <w:rsid w:val="006F20FD"/>
    <w:rsid w:val="006F3115"/>
    <w:rsid w:val="006F46D4"/>
    <w:rsid w:val="006F4D53"/>
    <w:rsid w:val="006F4EF2"/>
    <w:rsid w:val="006F5F3F"/>
    <w:rsid w:val="006F7C35"/>
    <w:rsid w:val="00700617"/>
    <w:rsid w:val="00701097"/>
    <w:rsid w:val="00701EDC"/>
    <w:rsid w:val="00702977"/>
    <w:rsid w:val="00702F51"/>
    <w:rsid w:val="00702FD3"/>
    <w:rsid w:val="00703CD6"/>
    <w:rsid w:val="0070452A"/>
    <w:rsid w:val="00704851"/>
    <w:rsid w:val="00704DA4"/>
    <w:rsid w:val="007054A2"/>
    <w:rsid w:val="0070655B"/>
    <w:rsid w:val="00711A74"/>
    <w:rsid w:val="00711F7C"/>
    <w:rsid w:val="00712590"/>
    <w:rsid w:val="00712734"/>
    <w:rsid w:val="00712A36"/>
    <w:rsid w:val="0071463C"/>
    <w:rsid w:val="00714D0E"/>
    <w:rsid w:val="00715039"/>
    <w:rsid w:val="00715BE8"/>
    <w:rsid w:val="00715E80"/>
    <w:rsid w:val="007179BE"/>
    <w:rsid w:val="00717A35"/>
    <w:rsid w:val="00717D2E"/>
    <w:rsid w:val="00720B6F"/>
    <w:rsid w:val="0072129B"/>
    <w:rsid w:val="00721D80"/>
    <w:rsid w:val="00722E11"/>
    <w:rsid w:val="00723434"/>
    <w:rsid w:val="0072425F"/>
    <w:rsid w:val="00725317"/>
    <w:rsid w:val="0072541B"/>
    <w:rsid w:val="007264E0"/>
    <w:rsid w:val="00726A28"/>
    <w:rsid w:val="00726DE6"/>
    <w:rsid w:val="0072735A"/>
    <w:rsid w:val="007275D7"/>
    <w:rsid w:val="00727D4C"/>
    <w:rsid w:val="007304CB"/>
    <w:rsid w:val="00730C45"/>
    <w:rsid w:val="007336EE"/>
    <w:rsid w:val="00734053"/>
    <w:rsid w:val="007361EB"/>
    <w:rsid w:val="0073667A"/>
    <w:rsid w:val="00736DB4"/>
    <w:rsid w:val="0073710B"/>
    <w:rsid w:val="00737204"/>
    <w:rsid w:val="0073744E"/>
    <w:rsid w:val="0074053D"/>
    <w:rsid w:val="00743827"/>
    <w:rsid w:val="00745F87"/>
    <w:rsid w:val="00747A96"/>
    <w:rsid w:val="007501D0"/>
    <w:rsid w:val="007508DA"/>
    <w:rsid w:val="00751369"/>
    <w:rsid w:val="00751EF6"/>
    <w:rsid w:val="007543E9"/>
    <w:rsid w:val="007545E5"/>
    <w:rsid w:val="00754C7E"/>
    <w:rsid w:val="0075505C"/>
    <w:rsid w:val="00755550"/>
    <w:rsid w:val="007573C3"/>
    <w:rsid w:val="00757D2B"/>
    <w:rsid w:val="0076001A"/>
    <w:rsid w:val="00760032"/>
    <w:rsid w:val="0076057C"/>
    <w:rsid w:val="00760A57"/>
    <w:rsid w:val="00760DA7"/>
    <w:rsid w:val="0076239B"/>
    <w:rsid w:val="0076388C"/>
    <w:rsid w:val="00766185"/>
    <w:rsid w:val="007669D6"/>
    <w:rsid w:val="00766BAB"/>
    <w:rsid w:val="007701C1"/>
    <w:rsid w:val="00771167"/>
    <w:rsid w:val="007736DF"/>
    <w:rsid w:val="00774E8C"/>
    <w:rsid w:val="00775119"/>
    <w:rsid w:val="00775B66"/>
    <w:rsid w:val="0077641D"/>
    <w:rsid w:val="00776FE0"/>
    <w:rsid w:val="00777A22"/>
    <w:rsid w:val="00780BBD"/>
    <w:rsid w:val="0078177C"/>
    <w:rsid w:val="00785D7E"/>
    <w:rsid w:val="00786F19"/>
    <w:rsid w:val="007914C8"/>
    <w:rsid w:val="0079175A"/>
    <w:rsid w:val="007917D5"/>
    <w:rsid w:val="00792ED3"/>
    <w:rsid w:val="0079426D"/>
    <w:rsid w:val="0079428D"/>
    <w:rsid w:val="00796058"/>
    <w:rsid w:val="007961ED"/>
    <w:rsid w:val="007964A9"/>
    <w:rsid w:val="0079674C"/>
    <w:rsid w:val="00797CFD"/>
    <w:rsid w:val="007A1D23"/>
    <w:rsid w:val="007A1F5B"/>
    <w:rsid w:val="007A21F1"/>
    <w:rsid w:val="007A4379"/>
    <w:rsid w:val="007A537E"/>
    <w:rsid w:val="007A5C1E"/>
    <w:rsid w:val="007A5F41"/>
    <w:rsid w:val="007A669F"/>
    <w:rsid w:val="007A66B1"/>
    <w:rsid w:val="007B09F9"/>
    <w:rsid w:val="007B1752"/>
    <w:rsid w:val="007B2660"/>
    <w:rsid w:val="007B29BB"/>
    <w:rsid w:val="007B2DFB"/>
    <w:rsid w:val="007B52B9"/>
    <w:rsid w:val="007B5D24"/>
    <w:rsid w:val="007B6F26"/>
    <w:rsid w:val="007B6F82"/>
    <w:rsid w:val="007C05F6"/>
    <w:rsid w:val="007C1B99"/>
    <w:rsid w:val="007C1C4B"/>
    <w:rsid w:val="007C3721"/>
    <w:rsid w:val="007C5DA4"/>
    <w:rsid w:val="007C7399"/>
    <w:rsid w:val="007D0D23"/>
    <w:rsid w:val="007D1755"/>
    <w:rsid w:val="007D277B"/>
    <w:rsid w:val="007D331F"/>
    <w:rsid w:val="007D46F9"/>
    <w:rsid w:val="007D4C94"/>
    <w:rsid w:val="007D4DF4"/>
    <w:rsid w:val="007D4E10"/>
    <w:rsid w:val="007D7028"/>
    <w:rsid w:val="007E0128"/>
    <w:rsid w:val="007E0E34"/>
    <w:rsid w:val="007E11C8"/>
    <w:rsid w:val="007E18FA"/>
    <w:rsid w:val="007E2B56"/>
    <w:rsid w:val="007E2F44"/>
    <w:rsid w:val="007E3BCF"/>
    <w:rsid w:val="007E421A"/>
    <w:rsid w:val="007E4274"/>
    <w:rsid w:val="007E4CE9"/>
    <w:rsid w:val="007E5567"/>
    <w:rsid w:val="007E6681"/>
    <w:rsid w:val="007E6A10"/>
    <w:rsid w:val="007E6B10"/>
    <w:rsid w:val="007E7DEC"/>
    <w:rsid w:val="007F0DEE"/>
    <w:rsid w:val="007F17D0"/>
    <w:rsid w:val="007F197F"/>
    <w:rsid w:val="007F232D"/>
    <w:rsid w:val="007F260B"/>
    <w:rsid w:val="007F46A7"/>
    <w:rsid w:val="007F6E4D"/>
    <w:rsid w:val="00800ADC"/>
    <w:rsid w:val="00801041"/>
    <w:rsid w:val="0080145A"/>
    <w:rsid w:val="00803E18"/>
    <w:rsid w:val="00807643"/>
    <w:rsid w:val="0081088B"/>
    <w:rsid w:val="00810A4B"/>
    <w:rsid w:val="00814E3D"/>
    <w:rsid w:val="00815458"/>
    <w:rsid w:val="00815D87"/>
    <w:rsid w:val="008174C7"/>
    <w:rsid w:val="008208B7"/>
    <w:rsid w:val="00821567"/>
    <w:rsid w:val="00826432"/>
    <w:rsid w:val="00827DD3"/>
    <w:rsid w:val="00830DC4"/>
    <w:rsid w:val="00831EC7"/>
    <w:rsid w:val="00832A4D"/>
    <w:rsid w:val="008335B6"/>
    <w:rsid w:val="00833C54"/>
    <w:rsid w:val="00834BBF"/>
    <w:rsid w:val="008357B3"/>
    <w:rsid w:val="008373EA"/>
    <w:rsid w:val="00837803"/>
    <w:rsid w:val="0084002E"/>
    <w:rsid w:val="00840614"/>
    <w:rsid w:val="00841169"/>
    <w:rsid w:val="0084150F"/>
    <w:rsid w:val="00841BFE"/>
    <w:rsid w:val="00842B89"/>
    <w:rsid w:val="008434DE"/>
    <w:rsid w:val="008434FB"/>
    <w:rsid w:val="008436AF"/>
    <w:rsid w:val="00845162"/>
    <w:rsid w:val="00846104"/>
    <w:rsid w:val="00846891"/>
    <w:rsid w:val="008470E9"/>
    <w:rsid w:val="00847403"/>
    <w:rsid w:val="00847E2D"/>
    <w:rsid w:val="008506D5"/>
    <w:rsid w:val="00850724"/>
    <w:rsid w:val="00850AF4"/>
    <w:rsid w:val="0085139F"/>
    <w:rsid w:val="008516D7"/>
    <w:rsid w:val="00852654"/>
    <w:rsid w:val="00852C5E"/>
    <w:rsid w:val="00852F5A"/>
    <w:rsid w:val="00853D20"/>
    <w:rsid w:val="00853E81"/>
    <w:rsid w:val="00855863"/>
    <w:rsid w:val="00856BB8"/>
    <w:rsid w:val="008571E9"/>
    <w:rsid w:val="00861733"/>
    <w:rsid w:val="00861A2E"/>
    <w:rsid w:val="00862B55"/>
    <w:rsid w:val="00862CEB"/>
    <w:rsid w:val="00863AA4"/>
    <w:rsid w:val="00863DDF"/>
    <w:rsid w:val="00866185"/>
    <w:rsid w:val="00866475"/>
    <w:rsid w:val="00870B17"/>
    <w:rsid w:val="0087128B"/>
    <w:rsid w:val="00871390"/>
    <w:rsid w:val="00872C3B"/>
    <w:rsid w:val="00872E1F"/>
    <w:rsid w:val="008731A2"/>
    <w:rsid w:val="0087370F"/>
    <w:rsid w:val="00876012"/>
    <w:rsid w:val="00876A7C"/>
    <w:rsid w:val="00876B11"/>
    <w:rsid w:val="00876D6C"/>
    <w:rsid w:val="00877080"/>
    <w:rsid w:val="00877266"/>
    <w:rsid w:val="008774F0"/>
    <w:rsid w:val="008809F9"/>
    <w:rsid w:val="008826AF"/>
    <w:rsid w:val="008826CF"/>
    <w:rsid w:val="00885DD6"/>
    <w:rsid w:val="00886056"/>
    <w:rsid w:val="00886C85"/>
    <w:rsid w:val="008903A6"/>
    <w:rsid w:val="008906AD"/>
    <w:rsid w:val="008907B4"/>
    <w:rsid w:val="00890B76"/>
    <w:rsid w:val="00890C18"/>
    <w:rsid w:val="00892348"/>
    <w:rsid w:val="00893723"/>
    <w:rsid w:val="00896F25"/>
    <w:rsid w:val="00896F9E"/>
    <w:rsid w:val="00897EA1"/>
    <w:rsid w:val="008A1AE9"/>
    <w:rsid w:val="008A428E"/>
    <w:rsid w:val="008A4A6F"/>
    <w:rsid w:val="008A5B08"/>
    <w:rsid w:val="008A61CC"/>
    <w:rsid w:val="008A6284"/>
    <w:rsid w:val="008A6434"/>
    <w:rsid w:val="008B10BB"/>
    <w:rsid w:val="008B1700"/>
    <w:rsid w:val="008B1EE8"/>
    <w:rsid w:val="008B2208"/>
    <w:rsid w:val="008B26BA"/>
    <w:rsid w:val="008B26DF"/>
    <w:rsid w:val="008B2705"/>
    <w:rsid w:val="008B424C"/>
    <w:rsid w:val="008B4B3C"/>
    <w:rsid w:val="008B5067"/>
    <w:rsid w:val="008B5269"/>
    <w:rsid w:val="008B6671"/>
    <w:rsid w:val="008B6AF2"/>
    <w:rsid w:val="008B7338"/>
    <w:rsid w:val="008B782B"/>
    <w:rsid w:val="008B79F7"/>
    <w:rsid w:val="008B7B4B"/>
    <w:rsid w:val="008C059B"/>
    <w:rsid w:val="008C10DE"/>
    <w:rsid w:val="008C153A"/>
    <w:rsid w:val="008C2174"/>
    <w:rsid w:val="008C2AFC"/>
    <w:rsid w:val="008C4887"/>
    <w:rsid w:val="008C4A4D"/>
    <w:rsid w:val="008C6CEB"/>
    <w:rsid w:val="008C6F48"/>
    <w:rsid w:val="008C712A"/>
    <w:rsid w:val="008D07B3"/>
    <w:rsid w:val="008D0A2F"/>
    <w:rsid w:val="008D0FCE"/>
    <w:rsid w:val="008D2404"/>
    <w:rsid w:val="008D4752"/>
    <w:rsid w:val="008D4A96"/>
    <w:rsid w:val="008D6864"/>
    <w:rsid w:val="008D765A"/>
    <w:rsid w:val="008D7749"/>
    <w:rsid w:val="008D78E1"/>
    <w:rsid w:val="008D7BB5"/>
    <w:rsid w:val="008E00B8"/>
    <w:rsid w:val="008E0529"/>
    <w:rsid w:val="008E15F4"/>
    <w:rsid w:val="008E2847"/>
    <w:rsid w:val="008E29BF"/>
    <w:rsid w:val="008E336B"/>
    <w:rsid w:val="008E3437"/>
    <w:rsid w:val="008E3838"/>
    <w:rsid w:val="008E3BC3"/>
    <w:rsid w:val="008E3D10"/>
    <w:rsid w:val="008E3DDE"/>
    <w:rsid w:val="008E5DE8"/>
    <w:rsid w:val="008E633C"/>
    <w:rsid w:val="008E68A6"/>
    <w:rsid w:val="008E68AA"/>
    <w:rsid w:val="008F01C4"/>
    <w:rsid w:val="008F1391"/>
    <w:rsid w:val="008F1D7D"/>
    <w:rsid w:val="008F1F22"/>
    <w:rsid w:val="008F2C57"/>
    <w:rsid w:val="008F2D8B"/>
    <w:rsid w:val="008F3D46"/>
    <w:rsid w:val="008F459A"/>
    <w:rsid w:val="008F471B"/>
    <w:rsid w:val="008F6A51"/>
    <w:rsid w:val="008F6AC8"/>
    <w:rsid w:val="0090098B"/>
    <w:rsid w:val="00902ECB"/>
    <w:rsid w:val="009033B5"/>
    <w:rsid w:val="009066F7"/>
    <w:rsid w:val="00907CDB"/>
    <w:rsid w:val="0091070F"/>
    <w:rsid w:val="00910C95"/>
    <w:rsid w:val="00911180"/>
    <w:rsid w:val="009126FE"/>
    <w:rsid w:val="00912A46"/>
    <w:rsid w:val="00913647"/>
    <w:rsid w:val="00913B12"/>
    <w:rsid w:val="009142F6"/>
    <w:rsid w:val="009156B8"/>
    <w:rsid w:val="00915E94"/>
    <w:rsid w:val="00916345"/>
    <w:rsid w:val="009166F4"/>
    <w:rsid w:val="00917C09"/>
    <w:rsid w:val="00920056"/>
    <w:rsid w:val="009227B4"/>
    <w:rsid w:val="009231B9"/>
    <w:rsid w:val="00925A7D"/>
    <w:rsid w:val="00925AE3"/>
    <w:rsid w:val="00925BA7"/>
    <w:rsid w:val="00925FD6"/>
    <w:rsid w:val="00926ABD"/>
    <w:rsid w:val="00927D77"/>
    <w:rsid w:val="009309AB"/>
    <w:rsid w:val="00930B9A"/>
    <w:rsid w:val="009318FB"/>
    <w:rsid w:val="00931A81"/>
    <w:rsid w:val="0093232A"/>
    <w:rsid w:val="00932830"/>
    <w:rsid w:val="00934693"/>
    <w:rsid w:val="00934900"/>
    <w:rsid w:val="00935A9F"/>
    <w:rsid w:val="00936812"/>
    <w:rsid w:val="0093694A"/>
    <w:rsid w:val="00936E0C"/>
    <w:rsid w:val="00936EEA"/>
    <w:rsid w:val="00937EDD"/>
    <w:rsid w:val="0094007B"/>
    <w:rsid w:val="009404EC"/>
    <w:rsid w:val="00940695"/>
    <w:rsid w:val="00940FCD"/>
    <w:rsid w:val="00941491"/>
    <w:rsid w:val="00941D51"/>
    <w:rsid w:val="00943D06"/>
    <w:rsid w:val="00943F72"/>
    <w:rsid w:val="00944928"/>
    <w:rsid w:val="00944BEA"/>
    <w:rsid w:val="00946CA5"/>
    <w:rsid w:val="00947D8C"/>
    <w:rsid w:val="009500E7"/>
    <w:rsid w:val="0095031F"/>
    <w:rsid w:val="009504D1"/>
    <w:rsid w:val="00951B10"/>
    <w:rsid w:val="00951B7C"/>
    <w:rsid w:val="009524B6"/>
    <w:rsid w:val="0095254D"/>
    <w:rsid w:val="00952BB2"/>
    <w:rsid w:val="00954258"/>
    <w:rsid w:val="00954A27"/>
    <w:rsid w:val="00955368"/>
    <w:rsid w:val="00956EB7"/>
    <w:rsid w:val="009575E2"/>
    <w:rsid w:val="009577A3"/>
    <w:rsid w:val="00957B58"/>
    <w:rsid w:val="00960AD0"/>
    <w:rsid w:val="0096175B"/>
    <w:rsid w:val="0096421D"/>
    <w:rsid w:val="00964667"/>
    <w:rsid w:val="009666FC"/>
    <w:rsid w:val="009674B9"/>
    <w:rsid w:val="00970062"/>
    <w:rsid w:val="00970B88"/>
    <w:rsid w:val="00974195"/>
    <w:rsid w:val="00976EBC"/>
    <w:rsid w:val="009827A2"/>
    <w:rsid w:val="0098337C"/>
    <w:rsid w:val="0098383B"/>
    <w:rsid w:val="00984DB9"/>
    <w:rsid w:val="00984F88"/>
    <w:rsid w:val="00985372"/>
    <w:rsid w:val="00987062"/>
    <w:rsid w:val="00987700"/>
    <w:rsid w:val="009903D8"/>
    <w:rsid w:val="00990555"/>
    <w:rsid w:val="009918A7"/>
    <w:rsid w:val="00991A6F"/>
    <w:rsid w:val="009939C5"/>
    <w:rsid w:val="00994366"/>
    <w:rsid w:val="009947F3"/>
    <w:rsid w:val="00994A79"/>
    <w:rsid w:val="00995170"/>
    <w:rsid w:val="009977DD"/>
    <w:rsid w:val="00997C0F"/>
    <w:rsid w:val="009A1494"/>
    <w:rsid w:val="009A1D60"/>
    <w:rsid w:val="009A3ECA"/>
    <w:rsid w:val="009A3F3A"/>
    <w:rsid w:val="009A47A2"/>
    <w:rsid w:val="009A7AAE"/>
    <w:rsid w:val="009B0B47"/>
    <w:rsid w:val="009B0F0D"/>
    <w:rsid w:val="009B0F48"/>
    <w:rsid w:val="009B1141"/>
    <w:rsid w:val="009B2BA6"/>
    <w:rsid w:val="009B3382"/>
    <w:rsid w:val="009B3478"/>
    <w:rsid w:val="009B35CB"/>
    <w:rsid w:val="009B4CFF"/>
    <w:rsid w:val="009B5264"/>
    <w:rsid w:val="009B5946"/>
    <w:rsid w:val="009B6F03"/>
    <w:rsid w:val="009B717E"/>
    <w:rsid w:val="009B71AB"/>
    <w:rsid w:val="009C2B66"/>
    <w:rsid w:val="009C4A36"/>
    <w:rsid w:val="009C4B35"/>
    <w:rsid w:val="009C5AEB"/>
    <w:rsid w:val="009C5F69"/>
    <w:rsid w:val="009C6C06"/>
    <w:rsid w:val="009D0BA1"/>
    <w:rsid w:val="009D1283"/>
    <w:rsid w:val="009D159F"/>
    <w:rsid w:val="009D1980"/>
    <w:rsid w:val="009D22F8"/>
    <w:rsid w:val="009D3389"/>
    <w:rsid w:val="009D53AA"/>
    <w:rsid w:val="009D63A8"/>
    <w:rsid w:val="009D6768"/>
    <w:rsid w:val="009D6B13"/>
    <w:rsid w:val="009D7B40"/>
    <w:rsid w:val="009D7D94"/>
    <w:rsid w:val="009E0EB6"/>
    <w:rsid w:val="009E166A"/>
    <w:rsid w:val="009E3EA6"/>
    <w:rsid w:val="009E481E"/>
    <w:rsid w:val="009E4F6F"/>
    <w:rsid w:val="009E519A"/>
    <w:rsid w:val="009E5515"/>
    <w:rsid w:val="009E765A"/>
    <w:rsid w:val="009F0929"/>
    <w:rsid w:val="009F21E8"/>
    <w:rsid w:val="009F263A"/>
    <w:rsid w:val="009F27C2"/>
    <w:rsid w:val="009F4241"/>
    <w:rsid w:val="009F5183"/>
    <w:rsid w:val="009F72FD"/>
    <w:rsid w:val="00A0024C"/>
    <w:rsid w:val="00A014EA"/>
    <w:rsid w:val="00A02F9B"/>
    <w:rsid w:val="00A050A8"/>
    <w:rsid w:val="00A05399"/>
    <w:rsid w:val="00A053BF"/>
    <w:rsid w:val="00A0547A"/>
    <w:rsid w:val="00A06CF5"/>
    <w:rsid w:val="00A06D64"/>
    <w:rsid w:val="00A0730E"/>
    <w:rsid w:val="00A1054A"/>
    <w:rsid w:val="00A105F8"/>
    <w:rsid w:val="00A10EF0"/>
    <w:rsid w:val="00A117FE"/>
    <w:rsid w:val="00A12A8A"/>
    <w:rsid w:val="00A13748"/>
    <w:rsid w:val="00A144B3"/>
    <w:rsid w:val="00A14CBE"/>
    <w:rsid w:val="00A14EFE"/>
    <w:rsid w:val="00A15E22"/>
    <w:rsid w:val="00A172DE"/>
    <w:rsid w:val="00A173AE"/>
    <w:rsid w:val="00A17666"/>
    <w:rsid w:val="00A17BC3"/>
    <w:rsid w:val="00A200AE"/>
    <w:rsid w:val="00A20A78"/>
    <w:rsid w:val="00A210D4"/>
    <w:rsid w:val="00A2129B"/>
    <w:rsid w:val="00A21ADC"/>
    <w:rsid w:val="00A23A06"/>
    <w:rsid w:val="00A25833"/>
    <w:rsid w:val="00A25C2F"/>
    <w:rsid w:val="00A26037"/>
    <w:rsid w:val="00A27BCC"/>
    <w:rsid w:val="00A3091D"/>
    <w:rsid w:val="00A3150B"/>
    <w:rsid w:val="00A33806"/>
    <w:rsid w:val="00A342BA"/>
    <w:rsid w:val="00A34650"/>
    <w:rsid w:val="00A34BEC"/>
    <w:rsid w:val="00A3543C"/>
    <w:rsid w:val="00A35818"/>
    <w:rsid w:val="00A35FFE"/>
    <w:rsid w:val="00A3683F"/>
    <w:rsid w:val="00A36A75"/>
    <w:rsid w:val="00A36F96"/>
    <w:rsid w:val="00A37B8B"/>
    <w:rsid w:val="00A37DD5"/>
    <w:rsid w:val="00A37F83"/>
    <w:rsid w:val="00A41323"/>
    <w:rsid w:val="00A42513"/>
    <w:rsid w:val="00A42EF7"/>
    <w:rsid w:val="00A43667"/>
    <w:rsid w:val="00A4401A"/>
    <w:rsid w:val="00A44E64"/>
    <w:rsid w:val="00A45011"/>
    <w:rsid w:val="00A45B71"/>
    <w:rsid w:val="00A46441"/>
    <w:rsid w:val="00A478FD"/>
    <w:rsid w:val="00A503EE"/>
    <w:rsid w:val="00A54615"/>
    <w:rsid w:val="00A54B91"/>
    <w:rsid w:val="00A5645A"/>
    <w:rsid w:val="00A57572"/>
    <w:rsid w:val="00A579E2"/>
    <w:rsid w:val="00A61C0E"/>
    <w:rsid w:val="00A61C66"/>
    <w:rsid w:val="00A61EFF"/>
    <w:rsid w:val="00A6277B"/>
    <w:rsid w:val="00A62BF1"/>
    <w:rsid w:val="00A62C64"/>
    <w:rsid w:val="00A63092"/>
    <w:rsid w:val="00A6367D"/>
    <w:rsid w:val="00A63FFB"/>
    <w:rsid w:val="00A65997"/>
    <w:rsid w:val="00A66854"/>
    <w:rsid w:val="00A66917"/>
    <w:rsid w:val="00A67540"/>
    <w:rsid w:val="00A6779F"/>
    <w:rsid w:val="00A67F1D"/>
    <w:rsid w:val="00A7038D"/>
    <w:rsid w:val="00A704A9"/>
    <w:rsid w:val="00A70622"/>
    <w:rsid w:val="00A70CB2"/>
    <w:rsid w:val="00A712DA"/>
    <w:rsid w:val="00A730AA"/>
    <w:rsid w:val="00A73318"/>
    <w:rsid w:val="00A73C50"/>
    <w:rsid w:val="00A76716"/>
    <w:rsid w:val="00A808D7"/>
    <w:rsid w:val="00A811DA"/>
    <w:rsid w:val="00A8125B"/>
    <w:rsid w:val="00A8134F"/>
    <w:rsid w:val="00A82493"/>
    <w:rsid w:val="00A82953"/>
    <w:rsid w:val="00A83834"/>
    <w:rsid w:val="00A83C7D"/>
    <w:rsid w:val="00A844AA"/>
    <w:rsid w:val="00A84E76"/>
    <w:rsid w:val="00A8672B"/>
    <w:rsid w:val="00A877C7"/>
    <w:rsid w:val="00A90D5A"/>
    <w:rsid w:val="00A9153D"/>
    <w:rsid w:val="00A9293C"/>
    <w:rsid w:val="00A931F0"/>
    <w:rsid w:val="00A9445D"/>
    <w:rsid w:val="00A95673"/>
    <w:rsid w:val="00A95921"/>
    <w:rsid w:val="00A95B62"/>
    <w:rsid w:val="00A97637"/>
    <w:rsid w:val="00A97904"/>
    <w:rsid w:val="00AA0735"/>
    <w:rsid w:val="00AA0A73"/>
    <w:rsid w:val="00AA0B13"/>
    <w:rsid w:val="00AA103E"/>
    <w:rsid w:val="00AA1334"/>
    <w:rsid w:val="00AA15A3"/>
    <w:rsid w:val="00AA30CA"/>
    <w:rsid w:val="00AA4121"/>
    <w:rsid w:val="00AA5179"/>
    <w:rsid w:val="00AA53A7"/>
    <w:rsid w:val="00AA56C7"/>
    <w:rsid w:val="00AA6E8E"/>
    <w:rsid w:val="00AA7922"/>
    <w:rsid w:val="00AB13EF"/>
    <w:rsid w:val="00AB1BB3"/>
    <w:rsid w:val="00AB2888"/>
    <w:rsid w:val="00AB3E0E"/>
    <w:rsid w:val="00AB445E"/>
    <w:rsid w:val="00AB4A50"/>
    <w:rsid w:val="00AB536A"/>
    <w:rsid w:val="00AB6042"/>
    <w:rsid w:val="00AC071B"/>
    <w:rsid w:val="00AC0C6F"/>
    <w:rsid w:val="00AC14B9"/>
    <w:rsid w:val="00AC2BF0"/>
    <w:rsid w:val="00AC2F49"/>
    <w:rsid w:val="00AC3BA6"/>
    <w:rsid w:val="00AC44C1"/>
    <w:rsid w:val="00AC6F5A"/>
    <w:rsid w:val="00AD07FE"/>
    <w:rsid w:val="00AD0B15"/>
    <w:rsid w:val="00AD0FA1"/>
    <w:rsid w:val="00AD14C6"/>
    <w:rsid w:val="00AD21B7"/>
    <w:rsid w:val="00AD3781"/>
    <w:rsid w:val="00AD3B0F"/>
    <w:rsid w:val="00AD3E93"/>
    <w:rsid w:val="00AD4A91"/>
    <w:rsid w:val="00AD5878"/>
    <w:rsid w:val="00AD632D"/>
    <w:rsid w:val="00AD75B9"/>
    <w:rsid w:val="00AD7DC0"/>
    <w:rsid w:val="00AD7FF9"/>
    <w:rsid w:val="00AE235F"/>
    <w:rsid w:val="00AE377F"/>
    <w:rsid w:val="00AE3D34"/>
    <w:rsid w:val="00AE40C0"/>
    <w:rsid w:val="00AE580E"/>
    <w:rsid w:val="00AE6CBA"/>
    <w:rsid w:val="00AF04EA"/>
    <w:rsid w:val="00AF079F"/>
    <w:rsid w:val="00AF0995"/>
    <w:rsid w:val="00AF1067"/>
    <w:rsid w:val="00AF10A7"/>
    <w:rsid w:val="00AF19A1"/>
    <w:rsid w:val="00AF26C2"/>
    <w:rsid w:val="00AF3245"/>
    <w:rsid w:val="00AF3CF2"/>
    <w:rsid w:val="00AF466E"/>
    <w:rsid w:val="00AF477A"/>
    <w:rsid w:val="00AF4C4C"/>
    <w:rsid w:val="00AF51CC"/>
    <w:rsid w:val="00AF62AA"/>
    <w:rsid w:val="00AF6EE4"/>
    <w:rsid w:val="00AF7B7E"/>
    <w:rsid w:val="00B004CF"/>
    <w:rsid w:val="00B009FA"/>
    <w:rsid w:val="00B00A54"/>
    <w:rsid w:val="00B00CB9"/>
    <w:rsid w:val="00B0104C"/>
    <w:rsid w:val="00B0105C"/>
    <w:rsid w:val="00B01879"/>
    <w:rsid w:val="00B01AE3"/>
    <w:rsid w:val="00B01C56"/>
    <w:rsid w:val="00B032A6"/>
    <w:rsid w:val="00B03AAF"/>
    <w:rsid w:val="00B04E54"/>
    <w:rsid w:val="00B055DB"/>
    <w:rsid w:val="00B1016C"/>
    <w:rsid w:val="00B10593"/>
    <w:rsid w:val="00B105AA"/>
    <w:rsid w:val="00B10EE2"/>
    <w:rsid w:val="00B110E1"/>
    <w:rsid w:val="00B1236E"/>
    <w:rsid w:val="00B14081"/>
    <w:rsid w:val="00B140DF"/>
    <w:rsid w:val="00B1464D"/>
    <w:rsid w:val="00B1607A"/>
    <w:rsid w:val="00B17C87"/>
    <w:rsid w:val="00B20077"/>
    <w:rsid w:val="00B20B4D"/>
    <w:rsid w:val="00B21AB5"/>
    <w:rsid w:val="00B22777"/>
    <w:rsid w:val="00B22E2E"/>
    <w:rsid w:val="00B233CE"/>
    <w:rsid w:val="00B2351A"/>
    <w:rsid w:val="00B236F7"/>
    <w:rsid w:val="00B23E78"/>
    <w:rsid w:val="00B24A89"/>
    <w:rsid w:val="00B25135"/>
    <w:rsid w:val="00B25B2C"/>
    <w:rsid w:val="00B26128"/>
    <w:rsid w:val="00B26DDF"/>
    <w:rsid w:val="00B27294"/>
    <w:rsid w:val="00B27533"/>
    <w:rsid w:val="00B30909"/>
    <w:rsid w:val="00B30ECB"/>
    <w:rsid w:val="00B31116"/>
    <w:rsid w:val="00B31250"/>
    <w:rsid w:val="00B32C75"/>
    <w:rsid w:val="00B32CCB"/>
    <w:rsid w:val="00B33EC7"/>
    <w:rsid w:val="00B35B11"/>
    <w:rsid w:val="00B36A40"/>
    <w:rsid w:val="00B37D88"/>
    <w:rsid w:val="00B40308"/>
    <w:rsid w:val="00B4051A"/>
    <w:rsid w:val="00B40531"/>
    <w:rsid w:val="00B40D6E"/>
    <w:rsid w:val="00B416B5"/>
    <w:rsid w:val="00B42D9C"/>
    <w:rsid w:val="00B437A1"/>
    <w:rsid w:val="00B43BC5"/>
    <w:rsid w:val="00B46941"/>
    <w:rsid w:val="00B46DF4"/>
    <w:rsid w:val="00B46E89"/>
    <w:rsid w:val="00B47D99"/>
    <w:rsid w:val="00B50676"/>
    <w:rsid w:val="00B51264"/>
    <w:rsid w:val="00B51781"/>
    <w:rsid w:val="00B51A90"/>
    <w:rsid w:val="00B5336D"/>
    <w:rsid w:val="00B53F75"/>
    <w:rsid w:val="00B5559F"/>
    <w:rsid w:val="00B56442"/>
    <w:rsid w:val="00B56A73"/>
    <w:rsid w:val="00B56BCE"/>
    <w:rsid w:val="00B6025A"/>
    <w:rsid w:val="00B6050B"/>
    <w:rsid w:val="00B6486A"/>
    <w:rsid w:val="00B64EE0"/>
    <w:rsid w:val="00B65995"/>
    <w:rsid w:val="00B66596"/>
    <w:rsid w:val="00B66882"/>
    <w:rsid w:val="00B67343"/>
    <w:rsid w:val="00B67E15"/>
    <w:rsid w:val="00B719E1"/>
    <w:rsid w:val="00B72BB2"/>
    <w:rsid w:val="00B73260"/>
    <w:rsid w:val="00B73393"/>
    <w:rsid w:val="00B73ECE"/>
    <w:rsid w:val="00B77E51"/>
    <w:rsid w:val="00B80981"/>
    <w:rsid w:val="00B817A6"/>
    <w:rsid w:val="00B82E38"/>
    <w:rsid w:val="00B8432A"/>
    <w:rsid w:val="00B84E3D"/>
    <w:rsid w:val="00B85558"/>
    <w:rsid w:val="00B858FE"/>
    <w:rsid w:val="00B8622E"/>
    <w:rsid w:val="00B86F65"/>
    <w:rsid w:val="00B872D6"/>
    <w:rsid w:val="00B8770D"/>
    <w:rsid w:val="00B9042C"/>
    <w:rsid w:val="00B907B5"/>
    <w:rsid w:val="00B90C82"/>
    <w:rsid w:val="00B93A4A"/>
    <w:rsid w:val="00B9420D"/>
    <w:rsid w:val="00B95FAB"/>
    <w:rsid w:val="00B96D33"/>
    <w:rsid w:val="00BA0335"/>
    <w:rsid w:val="00BA111A"/>
    <w:rsid w:val="00BA2B10"/>
    <w:rsid w:val="00BA42C6"/>
    <w:rsid w:val="00BA7F69"/>
    <w:rsid w:val="00BB0556"/>
    <w:rsid w:val="00BB267A"/>
    <w:rsid w:val="00BB3319"/>
    <w:rsid w:val="00BB5195"/>
    <w:rsid w:val="00BB70AC"/>
    <w:rsid w:val="00BB7E46"/>
    <w:rsid w:val="00BC145F"/>
    <w:rsid w:val="00BC20F8"/>
    <w:rsid w:val="00BC283C"/>
    <w:rsid w:val="00BC2AD6"/>
    <w:rsid w:val="00BC3068"/>
    <w:rsid w:val="00BC50F7"/>
    <w:rsid w:val="00BC692D"/>
    <w:rsid w:val="00BC7C29"/>
    <w:rsid w:val="00BD1C2B"/>
    <w:rsid w:val="00BD283D"/>
    <w:rsid w:val="00BD32C2"/>
    <w:rsid w:val="00BD465D"/>
    <w:rsid w:val="00BD4A47"/>
    <w:rsid w:val="00BD55AF"/>
    <w:rsid w:val="00BE009D"/>
    <w:rsid w:val="00BE03B1"/>
    <w:rsid w:val="00BE055B"/>
    <w:rsid w:val="00BE0BC3"/>
    <w:rsid w:val="00BE2F33"/>
    <w:rsid w:val="00BE3F31"/>
    <w:rsid w:val="00BE73BF"/>
    <w:rsid w:val="00BE756E"/>
    <w:rsid w:val="00BE79F8"/>
    <w:rsid w:val="00BF1E83"/>
    <w:rsid w:val="00BF22DB"/>
    <w:rsid w:val="00BF29D9"/>
    <w:rsid w:val="00BF2F90"/>
    <w:rsid w:val="00BF3DE1"/>
    <w:rsid w:val="00BF42DA"/>
    <w:rsid w:val="00BF67FC"/>
    <w:rsid w:val="00BF6E0F"/>
    <w:rsid w:val="00BF7403"/>
    <w:rsid w:val="00C01DCD"/>
    <w:rsid w:val="00C02835"/>
    <w:rsid w:val="00C02F56"/>
    <w:rsid w:val="00C02F8F"/>
    <w:rsid w:val="00C03E78"/>
    <w:rsid w:val="00C05119"/>
    <w:rsid w:val="00C07881"/>
    <w:rsid w:val="00C078D0"/>
    <w:rsid w:val="00C07D61"/>
    <w:rsid w:val="00C10016"/>
    <w:rsid w:val="00C131FF"/>
    <w:rsid w:val="00C13E48"/>
    <w:rsid w:val="00C20617"/>
    <w:rsid w:val="00C21B47"/>
    <w:rsid w:val="00C22CBF"/>
    <w:rsid w:val="00C23401"/>
    <w:rsid w:val="00C23BCE"/>
    <w:rsid w:val="00C243F4"/>
    <w:rsid w:val="00C244D7"/>
    <w:rsid w:val="00C24F72"/>
    <w:rsid w:val="00C25F52"/>
    <w:rsid w:val="00C2668F"/>
    <w:rsid w:val="00C26932"/>
    <w:rsid w:val="00C276DD"/>
    <w:rsid w:val="00C31675"/>
    <w:rsid w:val="00C32B61"/>
    <w:rsid w:val="00C34F5E"/>
    <w:rsid w:val="00C36E9A"/>
    <w:rsid w:val="00C3764E"/>
    <w:rsid w:val="00C4269D"/>
    <w:rsid w:val="00C42A38"/>
    <w:rsid w:val="00C43D48"/>
    <w:rsid w:val="00C45C90"/>
    <w:rsid w:val="00C46E51"/>
    <w:rsid w:val="00C509B3"/>
    <w:rsid w:val="00C51846"/>
    <w:rsid w:val="00C5185A"/>
    <w:rsid w:val="00C52E51"/>
    <w:rsid w:val="00C52EFE"/>
    <w:rsid w:val="00C53C66"/>
    <w:rsid w:val="00C53D86"/>
    <w:rsid w:val="00C54BB2"/>
    <w:rsid w:val="00C5654B"/>
    <w:rsid w:val="00C567FF"/>
    <w:rsid w:val="00C5702D"/>
    <w:rsid w:val="00C57814"/>
    <w:rsid w:val="00C6092A"/>
    <w:rsid w:val="00C60BD5"/>
    <w:rsid w:val="00C613F2"/>
    <w:rsid w:val="00C61DC7"/>
    <w:rsid w:val="00C620D0"/>
    <w:rsid w:val="00C62585"/>
    <w:rsid w:val="00C6431B"/>
    <w:rsid w:val="00C643D4"/>
    <w:rsid w:val="00C652D5"/>
    <w:rsid w:val="00C6646A"/>
    <w:rsid w:val="00C66974"/>
    <w:rsid w:val="00C6702C"/>
    <w:rsid w:val="00C67B43"/>
    <w:rsid w:val="00C72C92"/>
    <w:rsid w:val="00C73A31"/>
    <w:rsid w:val="00C73D6A"/>
    <w:rsid w:val="00C7413B"/>
    <w:rsid w:val="00C74E0A"/>
    <w:rsid w:val="00C752A5"/>
    <w:rsid w:val="00C76363"/>
    <w:rsid w:val="00C76996"/>
    <w:rsid w:val="00C7743B"/>
    <w:rsid w:val="00C802FF"/>
    <w:rsid w:val="00C81A4F"/>
    <w:rsid w:val="00C820E8"/>
    <w:rsid w:val="00C825E3"/>
    <w:rsid w:val="00C82C17"/>
    <w:rsid w:val="00C82FE7"/>
    <w:rsid w:val="00C8383B"/>
    <w:rsid w:val="00C85BA8"/>
    <w:rsid w:val="00C85EB5"/>
    <w:rsid w:val="00C864A9"/>
    <w:rsid w:val="00C87843"/>
    <w:rsid w:val="00C87A0E"/>
    <w:rsid w:val="00C903B4"/>
    <w:rsid w:val="00C912AD"/>
    <w:rsid w:val="00C91ECF"/>
    <w:rsid w:val="00C9368B"/>
    <w:rsid w:val="00C93C3F"/>
    <w:rsid w:val="00C93C7D"/>
    <w:rsid w:val="00C95454"/>
    <w:rsid w:val="00C95716"/>
    <w:rsid w:val="00C97827"/>
    <w:rsid w:val="00C97A03"/>
    <w:rsid w:val="00CA0357"/>
    <w:rsid w:val="00CA0CF5"/>
    <w:rsid w:val="00CA0D8C"/>
    <w:rsid w:val="00CA21C9"/>
    <w:rsid w:val="00CA3350"/>
    <w:rsid w:val="00CA36FE"/>
    <w:rsid w:val="00CA3714"/>
    <w:rsid w:val="00CA3F71"/>
    <w:rsid w:val="00CA41A2"/>
    <w:rsid w:val="00CA6BB5"/>
    <w:rsid w:val="00CA72D2"/>
    <w:rsid w:val="00CA77FB"/>
    <w:rsid w:val="00CA7848"/>
    <w:rsid w:val="00CB0542"/>
    <w:rsid w:val="00CB0B9A"/>
    <w:rsid w:val="00CB2B32"/>
    <w:rsid w:val="00CB3C18"/>
    <w:rsid w:val="00CB4A03"/>
    <w:rsid w:val="00CB7643"/>
    <w:rsid w:val="00CC1226"/>
    <w:rsid w:val="00CC16DD"/>
    <w:rsid w:val="00CC1BB0"/>
    <w:rsid w:val="00CC1DC1"/>
    <w:rsid w:val="00CC4DA8"/>
    <w:rsid w:val="00CC56B4"/>
    <w:rsid w:val="00CC5A11"/>
    <w:rsid w:val="00CC7214"/>
    <w:rsid w:val="00CC73FE"/>
    <w:rsid w:val="00CD022A"/>
    <w:rsid w:val="00CD0C80"/>
    <w:rsid w:val="00CD1BC4"/>
    <w:rsid w:val="00CD344A"/>
    <w:rsid w:val="00CD5F82"/>
    <w:rsid w:val="00CD6057"/>
    <w:rsid w:val="00CD661D"/>
    <w:rsid w:val="00CE3000"/>
    <w:rsid w:val="00CE3174"/>
    <w:rsid w:val="00CE43BD"/>
    <w:rsid w:val="00CE469B"/>
    <w:rsid w:val="00CE51C5"/>
    <w:rsid w:val="00CE5682"/>
    <w:rsid w:val="00CE6A12"/>
    <w:rsid w:val="00CE6EB5"/>
    <w:rsid w:val="00CF1122"/>
    <w:rsid w:val="00CF127D"/>
    <w:rsid w:val="00CF284F"/>
    <w:rsid w:val="00CF561D"/>
    <w:rsid w:val="00D00070"/>
    <w:rsid w:val="00D00BD0"/>
    <w:rsid w:val="00D01432"/>
    <w:rsid w:val="00D0289E"/>
    <w:rsid w:val="00D02B6A"/>
    <w:rsid w:val="00D03754"/>
    <w:rsid w:val="00D04186"/>
    <w:rsid w:val="00D045AC"/>
    <w:rsid w:val="00D04BBD"/>
    <w:rsid w:val="00D04F06"/>
    <w:rsid w:val="00D07BF0"/>
    <w:rsid w:val="00D07CCA"/>
    <w:rsid w:val="00D10869"/>
    <w:rsid w:val="00D115D2"/>
    <w:rsid w:val="00D13544"/>
    <w:rsid w:val="00D13C8D"/>
    <w:rsid w:val="00D13EAA"/>
    <w:rsid w:val="00D148A8"/>
    <w:rsid w:val="00D151B8"/>
    <w:rsid w:val="00D151DC"/>
    <w:rsid w:val="00D15630"/>
    <w:rsid w:val="00D15CFF"/>
    <w:rsid w:val="00D164C1"/>
    <w:rsid w:val="00D1660D"/>
    <w:rsid w:val="00D16DFA"/>
    <w:rsid w:val="00D17641"/>
    <w:rsid w:val="00D17D6F"/>
    <w:rsid w:val="00D207E4"/>
    <w:rsid w:val="00D25FFD"/>
    <w:rsid w:val="00D276F1"/>
    <w:rsid w:val="00D31B35"/>
    <w:rsid w:val="00D32CC7"/>
    <w:rsid w:val="00D33088"/>
    <w:rsid w:val="00D348B0"/>
    <w:rsid w:val="00D34A4F"/>
    <w:rsid w:val="00D34FCA"/>
    <w:rsid w:val="00D366BD"/>
    <w:rsid w:val="00D37689"/>
    <w:rsid w:val="00D4041C"/>
    <w:rsid w:val="00D40A31"/>
    <w:rsid w:val="00D40ACA"/>
    <w:rsid w:val="00D414AE"/>
    <w:rsid w:val="00D441EB"/>
    <w:rsid w:val="00D44217"/>
    <w:rsid w:val="00D46B7E"/>
    <w:rsid w:val="00D4753B"/>
    <w:rsid w:val="00D50D0E"/>
    <w:rsid w:val="00D524D9"/>
    <w:rsid w:val="00D52659"/>
    <w:rsid w:val="00D53743"/>
    <w:rsid w:val="00D54478"/>
    <w:rsid w:val="00D54D11"/>
    <w:rsid w:val="00D564F5"/>
    <w:rsid w:val="00D60F32"/>
    <w:rsid w:val="00D62D3E"/>
    <w:rsid w:val="00D63547"/>
    <w:rsid w:val="00D67FD5"/>
    <w:rsid w:val="00D704B4"/>
    <w:rsid w:val="00D7051E"/>
    <w:rsid w:val="00D708F9"/>
    <w:rsid w:val="00D70D5D"/>
    <w:rsid w:val="00D72486"/>
    <w:rsid w:val="00D73117"/>
    <w:rsid w:val="00D739FA"/>
    <w:rsid w:val="00D74067"/>
    <w:rsid w:val="00D75546"/>
    <w:rsid w:val="00D75D46"/>
    <w:rsid w:val="00D7667A"/>
    <w:rsid w:val="00D77C77"/>
    <w:rsid w:val="00D81152"/>
    <w:rsid w:val="00D81538"/>
    <w:rsid w:val="00D81B3E"/>
    <w:rsid w:val="00D82045"/>
    <w:rsid w:val="00D840F4"/>
    <w:rsid w:val="00D84B29"/>
    <w:rsid w:val="00D85324"/>
    <w:rsid w:val="00D85ED8"/>
    <w:rsid w:val="00D863E1"/>
    <w:rsid w:val="00D872C4"/>
    <w:rsid w:val="00D87C47"/>
    <w:rsid w:val="00D917AA"/>
    <w:rsid w:val="00D92136"/>
    <w:rsid w:val="00D93D67"/>
    <w:rsid w:val="00D9446B"/>
    <w:rsid w:val="00D94ECD"/>
    <w:rsid w:val="00D95FE3"/>
    <w:rsid w:val="00DA03B7"/>
    <w:rsid w:val="00DA35B5"/>
    <w:rsid w:val="00DA3F48"/>
    <w:rsid w:val="00DA3FEB"/>
    <w:rsid w:val="00DA4897"/>
    <w:rsid w:val="00DA5DF4"/>
    <w:rsid w:val="00DA6196"/>
    <w:rsid w:val="00DA6F28"/>
    <w:rsid w:val="00DA7909"/>
    <w:rsid w:val="00DB1223"/>
    <w:rsid w:val="00DB2956"/>
    <w:rsid w:val="00DB378A"/>
    <w:rsid w:val="00DB487F"/>
    <w:rsid w:val="00DB55D4"/>
    <w:rsid w:val="00DB5672"/>
    <w:rsid w:val="00DB6247"/>
    <w:rsid w:val="00DB716E"/>
    <w:rsid w:val="00DB7256"/>
    <w:rsid w:val="00DB7772"/>
    <w:rsid w:val="00DC1012"/>
    <w:rsid w:val="00DC1FC8"/>
    <w:rsid w:val="00DC242E"/>
    <w:rsid w:val="00DC2CAB"/>
    <w:rsid w:val="00DC3CC6"/>
    <w:rsid w:val="00DC443C"/>
    <w:rsid w:val="00DC5B2B"/>
    <w:rsid w:val="00DC604D"/>
    <w:rsid w:val="00DC7E5D"/>
    <w:rsid w:val="00DD0576"/>
    <w:rsid w:val="00DD091A"/>
    <w:rsid w:val="00DD09E5"/>
    <w:rsid w:val="00DD2F75"/>
    <w:rsid w:val="00DD2FAE"/>
    <w:rsid w:val="00DD32F8"/>
    <w:rsid w:val="00DD37EC"/>
    <w:rsid w:val="00DD74A7"/>
    <w:rsid w:val="00DD7657"/>
    <w:rsid w:val="00DE0304"/>
    <w:rsid w:val="00DE20E2"/>
    <w:rsid w:val="00DE2CAD"/>
    <w:rsid w:val="00DE32DD"/>
    <w:rsid w:val="00DE4DE1"/>
    <w:rsid w:val="00DE55BB"/>
    <w:rsid w:val="00DF29A0"/>
    <w:rsid w:val="00DF3BBD"/>
    <w:rsid w:val="00DF3FAD"/>
    <w:rsid w:val="00DF5083"/>
    <w:rsid w:val="00DF5087"/>
    <w:rsid w:val="00E012B8"/>
    <w:rsid w:val="00E01CF0"/>
    <w:rsid w:val="00E02D7D"/>
    <w:rsid w:val="00E02D94"/>
    <w:rsid w:val="00E03AB9"/>
    <w:rsid w:val="00E04C11"/>
    <w:rsid w:val="00E05762"/>
    <w:rsid w:val="00E11380"/>
    <w:rsid w:val="00E12920"/>
    <w:rsid w:val="00E12B92"/>
    <w:rsid w:val="00E13708"/>
    <w:rsid w:val="00E13BAC"/>
    <w:rsid w:val="00E1413D"/>
    <w:rsid w:val="00E143D3"/>
    <w:rsid w:val="00E157A3"/>
    <w:rsid w:val="00E20D59"/>
    <w:rsid w:val="00E2324C"/>
    <w:rsid w:val="00E2369D"/>
    <w:rsid w:val="00E24146"/>
    <w:rsid w:val="00E251B7"/>
    <w:rsid w:val="00E25A1B"/>
    <w:rsid w:val="00E261DA"/>
    <w:rsid w:val="00E26380"/>
    <w:rsid w:val="00E30253"/>
    <w:rsid w:val="00E314F3"/>
    <w:rsid w:val="00E32A4F"/>
    <w:rsid w:val="00E340DE"/>
    <w:rsid w:val="00E345E3"/>
    <w:rsid w:val="00E363E1"/>
    <w:rsid w:val="00E37438"/>
    <w:rsid w:val="00E37ED6"/>
    <w:rsid w:val="00E40FE6"/>
    <w:rsid w:val="00E43474"/>
    <w:rsid w:val="00E43829"/>
    <w:rsid w:val="00E44C6B"/>
    <w:rsid w:val="00E45BC2"/>
    <w:rsid w:val="00E471A5"/>
    <w:rsid w:val="00E50447"/>
    <w:rsid w:val="00E504F2"/>
    <w:rsid w:val="00E510FC"/>
    <w:rsid w:val="00E518FD"/>
    <w:rsid w:val="00E54355"/>
    <w:rsid w:val="00E55237"/>
    <w:rsid w:val="00E55773"/>
    <w:rsid w:val="00E55867"/>
    <w:rsid w:val="00E562BB"/>
    <w:rsid w:val="00E56A2D"/>
    <w:rsid w:val="00E56A47"/>
    <w:rsid w:val="00E574F2"/>
    <w:rsid w:val="00E622E0"/>
    <w:rsid w:val="00E62B36"/>
    <w:rsid w:val="00E62FC6"/>
    <w:rsid w:val="00E63A86"/>
    <w:rsid w:val="00E6442F"/>
    <w:rsid w:val="00E6588D"/>
    <w:rsid w:val="00E66659"/>
    <w:rsid w:val="00E704CC"/>
    <w:rsid w:val="00E70B03"/>
    <w:rsid w:val="00E70EDE"/>
    <w:rsid w:val="00E72BD1"/>
    <w:rsid w:val="00E74DB4"/>
    <w:rsid w:val="00E75A3C"/>
    <w:rsid w:val="00E77785"/>
    <w:rsid w:val="00E80255"/>
    <w:rsid w:val="00E805B1"/>
    <w:rsid w:val="00E80620"/>
    <w:rsid w:val="00E81097"/>
    <w:rsid w:val="00E8147D"/>
    <w:rsid w:val="00E81D6E"/>
    <w:rsid w:val="00E82D11"/>
    <w:rsid w:val="00E8300F"/>
    <w:rsid w:val="00E832E0"/>
    <w:rsid w:val="00E84332"/>
    <w:rsid w:val="00E846FF"/>
    <w:rsid w:val="00E84C1A"/>
    <w:rsid w:val="00E91CA8"/>
    <w:rsid w:val="00E926A4"/>
    <w:rsid w:val="00E92D87"/>
    <w:rsid w:val="00E940ED"/>
    <w:rsid w:val="00E944F4"/>
    <w:rsid w:val="00E945EF"/>
    <w:rsid w:val="00E94855"/>
    <w:rsid w:val="00E9582E"/>
    <w:rsid w:val="00E95E2E"/>
    <w:rsid w:val="00E95EB9"/>
    <w:rsid w:val="00E97615"/>
    <w:rsid w:val="00EA1DE3"/>
    <w:rsid w:val="00EA2351"/>
    <w:rsid w:val="00EA298A"/>
    <w:rsid w:val="00EA2B73"/>
    <w:rsid w:val="00EA4912"/>
    <w:rsid w:val="00EA5018"/>
    <w:rsid w:val="00EA6A98"/>
    <w:rsid w:val="00EA6D0E"/>
    <w:rsid w:val="00EB0162"/>
    <w:rsid w:val="00EB124A"/>
    <w:rsid w:val="00EB1630"/>
    <w:rsid w:val="00EB2B21"/>
    <w:rsid w:val="00EB2B72"/>
    <w:rsid w:val="00EB398F"/>
    <w:rsid w:val="00EB493C"/>
    <w:rsid w:val="00EB5118"/>
    <w:rsid w:val="00EB77EA"/>
    <w:rsid w:val="00EB7E86"/>
    <w:rsid w:val="00EC0BFA"/>
    <w:rsid w:val="00EC103C"/>
    <w:rsid w:val="00EC1D2A"/>
    <w:rsid w:val="00EC603C"/>
    <w:rsid w:val="00EC71B4"/>
    <w:rsid w:val="00EC74CD"/>
    <w:rsid w:val="00EC781D"/>
    <w:rsid w:val="00ED0809"/>
    <w:rsid w:val="00ED0B81"/>
    <w:rsid w:val="00ED0D5F"/>
    <w:rsid w:val="00ED150F"/>
    <w:rsid w:val="00ED1BD6"/>
    <w:rsid w:val="00ED2320"/>
    <w:rsid w:val="00ED23EC"/>
    <w:rsid w:val="00ED284C"/>
    <w:rsid w:val="00ED3558"/>
    <w:rsid w:val="00ED3D12"/>
    <w:rsid w:val="00ED5088"/>
    <w:rsid w:val="00ED5685"/>
    <w:rsid w:val="00ED5C72"/>
    <w:rsid w:val="00ED5FDC"/>
    <w:rsid w:val="00ED61C7"/>
    <w:rsid w:val="00ED643A"/>
    <w:rsid w:val="00ED651E"/>
    <w:rsid w:val="00ED6EF2"/>
    <w:rsid w:val="00ED7C82"/>
    <w:rsid w:val="00EE0696"/>
    <w:rsid w:val="00EE4232"/>
    <w:rsid w:val="00EE4362"/>
    <w:rsid w:val="00EE56E6"/>
    <w:rsid w:val="00EE6422"/>
    <w:rsid w:val="00EE6AAD"/>
    <w:rsid w:val="00EE6EBE"/>
    <w:rsid w:val="00EE714B"/>
    <w:rsid w:val="00EE75D5"/>
    <w:rsid w:val="00EF02FD"/>
    <w:rsid w:val="00EF03FD"/>
    <w:rsid w:val="00EF0467"/>
    <w:rsid w:val="00EF0CF0"/>
    <w:rsid w:val="00EF3837"/>
    <w:rsid w:val="00EF3D45"/>
    <w:rsid w:val="00EF3DC3"/>
    <w:rsid w:val="00EF3FC2"/>
    <w:rsid w:val="00EF5ACA"/>
    <w:rsid w:val="00EF64C2"/>
    <w:rsid w:val="00EF7C09"/>
    <w:rsid w:val="00F012E5"/>
    <w:rsid w:val="00F013CA"/>
    <w:rsid w:val="00F01B05"/>
    <w:rsid w:val="00F0205D"/>
    <w:rsid w:val="00F037E4"/>
    <w:rsid w:val="00F04C5A"/>
    <w:rsid w:val="00F054DC"/>
    <w:rsid w:val="00F05555"/>
    <w:rsid w:val="00F059F8"/>
    <w:rsid w:val="00F05CA8"/>
    <w:rsid w:val="00F06550"/>
    <w:rsid w:val="00F10644"/>
    <w:rsid w:val="00F106EA"/>
    <w:rsid w:val="00F11113"/>
    <w:rsid w:val="00F1475E"/>
    <w:rsid w:val="00F14A8E"/>
    <w:rsid w:val="00F15900"/>
    <w:rsid w:val="00F1713A"/>
    <w:rsid w:val="00F175B6"/>
    <w:rsid w:val="00F17A72"/>
    <w:rsid w:val="00F20850"/>
    <w:rsid w:val="00F208B1"/>
    <w:rsid w:val="00F22100"/>
    <w:rsid w:val="00F229D1"/>
    <w:rsid w:val="00F23D35"/>
    <w:rsid w:val="00F2418A"/>
    <w:rsid w:val="00F268D9"/>
    <w:rsid w:val="00F30CF0"/>
    <w:rsid w:val="00F33E90"/>
    <w:rsid w:val="00F34CBB"/>
    <w:rsid w:val="00F36AFD"/>
    <w:rsid w:val="00F37204"/>
    <w:rsid w:val="00F3745E"/>
    <w:rsid w:val="00F37C8E"/>
    <w:rsid w:val="00F37DE6"/>
    <w:rsid w:val="00F40066"/>
    <w:rsid w:val="00F4167B"/>
    <w:rsid w:val="00F443A3"/>
    <w:rsid w:val="00F44F7B"/>
    <w:rsid w:val="00F45AE3"/>
    <w:rsid w:val="00F47FEA"/>
    <w:rsid w:val="00F50583"/>
    <w:rsid w:val="00F50A15"/>
    <w:rsid w:val="00F51C59"/>
    <w:rsid w:val="00F5390D"/>
    <w:rsid w:val="00F5399B"/>
    <w:rsid w:val="00F56624"/>
    <w:rsid w:val="00F57621"/>
    <w:rsid w:val="00F57AE7"/>
    <w:rsid w:val="00F57C7E"/>
    <w:rsid w:val="00F57C9D"/>
    <w:rsid w:val="00F57DCF"/>
    <w:rsid w:val="00F60243"/>
    <w:rsid w:val="00F607FB"/>
    <w:rsid w:val="00F60D0A"/>
    <w:rsid w:val="00F61379"/>
    <w:rsid w:val="00F646F8"/>
    <w:rsid w:val="00F651F0"/>
    <w:rsid w:val="00F674CC"/>
    <w:rsid w:val="00F726C9"/>
    <w:rsid w:val="00F743F0"/>
    <w:rsid w:val="00F76660"/>
    <w:rsid w:val="00F77563"/>
    <w:rsid w:val="00F8049C"/>
    <w:rsid w:val="00F830A8"/>
    <w:rsid w:val="00F85E77"/>
    <w:rsid w:val="00F87108"/>
    <w:rsid w:val="00F87819"/>
    <w:rsid w:val="00F878A6"/>
    <w:rsid w:val="00F90715"/>
    <w:rsid w:val="00F9097C"/>
    <w:rsid w:val="00F910AC"/>
    <w:rsid w:val="00F9114B"/>
    <w:rsid w:val="00F92B64"/>
    <w:rsid w:val="00F93111"/>
    <w:rsid w:val="00F9318B"/>
    <w:rsid w:val="00F93578"/>
    <w:rsid w:val="00F94EA3"/>
    <w:rsid w:val="00F95229"/>
    <w:rsid w:val="00F9586C"/>
    <w:rsid w:val="00F973F8"/>
    <w:rsid w:val="00F97695"/>
    <w:rsid w:val="00F979D7"/>
    <w:rsid w:val="00FA09BA"/>
    <w:rsid w:val="00FA1026"/>
    <w:rsid w:val="00FA10EC"/>
    <w:rsid w:val="00FA2159"/>
    <w:rsid w:val="00FA2BAB"/>
    <w:rsid w:val="00FA2BED"/>
    <w:rsid w:val="00FA300C"/>
    <w:rsid w:val="00FA4C9E"/>
    <w:rsid w:val="00FA5944"/>
    <w:rsid w:val="00FA6A64"/>
    <w:rsid w:val="00FA7B04"/>
    <w:rsid w:val="00FB01B7"/>
    <w:rsid w:val="00FB21EC"/>
    <w:rsid w:val="00FB2F6C"/>
    <w:rsid w:val="00FB3B45"/>
    <w:rsid w:val="00FB6269"/>
    <w:rsid w:val="00FB79C9"/>
    <w:rsid w:val="00FB7AA4"/>
    <w:rsid w:val="00FB7BE7"/>
    <w:rsid w:val="00FB7C2C"/>
    <w:rsid w:val="00FC0541"/>
    <w:rsid w:val="00FC0F79"/>
    <w:rsid w:val="00FC16C6"/>
    <w:rsid w:val="00FC19DC"/>
    <w:rsid w:val="00FC3AED"/>
    <w:rsid w:val="00FC419E"/>
    <w:rsid w:val="00FC51DF"/>
    <w:rsid w:val="00FC6AD6"/>
    <w:rsid w:val="00FC7546"/>
    <w:rsid w:val="00FD036D"/>
    <w:rsid w:val="00FD0819"/>
    <w:rsid w:val="00FD0E48"/>
    <w:rsid w:val="00FD1158"/>
    <w:rsid w:val="00FD1658"/>
    <w:rsid w:val="00FD1A75"/>
    <w:rsid w:val="00FD20BE"/>
    <w:rsid w:val="00FD39EB"/>
    <w:rsid w:val="00FD49DA"/>
    <w:rsid w:val="00FD4B01"/>
    <w:rsid w:val="00FD55DE"/>
    <w:rsid w:val="00FD64D1"/>
    <w:rsid w:val="00FD64D5"/>
    <w:rsid w:val="00FD7895"/>
    <w:rsid w:val="00FE02BF"/>
    <w:rsid w:val="00FE0AEA"/>
    <w:rsid w:val="00FE1AFF"/>
    <w:rsid w:val="00FE2325"/>
    <w:rsid w:val="00FE2CC5"/>
    <w:rsid w:val="00FE37EF"/>
    <w:rsid w:val="00FE382B"/>
    <w:rsid w:val="00FE5627"/>
    <w:rsid w:val="00FE64B9"/>
    <w:rsid w:val="00FE68B7"/>
    <w:rsid w:val="00FE7770"/>
    <w:rsid w:val="00FF0930"/>
    <w:rsid w:val="00FF0E51"/>
    <w:rsid w:val="00FF134C"/>
    <w:rsid w:val="00FF2180"/>
    <w:rsid w:val="00FF2B63"/>
    <w:rsid w:val="00FF33A7"/>
    <w:rsid w:val="00FF3F92"/>
    <w:rsid w:val="00FF42F7"/>
    <w:rsid w:val="00FF67FC"/>
    <w:rsid w:val="00FF722D"/>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C8801C"/>
  <w15:chartTrackingRefBased/>
  <w15:docId w15:val="{28B3494C-7B52-4BC7-AEA1-889B118F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56A2D"/>
    <w:rPr>
      <w:sz w:val="24"/>
      <w:lang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sv-SE" w:eastAsia="fi-FI" w:bidi="ar-SA"/>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rPr>
  </w:style>
  <w:style w:type="paragraph" w:styleId="Kommentinteksti">
    <w:name w:val="annotation text"/>
    <w:basedOn w:val="Normaali"/>
    <w:link w:val="KommentintekstiChar"/>
    <w:rsid w:val="00994A79"/>
    <w:rPr>
      <w:sz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link w:val="AlaviitteentekstiChar"/>
    <w:uiPriority w:val="99"/>
    <w:semiHidden/>
    <w:rsid w:val="00261B3D"/>
    <w:rPr>
      <w:sz w:val="20"/>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VMNormaaliSisentmtn">
    <w:name w:val="VM_Normaali_Sisentämätön"/>
    <w:qFormat/>
    <w:rsid w:val="00A23A06"/>
    <w:rPr>
      <w:sz w:val="24"/>
    </w:rPr>
  </w:style>
  <w:style w:type="character" w:customStyle="1" w:styleId="KommentintekstiChar">
    <w:name w:val="Kommentin teksti Char"/>
    <w:basedOn w:val="Kappaleenoletusfontti"/>
    <w:link w:val="Kommentinteksti"/>
    <w:rsid w:val="00A23A06"/>
  </w:style>
  <w:style w:type="character" w:customStyle="1" w:styleId="LLKursivointi">
    <w:name w:val="LLKursivointi"/>
    <w:rsid w:val="00D164C1"/>
    <w:rPr>
      <w:rFonts w:ascii="Times New Roman" w:hAnsi="Times New Roman"/>
      <w:i/>
      <w:sz w:val="22"/>
      <w:lang w:val="sv-SE"/>
    </w:rPr>
  </w:style>
  <w:style w:type="character" w:customStyle="1" w:styleId="LLNormaaliKirjasin">
    <w:name w:val="LLNormaaliKirjasin"/>
    <w:rsid w:val="00D164C1"/>
    <w:rPr>
      <w:rFonts w:ascii="Times New Roman" w:hAnsi="Times New Roman"/>
      <w:sz w:val="22"/>
      <w:lang w:val="sv-SE"/>
    </w:rPr>
  </w:style>
  <w:style w:type="paragraph" w:styleId="NormaaliWWW">
    <w:name w:val="Normal (Web)"/>
    <w:basedOn w:val="Normaali"/>
    <w:uiPriority w:val="99"/>
    <w:unhideWhenUsed/>
    <w:rsid w:val="00B72BB2"/>
    <w:pPr>
      <w:spacing w:before="100" w:beforeAutospacing="1" w:after="100" w:afterAutospacing="1"/>
    </w:pPr>
    <w:rPr>
      <w:szCs w:val="24"/>
      <w:lang w:eastAsia="fi-FI"/>
    </w:rPr>
  </w:style>
  <w:style w:type="character" w:customStyle="1" w:styleId="AlaviitteentekstiChar">
    <w:name w:val="Alaviitteen teksti Char"/>
    <w:basedOn w:val="Kappaleenoletusfontti"/>
    <w:link w:val="Alaviitteenteksti"/>
    <w:uiPriority w:val="99"/>
    <w:semiHidden/>
    <w:rsid w:val="00D863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666">
      <w:bodyDiv w:val="1"/>
      <w:marLeft w:val="0"/>
      <w:marRight w:val="0"/>
      <w:marTop w:val="0"/>
      <w:marBottom w:val="0"/>
      <w:divBdr>
        <w:top w:val="none" w:sz="0" w:space="0" w:color="auto"/>
        <w:left w:val="none" w:sz="0" w:space="0" w:color="auto"/>
        <w:bottom w:val="none" w:sz="0" w:space="0" w:color="auto"/>
        <w:right w:val="none" w:sz="0" w:space="0" w:color="auto"/>
      </w:divBdr>
    </w:div>
    <w:div w:id="105539545">
      <w:bodyDiv w:val="1"/>
      <w:marLeft w:val="0"/>
      <w:marRight w:val="0"/>
      <w:marTop w:val="0"/>
      <w:marBottom w:val="0"/>
      <w:divBdr>
        <w:top w:val="none" w:sz="0" w:space="0" w:color="auto"/>
        <w:left w:val="none" w:sz="0" w:space="0" w:color="auto"/>
        <w:bottom w:val="none" w:sz="0" w:space="0" w:color="auto"/>
        <w:right w:val="none" w:sz="0" w:space="0" w:color="auto"/>
      </w:divBdr>
    </w:div>
    <w:div w:id="199708274">
      <w:bodyDiv w:val="1"/>
      <w:marLeft w:val="0"/>
      <w:marRight w:val="0"/>
      <w:marTop w:val="0"/>
      <w:marBottom w:val="0"/>
      <w:divBdr>
        <w:top w:val="none" w:sz="0" w:space="0" w:color="auto"/>
        <w:left w:val="none" w:sz="0" w:space="0" w:color="auto"/>
        <w:bottom w:val="none" w:sz="0" w:space="0" w:color="auto"/>
        <w:right w:val="none" w:sz="0" w:space="0" w:color="auto"/>
      </w:divBdr>
      <w:divsChild>
        <w:div w:id="13926107">
          <w:marLeft w:val="0"/>
          <w:marRight w:val="0"/>
          <w:marTop w:val="0"/>
          <w:marBottom w:val="300"/>
          <w:divBdr>
            <w:top w:val="none" w:sz="0" w:space="0" w:color="auto"/>
            <w:left w:val="none" w:sz="0" w:space="0" w:color="auto"/>
            <w:bottom w:val="none" w:sz="0" w:space="0" w:color="auto"/>
            <w:right w:val="none" w:sz="0" w:space="0" w:color="auto"/>
          </w:divBdr>
        </w:div>
        <w:div w:id="77362377">
          <w:marLeft w:val="0"/>
          <w:marRight w:val="0"/>
          <w:marTop w:val="0"/>
          <w:marBottom w:val="300"/>
          <w:divBdr>
            <w:top w:val="none" w:sz="0" w:space="0" w:color="auto"/>
            <w:left w:val="none" w:sz="0" w:space="0" w:color="auto"/>
            <w:bottom w:val="none" w:sz="0" w:space="0" w:color="auto"/>
            <w:right w:val="none" w:sz="0" w:space="0" w:color="auto"/>
          </w:divBdr>
        </w:div>
        <w:div w:id="174929372">
          <w:marLeft w:val="0"/>
          <w:marRight w:val="0"/>
          <w:marTop w:val="0"/>
          <w:marBottom w:val="300"/>
          <w:divBdr>
            <w:top w:val="none" w:sz="0" w:space="0" w:color="auto"/>
            <w:left w:val="none" w:sz="0" w:space="0" w:color="auto"/>
            <w:bottom w:val="none" w:sz="0" w:space="0" w:color="auto"/>
            <w:right w:val="none" w:sz="0" w:space="0" w:color="auto"/>
          </w:divBdr>
        </w:div>
        <w:div w:id="524245869">
          <w:marLeft w:val="0"/>
          <w:marRight w:val="0"/>
          <w:marTop w:val="0"/>
          <w:marBottom w:val="300"/>
          <w:divBdr>
            <w:top w:val="none" w:sz="0" w:space="0" w:color="auto"/>
            <w:left w:val="none" w:sz="0" w:space="0" w:color="auto"/>
            <w:bottom w:val="none" w:sz="0" w:space="0" w:color="auto"/>
            <w:right w:val="none" w:sz="0" w:space="0" w:color="auto"/>
          </w:divBdr>
        </w:div>
        <w:div w:id="1385180668">
          <w:marLeft w:val="0"/>
          <w:marRight w:val="0"/>
          <w:marTop w:val="0"/>
          <w:marBottom w:val="300"/>
          <w:divBdr>
            <w:top w:val="none" w:sz="0" w:space="0" w:color="auto"/>
            <w:left w:val="none" w:sz="0" w:space="0" w:color="auto"/>
            <w:bottom w:val="none" w:sz="0" w:space="0" w:color="auto"/>
            <w:right w:val="none" w:sz="0" w:space="0" w:color="auto"/>
          </w:divBdr>
        </w:div>
        <w:div w:id="1397389681">
          <w:marLeft w:val="0"/>
          <w:marRight w:val="0"/>
          <w:marTop w:val="0"/>
          <w:marBottom w:val="300"/>
          <w:divBdr>
            <w:top w:val="none" w:sz="0" w:space="0" w:color="auto"/>
            <w:left w:val="none" w:sz="0" w:space="0" w:color="auto"/>
            <w:bottom w:val="none" w:sz="0" w:space="0" w:color="auto"/>
            <w:right w:val="none" w:sz="0" w:space="0" w:color="auto"/>
          </w:divBdr>
        </w:div>
        <w:div w:id="1495994855">
          <w:marLeft w:val="0"/>
          <w:marRight w:val="0"/>
          <w:marTop w:val="0"/>
          <w:marBottom w:val="300"/>
          <w:divBdr>
            <w:top w:val="none" w:sz="0" w:space="0" w:color="auto"/>
            <w:left w:val="none" w:sz="0" w:space="0" w:color="auto"/>
            <w:bottom w:val="none" w:sz="0" w:space="0" w:color="auto"/>
            <w:right w:val="none" w:sz="0" w:space="0" w:color="auto"/>
          </w:divBdr>
        </w:div>
        <w:div w:id="2129885960">
          <w:marLeft w:val="0"/>
          <w:marRight w:val="0"/>
          <w:marTop w:val="0"/>
          <w:marBottom w:val="300"/>
          <w:divBdr>
            <w:top w:val="none" w:sz="0" w:space="0" w:color="auto"/>
            <w:left w:val="none" w:sz="0" w:space="0" w:color="auto"/>
            <w:bottom w:val="none" w:sz="0" w:space="0" w:color="auto"/>
            <w:right w:val="none" w:sz="0" w:space="0" w:color="auto"/>
          </w:divBdr>
        </w:div>
      </w:divsChild>
    </w:div>
    <w:div w:id="207029844">
      <w:bodyDiv w:val="1"/>
      <w:marLeft w:val="0"/>
      <w:marRight w:val="0"/>
      <w:marTop w:val="0"/>
      <w:marBottom w:val="0"/>
      <w:divBdr>
        <w:top w:val="none" w:sz="0" w:space="0" w:color="auto"/>
        <w:left w:val="none" w:sz="0" w:space="0" w:color="auto"/>
        <w:bottom w:val="none" w:sz="0" w:space="0" w:color="auto"/>
        <w:right w:val="none" w:sz="0" w:space="0" w:color="auto"/>
      </w:divBdr>
      <w:divsChild>
        <w:div w:id="2018265222">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300"/>
              <w:divBdr>
                <w:top w:val="none" w:sz="0" w:space="0" w:color="auto"/>
                <w:left w:val="none" w:sz="0" w:space="0" w:color="auto"/>
                <w:bottom w:val="none" w:sz="0" w:space="0" w:color="auto"/>
                <w:right w:val="none" w:sz="0" w:space="0" w:color="auto"/>
              </w:divBdr>
            </w:div>
            <w:div w:id="928463110">
              <w:marLeft w:val="0"/>
              <w:marRight w:val="0"/>
              <w:marTop w:val="0"/>
              <w:marBottom w:val="300"/>
              <w:divBdr>
                <w:top w:val="none" w:sz="0" w:space="0" w:color="auto"/>
                <w:left w:val="none" w:sz="0" w:space="0" w:color="auto"/>
                <w:bottom w:val="none" w:sz="0" w:space="0" w:color="auto"/>
                <w:right w:val="none" w:sz="0" w:space="0" w:color="auto"/>
              </w:divBdr>
            </w:div>
            <w:div w:id="1000232060">
              <w:marLeft w:val="0"/>
              <w:marRight w:val="0"/>
              <w:marTop w:val="0"/>
              <w:marBottom w:val="300"/>
              <w:divBdr>
                <w:top w:val="none" w:sz="0" w:space="0" w:color="auto"/>
                <w:left w:val="none" w:sz="0" w:space="0" w:color="auto"/>
                <w:bottom w:val="none" w:sz="0" w:space="0" w:color="auto"/>
                <w:right w:val="none" w:sz="0" w:space="0" w:color="auto"/>
              </w:divBdr>
            </w:div>
            <w:div w:id="1118640739">
              <w:marLeft w:val="0"/>
              <w:marRight w:val="0"/>
              <w:marTop w:val="0"/>
              <w:marBottom w:val="300"/>
              <w:divBdr>
                <w:top w:val="none" w:sz="0" w:space="0" w:color="auto"/>
                <w:left w:val="none" w:sz="0" w:space="0" w:color="auto"/>
                <w:bottom w:val="none" w:sz="0" w:space="0" w:color="auto"/>
                <w:right w:val="none" w:sz="0" w:space="0" w:color="auto"/>
              </w:divBdr>
            </w:div>
            <w:div w:id="1220870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7248621">
      <w:bodyDiv w:val="1"/>
      <w:marLeft w:val="0"/>
      <w:marRight w:val="0"/>
      <w:marTop w:val="0"/>
      <w:marBottom w:val="0"/>
      <w:divBdr>
        <w:top w:val="none" w:sz="0" w:space="0" w:color="auto"/>
        <w:left w:val="none" w:sz="0" w:space="0" w:color="auto"/>
        <w:bottom w:val="none" w:sz="0" w:space="0" w:color="auto"/>
        <w:right w:val="none" w:sz="0" w:space="0" w:color="auto"/>
      </w:divBdr>
      <w:divsChild>
        <w:div w:id="515777204">
          <w:marLeft w:val="0"/>
          <w:marRight w:val="0"/>
          <w:marTop w:val="0"/>
          <w:marBottom w:val="300"/>
          <w:divBdr>
            <w:top w:val="none" w:sz="0" w:space="0" w:color="auto"/>
            <w:left w:val="none" w:sz="0" w:space="0" w:color="auto"/>
            <w:bottom w:val="none" w:sz="0" w:space="0" w:color="auto"/>
            <w:right w:val="none" w:sz="0" w:space="0" w:color="auto"/>
          </w:divBdr>
        </w:div>
        <w:div w:id="562105780">
          <w:marLeft w:val="0"/>
          <w:marRight w:val="0"/>
          <w:marTop w:val="0"/>
          <w:marBottom w:val="300"/>
          <w:divBdr>
            <w:top w:val="none" w:sz="0" w:space="0" w:color="auto"/>
            <w:left w:val="none" w:sz="0" w:space="0" w:color="auto"/>
            <w:bottom w:val="none" w:sz="0" w:space="0" w:color="auto"/>
            <w:right w:val="none" w:sz="0" w:space="0" w:color="auto"/>
          </w:divBdr>
        </w:div>
        <w:div w:id="1059552466">
          <w:marLeft w:val="0"/>
          <w:marRight w:val="0"/>
          <w:marTop w:val="0"/>
          <w:marBottom w:val="300"/>
          <w:divBdr>
            <w:top w:val="none" w:sz="0" w:space="0" w:color="auto"/>
            <w:left w:val="none" w:sz="0" w:space="0" w:color="auto"/>
            <w:bottom w:val="none" w:sz="0" w:space="0" w:color="auto"/>
            <w:right w:val="none" w:sz="0" w:space="0" w:color="auto"/>
          </w:divBdr>
        </w:div>
        <w:div w:id="1097486395">
          <w:marLeft w:val="0"/>
          <w:marRight w:val="0"/>
          <w:marTop w:val="0"/>
          <w:marBottom w:val="300"/>
          <w:divBdr>
            <w:top w:val="none" w:sz="0" w:space="0" w:color="auto"/>
            <w:left w:val="none" w:sz="0" w:space="0" w:color="auto"/>
            <w:bottom w:val="none" w:sz="0" w:space="0" w:color="auto"/>
            <w:right w:val="none" w:sz="0" w:space="0" w:color="auto"/>
          </w:divBdr>
        </w:div>
        <w:div w:id="1977028781">
          <w:marLeft w:val="0"/>
          <w:marRight w:val="0"/>
          <w:marTop w:val="0"/>
          <w:marBottom w:val="300"/>
          <w:divBdr>
            <w:top w:val="none" w:sz="0" w:space="0" w:color="auto"/>
            <w:left w:val="none" w:sz="0" w:space="0" w:color="auto"/>
            <w:bottom w:val="none" w:sz="0" w:space="0" w:color="auto"/>
            <w:right w:val="none" w:sz="0" w:space="0" w:color="auto"/>
          </w:divBdr>
        </w:div>
      </w:divsChild>
    </w:div>
    <w:div w:id="342976208">
      <w:bodyDiv w:val="1"/>
      <w:marLeft w:val="0"/>
      <w:marRight w:val="0"/>
      <w:marTop w:val="0"/>
      <w:marBottom w:val="0"/>
      <w:divBdr>
        <w:top w:val="none" w:sz="0" w:space="0" w:color="auto"/>
        <w:left w:val="none" w:sz="0" w:space="0" w:color="auto"/>
        <w:bottom w:val="none" w:sz="0" w:space="0" w:color="auto"/>
        <w:right w:val="none" w:sz="0" w:space="0" w:color="auto"/>
      </w:divBdr>
      <w:divsChild>
        <w:div w:id="93480708">
          <w:marLeft w:val="0"/>
          <w:marRight w:val="0"/>
          <w:marTop w:val="0"/>
          <w:marBottom w:val="300"/>
          <w:divBdr>
            <w:top w:val="none" w:sz="0" w:space="0" w:color="auto"/>
            <w:left w:val="none" w:sz="0" w:space="0" w:color="auto"/>
            <w:bottom w:val="none" w:sz="0" w:space="0" w:color="auto"/>
            <w:right w:val="none" w:sz="0" w:space="0" w:color="auto"/>
          </w:divBdr>
        </w:div>
        <w:div w:id="123736572">
          <w:marLeft w:val="0"/>
          <w:marRight w:val="0"/>
          <w:marTop w:val="0"/>
          <w:marBottom w:val="300"/>
          <w:divBdr>
            <w:top w:val="none" w:sz="0" w:space="0" w:color="auto"/>
            <w:left w:val="none" w:sz="0" w:space="0" w:color="auto"/>
            <w:bottom w:val="none" w:sz="0" w:space="0" w:color="auto"/>
            <w:right w:val="none" w:sz="0" w:space="0" w:color="auto"/>
          </w:divBdr>
        </w:div>
        <w:div w:id="201671784">
          <w:marLeft w:val="0"/>
          <w:marRight w:val="0"/>
          <w:marTop w:val="0"/>
          <w:marBottom w:val="300"/>
          <w:divBdr>
            <w:top w:val="none" w:sz="0" w:space="0" w:color="auto"/>
            <w:left w:val="none" w:sz="0" w:space="0" w:color="auto"/>
            <w:bottom w:val="none" w:sz="0" w:space="0" w:color="auto"/>
            <w:right w:val="none" w:sz="0" w:space="0" w:color="auto"/>
          </w:divBdr>
        </w:div>
        <w:div w:id="629675312">
          <w:marLeft w:val="0"/>
          <w:marRight w:val="0"/>
          <w:marTop w:val="0"/>
          <w:marBottom w:val="300"/>
          <w:divBdr>
            <w:top w:val="none" w:sz="0" w:space="0" w:color="auto"/>
            <w:left w:val="none" w:sz="0" w:space="0" w:color="auto"/>
            <w:bottom w:val="none" w:sz="0" w:space="0" w:color="auto"/>
            <w:right w:val="none" w:sz="0" w:space="0" w:color="auto"/>
          </w:divBdr>
        </w:div>
        <w:div w:id="1088498853">
          <w:marLeft w:val="0"/>
          <w:marRight w:val="0"/>
          <w:marTop w:val="0"/>
          <w:marBottom w:val="300"/>
          <w:divBdr>
            <w:top w:val="none" w:sz="0" w:space="0" w:color="auto"/>
            <w:left w:val="none" w:sz="0" w:space="0" w:color="auto"/>
            <w:bottom w:val="none" w:sz="0" w:space="0" w:color="auto"/>
            <w:right w:val="none" w:sz="0" w:space="0" w:color="auto"/>
          </w:divBdr>
        </w:div>
        <w:div w:id="1110662709">
          <w:marLeft w:val="0"/>
          <w:marRight w:val="0"/>
          <w:marTop w:val="0"/>
          <w:marBottom w:val="300"/>
          <w:divBdr>
            <w:top w:val="none" w:sz="0" w:space="0" w:color="auto"/>
            <w:left w:val="none" w:sz="0" w:space="0" w:color="auto"/>
            <w:bottom w:val="none" w:sz="0" w:space="0" w:color="auto"/>
            <w:right w:val="none" w:sz="0" w:space="0" w:color="auto"/>
          </w:divBdr>
        </w:div>
        <w:div w:id="1268121690">
          <w:marLeft w:val="0"/>
          <w:marRight w:val="0"/>
          <w:marTop w:val="0"/>
          <w:marBottom w:val="300"/>
          <w:divBdr>
            <w:top w:val="none" w:sz="0" w:space="0" w:color="auto"/>
            <w:left w:val="none" w:sz="0" w:space="0" w:color="auto"/>
            <w:bottom w:val="none" w:sz="0" w:space="0" w:color="auto"/>
            <w:right w:val="none" w:sz="0" w:space="0" w:color="auto"/>
          </w:divBdr>
        </w:div>
        <w:div w:id="1526821855">
          <w:marLeft w:val="0"/>
          <w:marRight w:val="0"/>
          <w:marTop w:val="0"/>
          <w:marBottom w:val="300"/>
          <w:divBdr>
            <w:top w:val="none" w:sz="0" w:space="0" w:color="auto"/>
            <w:left w:val="none" w:sz="0" w:space="0" w:color="auto"/>
            <w:bottom w:val="none" w:sz="0" w:space="0" w:color="auto"/>
            <w:right w:val="none" w:sz="0" w:space="0" w:color="auto"/>
          </w:divBdr>
        </w:div>
        <w:div w:id="1641350248">
          <w:marLeft w:val="0"/>
          <w:marRight w:val="0"/>
          <w:marTop w:val="0"/>
          <w:marBottom w:val="300"/>
          <w:divBdr>
            <w:top w:val="none" w:sz="0" w:space="0" w:color="auto"/>
            <w:left w:val="none" w:sz="0" w:space="0" w:color="auto"/>
            <w:bottom w:val="none" w:sz="0" w:space="0" w:color="auto"/>
            <w:right w:val="none" w:sz="0" w:space="0" w:color="auto"/>
          </w:divBdr>
        </w:div>
        <w:div w:id="1749694516">
          <w:marLeft w:val="0"/>
          <w:marRight w:val="0"/>
          <w:marTop w:val="0"/>
          <w:marBottom w:val="300"/>
          <w:divBdr>
            <w:top w:val="none" w:sz="0" w:space="0" w:color="auto"/>
            <w:left w:val="none" w:sz="0" w:space="0" w:color="auto"/>
            <w:bottom w:val="none" w:sz="0" w:space="0" w:color="auto"/>
            <w:right w:val="none" w:sz="0" w:space="0" w:color="auto"/>
          </w:divBdr>
        </w:div>
        <w:div w:id="1895391599">
          <w:marLeft w:val="0"/>
          <w:marRight w:val="0"/>
          <w:marTop w:val="0"/>
          <w:marBottom w:val="300"/>
          <w:divBdr>
            <w:top w:val="none" w:sz="0" w:space="0" w:color="auto"/>
            <w:left w:val="none" w:sz="0" w:space="0" w:color="auto"/>
            <w:bottom w:val="none" w:sz="0" w:space="0" w:color="auto"/>
            <w:right w:val="none" w:sz="0" w:space="0" w:color="auto"/>
          </w:divBdr>
        </w:div>
      </w:divsChild>
    </w:div>
    <w:div w:id="453714735">
      <w:bodyDiv w:val="1"/>
      <w:marLeft w:val="0"/>
      <w:marRight w:val="0"/>
      <w:marTop w:val="0"/>
      <w:marBottom w:val="0"/>
      <w:divBdr>
        <w:top w:val="none" w:sz="0" w:space="0" w:color="auto"/>
        <w:left w:val="none" w:sz="0" w:space="0" w:color="auto"/>
        <w:bottom w:val="none" w:sz="0" w:space="0" w:color="auto"/>
        <w:right w:val="none" w:sz="0" w:space="0" w:color="auto"/>
      </w:divBdr>
      <w:divsChild>
        <w:div w:id="307831084">
          <w:marLeft w:val="0"/>
          <w:marRight w:val="0"/>
          <w:marTop w:val="0"/>
          <w:marBottom w:val="300"/>
          <w:divBdr>
            <w:top w:val="none" w:sz="0" w:space="0" w:color="auto"/>
            <w:left w:val="none" w:sz="0" w:space="0" w:color="auto"/>
            <w:bottom w:val="none" w:sz="0" w:space="0" w:color="auto"/>
            <w:right w:val="none" w:sz="0" w:space="0" w:color="auto"/>
          </w:divBdr>
        </w:div>
        <w:div w:id="638220382">
          <w:marLeft w:val="0"/>
          <w:marRight w:val="0"/>
          <w:marTop w:val="0"/>
          <w:marBottom w:val="300"/>
          <w:divBdr>
            <w:top w:val="none" w:sz="0" w:space="0" w:color="auto"/>
            <w:left w:val="none" w:sz="0" w:space="0" w:color="auto"/>
            <w:bottom w:val="none" w:sz="0" w:space="0" w:color="auto"/>
            <w:right w:val="none" w:sz="0" w:space="0" w:color="auto"/>
          </w:divBdr>
        </w:div>
        <w:div w:id="1020736503">
          <w:marLeft w:val="0"/>
          <w:marRight w:val="0"/>
          <w:marTop w:val="0"/>
          <w:marBottom w:val="300"/>
          <w:divBdr>
            <w:top w:val="none" w:sz="0" w:space="0" w:color="auto"/>
            <w:left w:val="none" w:sz="0" w:space="0" w:color="auto"/>
            <w:bottom w:val="none" w:sz="0" w:space="0" w:color="auto"/>
            <w:right w:val="none" w:sz="0" w:space="0" w:color="auto"/>
          </w:divBdr>
        </w:div>
        <w:div w:id="1510212499">
          <w:marLeft w:val="0"/>
          <w:marRight w:val="0"/>
          <w:marTop w:val="0"/>
          <w:marBottom w:val="300"/>
          <w:divBdr>
            <w:top w:val="none" w:sz="0" w:space="0" w:color="auto"/>
            <w:left w:val="none" w:sz="0" w:space="0" w:color="auto"/>
            <w:bottom w:val="none" w:sz="0" w:space="0" w:color="auto"/>
            <w:right w:val="none" w:sz="0" w:space="0" w:color="auto"/>
          </w:divBdr>
        </w:div>
        <w:div w:id="1536428363">
          <w:marLeft w:val="0"/>
          <w:marRight w:val="0"/>
          <w:marTop w:val="0"/>
          <w:marBottom w:val="300"/>
          <w:divBdr>
            <w:top w:val="none" w:sz="0" w:space="0" w:color="auto"/>
            <w:left w:val="none" w:sz="0" w:space="0" w:color="auto"/>
            <w:bottom w:val="none" w:sz="0" w:space="0" w:color="auto"/>
            <w:right w:val="none" w:sz="0" w:space="0" w:color="auto"/>
          </w:divBdr>
        </w:div>
        <w:div w:id="1561094804">
          <w:marLeft w:val="0"/>
          <w:marRight w:val="0"/>
          <w:marTop w:val="0"/>
          <w:marBottom w:val="300"/>
          <w:divBdr>
            <w:top w:val="none" w:sz="0" w:space="0" w:color="auto"/>
            <w:left w:val="none" w:sz="0" w:space="0" w:color="auto"/>
            <w:bottom w:val="none" w:sz="0" w:space="0" w:color="auto"/>
            <w:right w:val="none" w:sz="0" w:space="0" w:color="auto"/>
          </w:divBdr>
        </w:div>
        <w:div w:id="1777551981">
          <w:marLeft w:val="0"/>
          <w:marRight w:val="0"/>
          <w:marTop w:val="0"/>
          <w:marBottom w:val="300"/>
          <w:divBdr>
            <w:top w:val="none" w:sz="0" w:space="0" w:color="auto"/>
            <w:left w:val="none" w:sz="0" w:space="0" w:color="auto"/>
            <w:bottom w:val="none" w:sz="0" w:space="0" w:color="auto"/>
            <w:right w:val="none" w:sz="0" w:space="0" w:color="auto"/>
          </w:divBdr>
        </w:div>
        <w:div w:id="2046370678">
          <w:marLeft w:val="0"/>
          <w:marRight w:val="0"/>
          <w:marTop w:val="0"/>
          <w:marBottom w:val="300"/>
          <w:divBdr>
            <w:top w:val="none" w:sz="0" w:space="0" w:color="auto"/>
            <w:left w:val="none" w:sz="0" w:space="0" w:color="auto"/>
            <w:bottom w:val="none" w:sz="0" w:space="0" w:color="auto"/>
            <w:right w:val="none" w:sz="0" w:space="0" w:color="auto"/>
          </w:divBdr>
        </w:div>
      </w:divsChild>
    </w:div>
    <w:div w:id="505094396">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621614018">
      <w:bodyDiv w:val="1"/>
      <w:marLeft w:val="0"/>
      <w:marRight w:val="0"/>
      <w:marTop w:val="0"/>
      <w:marBottom w:val="0"/>
      <w:divBdr>
        <w:top w:val="none" w:sz="0" w:space="0" w:color="auto"/>
        <w:left w:val="none" w:sz="0" w:space="0" w:color="auto"/>
        <w:bottom w:val="none" w:sz="0" w:space="0" w:color="auto"/>
        <w:right w:val="none" w:sz="0" w:space="0" w:color="auto"/>
      </w:divBdr>
    </w:div>
    <w:div w:id="636030857">
      <w:bodyDiv w:val="1"/>
      <w:marLeft w:val="0"/>
      <w:marRight w:val="0"/>
      <w:marTop w:val="0"/>
      <w:marBottom w:val="0"/>
      <w:divBdr>
        <w:top w:val="none" w:sz="0" w:space="0" w:color="auto"/>
        <w:left w:val="none" w:sz="0" w:space="0" w:color="auto"/>
        <w:bottom w:val="none" w:sz="0" w:space="0" w:color="auto"/>
        <w:right w:val="none" w:sz="0" w:space="0" w:color="auto"/>
      </w:divBdr>
    </w:div>
    <w:div w:id="904923043">
      <w:bodyDiv w:val="1"/>
      <w:marLeft w:val="0"/>
      <w:marRight w:val="0"/>
      <w:marTop w:val="0"/>
      <w:marBottom w:val="0"/>
      <w:divBdr>
        <w:top w:val="none" w:sz="0" w:space="0" w:color="auto"/>
        <w:left w:val="none" w:sz="0" w:space="0" w:color="auto"/>
        <w:bottom w:val="none" w:sz="0" w:space="0" w:color="auto"/>
        <w:right w:val="none" w:sz="0" w:space="0" w:color="auto"/>
      </w:divBdr>
    </w:div>
    <w:div w:id="996761669">
      <w:bodyDiv w:val="1"/>
      <w:marLeft w:val="0"/>
      <w:marRight w:val="0"/>
      <w:marTop w:val="0"/>
      <w:marBottom w:val="0"/>
      <w:divBdr>
        <w:top w:val="none" w:sz="0" w:space="0" w:color="auto"/>
        <w:left w:val="none" w:sz="0" w:space="0" w:color="auto"/>
        <w:bottom w:val="none" w:sz="0" w:space="0" w:color="auto"/>
        <w:right w:val="none" w:sz="0" w:space="0" w:color="auto"/>
      </w:divBdr>
    </w:div>
    <w:div w:id="1337418559">
      <w:bodyDiv w:val="1"/>
      <w:marLeft w:val="0"/>
      <w:marRight w:val="0"/>
      <w:marTop w:val="0"/>
      <w:marBottom w:val="0"/>
      <w:divBdr>
        <w:top w:val="none" w:sz="0" w:space="0" w:color="auto"/>
        <w:left w:val="none" w:sz="0" w:space="0" w:color="auto"/>
        <w:bottom w:val="none" w:sz="0" w:space="0" w:color="auto"/>
        <w:right w:val="none" w:sz="0" w:space="0" w:color="auto"/>
      </w:divBdr>
    </w:div>
    <w:div w:id="1399013012">
      <w:bodyDiv w:val="1"/>
      <w:marLeft w:val="0"/>
      <w:marRight w:val="0"/>
      <w:marTop w:val="0"/>
      <w:marBottom w:val="0"/>
      <w:divBdr>
        <w:top w:val="none" w:sz="0" w:space="0" w:color="auto"/>
        <w:left w:val="none" w:sz="0" w:space="0" w:color="auto"/>
        <w:bottom w:val="none" w:sz="0" w:space="0" w:color="auto"/>
        <w:right w:val="none" w:sz="0" w:space="0" w:color="auto"/>
      </w:divBdr>
    </w:div>
    <w:div w:id="1403798084">
      <w:bodyDiv w:val="1"/>
      <w:marLeft w:val="0"/>
      <w:marRight w:val="0"/>
      <w:marTop w:val="0"/>
      <w:marBottom w:val="0"/>
      <w:divBdr>
        <w:top w:val="none" w:sz="0" w:space="0" w:color="auto"/>
        <w:left w:val="none" w:sz="0" w:space="0" w:color="auto"/>
        <w:bottom w:val="none" w:sz="0" w:space="0" w:color="auto"/>
        <w:right w:val="none" w:sz="0" w:space="0" w:color="auto"/>
      </w:divBdr>
    </w:div>
    <w:div w:id="1464152665">
      <w:bodyDiv w:val="1"/>
      <w:marLeft w:val="0"/>
      <w:marRight w:val="0"/>
      <w:marTop w:val="0"/>
      <w:marBottom w:val="0"/>
      <w:divBdr>
        <w:top w:val="none" w:sz="0" w:space="0" w:color="auto"/>
        <w:left w:val="none" w:sz="0" w:space="0" w:color="auto"/>
        <w:bottom w:val="none" w:sz="0" w:space="0" w:color="auto"/>
        <w:right w:val="none" w:sz="0" w:space="0" w:color="auto"/>
      </w:divBdr>
    </w:div>
    <w:div w:id="149271921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50859871">
      <w:bodyDiv w:val="1"/>
      <w:marLeft w:val="0"/>
      <w:marRight w:val="0"/>
      <w:marTop w:val="0"/>
      <w:marBottom w:val="0"/>
      <w:divBdr>
        <w:top w:val="none" w:sz="0" w:space="0" w:color="auto"/>
        <w:left w:val="none" w:sz="0" w:space="0" w:color="auto"/>
        <w:bottom w:val="none" w:sz="0" w:space="0" w:color="auto"/>
        <w:right w:val="none" w:sz="0" w:space="0" w:color="auto"/>
      </w:divBdr>
    </w:div>
    <w:div w:id="1662077660">
      <w:bodyDiv w:val="1"/>
      <w:marLeft w:val="0"/>
      <w:marRight w:val="0"/>
      <w:marTop w:val="0"/>
      <w:marBottom w:val="0"/>
      <w:divBdr>
        <w:top w:val="none" w:sz="0" w:space="0" w:color="auto"/>
        <w:left w:val="none" w:sz="0" w:space="0" w:color="auto"/>
        <w:bottom w:val="none" w:sz="0" w:space="0" w:color="auto"/>
        <w:right w:val="none" w:sz="0" w:space="0" w:color="auto"/>
      </w:divBdr>
      <w:divsChild>
        <w:div w:id="1351102343">
          <w:marLeft w:val="0"/>
          <w:marRight w:val="0"/>
          <w:marTop w:val="0"/>
          <w:marBottom w:val="0"/>
          <w:divBdr>
            <w:top w:val="none" w:sz="0" w:space="0" w:color="auto"/>
            <w:left w:val="none" w:sz="0" w:space="0" w:color="auto"/>
            <w:bottom w:val="none" w:sz="0" w:space="0" w:color="auto"/>
            <w:right w:val="none" w:sz="0" w:space="0" w:color="auto"/>
          </w:divBdr>
          <w:divsChild>
            <w:div w:id="50857536">
              <w:marLeft w:val="0"/>
              <w:marRight w:val="0"/>
              <w:marTop w:val="0"/>
              <w:marBottom w:val="0"/>
              <w:divBdr>
                <w:top w:val="none" w:sz="0" w:space="0" w:color="auto"/>
                <w:left w:val="none" w:sz="0" w:space="0" w:color="auto"/>
                <w:bottom w:val="none" w:sz="0" w:space="0" w:color="auto"/>
                <w:right w:val="none" w:sz="0" w:space="0" w:color="auto"/>
              </w:divBdr>
              <w:divsChild>
                <w:div w:id="621109855">
                  <w:marLeft w:val="0"/>
                  <w:marRight w:val="0"/>
                  <w:marTop w:val="0"/>
                  <w:marBottom w:val="0"/>
                  <w:divBdr>
                    <w:top w:val="none" w:sz="0" w:space="0" w:color="auto"/>
                    <w:left w:val="none" w:sz="0" w:space="0" w:color="auto"/>
                    <w:bottom w:val="none" w:sz="0" w:space="0" w:color="auto"/>
                    <w:right w:val="none" w:sz="0" w:space="0" w:color="auto"/>
                  </w:divBdr>
                  <w:divsChild>
                    <w:div w:id="219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4973">
      <w:bodyDiv w:val="1"/>
      <w:marLeft w:val="0"/>
      <w:marRight w:val="0"/>
      <w:marTop w:val="0"/>
      <w:marBottom w:val="0"/>
      <w:divBdr>
        <w:top w:val="none" w:sz="0" w:space="0" w:color="auto"/>
        <w:left w:val="none" w:sz="0" w:space="0" w:color="auto"/>
        <w:bottom w:val="none" w:sz="0" w:space="0" w:color="auto"/>
        <w:right w:val="none" w:sz="0" w:space="0" w:color="auto"/>
      </w:divBdr>
      <w:divsChild>
        <w:div w:id="1104306288">
          <w:marLeft w:val="0"/>
          <w:marRight w:val="0"/>
          <w:marTop w:val="0"/>
          <w:marBottom w:val="300"/>
          <w:divBdr>
            <w:top w:val="none" w:sz="0" w:space="0" w:color="auto"/>
            <w:left w:val="none" w:sz="0" w:space="0" w:color="auto"/>
            <w:bottom w:val="none" w:sz="0" w:space="0" w:color="auto"/>
            <w:right w:val="none" w:sz="0" w:space="0" w:color="auto"/>
          </w:divBdr>
        </w:div>
        <w:div w:id="1329752304">
          <w:marLeft w:val="0"/>
          <w:marRight w:val="0"/>
          <w:marTop w:val="0"/>
          <w:marBottom w:val="300"/>
          <w:divBdr>
            <w:top w:val="none" w:sz="0" w:space="0" w:color="auto"/>
            <w:left w:val="none" w:sz="0" w:space="0" w:color="auto"/>
            <w:bottom w:val="none" w:sz="0" w:space="0" w:color="auto"/>
            <w:right w:val="none" w:sz="0" w:space="0" w:color="auto"/>
          </w:divBdr>
        </w:div>
        <w:div w:id="1510024591">
          <w:marLeft w:val="0"/>
          <w:marRight w:val="0"/>
          <w:marTop w:val="0"/>
          <w:marBottom w:val="300"/>
          <w:divBdr>
            <w:top w:val="none" w:sz="0" w:space="0" w:color="auto"/>
            <w:left w:val="none" w:sz="0" w:space="0" w:color="auto"/>
            <w:bottom w:val="none" w:sz="0" w:space="0" w:color="auto"/>
            <w:right w:val="none" w:sz="0" w:space="0" w:color="auto"/>
          </w:divBdr>
        </w:div>
        <w:div w:id="1521966082">
          <w:marLeft w:val="0"/>
          <w:marRight w:val="0"/>
          <w:marTop w:val="0"/>
          <w:marBottom w:val="300"/>
          <w:divBdr>
            <w:top w:val="none" w:sz="0" w:space="0" w:color="auto"/>
            <w:left w:val="none" w:sz="0" w:space="0" w:color="auto"/>
            <w:bottom w:val="none" w:sz="0" w:space="0" w:color="auto"/>
            <w:right w:val="none" w:sz="0" w:space="0" w:color="auto"/>
          </w:divBdr>
        </w:div>
      </w:divsChild>
    </w:div>
    <w:div w:id="1945307697">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sChild>
        <w:div w:id="329721895">
          <w:marLeft w:val="0"/>
          <w:marRight w:val="0"/>
          <w:marTop w:val="0"/>
          <w:marBottom w:val="300"/>
          <w:divBdr>
            <w:top w:val="none" w:sz="0" w:space="0" w:color="auto"/>
            <w:left w:val="none" w:sz="0" w:space="0" w:color="auto"/>
            <w:bottom w:val="none" w:sz="0" w:space="0" w:color="auto"/>
            <w:right w:val="none" w:sz="0" w:space="0" w:color="auto"/>
          </w:divBdr>
        </w:div>
        <w:div w:id="1817527984">
          <w:marLeft w:val="0"/>
          <w:marRight w:val="0"/>
          <w:marTop w:val="0"/>
          <w:marBottom w:val="300"/>
          <w:divBdr>
            <w:top w:val="none" w:sz="0" w:space="0" w:color="auto"/>
            <w:left w:val="none" w:sz="0" w:space="0" w:color="auto"/>
            <w:bottom w:val="none" w:sz="0" w:space="0" w:color="auto"/>
            <w:right w:val="none" w:sz="0" w:space="0" w:color="auto"/>
          </w:divBdr>
        </w:div>
      </w:divsChild>
    </w:div>
    <w:div w:id="2125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skunta.fi/FI/vaski/Kirjelma/Sivut/U_36+2018.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m.fi/hanke?tunnus=VM099:00/2019"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7404\Desktop\S&#228;&#228;d&#246;spohjaRuots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B9148-5836-4178-AF19-6E13800D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SäädöspohjaRuotsi.dot</Template>
  <TotalTime>120</TotalTime>
  <Pages>24</Pages>
  <Words>6815</Words>
  <Characters>43830</Characters>
  <Application>Microsoft Office Word</Application>
  <DocSecurity>0</DocSecurity>
  <Lines>365</Lines>
  <Paragraphs>101</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vmhellee</dc:creator>
  <cp:keywords/>
  <cp:lastModifiedBy>Juvonen Satu</cp:lastModifiedBy>
  <cp:revision>30</cp:revision>
  <cp:lastPrinted>2019-09-12T13:45:00Z</cp:lastPrinted>
  <dcterms:created xsi:type="dcterms:W3CDTF">2019-09-12T07:16:00Z</dcterms:created>
  <dcterms:modified xsi:type="dcterms:W3CDTF">2019-09-12T14:18:00Z</dcterms:modified>
</cp:coreProperties>
</file>