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89" w:rsidRDefault="005D5889" w:rsidP="005D5889">
      <w:pPr>
        <w:pStyle w:val="Eivli"/>
        <w:ind w:firstLine="1304"/>
        <w:jc w:val="center"/>
        <w:rPr>
          <w:sz w:val="36"/>
          <w:szCs w:val="36"/>
        </w:rPr>
      </w:pPr>
      <w:bookmarkStart w:id="0" w:name="_GoBack"/>
      <w:bookmarkEnd w:id="0"/>
      <w:r>
        <w:rPr>
          <w:sz w:val="36"/>
          <w:szCs w:val="36"/>
        </w:rPr>
        <w:t>luonnos</w:t>
      </w:r>
    </w:p>
    <w:p w:rsidR="005D5889" w:rsidRDefault="005D5889" w:rsidP="005D5889">
      <w:pPr>
        <w:pStyle w:val="Eivli"/>
        <w:jc w:val="center"/>
        <w:rPr>
          <w:sz w:val="36"/>
          <w:szCs w:val="36"/>
        </w:rPr>
      </w:pPr>
    </w:p>
    <w:p w:rsidR="005D5889" w:rsidRDefault="005D5889" w:rsidP="005D5889">
      <w:pPr>
        <w:pStyle w:val="Eivli"/>
        <w:jc w:val="center"/>
        <w:rPr>
          <w:sz w:val="36"/>
          <w:szCs w:val="36"/>
        </w:rPr>
      </w:pPr>
      <w:r w:rsidRPr="00CE7DA1">
        <w:rPr>
          <w:sz w:val="36"/>
          <w:szCs w:val="36"/>
        </w:rPr>
        <w:t>Valtakunnallinen nuorisotyön ja –politiikan ohjelma 2020-2023: Tavoitteena nuoren merkityksellinen elämä ja osallisuus</w:t>
      </w:r>
    </w:p>
    <w:p w:rsidR="005D5889" w:rsidRPr="00D221E2" w:rsidRDefault="005D5889" w:rsidP="005D5889">
      <w:pPr>
        <w:jc w:val="center"/>
        <w:rPr>
          <w:rFonts w:asciiTheme="majorHAnsi" w:eastAsiaTheme="majorEastAsia" w:hAnsiTheme="majorHAnsi" w:cstheme="majorBidi"/>
          <w:color w:val="2E74B5" w:themeColor="accent1" w:themeShade="BF"/>
          <w:sz w:val="26"/>
          <w:szCs w:val="26"/>
        </w:rPr>
      </w:pPr>
      <w:r w:rsidRPr="00CE7DA1">
        <w:rPr>
          <w:sz w:val="36"/>
          <w:szCs w:val="36"/>
        </w:rPr>
        <w:t>yhteiskunnassa</w:t>
      </w:r>
    </w:p>
    <w:p w:rsidR="00162588" w:rsidRDefault="00162588"/>
    <w:p w:rsidR="005D5889" w:rsidRPr="00E257F9" w:rsidRDefault="005D5889" w:rsidP="005D5889">
      <w:pPr>
        <w:pStyle w:val="Otsikko2"/>
        <w:jc w:val="both"/>
      </w:pPr>
      <w:bookmarkStart w:id="1" w:name="_Toc21936550"/>
      <w:r w:rsidRPr="00E257F9">
        <w:t>Painopisteet nuorisoalan valtakunnallisten osaamiskeskusten valtionapukelpoisuuden hyväksymiselle</w:t>
      </w:r>
      <w:bookmarkEnd w:id="1"/>
    </w:p>
    <w:p w:rsidR="005D5889" w:rsidRDefault="005D5889" w:rsidP="005D5889">
      <w:pPr>
        <w:ind w:left="360"/>
        <w:jc w:val="both"/>
      </w:pPr>
    </w:p>
    <w:p w:rsidR="005D5889" w:rsidRPr="0035179A" w:rsidRDefault="005D5889" w:rsidP="005D5889">
      <w:pPr>
        <w:jc w:val="both"/>
      </w:pPr>
      <w:r w:rsidRPr="0035179A">
        <w:t>Nuorisotyötä ja –toimintaa avustetaan opetus- ja kulttuuriministeriön nuorisotyön määrärahoista. Näillä avustuksilla voidaan tukea ainoastaan sellaista toimintaa, joka toteuttaa nuorisolain 2 §:n tavoitteita ja lähtökohtia. Avustustoiminnassa otetaan läpäisevästi huomioon kestävä kehitys, sukupuolten tasa-arvo sekä yhdenvertaisuus</w:t>
      </w:r>
      <w:r>
        <w:t>. Muita heikommassa asemassa oleviin</w:t>
      </w:r>
      <w:r w:rsidRPr="0035179A">
        <w:t xml:space="preserve"> voidaan tarvittaessa soveltaa myönteistä erityiskohtelua. Avu</w:t>
      </w:r>
      <w:r>
        <w:t>stukset ovat harkinnanvaraisia.</w:t>
      </w:r>
    </w:p>
    <w:p w:rsidR="005D5889" w:rsidRPr="0035179A" w:rsidRDefault="005D5889" w:rsidP="005D5889">
      <w:pPr>
        <w:jc w:val="both"/>
      </w:pPr>
      <w:r w:rsidRPr="0035179A">
        <w:t xml:space="preserve">Opetus- ja kulttuuriministeriön tavoiteohjausintressi vaihtelee avustushauittain. Nuorisoalan toimijoille myönnettävissä yleisavustuksissa opetus- ja kulttuuriministeriö ei pääsääntöisesti ohjaa avustettavan toiminnan sisältöä. Yleisavustus tukee avustuksen saajan yleisiä toimintaedellytyksiä ja sen itse valitsemia sisällöllisiä tavoitteita. Sen sijaan hankkeisiin kohdistuvilla erityisavustuksilla on suurempi merkitys opetus- ja kulttuuriministeriön ohjausvälineenä. Opetus- ja kulttuuriministeriö asettaa erityisavustuksille nuorisotyöstä ja –politiikasta lähteviä tavoitteita, joiden tosiasiallinen ohjausvaikutus riippuu avustushausta. Ohjaus on vahvinta </w:t>
      </w:r>
      <w:r w:rsidRPr="00DA397D">
        <w:t>valtakunnallisille nuorisoalan osaamiskeskuksille</w:t>
      </w:r>
      <w:r w:rsidRPr="0035179A">
        <w:t xml:space="preserve"> myö</w:t>
      </w:r>
      <w:r>
        <w:t>nnettävien avustusten kohdalla.</w:t>
      </w:r>
    </w:p>
    <w:p w:rsidR="005D5889" w:rsidRPr="00C85DCE" w:rsidRDefault="005D5889" w:rsidP="005D5889">
      <w:pPr>
        <w:shd w:val="clear" w:color="auto" w:fill="FFFFFF"/>
        <w:spacing w:line="276" w:lineRule="auto"/>
        <w:jc w:val="both"/>
      </w:pPr>
      <w:r w:rsidRPr="00044535">
        <w:rPr>
          <w:rFonts w:eastAsia="Calibri" w:cs="Times New Roman"/>
          <w:bCs/>
        </w:rPr>
        <w:t xml:space="preserve">Nuorisolain (1285/2016) mukaan </w:t>
      </w:r>
      <w:r w:rsidRPr="00DA397D">
        <w:rPr>
          <w:rFonts w:eastAsia="Calibri" w:cs="Times New Roman"/>
          <w:bCs/>
        </w:rPr>
        <w:t>valtakunnallisella nuorisoalan osaamiskeskuksella</w:t>
      </w:r>
      <w:r w:rsidRPr="00044535">
        <w:rPr>
          <w:rFonts w:eastAsia="Calibri" w:cs="Times New Roman"/>
          <w:bCs/>
        </w:rPr>
        <w:t xml:space="preserve"> tarkoitetaan yhteisöä, joka kehittää ja edistää nuorisoalan osaamista ja asiantuntijuutta valtakunnallisesti. Osaamiskeskuksen voivat myös muodostaa kahden tai useamman yhteisön sopimukseen perustuva yhteenliittymä. </w:t>
      </w:r>
      <w:r>
        <w:t>Nuorisoalan osaamiskeskusten tehtävänä on kehittää ja edistää nuorisoalan perus- ja erityisosaamista asiantuntija- ja muita palveluja tuottamalla, kokoamalla, hyödyntämällä tai jakamalla tietoa nuorista, nuorisotyöstä tai nuorisopolitiikasta.</w:t>
      </w:r>
    </w:p>
    <w:p w:rsidR="005D5889" w:rsidRDefault="005D5889" w:rsidP="005D5889">
      <w:pPr>
        <w:shd w:val="clear" w:color="auto" w:fill="FFFFFF" w:themeFill="background1"/>
        <w:spacing w:line="312" w:lineRule="atLeast"/>
        <w:jc w:val="both"/>
        <w:rPr>
          <w:rFonts w:eastAsia="Calibri,Times New Roman"/>
        </w:rPr>
      </w:pPr>
      <w:r w:rsidRPr="00346733">
        <w:rPr>
          <w:rFonts w:eastAsia="Calibri,Times New Roman"/>
        </w:rPr>
        <w:t>Nuorisolain 4 §:n mukaan opetus</w:t>
      </w:r>
      <w:r>
        <w:rPr>
          <w:rFonts w:eastAsia="Calibri,Times New Roman"/>
        </w:rPr>
        <w:t>- ja kulttuuri</w:t>
      </w:r>
      <w:r w:rsidRPr="00346733">
        <w:rPr>
          <w:rFonts w:eastAsia="Calibri,Times New Roman"/>
        </w:rPr>
        <w:t>ministeriö vastaa nuorisotyön ja -politiikan yleisestä johdosta, yhteensovittamisesta ja kehittämisestä sekä yleisten edellytysten luomisesta valtionhallinnossa. Nuorisotyön ja -politiikan aluehallinnon tehtävistä vastaavat aluehallintovirastot. Valtion tulee tehtävää hoitaessaan olla tarpeen mukaan yhteistyössä kuntien, nuorisoalan järjestöjen ja muiden yhteisöjen sekä nuorten kanssa.</w:t>
      </w:r>
    </w:p>
    <w:p w:rsidR="005D5889" w:rsidRDefault="005D5889" w:rsidP="005D5889">
      <w:pPr>
        <w:shd w:val="clear" w:color="auto" w:fill="FFFFFF" w:themeFill="background1"/>
        <w:spacing w:line="312" w:lineRule="atLeast"/>
        <w:jc w:val="both"/>
        <w:rPr>
          <w:rFonts w:eastAsia="Calibri,Times New Roman"/>
        </w:rPr>
      </w:pPr>
      <w:r>
        <w:rPr>
          <w:rFonts w:eastAsia="Calibri,Times New Roman"/>
        </w:rPr>
        <w:t>Osaamiskeskukset ovat opetus- ja kulttuuriministeriölle yksi väline valtakunnallisen nuorisotyön ja –politiikan ohjelman toimeenpanossa. Osaamiskeskustoiminnan painopisteet reagoivat sellaisiin nuorisotyön ajankohtaisiin tarpeisiin, joihin opetus- ja kulttuuriministeriöllä on tavoiteohjausintressi. Osaamiskeskukset tuottavat ja välittävät opetus- ja kulttuuriministeriölle sen tarvitsemaa tietoa. Osaamiskeskukset tukevat opetus- ja kulttuuriministeriötä sen informaatio-ohjauksessa ja kehittämistoiminnassa</w:t>
      </w:r>
      <w:r w:rsidRPr="00B10424">
        <w:rPr>
          <w:rFonts w:eastAsia="Calibri,Times New Roman"/>
        </w:rPr>
        <w:t xml:space="preserve">. Lisäksi </w:t>
      </w:r>
      <w:r w:rsidRPr="00402341">
        <w:rPr>
          <w:rFonts w:eastAsia="Calibri,Times New Roman"/>
        </w:rPr>
        <w:t>osaamiskeskukset tarjoavat koulutusta ja tukea nuorisoalan toimijoil</w:t>
      </w:r>
      <w:r>
        <w:rPr>
          <w:rFonts w:eastAsia="Calibri,Times New Roman"/>
        </w:rPr>
        <w:t>le tasalaatuisesti koko maassa.</w:t>
      </w:r>
    </w:p>
    <w:p w:rsidR="005D5889" w:rsidRDefault="005D5889">
      <w:r>
        <w:br w:type="page"/>
      </w:r>
    </w:p>
    <w:p w:rsidR="005D5889" w:rsidRDefault="005D5889" w:rsidP="005D5889">
      <w:pPr>
        <w:jc w:val="both"/>
        <w:rPr>
          <w:rFonts w:cstheme="minorHAnsi"/>
        </w:rPr>
      </w:pPr>
      <w:r>
        <w:lastRenderedPageBreak/>
        <w:t>Nuorisolain mukaan o</w:t>
      </w:r>
      <w:r w:rsidRPr="000678C1">
        <w:rPr>
          <w:rFonts w:cstheme="minorHAnsi"/>
        </w:rPr>
        <w:t>petus- ja kulttuuriministeriö hyväksyy osaamiskeskuksen valtionapukelpoisuuden</w:t>
      </w:r>
      <w:r>
        <w:rPr>
          <w:rFonts w:cstheme="minorHAnsi"/>
        </w:rPr>
        <w:t xml:space="preserve"> määräajaksi. Koska osaamiskeskustoiminnan</w:t>
      </w:r>
      <w:r w:rsidRPr="00CA382D">
        <w:rPr>
          <w:rFonts w:cstheme="minorHAnsi"/>
        </w:rPr>
        <w:t xml:space="preserve"> painopisteet määritellään valtakunnallisessa nuorisotyön ja </w:t>
      </w:r>
      <w:r>
        <w:rPr>
          <w:rFonts w:cstheme="minorHAnsi"/>
        </w:rPr>
        <w:br/>
      </w:r>
      <w:r w:rsidRPr="00CA382D">
        <w:rPr>
          <w:rFonts w:cstheme="minorHAnsi"/>
        </w:rPr>
        <w:t>–politiikan ohjelmassa, on määräaika kytketty ohjelman kauteen. Osaamiskeskusten kelpoisuusaika voi poiketa ohjelman voimassaoloajasta ohjelmakausien välisen siirtymäajan sujuvoittamiseksi ja laadukkaan osaamiskeskuskokonaisuuden takaamiseksi.</w:t>
      </w:r>
    </w:p>
    <w:p w:rsidR="005D5889" w:rsidRDefault="005D5889" w:rsidP="005D5889">
      <w:pPr>
        <w:jc w:val="both"/>
      </w:pPr>
      <w:r w:rsidRPr="00D30299">
        <w:t xml:space="preserve">Nuorisoalan osaamiskeskuksen valtionavustuskelpoisuuden ja </w:t>
      </w:r>
      <w:r>
        <w:t xml:space="preserve">valtionavustuksen </w:t>
      </w:r>
      <w:r w:rsidRPr="00D30299">
        <w:t>myöntäminen on harkinnanvaraista</w:t>
      </w:r>
      <w:r>
        <w:t xml:space="preserve">. Opetus- ja kulttuuriministeriö avaa valtakunnallisen nuorisotyön ja -politiikan ohjelman hyväksymisen jälkeen osaamiskeskusten valtionapukelpoisuushaun, jossa osaamiskeskustarpeita tarkennetaan ohjelman painopisteiden pohjalta. Hakemuksia arvioidaan nuorisolaissa sekä nuorisotyötä ja </w:t>
      </w:r>
      <w:r>
        <w:br/>
      </w:r>
      <w:r>
        <w:t>–politiikkaa koskevassa asetuksessa säädetyin kriteerein. Opetus- ja kulttuuriministeriö sopii valtioapukelpoisiksi hyväksyttyjen osaamiskeskusten kanssa niiden tarkemmista tehtävistä, joihin se myöntää valtionavustuksen.</w:t>
      </w:r>
    </w:p>
    <w:p w:rsidR="005D5889" w:rsidRPr="008652C5" w:rsidRDefault="005D5889" w:rsidP="005D5889">
      <w:pPr>
        <w:jc w:val="both"/>
        <w:rPr>
          <w:rFonts w:eastAsia="Calibri" w:cs="Times New Roman"/>
          <w:bCs/>
        </w:rPr>
      </w:pPr>
      <w:r>
        <w:rPr>
          <w:rFonts w:eastAsia="Calibri" w:cs="Times New Roman"/>
          <w:bCs/>
        </w:rPr>
        <w:t>Nuorisoalan osaamisen ja asiantuntijuuden kehittäminen ja edistäminen osaamiskeskustoiminnan kautta tämän ohjelman kaudella edellyttää vastuujaon selkiyttämistä, koordinaation vahvistamista ja toiminnan rakenteellista keskittämistä nykyistä harvempiin kokonaisuuksiin. Osaamiskeskukset muodostetaan painopistekohtaisesti. Ne voivat olla useamman toimijan muodostamia yhteenliittymiä.</w:t>
      </w:r>
    </w:p>
    <w:p w:rsidR="005D5889" w:rsidRDefault="005D5889" w:rsidP="005D5889">
      <w:pPr>
        <w:jc w:val="both"/>
      </w:pPr>
      <w:r>
        <w:t>Osaamiskeskustoiminnalle määritellään kuusi painopistettä:</w:t>
      </w:r>
    </w:p>
    <w:p w:rsidR="005D5889" w:rsidRPr="00DA397D" w:rsidRDefault="005D5889" w:rsidP="005D5889">
      <w:pPr>
        <w:pStyle w:val="Luettelokappale"/>
        <w:numPr>
          <w:ilvl w:val="0"/>
          <w:numId w:val="1"/>
        </w:numPr>
        <w:spacing w:line="259" w:lineRule="auto"/>
        <w:ind w:left="426" w:hanging="426"/>
        <w:contextualSpacing/>
        <w:jc w:val="both"/>
        <w:rPr>
          <w:b/>
        </w:rPr>
      </w:pPr>
      <w:r w:rsidRPr="00DA397D">
        <w:rPr>
          <w:b/>
        </w:rPr>
        <w:t>Nuorisotyö kunnassa</w:t>
      </w:r>
    </w:p>
    <w:p w:rsidR="005D5889" w:rsidRDefault="005D5889" w:rsidP="005D5889">
      <w:pPr>
        <w:pStyle w:val="Luettelokappale"/>
        <w:ind w:left="426"/>
        <w:jc w:val="both"/>
      </w:pPr>
      <w:r>
        <w:t xml:space="preserve">Nuorisotyö on kunnan lakisääteinen peruspalvelu. Se tukee nuorten kasvua ja toimijuutta omaehtoisen ja ohjatun toiminnan kautta. Nuorisotyötä tehdään yhä enemmän ns. seinättömästi, toimintaympäristöstä riippumatta ja yhteistyössä erilaisten kumppanien kanssa. Sen toimintatapoja, yhteistyöverkostoja ja työssä tarvittavaa osaamista on kehitetty, sekä kokonaisvaltaisesti että osa-alueittain tai työmuodoittain. Paikallisen nuorisotyön keskeiset haasteet koskevat sen laadun varmistamista, toiminnallisen tuloksellisuuden osoittamista ja tunnettuutta. Hyvien käytänteiden tunnetuksi tekemistä ja levittämistä sekä nuorisotyötä koskevan tiedontuotannon kehittämistä ja </w:t>
      </w:r>
      <w:r w:rsidRPr="0031216E">
        <w:t>hyödyntämistä</w:t>
      </w:r>
      <w:r>
        <w:t xml:space="preserve"> tulee jatkaa. Nuorisotyön eri muotojen ja osa-alueiden kehittämisessä tulee pyrkiä entistä tiiviimpään yhteistyöhön.</w:t>
      </w:r>
    </w:p>
    <w:p w:rsidR="005D5889" w:rsidRPr="00DA397D" w:rsidRDefault="005D5889" w:rsidP="005D5889">
      <w:pPr>
        <w:pStyle w:val="Luettelokappale"/>
        <w:numPr>
          <w:ilvl w:val="0"/>
          <w:numId w:val="1"/>
        </w:numPr>
        <w:spacing w:line="259" w:lineRule="auto"/>
        <w:ind w:left="426" w:hanging="426"/>
        <w:contextualSpacing/>
        <w:jc w:val="both"/>
        <w:rPr>
          <w:b/>
        </w:rPr>
      </w:pPr>
      <w:r w:rsidRPr="00DA397D">
        <w:rPr>
          <w:b/>
        </w:rPr>
        <w:t>Nuorisoalalla toimivien järjestöjen tilannekuva ja vaikuttavuus</w:t>
      </w:r>
    </w:p>
    <w:p w:rsidR="005D5889" w:rsidRDefault="005D5889" w:rsidP="005D5889">
      <w:pPr>
        <w:pStyle w:val="Luettelokappale"/>
        <w:ind w:left="426"/>
        <w:jc w:val="both"/>
      </w:pPr>
      <w:r>
        <w:t xml:space="preserve">Kansalaisjärjestöt ovat merkittävä toimija nuorisotyön kentässä kuntien ohella tai kuntien kanssa, joko sopimuspohjaisessa tai toiminnallisessa yhteistyössä. Perinteinen yhdistysmuotoinen kansalaistoiminta on murrostilassa, vapaamuotoisen toiminnan lisääntyessä ja ostopalvelutoiminnan ohjatessa sisältöjä. Kansalaisjärjestöt tarjoavat osallistumisen ja vaikuttamisen väyliä, sekä harrastustoiminnan mahdollisuuksia nuorille. Niiden nuorisotyötä ja -toimintaa koskevaa tiedontuotantoa tulee edelleen kehittää, nuorisoalan palvelutarjontaa koskevan kokonaisnäkemyksen tarkentamiseksi. Nuorten kansalaistoiminnalla on demokratiaa ja nuorten kasvua tukevia vaikutuksia, mutta näiden myönteisten vaikutusten todentaminen edellyttää järjestöjen </w:t>
      </w:r>
      <w:r w:rsidRPr="009352E4">
        <w:t>vaikuttavuusarviointiosaamisen</w:t>
      </w:r>
      <w:r w:rsidRPr="009352E4">
        <w:rPr>
          <w:color w:val="FF0000"/>
        </w:rPr>
        <w:t xml:space="preserve"> </w:t>
      </w:r>
      <w:r>
        <w:t>vahvistamista ja tutkimustietoa sen tueksi. Tarvitaan lisää tietoa muuttuvan toimintaympäristön vaikutuksista nuorisotyöhön ja –toimintaan järjestöissä. Kansalaistoiminnassa nuori hankkii osaamista, josta on hyötyä opinnoissa ja työelämässä, yksilöllisesti ja vapaamuotoisesti. Kansalaisjärjestöjen oppilaitos- ja työelämäyhteistyön vahvistaminen on siten tärkeää.</w:t>
      </w:r>
    </w:p>
    <w:p w:rsidR="005D5889" w:rsidRPr="00DA397D" w:rsidRDefault="005D5889" w:rsidP="005D5889">
      <w:pPr>
        <w:pStyle w:val="Luettelokappale"/>
        <w:numPr>
          <w:ilvl w:val="0"/>
          <w:numId w:val="1"/>
        </w:numPr>
        <w:spacing w:line="259" w:lineRule="auto"/>
        <w:ind w:left="426" w:hanging="426"/>
        <w:contextualSpacing/>
        <w:jc w:val="both"/>
        <w:rPr>
          <w:b/>
        </w:rPr>
      </w:pPr>
      <w:r w:rsidRPr="00DA397D">
        <w:rPr>
          <w:b/>
        </w:rPr>
        <w:t>Osallisuus ja vaikuttaminen</w:t>
      </w:r>
    </w:p>
    <w:p w:rsidR="005D5889" w:rsidRDefault="005D5889" w:rsidP="005D5889">
      <w:pPr>
        <w:pStyle w:val="Luettelokappale"/>
        <w:ind w:left="426"/>
        <w:jc w:val="both"/>
      </w:pPr>
      <w:r>
        <w:t xml:space="preserve">Nuorisolain 24 § velvoittaa viranomaisia tarjoamaan ja järjestämään nuorille osallistumis- ja vaikuttamismahdollisuuksia paikallisiin, alueellisiin ja valtakunnallisiin nuorisotyötä ja –politiikka koskevien asioiden käsittelyyn sekä kuulemaan nuoria heitä koskevissa asioissa. Nuorisotyössä nuorten osallisuuden edistäminen on läpäisevä teema. Nuorisolain 24 §:n toimeenpanon vahvistamisessa </w:t>
      </w:r>
      <w:r>
        <w:lastRenderedPageBreak/>
        <w:t>nuorisotyön tulokulma on demokratiakasvatuksen edistämisessä ja nuorten osallisuutta koskevan tietoisuuden lisääminen: nuorten ja viranomaisten välistä vuoropuhelua tulee laajentaa ja syventää, mikä edellyttää digitaalisten välineiden ja osallisuuden laatukriteerien edelleen kehittämistä, tunnetuksi tekemistä ja käyttöön oton tukemista, eri ryhmiin kuuluvien nuorten yhdenvertaisuus huomioon ottaen. Nuorten osallisuuden kokemus yhteiskunnassa on sidoksissa nuorten radikalisoitumiseen ja väkivaltaiseen ekstremismiin. Niitä on nuorisotyössä pyritty ennaltaehkäisemään täydennyskoulutustoiminnalla ja monialaisella yhteistyöllä. Ilmiö kytkeytyy myös sisäisen turvallisuuden edistämiseen. Tarvitaan lisää tietoa koskien nuorten osallisuudesta ääriliikkeisiin.</w:t>
      </w:r>
    </w:p>
    <w:p w:rsidR="005D5889" w:rsidRPr="00DA397D" w:rsidRDefault="005D5889" w:rsidP="005D5889">
      <w:pPr>
        <w:pStyle w:val="Luettelokappale"/>
        <w:numPr>
          <w:ilvl w:val="0"/>
          <w:numId w:val="1"/>
        </w:numPr>
        <w:spacing w:line="259" w:lineRule="auto"/>
        <w:ind w:left="426" w:hanging="426"/>
        <w:contextualSpacing/>
        <w:jc w:val="both"/>
        <w:rPr>
          <w:b/>
        </w:rPr>
      </w:pPr>
      <w:r w:rsidRPr="00DA397D">
        <w:rPr>
          <w:b/>
        </w:rPr>
        <w:t>Kohdennettu nuorisotyö</w:t>
      </w:r>
    </w:p>
    <w:p w:rsidR="005D5889" w:rsidRDefault="005D5889" w:rsidP="005D5889">
      <w:pPr>
        <w:pStyle w:val="Luettelokappale"/>
        <w:ind w:left="426"/>
        <w:jc w:val="both"/>
      </w:pPr>
      <w:r>
        <w:t>Nuorten työpajatoiminta ja etsivä nuorisotyö muodostavat kokonaisuuden, jossa nuorille tarjotaan yksilöllistä, elämänhallintaa ja toimijuutta vahvistavaa ohjausta jatkopoluille pääsemiseksi. Toiminta on kattavaa, ja sitä koskevaa määrällistä ja laadullista tietoa on saatavilla. Sitä tuetaan valtionavustuksin, jotka kohdennetaan suoraan järjestäjätahoille, mutta myös edunvalvontaan ja kehittämistoimintaan.  Tämän kokonaisuuden ajankohtaiset kehittämistarpeet koskevat nuorten työpajatoiminnan oppilaitosyhteistyötä ja uusia yhteistyömuotoja sekä etsivään nuorisotyöhön liittyvää Aikalisätoimintaa.</w:t>
      </w:r>
    </w:p>
    <w:p w:rsidR="005D5889" w:rsidRPr="00DA397D" w:rsidRDefault="005D5889" w:rsidP="005D5889">
      <w:pPr>
        <w:pStyle w:val="Luettelokappale"/>
        <w:numPr>
          <w:ilvl w:val="0"/>
          <w:numId w:val="1"/>
        </w:numPr>
        <w:spacing w:line="259" w:lineRule="auto"/>
        <w:ind w:left="426" w:hanging="426"/>
        <w:contextualSpacing/>
        <w:jc w:val="both"/>
        <w:rPr>
          <w:b/>
        </w:rPr>
      </w:pPr>
      <w:r w:rsidRPr="00DA397D">
        <w:rPr>
          <w:b/>
        </w:rPr>
        <w:t>Digitaalinen nuorisotyö</w:t>
      </w:r>
    </w:p>
    <w:p w:rsidR="005D5889" w:rsidRDefault="005D5889" w:rsidP="005D5889">
      <w:pPr>
        <w:pStyle w:val="Luettelokappale"/>
        <w:ind w:left="426"/>
        <w:jc w:val="both"/>
      </w:pPr>
      <w:r>
        <w:t>Digitaalinen nuorisotyö on kehittynyt nuorisotyön perinteestä, jossa toimitaan siellä missä nuoret ovat. Digitaalisuus liittyy toimintaympäristöön, mutta se on myös nuorisotyön ja -toiminnan sisältö ja väline.</w:t>
      </w:r>
      <w:r w:rsidRPr="00247920">
        <w:t xml:space="preserve"> </w:t>
      </w:r>
      <w:r>
        <w:t>Kehittyvän teknologian myötä on digitaalinen nuorisotyö</w:t>
      </w:r>
      <w:r w:rsidRPr="00247920">
        <w:t xml:space="preserve"> </w:t>
      </w:r>
      <w:r>
        <w:t>jatkuvassa muutostilassa</w:t>
      </w:r>
      <w:r w:rsidRPr="00247920">
        <w:t xml:space="preserve">. Vaikka </w:t>
      </w:r>
      <w:r>
        <w:t xml:space="preserve">se </w:t>
      </w:r>
      <w:r w:rsidRPr="00247920">
        <w:t xml:space="preserve">huomioidaankin nuorisotyön koulutuksessa entistä paremmin, on </w:t>
      </w:r>
      <w:r>
        <w:t xml:space="preserve">sitä koskevan </w:t>
      </w:r>
      <w:r w:rsidRPr="00247920">
        <w:t xml:space="preserve">lisäkoulutuksen ja </w:t>
      </w:r>
      <w:r>
        <w:br/>
      </w:r>
      <w:r w:rsidRPr="00247920">
        <w:t>–tuen tarve</w:t>
      </w:r>
      <w:r>
        <w:t xml:space="preserve"> nuorisotyön ja –toiminnan suunnittelussa</w:t>
      </w:r>
      <w:r w:rsidRPr="00247920">
        <w:t xml:space="preserve"> merkittävä</w:t>
      </w:r>
      <w:r>
        <w:t>ä</w:t>
      </w:r>
      <w:r w:rsidRPr="00247920">
        <w:t xml:space="preserve"> ja jatkuv</w:t>
      </w:r>
      <w:r>
        <w:t>a</w:t>
      </w:r>
      <w:r w:rsidRPr="00247920">
        <w:t>a</w:t>
      </w:r>
      <w:r>
        <w:t>, niin kunnissa kuin kansalaisjärjestöissä</w:t>
      </w:r>
      <w:r w:rsidRPr="00247920">
        <w:t>.</w:t>
      </w:r>
      <w:r>
        <w:t xml:space="preserve"> Digitaalisuus läpäisee kaiken nuorisotyön ja –toiminnan, mutta lisäkoulutuksen ja –tuen tarpeesta johtuen digitaalista nuorisotyötä on toistaiseksi aiheellista tarkastella erillisenä kehittämiskohteena.  Sen valtavirtaistaminen osaksi </w:t>
      </w:r>
      <w:r w:rsidRPr="001559BF">
        <w:t xml:space="preserve">nuorisotyön pysyviä rakenteita ja osaksi kaikkien nuorisotyössä toimivien arkityötä on keskeinen tulevaisuuden haaste. Erityiskysymyksenä korostuvat digitaalisen median riskit, joista ajankohtaisimpana ns. grooming-ilmiö. </w:t>
      </w:r>
    </w:p>
    <w:p w:rsidR="005D5889" w:rsidRPr="00DA397D" w:rsidRDefault="005D5889" w:rsidP="005D5889">
      <w:pPr>
        <w:pStyle w:val="Luettelokappale"/>
        <w:numPr>
          <w:ilvl w:val="0"/>
          <w:numId w:val="1"/>
        </w:numPr>
        <w:spacing w:line="259" w:lineRule="auto"/>
        <w:ind w:left="426" w:hanging="426"/>
        <w:contextualSpacing/>
        <w:jc w:val="both"/>
        <w:rPr>
          <w:b/>
        </w:rPr>
      </w:pPr>
      <w:r w:rsidRPr="00DA397D">
        <w:rPr>
          <w:b/>
        </w:rPr>
        <w:t xml:space="preserve">Nuorisotyö kouluissa ja oppilaitoksissa </w:t>
      </w:r>
    </w:p>
    <w:p w:rsidR="005D5889" w:rsidRDefault="005D5889" w:rsidP="005D5889">
      <w:pPr>
        <w:pStyle w:val="Luettelokappale"/>
        <w:ind w:left="426"/>
        <w:jc w:val="both"/>
      </w:pPr>
      <w:r>
        <w:t>Nuorisotyö tavoittaa valtaosan kohderyhmästään, kun sitä tehdään yhteistyössä koulujen ja oppilaitosten kans</w:t>
      </w:r>
      <w:r w:rsidRPr="00F57B5F">
        <w:t>sa.</w:t>
      </w:r>
      <w:r>
        <w:t xml:space="preserve"> </w:t>
      </w:r>
      <w:r w:rsidRPr="00F57B5F">
        <w:t xml:space="preserve"> </w:t>
      </w:r>
      <w:r>
        <w:t>Nuorisotyö tarjoaa nuorten tarpeisiin sopivaa tukea, lisää kouluviihtyvyyttä ja sen kautta voidaan puuttua kiusaamiseen kouluissa ja oppilaitoksissa. Yhteistyötä tulee vahvistaa ja kehittää eri osa-alueilla, esimerkiksi toisen asteen oppilaitosten asuntolapalveluissa. Kouluilla ja oppilaitoksilla on tärkeä rooli yhdenvertaisten harrastusmahdollisuuksien edistämisessä, sillä ne tarjoavat puitteet koulunpäivän yhteydessä ja koulupäivän ulkopuolella tapahtuvalle harrastustoiminnalle. Kouluissa ja oppilaitoksissa tehtävä nuorisotyö mahdollistaa nuorten sujuvan siirtymisen koulutusasteelta toiselle sekä koulujen ja oppilaitosten yhteyksien tiivistämisen kunnallisen nuorisotyön tarjoamiin vapaa-ajan toimintoihin ja harrastustoiminnan sisältöjä tarjoaviin kansalaisjärjestöihin.</w:t>
      </w:r>
    </w:p>
    <w:sectPr w:rsidR="005D5889">
      <w:footerReference w:type="default" r:id="rId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73144"/>
      <w:docPartObj>
        <w:docPartGallery w:val="Page Numbers (Bottom of Page)"/>
        <w:docPartUnique/>
      </w:docPartObj>
    </w:sdtPr>
    <w:sdtEndPr/>
    <w:sdtContent>
      <w:p w:rsidR="000F143E" w:rsidRDefault="005D5889">
        <w:pPr>
          <w:pStyle w:val="Alatunniste"/>
          <w:jc w:val="center"/>
        </w:pPr>
        <w:r>
          <w:fldChar w:fldCharType="begin"/>
        </w:r>
        <w:r>
          <w:instrText>PAGE   \* MERGEFORMAT</w:instrText>
        </w:r>
        <w:r>
          <w:fldChar w:fldCharType="separate"/>
        </w:r>
        <w:r>
          <w:rPr>
            <w:noProof/>
          </w:rPr>
          <w:t>1</w:t>
        </w:r>
        <w:r>
          <w:fldChar w:fldCharType="end"/>
        </w:r>
      </w:p>
    </w:sdtContent>
  </w:sdt>
  <w:p w:rsidR="000F143E" w:rsidRDefault="005D5889">
    <w:pPr>
      <w:pStyle w:val="Alatunnist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D93"/>
    <w:multiLevelType w:val="hybridMultilevel"/>
    <w:tmpl w:val="FA506AB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89"/>
    <w:rsid w:val="00162588"/>
    <w:rsid w:val="005D58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9E32"/>
  <w15:chartTrackingRefBased/>
  <w15:docId w15:val="{305BBB63-E146-4D1C-9936-9A0EFB3B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5889"/>
  </w:style>
  <w:style w:type="paragraph" w:styleId="Otsikko2">
    <w:name w:val="heading 2"/>
    <w:basedOn w:val="Normaali"/>
    <w:next w:val="Normaali"/>
    <w:link w:val="Otsikko2Char"/>
    <w:uiPriority w:val="9"/>
    <w:unhideWhenUsed/>
    <w:qFormat/>
    <w:rsid w:val="005D58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5D5889"/>
    <w:pPr>
      <w:spacing w:after="0" w:line="240" w:lineRule="auto"/>
    </w:pPr>
  </w:style>
  <w:style w:type="paragraph" w:styleId="Alatunniste">
    <w:name w:val="footer"/>
    <w:basedOn w:val="Normaali"/>
    <w:link w:val="AlatunnisteChar"/>
    <w:uiPriority w:val="99"/>
    <w:unhideWhenUsed/>
    <w:rsid w:val="005D588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D5889"/>
  </w:style>
  <w:style w:type="character" w:customStyle="1" w:styleId="Otsikko2Char">
    <w:name w:val="Otsikko 2 Char"/>
    <w:basedOn w:val="Kappaleenoletusfontti"/>
    <w:link w:val="Otsikko2"/>
    <w:uiPriority w:val="9"/>
    <w:rsid w:val="005D5889"/>
    <w:rPr>
      <w:rFonts w:asciiTheme="majorHAnsi" w:eastAsiaTheme="majorEastAsia" w:hAnsiTheme="majorHAnsi" w:cstheme="majorBidi"/>
      <w:color w:val="2E74B5" w:themeColor="accent1" w:themeShade="BF"/>
      <w:sz w:val="26"/>
      <w:szCs w:val="26"/>
    </w:rPr>
  </w:style>
  <w:style w:type="paragraph" w:styleId="Luettelokappale">
    <w:name w:val="List Paragraph"/>
    <w:basedOn w:val="Normaali"/>
    <w:uiPriority w:val="34"/>
    <w:qFormat/>
    <w:rsid w:val="005D5889"/>
    <w:pPr>
      <w:spacing w:line="252" w:lineRule="auto"/>
      <w:ind w:left="720"/>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1133</Words>
  <Characters>9181</Characters>
  <Application>Microsoft Office Word</Application>
  <DocSecurity>0</DocSecurity>
  <Lines>76</Lines>
  <Paragraphs>20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Hallikainen Kaija-Maria (OKM)</dc:creator>
  <cp:keywords/>
  <dc:description/>
  <cp:lastModifiedBy>Hallikainen Kaija-Maria (OKM)</cp:lastModifiedBy>
  <cp:revision>1</cp:revision>
  <dcterms:created xsi:type="dcterms:W3CDTF">2019-10-14T07:26:00Z</dcterms:created>
  <dcterms:modified xsi:type="dcterms:W3CDTF">2019-10-14T07:28:00Z</dcterms:modified>
</cp:coreProperties>
</file>