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theme="majorBidi"/>
          <w:spacing w:val="5"/>
        </w:rPr>
        <w:alias w:val="Asiaotsikko"/>
        <w:tag w:val="Asiaotsikko"/>
        <w:id w:val="33890565"/>
        <w:placeholder>
          <w:docPart w:val="62DDAA7E3BFC4E7EB1602E2DB0BD4EE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AD26469" w14:textId="1D88FC18" w:rsidR="00736465" w:rsidRPr="00C1337D" w:rsidRDefault="00B53D8A" w:rsidP="00DB223A">
          <w:pPr>
            <w:pStyle w:val="Otsikko"/>
          </w:pPr>
          <w:r w:rsidRPr="0006271A">
            <w:rPr>
              <w:rFonts w:cstheme="majorBidi"/>
              <w:spacing w:val="5"/>
            </w:rPr>
            <w:t xml:space="preserve">Säteilyturvakeskuksen määräys </w:t>
          </w:r>
          <w:r>
            <w:rPr>
              <w:rFonts w:cstheme="majorBidi"/>
              <w:spacing w:val="5"/>
            </w:rPr>
            <w:t>ydinenergian käytön turvajärjestelyistä, STUK Y/3/2020</w:t>
          </w:r>
        </w:p>
      </w:sdtContent>
    </w:sdt>
    <w:p w14:paraId="3462DE5F" w14:textId="77777777" w:rsidR="00736465" w:rsidRDefault="00736465" w:rsidP="00472C65">
      <w:pPr>
        <w:pStyle w:val="Leipteksti"/>
      </w:pPr>
    </w:p>
    <w:p w14:paraId="4FF9AE43" w14:textId="77777777" w:rsidR="00D22B9E" w:rsidRDefault="0006271A" w:rsidP="00D22B9E">
      <w:pPr>
        <w:pStyle w:val="Otsikko2"/>
      </w:pPr>
      <w:r w:rsidRPr="0006271A">
        <w:rPr>
          <w:sz w:val="24"/>
          <w:szCs w:val="28"/>
        </w:rPr>
        <w:t>PÄÄASIALLINEN SISÄLTÖ</w:t>
      </w:r>
    </w:p>
    <w:p w14:paraId="6C1AD310" w14:textId="06D6AA73" w:rsidR="00B53D8A" w:rsidRDefault="00B53D8A" w:rsidP="0068508C">
      <w:pPr>
        <w:pStyle w:val="Leipteksti"/>
        <w:ind w:left="1304"/>
        <w:jc w:val="both"/>
      </w:pPr>
      <w:r>
        <w:t>Ydinenergialain (990/1987) 7 q §:n 22 kohdan nojalla säädetään Säteilyturva</w:t>
      </w:r>
      <w:r>
        <w:softHyphen/>
        <w:t xml:space="preserve">keskuksen määräys ydinenergian käytön turvajärjestelyistä. Samalla kumotaan 1.1.2016 voimaan tullut Säteilyturvakeskuksen määräys ydinenergian käytön turvajärjestelyistä (Y/3/2016). </w:t>
      </w:r>
    </w:p>
    <w:p w14:paraId="5C1FEDFE" w14:textId="34F61B0D" w:rsidR="00B53D8A" w:rsidRDefault="00B53D8A" w:rsidP="0068508C">
      <w:pPr>
        <w:pStyle w:val="Leipteksti"/>
        <w:ind w:left="1304"/>
        <w:jc w:val="both"/>
      </w:pPr>
      <w:r>
        <w:t xml:space="preserve">Määräys koskee ydinenergian käytön turvajärjestelyjen suunnittelua ja toteutusta sekä toimintaa uhkatilanteessa. Sisällöllisesti uusi määräys vastaa kumottavaa Säteilyturvakeskuksen määräystä ydinenergian käytön turvajärjestelyistä. </w:t>
      </w:r>
      <w:bookmarkStart w:id="0" w:name="_Hlk32513350"/>
      <w:r>
        <w:t>Määräys</w:t>
      </w:r>
      <w:r w:rsidR="00D729BF">
        <w:softHyphen/>
      </w:r>
      <w:r>
        <w:t xml:space="preserve">muutoksen keskeisimmät muutosehdotukset koskevat määräyksen soveltamista muuhun ydinenergian käyttöön kuin ydinlaitokset. </w:t>
      </w:r>
      <w:bookmarkEnd w:id="0"/>
      <w:r>
        <w:t xml:space="preserve">Uudessa määräyksessä korostetaan jatkuvaa parantamista, turvallista uhkatilanneviestintää, ydinaineen katoamiseen tai anastamiseen liittyviä toimenpiteitä, laadunhallintaa sekä ydinainekuljetuksia koskevia suunnitelmia. Lisäksi </w:t>
      </w:r>
      <w:bookmarkStart w:id="1" w:name="_Hlk32513304"/>
      <w:r>
        <w:t>määräyksestä on poistettu kohtia, jotka on siirretty ydinenergia</w:t>
      </w:r>
      <w:r w:rsidR="00D729BF">
        <w:softHyphen/>
      </w:r>
      <w:r>
        <w:t>lakiin (turvallisuusselvitykset, koulutusvaatimukset), ja lisätty kohtia, jotka johtuvat ydinenergialain muutoksesta (oleskelu- ja liikkumisrajoitusalueen merkitseminen ja turvahenkilön asu).</w:t>
      </w:r>
      <w:bookmarkEnd w:id="1"/>
    </w:p>
    <w:p w14:paraId="1330030A" w14:textId="27BCB63F" w:rsidR="007C0699" w:rsidRPr="0006271A" w:rsidRDefault="00B53D8A" w:rsidP="0068508C">
      <w:pPr>
        <w:pStyle w:val="Leipteksti"/>
        <w:ind w:left="1304"/>
        <w:jc w:val="both"/>
      </w:pPr>
      <w:r>
        <w:t xml:space="preserve">Määräyksen on tarkoitus tulla voimaan </w:t>
      </w:r>
      <w:r w:rsidR="00F134C3">
        <w:t>viimeistään 3</w:t>
      </w:r>
      <w:r>
        <w:t>1.</w:t>
      </w:r>
      <w:r w:rsidR="00F134C3">
        <w:t>8</w:t>
      </w:r>
      <w:r>
        <w:t xml:space="preserve">.2020. </w:t>
      </w:r>
    </w:p>
    <w:p w14:paraId="01F449EB" w14:textId="77777777" w:rsidR="0006271A" w:rsidRPr="0006271A" w:rsidRDefault="0006271A" w:rsidP="0006271A">
      <w:pPr>
        <w:pStyle w:val="Otsikko2"/>
        <w:rPr>
          <w:rFonts w:eastAsia="Times New Roman"/>
        </w:rPr>
      </w:pPr>
      <w:r w:rsidRPr="0006271A">
        <w:rPr>
          <w:rFonts w:eastAsia="Times New Roman"/>
        </w:rPr>
        <w:t>Yleiset perustelut</w:t>
      </w:r>
    </w:p>
    <w:p w14:paraId="13C47000" w14:textId="6D3699C8"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Johdanto</w:t>
      </w:r>
    </w:p>
    <w:p w14:paraId="155AD5AD" w14:textId="5E2102E6" w:rsidR="00B53D8A" w:rsidRPr="00F134C3" w:rsidRDefault="00B53D8A" w:rsidP="0068508C">
      <w:pPr>
        <w:pStyle w:val="Leipteksti"/>
        <w:ind w:left="1304"/>
        <w:jc w:val="both"/>
        <w:rPr>
          <w:lang w:val="en-US"/>
        </w:rPr>
      </w:pPr>
      <w:r w:rsidRPr="00B53D8A">
        <w:t xml:space="preserve">Määräyksen päivitystarve muodostuu ydinenergialain muutosehdotuksesta, jotka koskevan lausuntopyynnön työ- ja elinkeinoministeriö </w:t>
      </w:r>
      <w:r w:rsidR="00F134C3" w:rsidRPr="00B53D8A">
        <w:t>lähett</w:t>
      </w:r>
      <w:r w:rsidR="00F134C3">
        <w:t>i lausunnoille</w:t>
      </w:r>
      <w:r w:rsidR="00F134C3" w:rsidRPr="00B53D8A">
        <w:t xml:space="preserve"> </w:t>
      </w:r>
      <w:r w:rsidRPr="00B53D8A">
        <w:t xml:space="preserve">eri tahoille (TEM/635/03.01.01/2018). </w:t>
      </w:r>
      <w:r w:rsidR="00F134C3" w:rsidRPr="00F134C3">
        <w:t xml:space="preserve">Hallituksen esitys </w:t>
      </w:r>
      <w:r w:rsidR="00F134C3">
        <w:t xml:space="preserve">(HE 8/2020) </w:t>
      </w:r>
      <w:r w:rsidR="00F134C3" w:rsidRPr="00F134C3">
        <w:t>eduskunnalle laeiksi ydinenergialain, turvallisuusselvityslain ja kaivoslain muuttamisesta</w:t>
      </w:r>
      <w:r w:rsidR="00F134C3">
        <w:t xml:space="preserve"> annettiin valtioneuvostolle 13.2.2020. </w:t>
      </w:r>
      <w:proofErr w:type="spellStart"/>
      <w:r w:rsidR="00F134C3">
        <w:rPr>
          <w:lang w:val="en-US"/>
        </w:rPr>
        <w:t>M</w:t>
      </w:r>
      <w:r w:rsidRPr="00F134C3">
        <w:rPr>
          <w:lang w:val="en-US"/>
        </w:rPr>
        <w:t>uutostarpeita</w:t>
      </w:r>
      <w:proofErr w:type="spellEnd"/>
      <w:r w:rsidRPr="00F134C3">
        <w:rPr>
          <w:lang w:val="en-US"/>
        </w:rPr>
        <w:t xml:space="preserve"> on </w:t>
      </w:r>
      <w:proofErr w:type="spellStart"/>
      <w:r w:rsidR="00F134C3">
        <w:rPr>
          <w:lang w:val="en-US"/>
        </w:rPr>
        <w:t>l</w:t>
      </w:r>
      <w:r w:rsidR="00F134C3" w:rsidRPr="00F134C3">
        <w:rPr>
          <w:lang w:val="en-US"/>
        </w:rPr>
        <w:t>isäksi</w:t>
      </w:r>
      <w:proofErr w:type="spellEnd"/>
      <w:r w:rsidR="00F134C3" w:rsidRPr="00F134C3">
        <w:rPr>
          <w:lang w:val="en-US"/>
        </w:rPr>
        <w:t xml:space="preserve"> </w:t>
      </w:r>
      <w:proofErr w:type="spellStart"/>
      <w:r w:rsidRPr="00F134C3">
        <w:rPr>
          <w:lang w:val="en-US"/>
        </w:rPr>
        <w:t>esitetty</w:t>
      </w:r>
      <w:proofErr w:type="spellEnd"/>
      <w:r w:rsidRPr="00F134C3">
        <w:rPr>
          <w:lang w:val="en-US"/>
        </w:rPr>
        <w:t xml:space="preserve"> </w:t>
      </w:r>
      <w:proofErr w:type="spellStart"/>
      <w:r w:rsidRPr="00F134C3">
        <w:rPr>
          <w:lang w:val="en-US"/>
        </w:rPr>
        <w:t>STUKin</w:t>
      </w:r>
      <w:proofErr w:type="spellEnd"/>
      <w:r w:rsidRPr="00F134C3">
        <w:rPr>
          <w:lang w:val="en-US"/>
        </w:rPr>
        <w:t xml:space="preserve"> </w:t>
      </w:r>
      <w:proofErr w:type="spellStart"/>
      <w:r w:rsidRPr="00F134C3">
        <w:rPr>
          <w:lang w:val="en-US"/>
        </w:rPr>
        <w:t>tilaamassa</w:t>
      </w:r>
      <w:proofErr w:type="spellEnd"/>
      <w:r w:rsidRPr="00F134C3">
        <w:rPr>
          <w:lang w:val="en-US"/>
        </w:rPr>
        <w:t xml:space="preserve"> </w:t>
      </w:r>
      <w:proofErr w:type="spellStart"/>
      <w:r w:rsidRPr="00F134C3">
        <w:rPr>
          <w:lang w:val="en-US"/>
        </w:rPr>
        <w:t>ulkopuolisessa</w:t>
      </w:r>
      <w:proofErr w:type="spellEnd"/>
      <w:r w:rsidRPr="00F134C3">
        <w:rPr>
          <w:lang w:val="en-US"/>
        </w:rPr>
        <w:t xml:space="preserve"> </w:t>
      </w:r>
      <w:proofErr w:type="spellStart"/>
      <w:r w:rsidRPr="00F134C3">
        <w:rPr>
          <w:lang w:val="en-US"/>
        </w:rPr>
        <w:t>arvioinnissa</w:t>
      </w:r>
      <w:proofErr w:type="spellEnd"/>
      <w:r w:rsidRPr="00F134C3">
        <w:rPr>
          <w:lang w:val="en-US"/>
        </w:rPr>
        <w:t xml:space="preserve"> (Assessment of the Finnish Legal and Regulatory Framework for Security of Nuclear Material and Nuclear Facilities) </w:t>
      </w:r>
      <w:proofErr w:type="spellStart"/>
      <w:r w:rsidRPr="00F134C3">
        <w:rPr>
          <w:lang w:val="en-US"/>
        </w:rPr>
        <w:t>verrattuna</w:t>
      </w:r>
      <w:proofErr w:type="spellEnd"/>
      <w:r w:rsidRPr="00F134C3">
        <w:rPr>
          <w:lang w:val="en-US"/>
        </w:rPr>
        <w:t xml:space="preserve"> </w:t>
      </w:r>
      <w:proofErr w:type="spellStart"/>
      <w:r w:rsidRPr="00F134C3">
        <w:rPr>
          <w:lang w:val="en-US"/>
        </w:rPr>
        <w:t>turvajärjestelyjä</w:t>
      </w:r>
      <w:proofErr w:type="spellEnd"/>
      <w:r w:rsidRPr="00F134C3">
        <w:rPr>
          <w:lang w:val="en-US"/>
        </w:rPr>
        <w:t xml:space="preserve"> </w:t>
      </w:r>
      <w:proofErr w:type="spellStart"/>
      <w:r w:rsidRPr="00F134C3">
        <w:rPr>
          <w:lang w:val="en-US"/>
        </w:rPr>
        <w:t>koskevaan</w:t>
      </w:r>
      <w:proofErr w:type="spellEnd"/>
      <w:r w:rsidRPr="00F134C3">
        <w:rPr>
          <w:lang w:val="en-US"/>
        </w:rPr>
        <w:t xml:space="preserve"> </w:t>
      </w:r>
      <w:proofErr w:type="spellStart"/>
      <w:r w:rsidRPr="00F134C3">
        <w:rPr>
          <w:lang w:val="en-US"/>
        </w:rPr>
        <w:t>kansainväliseen</w:t>
      </w:r>
      <w:proofErr w:type="spellEnd"/>
      <w:r w:rsidRPr="00F134C3">
        <w:rPr>
          <w:lang w:val="en-US"/>
        </w:rPr>
        <w:t xml:space="preserve"> </w:t>
      </w:r>
      <w:proofErr w:type="spellStart"/>
      <w:r w:rsidRPr="00F134C3">
        <w:rPr>
          <w:lang w:val="en-US"/>
        </w:rPr>
        <w:t>sopimukseen</w:t>
      </w:r>
      <w:proofErr w:type="spellEnd"/>
      <w:r w:rsidRPr="00F134C3">
        <w:rPr>
          <w:lang w:val="en-US"/>
        </w:rPr>
        <w:t xml:space="preserve"> (Convention on the Physical Protection of Nuclear Material, as Amended 2005) </w:t>
      </w:r>
      <w:proofErr w:type="spellStart"/>
      <w:r w:rsidRPr="00F134C3">
        <w:rPr>
          <w:lang w:val="en-US"/>
        </w:rPr>
        <w:t>sekä</w:t>
      </w:r>
      <w:proofErr w:type="spellEnd"/>
      <w:r w:rsidRPr="00F134C3">
        <w:rPr>
          <w:lang w:val="en-US"/>
        </w:rPr>
        <w:t xml:space="preserve"> </w:t>
      </w:r>
      <w:proofErr w:type="spellStart"/>
      <w:r w:rsidRPr="00F134C3">
        <w:rPr>
          <w:lang w:val="en-US"/>
        </w:rPr>
        <w:t>IAEA:n</w:t>
      </w:r>
      <w:proofErr w:type="spellEnd"/>
      <w:r w:rsidRPr="00F134C3">
        <w:rPr>
          <w:lang w:val="en-US"/>
        </w:rPr>
        <w:t xml:space="preserve"> </w:t>
      </w:r>
      <w:proofErr w:type="spellStart"/>
      <w:r w:rsidRPr="00F134C3">
        <w:rPr>
          <w:lang w:val="en-US"/>
        </w:rPr>
        <w:t>turvajärjestelyjä</w:t>
      </w:r>
      <w:proofErr w:type="spellEnd"/>
      <w:r w:rsidRPr="00F134C3">
        <w:rPr>
          <w:lang w:val="en-US"/>
        </w:rPr>
        <w:t xml:space="preserve"> </w:t>
      </w:r>
      <w:proofErr w:type="spellStart"/>
      <w:r w:rsidRPr="00F134C3">
        <w:rPr>
          <w:lang w:val="en-US"/>
        </w:rPr>
        <w:t>koskevaan</w:t>
      </w:r>
      <w:proofErr w:type="spellEnd"/>
      <w:r w:rsidRPr="00F134C3">
        <w:rPr>
          <w:lang w:val="en-US"/>
        </w:rPr>
        <w:t xml:space="preserve"> </w:t>
      </w:r>
      <w:proofErr w:type="spellStart"/>
      <w:r w:rsidRPr="00F134C3">
        <w:rPr>
          <w:lang w:val="en-US"/>
        </w:rPr>
        <w:t>suositukseen</w:t>
      </w:r>
      <w:proofErr w:type="spellEnd"/>
      <w:r w:rsidRPr="00F134C3">
        <w:rPr>
          <w:lang w:val="en-US"/>
        </w:rPr>
        <w:t xml:space="preserve"> NSS 13 (Nuclear Security Recommendations  on Physical Protection  of Nuclear Material  and Nuclear Facilities)  ja Fundamentals-</w:t>
      </w:r>
      <w:proofErr w:type="spellStart"/>
      <w:r w:rsidRPr="00F134C3">
        <w:rPr>
          <w:lang w:val="en-US"/>
        </w:rPr>
        <w:t>asiakirjaan</w:t>
      </w:r>
      <w:proofErr w:type="spellEnd"/>
      <w:r w:rsidRPr="00F134C3">
        <w:rPr>
          <w:lang w:val="en-US"/>
        </w:rPr>
        <w:t xml:space="preserve"> NSS 20 (Objective and Essential Elements of a State’s Nuclear Security Regime).</w:t>
      </w:r>
    </w:p>
    <w:p w14:paraId="6CB9449C"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Nykytila </w:t>
      </w:r>
    </w:p>
    <w:p w14:paraId="0B0326A1" w14:textId="335D2A59" w:rsidR="00B53D8A" w:rsidRDefault="00B53D8A" w:rsidP="0068508C">
      <w:pPr>
        <w:pStyle w:val="Leipteksti"/>
        <w:ind w:left="1304"/>
        <w:jc w:val="both"/>
      </w:pPr>
      <w:r>
        <w:t>Ydinenergian käytön turvajärjestelyjä koskevista vaatimuksista säädetään ydinenergialain 7 §, 7 i §, 7 l-w §:</w:t>
      </w:r>
      <w:proofErr w:type="spellStart"/>
      <w:r>
        <w:t>ssä</w:t>
      </w:r>
      <w:proofErr w:type="spellEnd"/>
      <w:r>
        <w:t>. Näitä vaatimuksia täsmentävät säännökset sisältyivät pääosin 31.12.2015 saakka valtioneuvoston asetukseen ydinenergian käytön turvajärjestelyistä (734/2008).</w:t>
      </w:r>
    </w:p>
    <w:p w14:paraId="12ED9501" w14:textId="5A913187" w:rsidR="00B53D8A" w:rsidRDefault="00B53D8A" w:rsidP="0068508C">
      <w:pPr>
        <w:pStyle w:val="Leipteksti"/>
        <w:ind w:left="1304"/>
        <w:jc w:val="both"/>
      </w:pPr>
      <w:r>
        <w:lastRenderedPageBreak/>
        <w:t xml:space="preserve">Ydinenergialain muutoksella (676/2015) yleisten turvallisuusmääräysten antovalta siirrettiin Säteilyturvakeskukselle. Ydinenergialain uudistuksen yhteydessä aiemmat valtioneuvoston asetuksina säädetyt yleiset turvallisuusmääräykset kumottiin.  Säteilyturvakeskuksen yleiset turvallisuusmääräykset annettiin 22.12.2015 ja ne tulivat voimaan 1.1.2016. </w:t>
      </w:r>
    </w:p>
    <w:p w14:paraId="3F7A08C7" w14:textId="6DB58834" w:rsidR="00B53D8A" w:rsidRDefault="00B53D8A" w:rsidP="0068508C">
      <w:pPr>
        <w:pStyle w:val="Leipteksti"/>
        <w:ind w:left="1304"/>
        <w:jc w:val="both"/>
      </w:pPr>
      <w:r>
        <w:t xml:space="preserve">Säteilyturvakeskuksen määräys ydinenergian käytön turvajärjestelyistä </w:t>
      </w:r>
      <w:r w:rsidR="00F134C3">
        <w:t xml:space="preserve">(STUK Y/3/2016) </w:t>
      </w:r>
      <w:r>
        <w:t>annettiin osana tätä uudistusta ydinenergialain 7 q §:n 22 kohdan (ydinenergian käytön turvajärjestelyjen suunnittelu ja toteuttaminen sekä ydinlaitoksen henkilöturvallisuus, tietoturvallisuus, turvavalvonta, turvahenkilöstö, uhkatilanteisiin varautuminen ja toiminta uhkatilanteessa) nojalla. Sisällöllisesti Säteilyturvakeskuksen määräys vastasi aiempaa valtioneuvoston asetusta.</w:t>
      </w:r>
    </w:p>
    <w:p w14:paraId="0DEB1264" w14:textId="2BE85F35" w:rsidR="00B53D8A" w:rsidRDefault="00B53D8A" w:rsidP="0068508C">
      <w:pPr>
        <w:pStyle w:val="Leipteksti"/>
        <w:ind w:left="1304"/>
        <w:jc w:val="both"/>
      </w:pPr>
      <w:r>
        <w:t xml:space="preserve">Nykyisessä 1.1.2016 voimaantulleessa Säteilyturvakeskuksen määräyksessä ydinenergian käytön turvajärjestelyistä on joitakin selkeytystä ja päivitystä edellyttäviä kohtia.  Turvajärjestelyissä korostetaan nykyisin samoja periaatteita kuin ydin- ja säteilyturvallisuudessa yleisestikin, joten määräyksessä on näitä koskevia lisäyksiä. Lisäksi osa nykyisistä määräysvaatimuksista on siirretty lainsäädännöllisistä syistä lakitasolle. </w:t>
      </w:r>
      <w:r w:rsidR="00C45744">
        <w:t xml:space="preserve">Lisäksi soveltamisala on </w:t>
      </w:r>
      <w:r w:rsidR="008F56C2">
        <w:t>määritelty</w:t>
      </w:r>
      <w:r w:rsidR="00C45744">
        <w:t xml:space="preserve"> muun ydinenergian käytön kuin ydinlaitosten osalta. </w:t>
      </w:r>
      <w:r>
        <w:t>Muutokset on perusteltu pykäläkohtaisissa perusteluissa lukuun ottamatta kaikkia stilistisiä korjauksia.</w:t>
      </w:r>
    </w:p>
    <w:p w14:paraId="1FCC3157" w14:textId="28DD3CC9" w:rsidR="0006271A"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Määräyksen </w:t>
      </w:r>
      <w:r w:rsidR="0068508C">
        <w:rPr>
          <w:rFonts w:asciiTheme="majorHAnsi" w:eastAsia="Cambria" w:hAnsiTheme="majorHAnsi" w:cstheme="majorHAnsi"/>
          <w:b/>
        </w:rPr>
        <w:t xml:space="preserve">tarkoitus ja </w:t>
      </w:r>
      <w:r w:rsidRPr="00FF76BB">
        <w:rPr>
          <w:rFonts w:asciiTheme="majorHAnsi" w:eastAsia="Cambria" w:hAnsiTheme="majorHAnsi" w:cstheme="majorHAnsi"/>
          <w:b/>
        </w:rPr>
        <w:t xml:space="preserve">tavoitteet </w:t>
      </w:r>
      <w:r w:rsidR="0068508C">
        <w:rPr>
          <w:rFonts w:asciiTheme="majorHAnsi" w:eastAsia="Cambria" w:hAnsiTheme="majorHAnsi" w:cstheme="majorHAnsi"/>
          <w:b/>
        </w:rPr>
        <w:t>sekä keskeiset muutos</w:t>
      </w:r>
      <w:r w:rsidRPr="00FF76BB">
        <w:rPr>
          <w:rFonts w:asciiTheme="majorHAnsi" w:eastAsia="Cambria" w:hAnsiTheme="majorHAnsi" w:cstheme="majorHAnsi"/>
          <w:b/>
        </w:rPr>
        <w:t xml:space="preserve">ehdotukset </w:t>
      </w:r>
    </w:p>
    <w:p w14:paraId="4A71AF6E" w14:textId="08E5FE19" w:rsidR="0068508C" w:rsidRPr="00FF76BB" w:rsidRDefault="0068508C" w:rsidP="0068508C">
      <w:pPr>
        <w:spacing w:after="220"/>
        <w:jc w:val="both"/>
        <w:rPr>
          <w:rFonts w:asciiTheme="majorHAnsi" w:eastAsia="Cambria" w:hAnsiTheme="majorHAnsi" w:cstheme="majorHAnsi"/>
          <w:b/>
        </w:rPr>
      </w:pPr>
      <w:r>
        <w:rPr>
          <w:rFonts w:asciiTheme="majorHAnsi" w:eastAsia="Cambria" w:hAnsiTheme="majorHAnsi" w:cstheme="majorHAnsi"/>
          <w:b/>
        </w:rPr>
        <w:t>3.1 Tarkoitus ja tavoitteet</w:t>
      </w:r>
    </w:p>
    <w:p w14:paraId="7483E1E5" w14:textId="77777777" w:rsidR="0068508C" w:rsidRDefault="0068508C" w:rsidP="00F151BC">
      <w:pPr>
        <w:autoSpaceDE w:val="0"/>
        <w:autoSpaceDN w:val="0"/>
        <w:adjustRightInd w:val="0"/>
        <w:ind w:left="1304"/>
        <w:jc w:val="both"/>
      </w:pPr>
      <w:r w:rsidRPr="003E7C45">
        <w:t xml:space="preserve">Ehdotetulla </w:t>
      </w:r>
      <w:r>
        <w:t>määräyksellä</w:t>
      </w:r>
      <w:r w:rsidRPr="003E7C45">
        <w:t xml:space="preserve"> </w:t>
      </w:r>
      <w:r>
        <w:t>annet</w:t>
      </w:r>
      <w:r w:rsidRPr="003E7C45">
        <w:t>a</w:t>
      </w:r>
      <w:r>
        <w:t xml:space="preserve">an </w:t>
      </w:r>
      <w:r w:rsidRPr="003E7C45">
        <w:t>ydinenergialakia (</w:t>
      </w:r>
      <w:r>
        <w:t>YEL</w:t>
      </w:r>
      <w:r w:rsidRPr="003E7C45">
        <w:t>) tarkentavat säännökset</w:t>
      </w:r>
      <w:r>
        <w:t xml:space="preserve"> </w:t>
      </w:r>
      <w:r w:rsidRPr="003E7C45">
        <w:t>ydinenergian käytön turvajärjestelyjen suunnittelusta ja toteuttamisesta sekä</w:t>
      </w:r>
      <w:r>
        <w:t xml:space="preserve"> </w:t>
      </w:r>
      <w:r w:rsidRPr="003E7C45">
        <w:t>toiminnasta uhkatilanteessa.</w:t>
      </w:r>
      <w:r>
        <w:rPr>
          <w:rFonts w:ascii="Times New Roman" w:hAnsi="Times New Roman" w:cs="Times New Roman"/>
          <w:sz w:val="24"/>
          <w:szCs w:val="24"/>
        </w:rPr>
        <w:t xml:space="preserve"> </w:t>
      </w:r>
      <w:r w:rsidRPr="001D5259">
        <w:t xml:space="preserve">Määräys tarkentaa </w:t>
      </w:r>
      <w:proofErr w:type="spellStart"/>
      <w:r>
        <w:t>YEL:ssa</w:t>
      </w:r>
      <w:proofErr w:type="spellEnd"/>
      <w:r w:rsidRPr="001D5259">
        <w:t xml:space="preserve"> turvajärjestelyistä säädettyjä lainkohtia (YEL 7 §, 7 i §, 7 l-</w:t>
      </w:r>
      <w:r>
        <w:t>w</w:t>
      </w:r>
      <w:r w:rsidRPr="001D5259">
        <w:t xml:space="preserve"> §)</w:t>
      </w:r>
      <w:r w:rsidRPr="001D5259">
        <w:rPr>
          <w:i/>
        </w:rPr>
        <w:t xml:space="preserve">. </w:t>
      </w:r>
      <w:r w:rsidRPr="001D5259">
        <w:t>Määräyksessä säädet</w:t>
      </w:r>
      <w:r>
        <w:t>ään</w:t>
      </w:r>
      <w:r w:rsidRPr="001D5259">
        <w:t xml:space="preserve"> ydinenergian käytön turvajärjestely</w:t>
      </w:r>
      <w:r>
        <w:t>j</w:t>
      </w:r>
      <w:r w:rsidRPr="001D5259">
        <w:t xml:space="preserve">ä </w:t>
      </w:r>
      <w:r>
        <w:t>koskevista</w:t>
      </w:r>
      <w:r w:rsidRPr="001D5259">
        <w:t xml:space="preserve"> luvanhaltijaa</w:t>
      </w:r>
      <w:r>
        <w:t>n</w:t>
      </w:r>
      <w:r w:rsidRPr="001D5259">
        <w:t xml:space="preserve"> </w:t>
      </w:r>
      <w:r>
        <w:t>kohdistuvista</w:t>
      </w:r>
      <w:r w:rsidRPr="001D5259">
        <w:t xml:space="preserve"> vaatimuksista. </w:t>
      </w:r>
    </w:p>
    <w:p w14:paraId="04389BDC" w14:textId="48FE4D9A" w:rsidR="0068508C" w:rsidRDefault="0068508C" w:rsidP="00F151BC">
      <w:pPr>
        <w:spacing w:before="120" w:after="120"/>
        <w:ind w:left="1298"/>
        <w:jc w:val="both"/>
      </w:pPr>
      <w:r>
        <w:t xml:space="preserve">Viranomaisia koskevat vaatimukset siirrettiin määräyksen Y/3/2016 annon yhteydessä vuodesta 2008 asti voimassa olleesta valtioneuvoston asetuksesta (734/2008) ydinenergia-asetukseen (161/1988), sillä </w:t>
      </w:r>
      <w:proofErr w:type="spellStart"/>
      <w:r>
        <w:t>STUKin</w:t>
      </w:r>
      <w:proofErr w:type="spellEnd"/>
      <w:r>
        <w:t xml:space="preserve"> määräyksillä ei voida säätää muiden viranomaisten toiminnasta, ja näiden osalta asetuksenantovalta jäi valtioneuvostolle. Näitä koskeva asetuksenantovaltuus </w:t>
      </w:r>
      <w:r w:rsidR="00F134C3">
        <w:t xml:space="preserve">lisättiin </w:t>
      </w:r>
      <w:r>
        <w:t>muiden asetuksenanto</w:t>
      </w:r>
      <w:r w:rsidR="00F134C3">
        <w:softHyphen/>
      </w:r>
      <w:r>
        <w:t>valtuuksien yhteyteen lain 82 §:</w:t>
      </w:r>
      <w:proofErr w:type="spellStart"/>
      <w:r>
        <w:t>ään</w:t>
      </w:r>
      <w:proofErr w:type="spellEnd"/>
      <w:r>
        <w:t>. Suunnitteluperusteuhkan ja ydinenergian käyttöön kohdistuvan lainvastaisen toiminnan uhkakuvan määrittämisestä sekä turvajärjestelyihin liittyvien uhkatilanteiden johtajuudesta säädetään lainsäädäntömuutosten jälkeen ydinenergialaissa ja -asetuksessa.</w:t>
      </w:r>
    </w:p>
    <w:p w14:paraId="0149747D" w14:textId="77777777" w:rsidR="0068508C" w:rsidRDefault="0068508C" w:rsidP="00F151BC">
      <w:pPr>
        <w:spacing w:before="120" w:after="120"/>
        <w:ind w:left="1298"/>
        <w:jc w:val="both"/>
      </w:pPr>
      <w:r>
        <w:t>Tarkoituksena on, että ydinenergialaki, ydinenergia-asetus ja turvajärjestelymääräys muodostavat kokonaisuuden, jolla säädellään ydinenergian käytön turvajärjestelyistä. Näitä täydentävät Säteilyturvakeskuksen julkaisemat YVL-ohjeet (erityisesti YVL A.11 ja YVL A.12) sekä suunnitteluperusteuhka (DBT, 2/Y42217/2013).</w:t>
      </w:r>
    </w:p>
    <w:p w14:paraId="6BBC036D" w14:textId="77777777" w:rsidR="0068508C" w:rsidRDefault="0068508C" w:rsidP="0068508C">
      <w:pPr>
        <w:spacing w:before="120"/>
        <w:ind w:left="1298"/>
        <w:jc w:val="both"/>
      </w:pPr>
      <w:r>
        <w:t xml:space="preserve">Määräys liittyy </w:t>
      </w:r>
      <w:proofErr w:type="spellStart"/>
      <w:r>
        <w:t>YEL:n</w:t>
      </w:r>
      <w:proofErr w:type="spellEnd"/>
      <w:r>
        <w:t xml:space="preserve"> 7 §:ssä säädettyyn vaatimukseen:</w:t>
      </w:r>
    </w:p>
    <w:p w14:paraId="5783D7DB" w14:textId="20A8AFDF" w:rsidR="0068508C" w:rsidRDefault="0068508C" w:rsidP="0068508C">
      <w:pPr>
        <w:spacing w:after="120"/>
        <w:ind w:left="1298"/>
        <w:jc w:val="both"/>
        <w:rPr>
          <w:i/>
          <w:iCs/>
        </w:rPr>
      </w:pPr>
      <w:r w:rsidRPr="0068508C">
        <w:rPr>
          <w:i/>
          <w:iCs/>
        </w:rPr>
        <w:t>Ydinenergian käytön edellytyksenä on, että turvajärjestelyt ja valmiusjärjestelyt sekä muut järjestelyt ydinvahinkojen rajoittamiseksi ja ydinenergian käytön turvaamiseksi lainvastaiselta toiminnalta ovat riittävät.</w:t>
      </w:r>
    </w:p>
    <w:p w14:paraId="026FBDDB" w14:textId="13D324BF" w:rsidR="0068508C" w:rsidRDefault="0068508C" w:rsidP="0068508C">
      <w:pPr>
        <w:spacing w:after="120"/>
        <w:ind w:left="1298"/>
        <w:jc w:val="both"/>
      </w:pPr>
    </w:p>
    <w:p w14:paraId="6FCC2E4E" w14:textId="77777777" w:rsidR="0068508C" w:rsidRPr="0068508C" w:rsidRDefault="0068508C" w:rsidP="0068508C">
      <w:pPr>
        <w:spacing w:after="220"/>
        <w:jc w:val="both"/>
        <w:rPr>
          <w:rFonts w:asciiTheme="majorHAnsi" w:eastAsia="Cambria" w:hAnsiTheme="majorHAnsi" w:cstheme="majorHAnsi"/>
          <w:b/>
        </w:rPr>
      </w:pPr>
      <w:r w:rsidRPr="0068508C">
        <w:rPr>
          <w:rFonts w:asciiTheme="majorHAnsi" w:eastAsia="Cambria" w:hAnsiTheme="majorHAnsi" w:cstheme="majorHAnsi"/>
          <w:b/>
        </w:rPr>
        <w:t>3.2 Keskeiset muutosehdotukset</w:t>
      </w:r>
    </w:p>
    <w:p w14:paraId="739F57F7" w14:textId="2269B9A7" w:rsidR="0068508C" w:rsidRDefault="0068508C" w:rsidP="0068508C">
      <w:pPr>
        <w:spacing w:after="120"/>
        <w:ind w:left="1298"/>
        <w:jc w:val="both"/>
      </w:pPr>
      <w:r>
        <w:t>Määräyksen keskeisimmät muutosehdotukset koskevat määräyksen soveltamista muuhun ydinenergian käyttöön kuin ydinlaitokset, jatkuvan parantamisen korostamista, turvallisen uhkatilanneviestinnän toteuttamista, ydinaineen katoamisen tai anastamiseen liittyviä toimenpiteisitä, laadunhallinnan huomioimista; sekä ydinainekuljetuksia koskevien suunnitelmien laatimista. Lisäksi muutoksia on tehty ydinenergialain muutoksen vuoksi.</w:t>
      </w:r>
    </w:p>
    <w:p w14:paraId="263570FB" w14:textId="0B59A3AC" w:rsidR="0068508C" w:rsidRPr="0068508C" w:rsidRDefault="0068508C" w:rsidP="0068508C">
      <w:pPr>
        <w:spacing w:after="120"/>
        <w:ind w:left="1298"/>
        <w:jc w:val="both"/>
      </w:pPr>
      <w:r>
        <w:t xml:space="preserve">Muutosehdotusten perusteena on tarkentaa </w:t>
      </w:r>
      <w:proofErr w:type="spellStart"/>
      <w:r>
        <w:t>YEL:ssa</w:t>
      </w:r>
      <w:proofErr w:type="spellEnd"/>
      <w:r>
        <w:t xml:space="preserve"> säädettyjä, turvajärjestelyjä koskevia vaatimuksia. Määräyksessä on otettu huomioon ydinaineiden turvajärjestelyjä koskevista toimista tehty yleissopimus (CPPNM, </w:t>
      </w:r>
      <w:proofErr w:type="spellStart"/>
      <w:r>
        <w:t>SopS</w:t>
      </w:r>
      <w:proofErr w:type="spellEnd"/>
      <w:r>
        <w:t xml:space="preserve"> 72/1989) ja siihen kesällä 2005 tehdyt muutokset, jotka on Suomessa saatettu voimaan lailla 513/2008. Edellä mainitun yleissopimuksen uudessa 2A artiklassa on lueteltu turvajärjestelyjä koskevat perusperiaatteet, joita sopimuspuolten on kohtuuden ja mahdollisuuksien mukaan sovellettava. Lisäksi muutostarpeita on esitetty </w:t>
      </w:r>
      <w:proofErr w:type="spellStart"/>
      <w:r>
        <w:t>STUKin</w:t>
      </w:r>
      <w:proofErr w:type="spellEnd"/>
      <w:r>
        <w:t xml:space="preserve"> tilaamassa ulkopuolisessa, kansainvälisen asiantuntijan tekemässä arvioinnissa koskien turvajärjestelyvaatimuksia.</w:t>
      </w:r>
    </w:p>
    <w:p w14:paraId="0A57C550" w14:textId="1AFB6E9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Määräyksen </w:t>
      </w:r>
      <w:r w:rsidR="00AA3426">
        <w:rPr>
          <w:rFonts w:asciiTheme="majorHAnsi" w:eastAsia="Cambria" w:hAnsiTheme="majorHAnsi" w:cstheme="majorHAnsi"/>
          <w:b/>
        </w:rPr>
        <w:t xml:space="preserve">ja muutosehdotusten </w:t>
      </w:r>
      <w:r w:rsidRPr="00FF76BB">
        <w:rPr>
          <w:rFonts w:asciiTheme="majorHAnsi" w:eastAsia="Cambria" w:hAnsiTheme="majorHAnsi" w:cstheme="majorHAnsi"/>
          <w:b/>
        </w:rPr>
        <w:t>vaikutukset</w:t>
      </w:r>
    </w:p>
    <w:p w14:paraId="7A60C188" w14:textId="691E1B5C" w:rsidR="00AA3426" w:rsidRDefault="00AA3426" w:rsidP="00AA3426">
      <w:pPr>
        <w:spacing w:before="120" w:after="120"/>
        <w:ind w:left="1298"/>
        <w:jc w:val="both"/>
      </w:pPr>
      <w:r>
        <w:t>Määräyksessä esitetään eräitä sisällöltään uusia vaatimuksia, joiden vaikutukset nykytilaan nähden arvioidaan vähäisiksi, joten säädetyt muutokset eivät aiheuta käytännössä merkittäviä taloudellisia tai käytännön vaikutuksia luvanhaltijalle tai viranomaistoimintaan. Määräyksen liitteessä 1 esitetty sääntely koskien liikkumis- ja oleskelurajoitusalueen merkitsemistä sekä turvahenkilön asussa käytettäviä merkintöjä aiheuttaa luvanhaltijoille jonkin verran kustannuksia.</w:t>
      </w:r>
    </w:p>
    <w:p w14:paraId="72D0B84B" w14:textId="3D40A796" w:rsidR="007C0699" w:rsidRDefault="00AA3426" w:rsidP="00AA3426">
      <w:pPr>
        <w:spacing w:before="120" w:after="120"/>
        <w:ind w:left="1298"/>
        <w:jc w:val="both"/>
      </w:pPr>
      <w:r>
        <w:t xml:space="preserve">Määräyksellä arvioidaan olevan jo olemassa oleviin turvajärjestelykäytäntöihin vain vähäisiä vaikutuksia, joilla turvajärjestelyjen tasoa pyritään parantamaan. Nämä voidaan käsitellä jatkuvan parantamisen periaatteella osana </w:t>
      </w:r>
      <w:proofErr w:type="gramStart"/>
      <w:r>
        <w:t>nykyisiä</w:t>
      </w:r>
      <w:proofErr w:type="gramEnd"/>
      <w:r>
        <w:t xml:space="preserve"> rakentamisen- ja käytönaikaisten valvontaohjelmien toteutusta. Määräyksellä on em. vaikutuksia myös muutostöissä, joissa jo aiemmassa määräyksessä asetetut vaatimukset on huomioitu.</w:t>
      </w:r>
      <w:r w:rsidR="0006271A" w:rsidRPr="00E25A19">
        <w:t xml:space="preserve"> </w:t>
      </w:r>
    </w:p>
    <w:p w14:paraId="5DF0C39B"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 xml:space="preserve">Määräyksen valmistelu </w:t>
      </w:r>
    </w:p>
    <w:p w14:paraId="788CF21D" w14:textId="43A69C64" w:rsidR="0006271A" w:rsidRDefault="0006271A" w:rsidP="00115462">
      <w:pPr>
        <w:pStyle w:val="Leipteksti"/>
        <w:ind w:left="1304"/>
        <w:jc w:val="both"/>
      </w:pPr>
      <w:r w:rsidRPr="004B554F">
        <w:t xml:space="preserve">Määräys </w:t>
      </w:r>
      <w:r w:rsidR="00AA3426">
        <w:t xml:space="preserve">valmisteltiin </w:t>
      </w:r>
      <w:r w:rsidRPr="004B554F">
        <w:t>Säteilyturvakeskuksessa virkatyönä</w:t>
      </w:r>
      <w:r>
        <w:t xml:space="preserve"> osana </w:t>
      </w:r>
      <w:proofErr w:type="spellStart"/>
      <w:r w:rsidRPr="00D1088E">
        <w:t>STUKin</w:t>
      </w:r>
      <w:proofErr w:type="spellEnd"/>
      <w:r w:rsidRPr="003B22A8">
        <w:t xml:space="preserve"> määräysten valmiste</w:t>
      </w:r>
      <w:r>
        <w:t>lemiseksi perustamaa</w:t>
      </w:r>
      <w:r w:rsidRPr="003B22A8">
        <w:t xml:space="preserve"> projek</w:t>
      </w:r>
      <w:r>
        <w:t>tia</w:t>
      </w:r>
      <w:r w:rsidRPr="003B22A8">
        <w:t xml:space="preserve"> </w:t>
      </w:r>
      <w:r>
        <w:t xml:space="preserve">(RYSÄ), jonka tehtävänä oli ohjata määräysten valmistelua, taata eri määräysten yhtenäisyys sekä vastata </w:t>
      </w:r>
      <w:proofErr w:type="spellStart"/>
      <w:r>
        <w:t>STUKin</w:t>
      </w:r>
      <w:proofErr w:type="spellEnd"/>
      <w:r>
        <w:t xml:space="preserve"> määräysten lainmukaisuudesta ja ulkoasusta.</w:t>
      </w:r>
    </w:p>
    <w:p w14:paraId="4502B39E" w14:textId="77777777" w:rsidR="0006271A" w:rsidRDefault="0006271A" w:rsidP="00115462">
      <w:pPr>
        <w:pStyle w:val="Leipteksti"/>
        <w:ind w:left="1304"/>
        <w:jc w:val="both"/>
      </w:pPr>
      <w:r>
        <w:t>Määräysehdotuksesta pyydettiin lausunnot….</w:t>
      </w:r>
    </w:p>
    <w:p w14:paraId="13B18613" w14:textId="13493522" w:rsidR="0006271A" w:rsidRDefault="0006271A" w:rsidP="00115462">
      <w:pPr>
        <w:pStyle w:val="Leipteksti"/>
        <w:ind w:left="1304"/>
        <w:jc w:val="both"/>
      </w:pPr>
      <w:r w:rsidRPr="004B554F">
        <w:t>Lausunnot saatiin</w:t>
      </w:r>
      <w:r>
        <w:t xml:space="preserve"> </w:t>
      </w:r>
      <w:r w:rsidRPr="00F853C4">
        <w:t>[täydentyy prosessin edetessä]</w:t>
      </w:r>
    </w:p>
    <w:p w14:paraId="1C7139EE" w14:textId="77777777" w:rsidR="0006271A" w:rsidRDefault="0006271A" w:rsidP="00115462">
      <w:pPr>
        <w:pStyle w:val="Leipteksti"/>
        <w:ind w:left="1304"/>
        <w:jc w:val="both"/>
      </w:pPr>
      <w:r>
        <w:t>Seuraavat tahot ilmoittivat, ettei niillä ole lausuttavaa tai huomautettavaa luonnokseen…</w:t>
      </w:r>
    </w:p>
    <w:p w14:paraId="3EC82DB0" w14:textId="77777777" w:rsidR="0006271A" w:rsidRPr="004B554F" w:rsidRDefault="0006271A" w:rsidP="00115462">
      <w:pPr>
        <w:pStyle w:val="Leipteksti"/>
        <w:ind w:left="1304"/>
        <w:jc w:val="both"/>
      </w:pPr>
      <w:r>
        <w:t>Lausunnot sisälsivät …</w:t>
      </w:r>
    </w:p>
    <w:p w14:paraId="208D84B1" w14:textId="77777777" w:rsidR="0006271A" w:rsidRDefault="0006271A" w:rsidP="00115462">
      <w:pPr>
        <w:pStyle w:val="Leipteksti"/>
        <w:ind w:left="1304"/>
        <w:jc w:val="both"/>
      </w:pPr>
      <w:r w:rsidRPr="00811CAF">
        <w:lastRenderedPageBreak/>
        <w:t>Lausuntojen perusteella mää</w:t>
      </w:r>
      <w:r>
        <w:t xml:space="preserve">räyksen pykäliin x, y, z </w:t>
      </w:r>
      <w:r w:rsidRPr="00811CAF">
        <w:t>sekä pe</w:t>
      </w:r>
      <w:r>
        <w:t>rustelu</w:t>
      </w:r>
      <w:r w:rsidRPr="00811CAF">
        <w:t>muistioon tehtiin muutoksia</w:t>
      </w:r>
      <w:r>
        <w:t>…</w:t>
      </w:r>
    </w:p>
    <w:p w14:paraId="70284647" w14:textId="77777777" w:rsidR="0006271A" w:rsidRPr="00FF76BB" w:rsidRDefault="0006271A" w:rsidP="0006271A">
      <w:pPr>
        <w:numPr>
          <w:ilvl w:val="0"/>
          <w:numId w:val="43"/>
        </w:numPr>
        <w:spacing w:after="220"/>
        <w:jc w:val="both"/>
        <w:rPr>
          <w:rFonts w:asciiTheme="majorHAnsi" w:eastAsia="Cambria" w:hAnsiTheme="majorHAnsi" w:cstheme="majorHAnsi"/>
          <w:b/>
        </w:rPr>
      </w:pPr>
      <w:r w:rsidRPr="00FF76BB">
        <w:rPr>
          <w:rFonts w:asciiTheme="majorHAnsi" w:eastAsia="Cambria" w:hAnsiTheme="majorHAnsi" w:cstheme="majorHAnsi"/>
          <w:b/>
        </w:rPr>
        <w:t>Määräyksen voimaantulo</w:t>
      </w:r>
    </w:p>
    <w:p w14:paraId="541CF2AD" w14:textId="5C6A4A19" w:rsidR="0006271A" w:rsidRDefault="0006271A" w:rsidP="0006271A">
      <w:pPr>
        <w:pStyle w:val="Leipteksti"/>
        <w:ind w:left="1304"/>
      </w:pPr>
      <w:r>
        <w:t xml:space="preserve">Määräys tulee voimaan </w:t>
      </w:r>
      <w:r w:rsidRPr="00407649">
        <w:t>xx päivänä xxxxkuuta 20</w:t>
      </w:r>
      <w:r>
        <w:t>20</w:t>
      </w:r>
      <w:r w:rsidR="000F4D5B">
        <w:t>.</w:t>
      </w:r>
    </w:p>
    <w:p w14:paraId="74A99B5D" w14:textId="77777777" w:rsidR="000F4D5B" w:rsidRDefault="000F4D5B" w:rsidP="0006271A">
      <w:pPr>
        <w:pStyle w:val="Leipteksti"/>
        <w:ind w:left="1304"/>
      </w:pPr>
    </w:p>
    <w:p w14:paraId="7596AB70" w14:textId="77777777" w:rsidR="007C7BCF" w:rsidRPr="007C7BCF" w:rsidRDefault="007C7BCF" w:rsidP="00115462">
      <w:pPr>
        <w:pStyle w:val="Otsikko2"/>
        <w:rPr>
          <w:rFonts w:eastAsia="Times New Roman"/>
        </w:rPr>
      </w:pPr>
      <w:r w:rsidRPr="007C7BCF">
        <w:rPr>
          <w:rFonts w:eastAsia="Times New Roman"/>
        </w:rPr>
        <w:t xml:space="preserve">Yksityiskohtaiset perustelut </w:t>
      </w:r>
    </w:p>
    <w:p w14:paraId="303BEAAA"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Soveltamisala</w:t>
      </w:r>
    </w:p>
    <w:p w14:paraId="7F2C8401" w14:textId="77777777" w:rsidR="00F151BC" w:rsidRDefault="00F151BC" w:rsidP="00F151BC">
      <w:pPr>
        <w:pStyle w:val="Leipteksti"/>
        <w:spacing w:after="0"/>
        <w:ind w:left="1304"/>
        <w:jc w:val="both"/>
      </w:pPr>
      <w:r>
        <w:t>Määräyksen 1 §:ssä säädetään määräyksen soveltamisalasta. Määräys koskee ydinenergian käytön turvajärjestelyjä</w:t>
      </w:r>
      <w:r w:rsidRPr="00CF4920">
        <w:t xml:space="preserve">. </w:t>
      </w:r>
      <w:r>
        <w:t xml:space="preserve">Ydinenergian käyttö on määritelty </w:t>
      </w:r>
      <w:proofErr w:type="spellStart"/>
      <w:r>
        <w:t>YEL:n</w:t>
      </w:r>
      <w:proofErr w:type="spellEnd"/>
      <w:r>
        <w:t xml:space="preserve"> 2 §:</w:t>
      </w:r>
      <w:proofErr w:type="spellStart"/>
      <w:r>
        <w:t>ssä</w:t>
      </w:r>
      <w:proofErr w:type="spellEnd"/>
      <w:r>
        <w:t xml:space="preserve">. Tarkentavia soveltamisalaa koskevia vaatimuksia on esitetty </w:t>
      </w:r>
      <w:proofErr w:type="spellStart"/>
      <w:r>
        <w:t>STUKin</w:t>
      </w:r>
      <w:proofErr w:type="spellEnd"/>
      <w:r>
        <w:t xml:space="preserve"> julkaisemissa YVL-ohjeissa. Elinkaariajattelu on esitetty määräyksessä, koska turvajärjestelyjä tarvitaan ydinlaitoksen elinkaaren kaikissa vaiheissa, mutta niiden taso vaihtelee riskin perusteella. Määräyksestä on poistettu elinkaariajattelua koskeva toisto. </w:t>
      </w:r>
    </w:p>
    <w:p w14:paraId="69D11937" w14:textId="77777777" w:rsidR="00F151BC" w:rsidRDefault="00F151BC" w:rsidP="00F151BC">
      <w:pPr>
        <w:pStyle w:val="Leipteksti"/>
        <w:spacing w:after="0"/>
        <w:ind w:left="1304"/>
        <w:jc w:val="both"/>
      </w:pPr>
    </w:p>
    <w:p w14:paraId="15C140C1" w14:textId="77777777" w:rsidR="00F151BC" w:rsidRDefault="00F151BC" w:rsidP="00F151BC">
      <w:pPr>
        <w:pStyle w:val="Leipteksti"/>
        <w:spacing w:after="0"/>
        <w:ind w:left="1304"/>
        <w:jc w:val="both"/>
      </w:pPr>
      <w:r>
        <w:t xml:space="preserve">Määräys koskee sellaisenaan ydinlaitoksia. Määräyksen 12 §:n 3. kohta koskee vain ydinvoimalaitoksia. Muuta ydinenergian käyttöä määräys koskee 1 §:ssä säädettyjen kohtien osalta. Määräystä ei sovelleta </w:t>
      </w:r>
      <w:proofErr w:type="spellStart"/>
      <w:r>
        <w:t>YEL:n</w:t>
      </w:r>
      <w:proofErr w:type="spellEnd"/>
      <w:r>
        <w:t xml:space="preserve"> 2 §:n 1 momentin kohdan 6) ja 2 §:n 2 momentin mukaiseen ydinenergian käyttöön.</w:t>
      </w:r>
    </w:p>
    <w:p w14:paraId="31DDE390" w14:textId="77777777" w:rsidR="00F151BC" w:rsidRDefault="00F151BC" w:rsidP="00F151BC">
      <w:pPr>
        <w:pStyle w:val="Leipteksti"/>
        <w:spacing w:after="0"/>
        <w:ind w:left="1304"/>
        <w:jc w:val="both"/>
      </w:pPr>
    </w:p>
    <w:p w14:paraId="286FCEAD" w14:textId="77777777" w:rsidR="00F151BC" w:rsidRDefault="00F151BC" w:rsidP="00F151BC">
      <w:pPr>
        <w:pStyle w:val="Leipteksti"/>
        <w:ind w:left="1304"/>
        <w:jc w:val="both"/>
      </w:pPr>
      <w:r>
        <w:t>Turvajärjestelyjen sisältö koostuu fyysisistä turvajärjestelyistä ja tietoturvallisuudesta. Osa-alueet tukevat toisiaan eikä niitä voida tai pidä käsitellä toisistaan riippumattomasti. Tietoturvallisuuden merkitystä digitalisoidussa laitosympäristössä on korostettu määräyksessä. Määräyksen selventämiseksi soveltamisalassa esitetyt kohdat on numeroitu.</w:t>
      </w:r>
    </w:p>
    <w:p w14:paraId="0E65948D" w14:textId="77777777" w:rsidR="007C0699" w:rsidRPr="00944C16" w:rsidRDefault="007C0699" w:rsidP="00177679">
      <w:pPr>
        <w:spacing w:after="220"/>
        <w:ind w:left="1304"/>
        <w:jc w:val="both"/>
        <w:rPr>
          <w:rFonts w:eastAsia="Cambria"/>
        </w:rPr>
      </w:pPr>
    </w:p>
    <w:p w14:paraId="0189B33B"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Määritelmät</w:t>
      </w:r>
    </w:p>
    <w:p w14:paraId="51045807" w14:textId="4BBBD7C8" w:rsidR="00F151BC" w:rsidRDefault="00F151BC" w:rsidP="00D729BF">
      <w:pPr>
        <w:autoSpaceDE w:val="0"/>
        <w:autoSpaceDN w:val="0"/>
        <w:adjustRightInd w:val="0"/>
        <w:ind w:left="1304"/>
        <w:jc w:val="both"/>
      </w:pPr>
      <w:r>
        <w:t xml:space="preserve">Määräyksen 2 §:ssä on esitetty määräyksessä käytetyt määritelmät. Määritelmää </w:t>
      </w:r>
      <w:r w:rsidR="00732DA4">
        <w:t>2</w:t>
      </w:r>
      <w:r>
        <w:t xml:space="preserve">) </w:t>
      </w:r>
      <w:r>
        <w:rPr>
          <w:rFonts w:eastAsia="Times New Roman" w:cs="Times New Roman"/>
          <w:i/>
          <w:lang w:eastAsia="fi-FI"/>
        </w:rPr>
        <w:t>turvajärjestelyvyöhyke</w:t>
      </w:r>
      <w:r>
        <w:t xml:space="preserve"> ei ollut määräystä edeltäneessä valtioneuvoston asetuksessa. Sitä käytetään ohjeessa YVL A.11 Ydinlaitoksen turvajärjestelyt. Määrittelyllä selvennetään ydinturvallisuudessa käytetyn turvallisuusvyöhykkeen ja turva</w:t>
      </w:r>
      <w:r w:rsidR="00D729BF">
        <w:softHyphen/>
      </w:r>
      <w:r>
        <w:t xml:space="preserve">järjestelyissä käytetyn turvajärjestelyvyöhykkeen eroa, jotta väärinymmärryksiltä vältytään. </w:t>
      </w:r>
    </w:p>
    <w:p w14:paraId="2EB1E354" w14:textId="77777777" w:rsidR="00F151BC" w:rsidRDefault="00F151BC" w:rsidP="00D729BF">
      <w:pPr>
        <w:autoSpaceDE w:val="0"/>
        <w:autoSpaceDN w:val="0"/>
        <w:adjustRightInd w:val="0"/>
        <w:ind w:left="1304"/>
        <w:jc w:val="both"/>
      </w:pPr>
    </w:p>
    <w:p w14:paraId="796ADEBC" w14:textId="7E275715" w:rsidR="00F151BC" w:rsidRDefault="00F151BC" w:rsidP="00D729BF">
      <w:pPr>
        <w:autoSpaceDE w:val="0"/>
        <w:autoSpaceDN w:val="0"/>
        <w:adjustRightInd w:val="0"/>
        <w:ind w:left="1304"/>
        <w:jc w:val="both"/>
      </w:pPr>
      <w:r w:rsidRPr="002D5532">
        <w:t>Turvajärjestelyjen</w:t>
      </w:r>
      <w:r>
        <w:t>, ydinenergian käytön</w:t>
      </w:r>
      <w:r w:rsidRPr="002D5532">
        <w:t xml:space="preserve"> ja ydinlaitoksen määritelmät ovat ydinenergia</w:t>
      </w:r>
      <w:r w:rsidR="00D729BF">
        <w:softHyphen/>
      </w:r>
      <w:r w:rsidRPr="002D5532">
        <w:t>laissa</w:t>
      </w:r>
      <w:r>
        <w:t xml:space="preserve"> eikä niitä siksi toisteta tässä määräyksessä</w:t>
      </w:r>
      <w:r w:rsidRPr="002D5532">
        <w:t>.</w:t>
      </w:r>
    </w:p>
    <w:p w14:paraId="13EFCE9B" w14:textId="77777777" w:rsidR="00F151BC" w:rsidRDefault="00F151BC" w:rsidP="00D729BF">
      <w:pPr>
        <w:autoSpaceDE w:val="0"/>
        <w:autoSpaceDN w:val="0"/>
        <w:adjustRightInd w:val="0"/>
        <w:ind w:left="1304"/>
        <w:jc w:val="both"/>
      </w:pPr>
    </w:p>
    <w:p w14:paraId="5A06EDA4" w14:textId="3F0FCF3E" w:rsidR="00F151BC" w:rsidRDefault="00F151BC" w:rsidP="00D729BF">
      <w:pPr>
        <w:autoSpaceDE w:val="0"/>
        <w:autoSpaceDN w:val="0"/>
        <w:adjustRightInd w:val="0"/>
        <w:ind w:left="1304"/>
        <w:jc w:val="both"/>
      </w:pPr>
      <w:r>
        <w:t xml:space="preserve">Määritelmistä on </w:t>
      </w:r>
      <w:r w:rsidR="00F134C3">
        <w:t xml:space="preserve">tässä päivityksessä </w:t>
      </w:r>
      <w:r>
        <w:t xml:space="preserve">poistettu </w:t>
      </w:r>
      <w:r>
        <w:rPr>
          <w:rFonts w:eastAsia="Times New Roman" w:cs="Times New Roman"/>
          <w:i/>
          <w:iCs/>
          <w:lang w:eastAsia="fi-FI"/>
        </w:rPr>
        <w:t>lainvastainen</w:t>
      </w:r>
      <w:r w:rsidRPr="0034057C">
        <w:rPr>
          <w:rFonts w:eastAsia="Times New Roman" w:cs="Times New Roman"/>
          <w:i/>
          <w:iCs/>
          <w:lang w:eastAsia="fi-FI"/>
        </w:rPr>
        <w:t xml:space="preserve"> toimin</w:t>
      </w:r>
      <w:r>
        <w:rPr>
          <w:rFonts w:eastAsia="Times New Roman" w:cs="Times New Roman"/>
          <w:i/>
          <w:iCs/>
          <w:lang w:eastAsia="fi-FI"/>
        </w:rPr>
        <w:t>ta,</w:t>
      </w:r>
      <w:r>
        <w:rPr>
          <w:rFonts w:eastAsia="Times New Roman" w:cs="Times New Roman"/>
          <w:iCs/>
          <w:lang w:eastAsia="fi-FI"/>
        </w:rPr>
        <w:t xml:space="preserve"> koska ydinenergialain muutoksen myötä turvajärjestelyjen määritelmää on muutettu. Muutosehdotus on perusteltu lakia koskevassa hallituksen esityksessä </w:t>
      </w:r>
      <w:r w:rsidRPr="003A7212">
        <w:rPr>
          <w:rFonts w:eastAsia="Times New Roman" w:cs="Times New Roman"/>
          <w:iCs/>
          <w:lang w:eastAsia="fi-FI"/>
        </w:rPr>
        <w:t>HE 8/20</w:t>
      </w:r>
      <w:r>
        <w:rPr>
          <w:rFonts w:eastAsia="Times New Roman" w:cs="Times New Roman"/>
          <w:iCs/>
          <w:lang w:eastAsia="fi-FI"/>
        </w:rPr>
        <w:t>20. Samalla määritelmien numerointi on muuttunut aiemmasta määräyksestä.</w:t>
      </w:r>
      <w:r>
        <w:t xml:space="preserve"> </w:t>
      </w:r>
      <w:r w:rsidR="00C45744">
        <w:t>Lisäksi määritelmistä on poistettu suunnitteluperusteuhka, koska se on määritelty ydinenergia-asetuksen 1 §:</w:t>
      </w:r>
      <w:proofErr w:type="spellStart"/>
      <w:r w:rsidR="00C45744">
        <w:t>ssä</w:t>
      </w:r>
      <w:proofErr w:type="spellEnd"/>
      <w:r w:rsidR="00C45744">
        <w:t xml:space="preserve">. </w:t>
      </w:r>
    </w:p>
    <w:p w14:paraId="2934DB8A" w14:textId="77777777" w:rsidR="00F151BC" w:rsidRDefault="00F151BC" w:rsidP="00D729BF">
      <w:pPr>
        <w:autoSpaceDE w:val="0"/>
        <w:autoSpaceDN w:val="0"/>
        <w:adjustRightInd w:val="0"/>
        <w:ind w:left="1304"/>
        <w:jc w:val="both"/>
      </w:pPr>
    </w:p>
    <w:p w14:paraId="71D5D0F8" w14:textId="509882D2" w:rsidR="00F151BC" w:rsidRDefault="00F151BC" w:rsidP="00D729BF">
      <w:pPr>
        <w:autoSpaceDE w:val="0"/>
        <w:autoSpaceDN w:val="0"/>
        <w:adjustRightInd w:val="0"/>
        <w:ind w:left="1304"/>
        <w:jc w:val="both"/>
      </w:pPr>
      <w:r>
        <w:lastRenderedPageBreak/>
        <w:t xml:space="preserve">Määritelmää 1) </w:t>
      </w:r>
      <w:r>
        <w:rPr>
          <w:i/>
        </w:rPr>
        <w:t>riskianalyysi</w:t>
      </w:r>
      <w:r>
        <w:t xml:space="preserve"> on </w:t>
      </w:r>
      <w:r w:rsidR="00C45744">
        <w:t>tarkennettu sisällön osalta</w:t>
      </w:r>
      <w:r w:rsidR="00985BF1">
        <w:t xml:space="preserve"> vastaamaan riskianalyysin yleistä kuvausta</w:t>
      </w:r>
      <w:r w:rsidR="00C45744">
        <w:t>.</w:t>
      </w:r>
      <w:r>
        <w:t xml:space="preserve"> </w:t>
      </w:r>
    </w:p>
    <w:p w14:paraId="32BEB0EE" w14:textId="77777777" w:rsidR="00F151BC" w:rsidRPr="00FA1F8A" w:rsidRDefault="00F151BC" w:rsidP="00D729BF">
      <w:pPr>
        <w:autoSpaceDE w:val="0"/>
        <w:autoSpaceDN w:val="0"/>
        <w:adjustRightInd w:val="0"/>
        <w:ind w:left="1304"/>
        <w:jc w:val="both"/>
      </w:pPr>
    </w:p>
    <w:p w14:paraId="1F76F9F5" w14:textId="77777777" w:rsidR="00F151BC" w:rsidRDefault="00F151BC" w:rsidP="00D729BF">
      <w:pPr>
        <w:autoSpaceDE w:val="0"/>
        <w:autoSpaceDN w:val="0"/>
        <w:adjustRightInd w:val="0"/>
        <w:ind w:left="1304"/>
        <w:jc w:val="both"/>
      </w:pPr>
    </w:p>
    <w:p w14:paraId="248E7207" w14:textId="47ED7515" w:rsidR="00F151BC" w:rsidRPr="00FA1F8A" w:rsidRDefault="00F151BC" w:rsidP="00D729BF">
      <w:pPr>
        <w:autoSpaceDE w:val="0"/>
        <w:autoSpaceDN w:val="0"/>
        <w:adjustRightInd w:val="0"/>
        <w:ind w:left="1304"/>
        <w:jc w:val="both"/>
      </w:pPr>
      <w:r>
        <w:t xml:space="preserve">Määritelmää </w:t>
      </w:r>
      <w:r w:rsidR="00732DA4">
        <w:t>3</w:t>
      </w:r>
      <w:r>
        <w:t xml:space="preserve">) </w:t>
      </w:r>
      <w:r>
        <w:rPr>
          <w:i/>
        </w:rPr>
        <w:t xml:space="preserve">uhkatilanne, </w:t>
      </w:r>
      <w:r>
        <w:t xml:space="preserve">on tarkennettu </w:t>
      </w:r>
      <w:proofErr w:type="spellStart"/>
      <w:r>
        <w:t>YEL:n</w:t>
      </w:r>
      <w:proofErr w:type="spellEnd"/>
      <w:r>
        <w:t xml:space="preserve"> muutoksen vuoksi. Turva</w:t>
      </w:r>
      <w:r w:rsidR="00D729BF">
        <w:softHyphen/>
      </w:r>
      <w:r>
        <w:t xml:space="preserve">järjestelyjen määritelmää on muutettu </w:t>
      </w:r>
      <w:proofErr w:type="spellStart"/>
      <w:r>
        <w:t>YEL:ssa</w:t>
      </w:r>
      <w:proofErr w:type="spellEnd"/>
      <w:r>
        <w:t>.</w:t>
      </w:r>
    </w:p>
    <w:p w14:paraId="07B940CD" w14:textId="77777777" w:rsidR="00F151BC" w:rsidRDefault="00F151BC" w:rsidP="00D729BF">
      <w:pPr>
        <w:autoSpaceDE w:val="0"/>
        <w:autoSpaceDN w:val="0"/>
        <w:adjustRightInd w:val="0"/>
        <w:ind w:left="1304"/>
        <w:jc w:val="both"/>
      </w:pPr>
    </w:p>
    <w:p w14:paraId="68F7AC2C" w14:textId="7BB18C14" w:rsidR="00F151BC" w:rsidRDefault="00F151BC" w:rsidP="00D729BF">
      <w:pPr>
        <w:autoSpaceDE w:val="0"/>
        <w:autoSpaceDN w:val="0"/>
        <w:adjustRightInd w:val="0"/>
        <w:ind w:left="1304"/>
        <w:jc w:val="both"/>
      </w:pPr>
      <w:r>
        <w:t xml:space="preserve">Määritelmää </w:t>
      </w:r>
      <w:r w:rsidR="00732DA4">
        <w:t>4</w:t>
      </w:r>
      <w:r>
        <w:t xml:space="preserve">) </w:t>
      </w:r>
      <w:r w:rsidRPr="008D0394">
        <w:rPr>
          <w:i/>
        </w:rPr>
        <w:t>vaarallinen esine</w:t>
      </w:r>
      <w:r>
        <w:t xml:space="preserve"> on nyt päivityksen yhteydessä</w:t>
      </w:r>
      <w:r w:rsidRPr="0009545D">
        <w:t xml:space="preserve"> selvennetty</w:t>
      </w:r>
      <w:r w:rsidR="00E214F6">
        <w:t xml:space="preserve"> ja muokattu kattamaan muunkin ydinenergian käytön kuin ydinlaitokset</w:t>
      </w:r>
      <w:r>
        <w:t>.</w:t>
      </w:r>
    </w:p>
    <w:p w14:paraId="0094FA91" w14:textId="77777777" w:rsidR="00F151BC" w:rsidRDefault="00F151BC" w:rsidP="00D729BF">
      <w:pPr>
        <w:autoSpaceDE w:val="0"/>
        <w:autoSpaceDN w:val="0"/>
        <w:adjustRightInd w:val="0"/>
        <w:ind w:left="1304"/>
        <w:jc w:val="both"/>
      </w:pPr>
    </w:p>
    <w:p w14:paraId="1EDCFE63" w14:textId="138D004E"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151BC" w:rsidRPr="00F151BC">
        <w:rPr>
          <w:rFonts w:eastAsia="Times New Roman"/>
          <w:b/>
          <w:lang w:eastAsia="fi-FI"/>
        </w:rPr>
        <w:t>Yleiset turvajärjestelyjen suunnitteluperusteet</w:t>
      </w:r>
    </w:p>
    <w:p w14:paraId="5D51CB3D" w14:textId="63162325" w:rsidR="00F151BC" w:rsidRDefault="00F151BC" w:rsidP="00F151BC">
      <w:pPr>
        <w:autoSpaceDE w:val="0"/>
        <w:autoSpaceDN w:val="0"/>
        <w:adjustRightInd w:val="0"/>
        <w:ind w:left="1304"/>
        <w:jc w:val="both"/>
      </w:pPr>
      <w:r>
        <w:t xml:space="preserve">Määräyksen 3 §:ssä on säädetty turvajärjestelyjen yleisistä suunnitteluperusteista. Otsikointia on tarkennettu ja sanamuotoja päivitetty sekä viittausmerkinnät ja terminologiaa korjattu vastaamaan nykyistä sääntelytekniikkaa. </w:t>
      </w:r>
      <w:r w:rsidRPr="00691D13">
        <w:t>Turvajärjestelyt on otettava huomioon paitsi toiminnan suunnittelussa myös ydinlaitoksen järjestelmien, rakenteiden ja laitteiden</w:t>
      </w:r>
      <w:r>
        <w:t xml:space="preserve"> </w:t>
      </w:r>
      <w:r w:rsidRPr="00691D13">
        <w:t xml:space="preserve">suunnittelussa ja sijoittelussa. </w:t>
      </w:r>
      <w:r>
        <w:t>Turvajärjestelyjen suunnittelu</w:t>
      </w:r>
      <w:r w:rsidR="003A7212">
        <w:softHyphen/>
      </w:r>
      <w:r>
        <w:t>perusteena edellytetään käytettävän riskianalyysejä sekä suunnitteluperusteuhkaa ja YVL-ohjeita. 3 §:s</w:t>
      </w:r>
      <w:r w:rsidR="007C207F">
        <w:t>s</w:t>
      </w:r>
      <w:r>
        <w:t xml:space="preserve">ä </w:t>
      </w:r>
      <w:r w:rsidR="007C207F">
        <w:t>ei ole</w:t>
      </w:r>
      <w:r>
        <w:t xml:space="preserve"> määritelty </w:t>
      </w:r>
      <w:r w:rsidR="007C207F">
        <w:t xml:space="preserve">tarkemmin </w:t>
      </w:r>
      <w:r>
        <w:t xml:space="preserve">lainvastaiseen toimintaan mahdollisesti ryhtyvän tahon </w:t>
      </w:r>
      <w:r w:rsidR="007C207F">
        <w:t>kykyjä</w:t>
      </w:r>
      <w:r>
        <w:t xml:space="preserve">, koska ne ja muut uhkat on esitetty yksityiskohtaisesti suunnitteluperusteuhkassa, joka on salassa pidettävä ja turvallisuusluokiteltu viranomaisten toiminnan julkisuudesta annetun lain (621/1999) 24.1 §:n perusteella. </w:t>
      </w:r>
    </w:p>
    <w:p w14:paraId="25EEC1F2" w14:textId="77777777" w:rsidR="00F151BC" w:rsidRDefault="00F151BC" w:rsidP="00F151BC">
      <w:pPr>
        <w:autoSpaceDE w:val="0"/>
        <w:autoSpaceDN w:val="0"/>
        <w:adjustRightInd w:val="0"/>
        <w:ind w:left="1304"/>
        <w:jc w:val="both"/>
      </w:pPr>
    </w:p>
    <w:p w14:paraId="53933223" w14:textId="77777777" w:rsidR="00F151BC" w:rsidRDefault="00F151BC" w:rsidP="00F151BC">
      <w:pPr>
        <w:pStyle w:val="Leipteksti"/>
        <w:ind w:left="1304"/>
        <w:jc w:val="both"/>
      </w:pPr>
      <w:r>
        <w:t xml:space="preserve">Ydinlaitoksen turvallisuuden varmistamiseksi on tärkeää, että turvajärjestelyt on sovitettu yhteen käyttötoiminnan, paloturvallisuuden ja valmiusjärjestelyjen kanssa ja että ne on sovitettu yhteen asianomaisten viranomaisten suunnitelmien kanssa. IAEA:n turvajärjestelyjä koskevassa suosituksessa (NSS No. 13, </w:t>
      </w:r>
      <w:r w:rsidRPr="007264A9">
        <w:t>3.28, 3.36</w:t>
      </w:r>
      <w:r>
        <w:t>) esitetty ydinmateriaalivalvonnan rajapinta on lisätty määräykseen.</w:t>
      </w:r>
    </w:p>
    <w:p w14:paraId="50F73EA8" w14:textId="46B6BF2D" w:rsidR="00F151BC" w:rsidRDefault="007C207F" w:rsidP="00F151BC">
      <w:pPr>
        <w:pStyle w:val="Leipteksti"/>
        <w:ind w:left="1304"/>
        <w:jc w:val="both"/>
      </w:pPr>
      <w:r>
        <w:t>S</w:t>
      </w:r>
      <w:r w:rsidR="00F151BC">
        <w:t>uunnitteluperusteuh</w:t>
      </w:r>
      <w:r w:rsidR="00985BF1">
        <w:t>k</w:t>
      </w:r>
      <w:r w:rsidR="00F151BC">
        <w:t>an laatimisvastuu</w:t>
      </w:r>
      <w:r w:rsidR="00B74F3A">
        <w:t>sta</w:t>
      </w:r>
      <w:r w:rsidR="00F151BC">
        <w:t xml:space="preserve"> </w:t>
      </w:r>
      <w:r>
        <w:t>on</w:t>
      </w:r>
      <w:r w:rsidR="00B74F3A">
        <w:t xml:space="preserve"> säädetty</w:t>
      </w:r>
      <w:r w:rsidR="00F151BC">
        <w:t xml:space="preserve"> ydinenergia-</w:t>
      </w:r>
      <w:r>
        <w:t xml:space="preserve">asetuksessa </w:t>
      </w:r>
      <w:r w:rsidR="00F151BC" w:rsidRPr="00082BC3">
        <w:t>(161/1988)</w:t>
      </w:r>
      <w:r w:rsidR="00F151BC">
        <w:t>, 146 § 1 momentti</w:t>
      </w:r>
      <w:r w:rsidR="00B74F3A">
        <w:t>, ja siitä vastaa Säteilyturvakeskus</w:t>
      </w:r>
      <w:r w:rsidR="00F151BC">
        <w:t xml:space="preserve">. Suunnitteluperusteuhka on laadittu ja se perustuu Suojelupoliisin toimittamaan uhkakuvaan. </w:t>
      </w:r>
      <w:r w:rsidR="00B63538">
        <w:t>Y</w:t>
      </w:r>
      <w:r w:rsidR="00F151BC">
        <w:t>dinenergia-asetukseen 146 § 2 momenti</w:t>
      </w:r>
      <w:r w:rsidR="00B63538">
        <w:t>ssa säädetään lainvastaisen toiminnan uhkakuvan määrittämisestä tai sen laatimisesta</w:t>
      </w:r>
      <w:r w:rsidR="00F151BC">
        <w:t xml:space="preserve">, </w:t>
      </w:r>
      <w:r w:rsidR="00B63538">
        <w:t xml:space="preserve">josta aiemmin vastasi </w:t>
      </w:r>
      <w:r w:rsidR="00F151BC">
        <w:t>Poliisihallitus. Ydinenergia-asetuksen 146 § 2 momenttia muutettiin (1001/2017) siten, että uhkakuvan määrittelemisestä vastaa nyt Suojelupoliisi.</w:t>
      </w:r>
    </w:p>
    <w:p w14:paraId="7C294557" w14:textId="77777777" w:rsidR="007C0699" w:rsidRPr="00944C16" w:rsidRDefault="007C0699" w:rsidP="00892FAA">
      <w:pPr>
        <w:tabs>
          <w:tab w:val="left" w:pos="1304"/>
        </w:tabs>
        <w:spacing w:before="120" w:after="120"/>
        <w:ind w:left="1304"/>
        <w:jc w:val="both"/>
        <w:rPr>
          <w:rFonts w:eastAsia="Times New Roman"/>
          <w:lang w:eastAsia="fi-FI"/>
        </w:rPr>
      </w:pPr>
    </w:p>
    <w:p w14:paraId="41A46A6E" w14:textId="0CD2779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151BC" w:rsidRPr="00F151BC">
        <w:rPr>
          <w:rFonts w:eastAsia="Times New Roman"/>
          <w:b/>
          <w:lang w:eastAsia="fi-FI"/>
        </w:rPr>
        <w:t>Ydinenergian käytön yleissuunnittelu</w:t>
      </w:r>
    </w:p>
    <w:p w14:paraId="13F67CC6" w14:textId="77777777" w:rsidR="00F151BC" w:rsidRDefault="00F151BC" w:rsidP="00DF06BB">
      <w:pPr>
        <w:pStyle w:val="Leipteksti"/>
        <w:spacing w:after="0"/>
        <w:ind w:left="1304"/>
        <w:jc w:val="both"/>
      </w:pPr>
      <w:r>
        <w:t>Määräyksen 4 §:n otsikkoa on muutettu, koska osa siinä asetetuista vaatimuksista koskee myös muuta ydinenergian käyttöä kuin ydinlaitoksia (soveltamisalan tarkempi määrittely). Kyseisessä pykälässä on esitetty tarkemmin yleissuunnittelua koskevat määräykset. Koska 4 § koskee kokonaisuudessaan ydinlaitoksen yleissuunnittelua, on eri kohdista poistettu termi ydinlaitos. Tämä on perusteltua myös siksi, että osa säädöksen alakohdista koskee myös muuta ydinenergian käyttöä.</w:t>
      </w:r>
    </w:p>
    <w:p w14:paraId="721D6EED" w14:textId="77777777" w:rsidR="00F151BC" w:rsidRDefault="00F151BC" w:rsidP="00FE3516">
      <w:pPr>
        <w:pStyle w:val="Leipteksti"/>
        <w:spacing w:after="0"/>
        <w:ind w:left="1304"/>
      </w:pPr>
    </w:p>
    <w:p w14:paraId="6E35605F" w14:textId="6BD0F869" w:rsidR="00F151BC" w:rsidRDefault="00F151BC" w:rsidP="00DF06BB">
      <w:pPr>
        <w:pStyle w:val="Leipteksti"/>
        <w:spacing w:after="0"/>
        <w:ind w:left="1304"/>
        <w:jc w:val="both"/>
      </w:pPr>
      <w:r>
        <w:t>Kohdassa 1 on säädetty turvallisuuden kannalta tärkeiden kohteiden suojaaminen tehokkaasti. Tehokkuuden arvioinnissa on otettava huomioon sekä suunnittelu</w:t>
      </w:r>
      <w:r w:rsidR="003A7212">
        <w:softHyphen/>
      </w:r>
      <w:r>
        <w:lastRenderedPageBreak/>
        <w:t xml:space="preserve">perusteuhka että riskianalyysit. Luvanhaltijan on arvioitava turvajärjestelyt siten, että määräyksen tavoite täyttyy. Tämä edellyttää käytännössä suunnitteluperusteuhkan ja ohjeiden YVL A.11 ja YVL A.12 vaatimusten täyttymisen arviointia. Vaatimus korostaa myös luvanhaltijan vastuuta arvioida esim. muutostöitä tehtäessä toteutettavien muutosten soveltuvuus- ja tehokkuusselvitykset ottaen huomioon turvajärjestelyjen tarkoitus. Kohtaan 1 on lisätty sana </w:t>
      </w:r>
      <w:r w:rsidR="00B63538">
        <w:t>’</w:t>
      </w:r>
      <w:r>
        <w:t>säilytys</w:t>
      </w:r>
      <w:r w:rsidR="00B63538">
        <w:t>’,</w:t>
      </w:r>
      <w:r>
        <w:t xml:space="preserve"> koska ydinmateriaalien ja –jätteen sijoituspaikat esim. ydinainekuljetuksissa vaihtuvat ja ovat tilapäisiä säilytyspaikkoja.</w:t>
      </w:r>
    </w:p>
    <w:p w14:paraId="10BF1A78" w14:textId="77777777" w:rsidR="00F151BC" w:rsidRDefault="00F151BC" w:rsidP="00FE3516">
      <w:pPr>
        <w:pStyle w:val="Leipteksti"/>
        <w:spacing w:after="0"/>
        <w:ind w:left="1304"/>
      </w:pPr>
    </w:p>
    <w:p w14:paraId="0E672E1C" w14:textId="6653E90F" w:rsidR="00F151BC" w:rsidRDefault="00F151BC" w:rsidP="00DF06BB">
      <w:pPr>
        <w:pStyle w:val="Leipteksti"/>
        <w:ind w:left="1304"/>
        <w:jc w:val="both"/>
      </w:pPr>
      <w:r>
        <w:t>Kohdassa 2 on säädetty syvyyssuuntaisen puolustusperiaatteen (defence-in-depth) käyttämisestä asettamalla eri turvajärjestelyvyöhykkeitä. Tämä mahdollistaa havaitsemisen, viivästämisen ja vasteen mahdollisimman tehokkaasti ydin- tai säteily</w:t>
      </w:r>
      <w:r w:rsidR="001F5F08">
        <w:softHyphen/>
      </w:r>
      <w:r>
        <w:t>turvallisuutta vaarantavaa toimintaa vastaan sekä noudattaa syvyyssuuntaista puolustusperiaatetta. Sanamuotoa on muokattu riskiperusteisen lähestymistavan mukaiseksi.</w:t>
      </w:r>
    </w:p>
    <w:p w14:paraId="2760AAB6" w14:textId="3C20E10E" w:rsidR="00F151BC" w:rsidRDefault="00F151BC" w:rsidP="00DF06BB">
      <w:pPr>
        <w:pStyle w:val="Leipteksti"/>
        <w:ind w:left="1304"/>
        <w:jc w:val="both"/>
      </w:pPr>
      <w:r>
        <w:t>Määräyksen 4 §:ään on lisätty kohta 3, joka on vaatimus turvajärjestelyvyöhykkeiden asettamisen perusteeksi: ydinlaitoksen turvajärjestelyvyöhykkeitä suunniteltaessa perusteena on oltava ydin- ja säteilyturvallisuus sekä turvajärjestelyjen tehokas toteuttaminen. Liikkumis- ja oleskelurajoitusalueeksi (ydinvoimalaitoksilla voimalaitosalue) ei hyväksytä aluetta, jolla ei ole merkitystä ydin- ja säteily</w:t>
      </w:r>
      <w:r w:rsidR="001F5F08">
        <w:softHyphen/>
      </w:r>
      <w:r>
        <w:t>turvallisuudelle tai turvajärjestelyjen tehokkaalle toteuttamiselle ydinlaitoksella. Esim. majoituskylä ei kuulu turvajärjestelyjen kannalta liikkumis- ja oleskelurajoitusalueelle, koska siellä tulevat noudatettavaksi myös kotirauhaa koskevat säännökset.</w:t>
      </w:r>
    </w:p>
    <w:p w14:paraId="4281C6FB" w14:textId="2EFEE7AF" w:rsidR="00F151BC" w:rsidRDefault="00F151BC" w:rsidP="00DF06BB">
      <w:pPr>
        <w:pStyle w:val="Leipteksti"/>
        <w:ind w:left="1304"/>
        <w:jc w:val="both"/>
      </w:pPr>
      <w:r>
        <w:t xml:space="preserve">Kohdassa 4 on säädetty käytettäväksi turvajärjestelyvyöhykkeitä muodostamaan tehokkaat ja tarkoituksenmukaiset turvajärjestelyt ydin- tai säteilyturvallisuutta vaarantavaa toimintaa vastaan. Tämä on perusteltua turvajärjestelyjen tarkoituksen varmistamiseksi. Esitetty sanamuoto perustuu siihen, että </w:t>
      </w:r>
      <w:r w:rsidRPr="00B9545F">
        <w:t xml:space="preserve">ei arvioida </w:t>
      </w:r>
      <w:r>
        <w:t xml:space="preserve">pelkästään rajapintojen kestävyyttä, vaan koko turvajärjestelyvyöhykettä ja sillä toteutettavia turvajärjestelyjä kokonaisuutena. Tehokkuuden arvioimisessa on käytettävä suunnitteluperusteuhkaa ja esitettävä, miten se torjutaan.  </w:t>
      </w:r>
    </w:p>
    <w:p w14:paraId="3D66EE99" w14:textId="598A3757" w:rsidR="00F151BC" w:rsidRDefault="00F151BC" w:rsidP="00DF06BB">
      <w:pPr>
        <w:pStyle w:val="Leipteksti"/>
        <w:ind w:left="1304"/>
        <w:jc w:val="both"/>
      </w:pPr>
      <w:r>
        <w:t>Kohdassa 4 on säädetty lisäksi esim. valvontajärjestelmien käyttämisestä havaitsemisen mahdollistamiseksi. Valvontajärjestelmät ovat osa ydinlaitoksen turvallisuuden kannalta tärkeitä järjestelmiä, koska niihin mahdollisesti kohdistuva lainvastainen toiminta voisi vaarantaa turvajärjestelyjen tarkoituksen ja välillisesti vaikuttaa myös ydinturvallisuuteen. Havaitsemisen osalta on vaatimusta lievennetty, koska kaikkia uhkatilanteita ei voida havaita koko ajan aukottomasti eikä vaatimuksen täyttäminen siten ole aina mahdollista.</w:t>
      </w:r>
    </w:p>
    <w:p w14:paraId="30DC4464" w14:textId="29C0C740" w:rsidR="00F151BC" w:rsidRDefault="00F151BC" w:rsidP="00DF06BB">
      <w:pPr>
        <w:pStyle w:val="Leipteksti"/>
        <w:ind w:left="1304"/>
        <w:jc w:val="both"/>
      </w:pPr>
      <w:r>
        <w:t xml:space="preserve">Kohdassa 5 on velvoitettu käyttämään eri järjestelmien ja muiden tärkeiden kohteiden suunnittelussa ja ylläpidossa tarkoituksenmukaisia tietoturvallisuusperiaatteita. </w:t>
      </w:r>
      <w:r w:rsidR="005B4C65">
        <w:t>K</w:t>
      </w:r>
      <w:r>
        <w:t>äytettävien periaatteiden on oltava tarkoituksenmukaisia</w:t>
      </w:r>
      <w:r w:rsidR="005B4C65">
        <w:t>, ja</w:t>
      </w:r>
      <w:r>
        <w:t xml:space="preserve"> </w:t>
      </w:r>
      <w:r w:rsidR="005B4C65">
        <w:t xml:space="preserve">ylläpito </w:t>
      </w:r>
      <w:r>
        <w:t>on olennainen osa tietoturvallisuutta koko ydinlaitoksen elinkaaren ajan. Havaitseminen ja estäminen eivät yksinään riitä, ja vahingollisten seurausten rajoittami</w:t>
      </w:r>
      <w:r w:rsidR="005B4C65">
        <w:t>nen</w:t>
      </w:r>
      <w:r>
        <w:t xml:space="preserve"> </w:t>
      </w:r>
      <w:r w:rsidR="005B4C65">
        <w:t xml:space="preserve">on oleellinen </w:t>
      </w:r>
      <w:r>
        <w:t xml:space="preserve">osa vaatimusta. Tehokkuuden arvioimisessa on käytettävä suunnitteluperusteuhkaa ja esitettävä, miten se torjutaan. On esitettävä, miten tiettyihin ratkaisuihin on päädytty ja miten niillä torjutaan ydin- tai säteilyturvallisuutta vaarantava toiminta. Tämä edellyttää ratkaisujen arviointia esim. suunnitteluperusteuhkaa vasten. Kohtaan on lisätty </w:t>
      </w:r>
      <w:r>
        <w:lastRenderedPageBreak/>
        <w:t>tietoturvallisuutta koskevien suunnitelmien vaatimus, koska tietoturvallisuusmenettelyt on toteutettava suunnitelmallisesti.</w:t>
      </w:r>
    </w:p>
    <w:p w14:paraId="0D387DE2" w14:textId="06D67D07" w:rsidR="00F151BC" w:rsidRDefault="00F151BC" w:rsidP="00DF06BB">
      <w:pPr>
        <w:pStyle w:val="Leipteksti"/>
        <w:ind w:left="1304"/>
        <w:jc w:val="both"/>
      </w:pPr>
      <w:r>
        <w:t xml:space="preserve">Turvajärjestelyjen yksi osa-alue on tietoturvallisuus. Ydin- tai säteilyturvallisuutta vaarantava toiminta voi pyrkiä hyödyntämään hyökkäysreittinä tietojärjestelmiä, jotka on suojattava asianmukaisesti. Kohtaa 5) on muokattu siten, että vaatimus ei koske vain tieto-, tietoliikenne- ja automaatiojärjestelmiä, vaan järjestelmiä ja laitteita kokonaisuutena. Sana kehittyneet on poistettu, koska se määrittelee toteutustavan, jonka arviointi on luvanhaltijan tehtävä. </w:t>
      </w:r>
      <w:r w:rsidR="005B4C65">
        <w:t>L</w:t>
      </w:r>
      <w:r>
        <w:t xml:space="preserve">uvaton toiminta kattaa myös luvattoman pääsyn. Tietoturvallisuuspoikkeamien havaitseminen ja estäminen on tärkeää, koska se voi paljastaa myös muun kuin luvattoman toiminnan kautta ydinturvallisuudelle tärkeisiin järjestelmiin kohdistuvan tietoturvallisuusuhkan. </w:t>
      </w:r>
    </w:p>
    <w:p w14:paraId="4B41FA81" w14:textId="770961CB" w:rsidR="00F151BC" w:rsidRDefault="00F151BC" w:rsidP="00DF06BB">
      <w:pPr>
        <w:pStyle w:val="Leipteksti"/>
        <w:ind w:left="1304"/>
        <w:jc w:val="both"/>
      </w:pPr>
      <w:r>
        <w:t>Kohdassa 6 on esitetty vaatimus siitä, että tietoturvallisuusuhkista johtuvien poikkeavien tilanteiden hallintaan on varauduttava. Tämä koskee kaikkea ydinenergian käyttöä, johon määräystä sovelletaan. Tämä on perusteltua jatkuvuussuunnittelun ja toipumisen näkökulmasta. Tietoturvallisuusuhkiin on varauduttava ja niitä on käsiteltävä. Esim. nykyisissä ydinlaitoksissa monet järjestelmät tukeutuvat tieto</w:t>
      </w:r>
      <w:r w:rsidR="00FE3516">
        <w:softHyphen/>
      </w:r>
      <w:r>
        <w:t xml:space="preserve">järjestelmiin, minkä vuoksi tietoturvallisuusuhkiin varautuminen korostuu nykypäivänä. </w:t>
      </w:r>
      <w:r w:rsidR="00C61FC8">
        <w:t>V</w:t>
      </w:r>
      <w:r>
        <w:t xml:space="preserve">arautumisvelvoite koskee toimintaa </w:t>
      </w:r>
      <w:r>
        <w:rPr>
          <w:i/>
        </w:rPr>
        <w:t xml:space="preserve">jo ennen </w:t>
      </w:r>
      <w:r>
        <w:t xml:space="preserve">uhkatilanteen syntymistä. </w:t>
      </w:r>
    </w:p>
    <w:p w14:paraId="3D33F191" w14:textId="068E236B" w:rsidR="00F151BC" w:rsidRDefault="00F151BC" w:rsidP="00DF06BB">
      <w:pPr>
        <w:pStyle w:val="Leipteksti"/>
        <w:ind w:left="1304"/>
        <w:jc w:val="both"/>
      </w:pPr>
      <w:r>
        <w:t xml:space="preserve">Kohdat 7 ja 8 ovat aiempaan määräykseen (2016) verrattuna </w:t>
      </w:r>
      <w:r w:rsidR="00C61FC8">
        <w:t xml:space="preserve">kokonaan </w:t>
      </w:r>
      <w:r>
        <w:t>uusia:</w:t>
      </w:r>
    </w:p>
    <w:p w14:paraId="0CC72531" w14:textId="77777777" w:rsidR="00F151BC" w:rsidRDefault="00F151BC" w:rsidP="00DF06BB">
      <w:pPr>
        <w:pStyle w:val="Leipteksti"/>
        <w:spacing w:after="0"/>
        <w:ind w:left="1304"/>
        <w:jc w:val="both"/>
      </w:pPr>
      <w:r>
        <w:t xml:space="preserve">Kohdassa 7 on esitetty vaatimus laadunhallinnan huomioimisesta. </w:t>
      </w:r>
      <w:r w:rsidRPr="00174EEA">
        <w:rPr>
          <w:lang w:val="en-US"/>
        </w:rPr>
        <w:t xml:space="preserve">Vaatimus perustuu CPPNM(A) perusperiaatteeseen Fundamental principle J: Quality Assurance. </w:t>
      </w:r>
      <w:r w:rsidRPr="003A7E85">
        <w:t>Perustelu turvajärjestelyjen ylläpitämiseksi on esitetty NSS 13 kohdassa 3.57 (sustainability programme).</w:t>
      </w:r>
      <w:r>
        <w:t xml:space="preserve"> Jatkuvan parantamisen periaate on esitetty turvallisuutta koskevissa (safety) vaatimuksissa ja sama periaate koskee myös turvajärjestelyjä. </w:t>
      </w:r>
    </w:p>
    <w:p w14:paraId="4EEA704A" w14:textId="77777777" w:rsidR="00F151BC" w:rsidRPr="003A7E85" w:rsidRDefault="00F151BC" w:rsidP="00DF06BB">
      <w:pPr>
        <w:pStyle w:val="Leipteksti"/>
        <w:spacing w:after="0"/>
        <w:ind w:left="1304"/>
      </w:pPr>
    </w:p>
    <w:p w14:paraId="70CC69B2" w14:textId="6D0FD31A" w:rsidR="00F151BC" w:rsidRDefault="00F151BC" w:rsidP="00F151BC">
      <w:pPr>
        <w:tabs>
          <w:tab w:val="left" w:pos="1304"/>
        </w:tabs>
        <w:spacing w:before="120" w:after="120"/>
        <w:ind w:left="1298"/>
        <w:jc w:val="both"/>
        <w:rPr>
          <w:rFonts w:eastAsia="Times New Roman"/>
          <w:lang w:eastAsia="fi-FI"/>
        </w:rPr>
      </w:pPr>
      <w:r>
        <w:t>Kohdassa 8 on esitetty vaatimus toteuttaa turvalliset viestijärjestelyt uhkatilanteiden hoitamista varten. Vaatimus perustuu NSS No. 13 kohtiin 4.32, 5.38 ja 6.29. Vaatimus koskee tietoturvallisten viestintäyhteyksien järjestämistä sisäisesti sekä turva</w:t>
      </w:r>
      <w:r w:rsidR="001F5F08">
        <w:softHyphen/>
      </w:r>
      <w:r>
        <w:t>organisaation ja viranomaisten välille. Erityisesti ydinvoimalaitosten rakennukset ovat vahvarakenteisia ja vaikuttavat eri viestintäjärjestelmien toimivuuteen erityisesti sisätiloissa. Luvanhaltijan on toteutettava järjestelyt, joilla erityisesti uhkatilanteissa sekä turvaorganisaation että viranomaisten viestiyhteyksien toimivuus varmistetaan. Ydinaineen ja ydinjätteen kuljetukset ovat erityistilanteita (liikkuva tilanne), minkä vuoksi yhteydenpidon varmistamisen tarve luvanhaltijan ja viranomaisen välillä korostuu</w:t>
      </w:r>
    </w:p>
    <w:p w14:paraId="41FB959A" w14:textId="77777777" w:rsidR="007C0699" w:rsidRPr="00944C16" w:rsidRDefault="007C0699" w:rsidP="001B16BE">
      <w:pPr>
        <w:tabs>
          <w:tab w:val="left" w:pos="1304"/>
        </w:tabs>
        <w:spacing w:before="120" w:after="120"/>
        <w:ind w:left="1298"/>
        <w:jc w:val="both"/>
        <w:rPr>
          <w:rFonts w:eastAsia="Times New Roman"/>
          <w:lang w:eastAsia="fi-FI"/>
        </w:rPr>
      </w:pPr>
    </w:p>
    <w:p w14:paraId="30B0EF97" w14:textId="3DF9A175"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C61FC8">
        <w:rPr>
          <w:rFonts w:eastAsia="Times New Roman"/>
          <w:b/>
          <w:lang w:eastAsia="fi-FI"/>
        </w:rPr>
        <w:t>Sisäiset uhkat</w:t>
      </w:r>
      <w:r w:rsidR="00C61FC8" w:rsidRPr="00DF06BB">
        <w:rPr>
          <w:rFonts w:eastAsia="Times New Roman"/>
          <w:b/>
          <w:lang w:eastAsia="fi-FI"/>
        </w:rPr>
        <w:t xml:space="preserve"> </w:t>
      </w:r>
    </w:p>
    <w:p w14:paraId="68B827F6" w14:textId="67345469" w:rsidR="00C61FC8" w:rsidRDefault="00C61FC8" w:rsidP="001F5F08">
      <w:pPr>
        <w:autoSpaceDE w:val="0"/>
        <w:autoSpaceDN w:val="0"/>
        <w:adjustRightInd w:val="0"/>
        <w:ind w:left="1304"/>
        <w:jc w:val="both"/>
      </w:pPr>
      <w:r>
        <w:t>Pykälän otsikko ’Henkilöturvallisuus’ muutettiin otsikoksi ’Sisäiset uh</w:t>
      </w:r>
      <w:r w:rsidR="00985BF1">
        <w:t>k</w:t>
      </w:r>
      <w:r>
        <w:t>at’, mikä kuvaa paremmin pykälän sisältöä, sillä siinä asetetut vaatimukset koskevat sisäisen uhkan torjuntaa.</w:t>
      </w:r>
      <w:r w:rsidRPr="00C61FC8">
        <w:t xml:space="preserve"> </w:t>
      </w:r>
    </w:p>
    <w:p w14:paraId="27D48D35" w14:textId="77777777" w:rsidR="00C61FC8" w:rsidRDefault="00C61FC8" w:rsidP="001F5F08">
      <w:pPr>
        <w:autoSpaceDE w:val="0"/>
        <w:autoSpaceDN w:val="0"/>
        <w:adjustRightInd w:val="0"/>
        <w:ind w:left="1304"/>
        <w:jc w:val="both"/>
      </w:pPr>
    </w:p>
    <w:p w14:paraId="0A6D0874" w14:textId="4C7B33AD" w:rsidR="00DF06BB" w:rsidRDefault="00DF06BB" w:rsidP="001F5F08">
      <w:pPr>
        <w:autoSpaceDE w:val="0"/>
        <w:autoSpaceDN w:val="0"/>
        <w:adjustRightInd w:val="0"/>
        <w:ind w:left="1304"/>
        <w:jc w:val="both"/>
      </w:pPr>
      <w:r>
        <w:t xml:space="preserve">Määräyksen 5 §:n aiempi 1) kohta turvallisuusselvitysten tekemiseksi on poistettu, koska se on siirretty ydinenergialakiin. Myös </w:t>
      </w:r>
      <w:r w:rsidR="00C61FC8">
        <w:t xml:space="preserve">vaatimuskohtien </w:t>
      </w:r>
      <w:r>
        <w:t>numerointi on siten muuttunut.</w:t>
      </w:r>
    </w:p>
    <w:p w14:paraId="13E9EE1C" w14:textId="77777777" w:rsidR="00DF06BB" w:rsidRDefault="00DF06BB" w:rsidP="001F5F08">
      <w:pPr>
        <w:autoSpaceDE w:val="0"/>
        <w:autoSpaceDN w:val="0"/>
        <w:adjustRightInd w:val="0"/>
        <w:ind w:left="1304"/>
        <w:jc w:val="both"/>
      </w:pPr>
    </w:p>
    <w:p w14:paraId="106062D8" w14:textId="6105CCEC" w:rsidR="00DF06BB" w:rsidRDefault="00DF06BB" w:rsidP="001F5F08">
      <w:pPr>
        <w:autoSpaceDE w:val="0"/>
        <w:autoSpaceDN w:val="0"/>
        <w:adjustRightInd w:val="0"/>
        <w:ind w:left="1304"/>
        <w:jc w:val="both"/>
      </w:pPr>
      <w:r>
        <w:t xml:space="preserve">Koska turvallisuusselvitykset ovat vain osa sisäistä uhkaa (insider) vastaan toteutettavia toimenpiteitä, on perusteltua, että luvanhaltija kuvaa toimenpiteet, joilla edellä mainittuja uhkia torjutaan. </w:t>
      </w:r>
      <w:r w:rsidRPr="00691D13">
        <w:t xml:space="preserve">Erityisesti korostetaan, että toimenpiteet, joilla torjutaan henkilöihin liittyviä uhkatekijöitä, tulee </w:t>
      </w:r>
      <w:r w:rsidRPr="00A05371">
        <w:rPr>
          <w:i/>
          <w:iCs/>
        </w:rPr>
        <w:t>suunnitelmallisesti</w:t>
      </w:r>
      <w:r w:rsidRPr="00691D13">
        <w:t xml:space="preserve"> ulottaa myös luvanhaltijan käyttämiin alihankkijoihin ja niiden palveluksessa oleviin</w:t>
      </w:r>
      <w:r>
        <w:t xml:space="preserve"> riski</w:t>
      </w:r>
      <w:r w:rsidR="00FE3516">
        <w:softHyphen/>
      </w:r>
      <w:r>
        <w:t>perusteisesti.</w:t>
      </w:r>
      <w:r w:rsidRPr="00691D13">
        <w:t xml:space="preserve"> </w:t>
      </w:r>
      <w:r>
        <w:t xml:space="preserve">STUK arvioi toimenpiteiden riittävyyden luvanhaltijan esityksestä. Ydinenergian käyttöön osallistuvien henkilöiden tietojen saanti- ja käyttöoikeudet </w:t>
      </w:r>
      <w:proofErr w:type="gramStart"/>
      <w:r>
        <w:t>on</w:t>
      </w:r>
      <w:proofErr w:type="gramEnd"/>
      <w:r>
        <w:t xml:space="preserve"> tarpeen määritellä, jotta voidaan varmistua siitä, että arkaluontoinen tieto, tai pääsy siihen tai suojattavaan kohteeseen on rajattu vain niihin henkilöihin, joilla on työtehtäviensä vuoksi siihen perusteltu tarve.</w:t>
      </w:r>
    </w:p>
    <w:p w14:paraId="5CBCB48F" w14:textId="77777777" w:rsidR="00DF06BB" w:rsidRDefault="00DF06BB" w:rsidP="001F5F08">
      <w:pPr>
        <w:autoSpaceDE w:val="0"/>
        <w:autoSpaceDN w:val="0"/>
        <w:adjustRightInd w:val="0"/>
        <w:ind w:left="1304"/>
        <w:jc w:val="both"/>
      </w:pPr>
    </w:p>
    <w:p w14:paraId="66FB7D8B" w14:textId="08061A0F" w:rsidR="007C7BCF" w:rsidRDefault="00A16487" w:rsidP="001F5F08">
      <w:pPr>
        <w:tabs>
          <w:tab w:val="left" w:pos="1304"/>
        </w:tabs>
        <w:spacing w:before="120" w:after="120"/>
        <w:ind w:left="1304"/>
        <w:jc w:val="both"/>
        <w:rPr>
          <w:rFonts w:eastAsia="Times New Roman"/>
          <w:lang w:eastAsia="fi-FI"/>
        </w:rPr>
      </w:pPr>
      <w:r>
        <w:t xml:space="preserve">Kohdan </w:t>
      </w:r>
      <w:r w:rsidR="00DF06BB">
        <w:t>2 velvoite käyttää ydinlaitoksen alueella kulkuun oikeuttavaa tunnistetta</w:t>
      </w:r>
      <w:r>
        <w:t xml:space="preserve"> </w:t>
      </w:r>
      <w:r w:rsidRPr="00A16487">
        <w:t xml:space="preserve">ei anna mahdollisuutta poiketa </w:t>
      </w:r>
      <w:r>
        <w:t xml:space="preserve">myös </w:t>
      </w:r>
      <w:r w:rsidRPr="00A16487">
        <w:t>ohjeessa YVL A.11</w:t>
      </w:r>
      <w:r>
        <w:t xml:space="preserve"> esitetystä vastaavasta </w:t>
      </w:r>
      <w:r w:rsidRPr="00A16487">
        <w:t>vaatimuksesta</w:t>
      </w:r>
      <w:r w:rsidR="00DF06BB">
        <w:t xml:space="preserve">. </w:t>
      </w:r>
    </w:p>
    <w:p w14:paraId="288DA6A0" w14:textId="77777777" w:rsidR="00054A81" w:rsidRPr="00944C16" w:rsidRDefault="00054A81" w:rsidP="007C7BCF">
      <w:pPr>
        <w:tabs>
          <w:tab w:val="left" w:pos="1304"/>
        </w:tabs>
        <w:spacing w:before="120" w:after="120"/>
        <w:ind w:left="1304"/>
        <w:rPr>
          <w:rFonts w:eastAsia="Times New Roman"/>
          <w:lang w:eastAsia="fi-FI"/>
        </w:rPr>
      </w:pPr>
    </w:p>
    <w:p w14:paraId="40BCC658" w14:textId="3A078FC3"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DF06BB" w:rsidRPr="00DF06BB">
        <w:rPr>
          <w:rFonts w:eastAsia="Times New Roman"/>
          <w:b/>
          <w:lang w:eastAsia="fi-FI"/>
        </w:rPr>
        <w:t>Turvajärjestelyjen toteuttaminen ja turvallisuuden ylläpitäminen</w:t>
      </w:r>
    </w:p>
    <w:p w14:paraId="423ADC7F" w14:textId="78B98E02" w:rsidR="00DF06BB" w:rsidRDefault="00DF06BB" w:rsidP="000152D5">
      <w:pPr>
        <w:pStyle w:val="Leipteksti"/>
        <w:ind w:left="1304"/>
        <w:jc w:val="both"/>
      </w:pPr>
      <w:r>
        <w:t>Määräyksen 6 §:</w:t>
      </w:r>
      <w:r w:rsidR="00CB5F39">
        <w:t>n 1 kohtaa</w:t>
      </w:r>
      <w:r w:rsidR="00E02C64">
        <w:t xml:space="preserve"> on muutettu, siitä on poistettu listaus turvajärjestelyjä koskevista asiakirjoista, joiden mukaan turvajärjestelyt on toteutettava, koska turvajärjestelyt tulee toteuttaa lainsäädännössä esitettyjen vaatimusten mukaisesti</w:t>
      </w:r>
      <w:r w:rsidR="003467DD">
        <w:t xml:space="preserve">, johon ei erikseen tarvitse viitata. Vaatimus on muutettu siten, että turvajärjestelyt on toteutettava </w:t>
      </w:r>
      <w:proofErr w:type="spellStart"/>
      <w:r w:rsidR="003467DD">
        <w:t>STUKin</w:t>
      </w:r>
      <w:proofErr w:type="spellEnd"/>
      <w:r w:rsidR="003467DD">
        <w:t xml:space="preserve"> hyväksymällä tavalla. Turvajärjestelyjä koskevat</w:t>
      </w:r>
      <w:r>
        <w:t xml:space="preserve"> asiakirjat, on pidettävä ajan tasalla,</w:t>
      </w:r>
      <w:r w:rsidR="003467DD">
        <w:t xml:space="preserve"> tämä vaatimus koskee myös muita kuin </w:t>
      </w:r>
      <w:proofErr w:type="spellStart"/>
      <w:r w:rsidR="003467DD">
        <w:t>STUKin</w:t>
      </w:r>
      <w:proofErr w:type="spellEnd"/>
      <w:r w:rsidR="003467DD">
        <w:t xml:space="preserve"> hyväksymiä asiakirjoja (esim. vartio-ohjeisto). Tällä varmistetaan, että henkilöstöllä on käytettävissään ajantasainen ohjeistus oikeasta toiminnasta, riippumatta siitä, onko se </w:t>
      </w:r>
      <w:proofErr w:type="spellStart"/>
      <w:r w:rsidR="003467DD">
        <w:t>STUKin</w:t>
      </w:r>
      <w:proofErr w:type="spellEnd"/>
      <w:r w:rsidR="003467DD">
        <w:t xml:space="preserve"> hyväksymä.</w:t>
      </w:r>
      <w:r>
        <w:t xml:space="preserve"> </w:t>
      </w:r>
    </w:p>
    <w:p w14:paraId="6729BF10" w14:textId="1ED418AA" w:rsidR="00DF06BB" w:rsidRDefault="00DF06BB" w:rsidP="00DF06BB">
      <w:pPr>
        <w:pStyle w:val="Leipteksti"/>
        <w:ind w:left="1304"/>
        <w:jc w:val="both"/>
      </w:pPr>
      <w:r>
        <w:t xml:space="preserve">Kohdassa 2 on esitetty vaatimus siitä, että turvajärjestelyjen tehokkuus ei saa merkittävästi heikentyä vika- tai vaarantilanteessa. Tämä on perusteltua, koska em. tilanteissa turvajärjestelyjen merkitys korostuu turvallisuuden varmistamiseksi. Kohtaan </w:t>
      </w:r>
      <w:r w:rsidR="00A16487">
        <w:t xml:space="preserve">on </w:t>
      </w:r>
      <w:r>
        <w:t>lisätt</w:t>
      </w:r>
      <w:r w:rsidR="00A16487">
        <w:t>y</w:t>
      </w:r>
      <w:r>
        <w:t xml:space="preserve"> myös häiriöt, koska kaikki luetellut tapahtumat eivät välttämättä ole häiriöitä, vaan onnettomuuksia. Kohtaan 2 on lisätty luonnonmullistukset (esim. tulvat, myrskyt), koska turvajärjestelyjen avulla on näissäkin tilanteissa varmistettava ydin- ja säteilyturvallisuus mahdollisissa samanaikaisissa uhkatilanteissa. Yhteisvikojen osalta vaatimusta on lievennetty riskiperusteisen lähestymistavan mukaisesti.</w:t>
      </w:r>
    </w:p>
    <w:p w14:paraId="4793BB3A" w14:textId="49C2FEEF" w:rsidR="00DF06BB" w:rsidRDefault="00DF06BB" w:rsidP="00DF06BB">
      <w:pPr>
        <w:pStyle w:val="Leipteksti"/>
        <w:ind w:left="1304"/>
        <w:jc w:val="both"/>
      </w:pPr>
      <w:r>
        <w:t xml:space="preserve">Kohdassa 3 on säädetty harjoittelusta. Turvajärjestelyjen tason varmistamiseksi turvaorganisaation sisäistä harjoittelua tarvitaan säännöllisesti ja sen on tapahduttava luvanhaltijan asiaa koskevien asiakirjojen mukaisesti. Koska suunnitteluperusteuhkaa on käytettävä turvajärjestelyjen suunnittelun </w:t>
      </w:r>
      <w:r w:rsidR="00874F9B">
        <w:t xml:space="preserve">ja arvioinnin </w:t>
      </w:r>
      <w:r>
        <w:t>perusteena, on perusteltua, että harjoitukset sisältävät uhkia, jotka on kuvattu suunnitteluperusteuhkassa.</w:t>
      </w:r>
    </w:p>
    <w:p w14:paraId="098287ED" w14:textId="36936CAD" w:rsidR="00DF06BB" w:rsidRDefault="00DF06BB" w:rsidP="00DF06BB">
      <w:pPr>
        <w:pStyle w:val="Leipteksti"/>
        <w:ind w:left="1304"/>
        <w:jc w:val="both"/>
      </w:pPr>
      <w:r>
        <w:t>Kohdassa 4 säädetään luvanhaltijan velvollisuudesta osoittaa turvajärjestelyjen tehok</w:t>
      </w:r>
      <w:r w:rsidR="00FE3516">
        <w:softHyphen/>
      </w:r>
      <w:r>
        <w:t>kuus uhkatilanteissa ydin- tai säteilyturvallisuutta vaarantavaa toimintaa vastaan. Vaikuttavuuden yksi osoitusmuoto on harjoitusten käyttäminen.</w:t>
      </w:r>
    </w:p>
    <w:p w14:paraId="6FA53921" w14:textId="18ECF1AB" w:rsidR="00DF06BB" w:rsidRDefault="00DF06BB" w:rsidP="00DF06BB">
      <w:pPr>
        <w:pStyle w:val="Leipteksti"/>
        <w:ind w:left="1304"/>
        <w:jc w:val="both"/>
      </w:pPr>
      <w:r>
        <w:t>Kohdassa 5 säädetään yhteisharjoittelusta viranomaisen kanssa. Koska uhka</w:t>
      </w:r>
      <w:r w:rsidR="00FE3516">
        <w:softHyphen/>
      </w:r>
      <w:r>
        <w:t xml:space="preserve">tilanteissa yhteistoiminta erityisesti turvallisuusviranomaisten kanssa korostuu, on </w:t>
      </w:r>
      <w:r>
        <w:lastRenderedPageBreak/>
        <w:t>perusteltua, että harjoittelua toteutetaan yhdessä viranomaisten kanssa säännöllisesti. Tämä tapahtuu käytännössä siten kuin ao. viranomaisten kanssa on sovittu. Viranomaiselle on kuitenkin varattava mahdollisuus osallistua harjoituksiin.</w:t>
      </w:r>
    </w:p>
    <w:p w14:paraId="311897B0" w14:textId="5C8E5962" w:rsidR="00A467F7" w:rsidRDefault="00DF06BB" w:rsidP="00444F89">
      <w:pPr>
        <w:tabs>
          <w:tab w:val="left" w:pos="1304"/>
        </w:tabs>
        <w:spacing w:before="120" w:after="120"/>
        <w:ind w:left="1304"/>
        <w:jc w:val="both"/>
        <w:rPr>
          <w:rFonts w:eastAsia="Times New Roman"/>
          <w:lang w:eastAsia="fi-FI"/>
        </w:rPr>
      </w:pPr>
      <w:r>
        <w:t>Kohdassa 6 on velvoitettu pitämään koko henkilöstö ajan tasalla turvajärjestelyihin liittyvistä toimenpiteistä ja menettelytavoista. Tämä vaikuttaa myös turvallisuus</w:t>
      </w:r>
      <w:r w:rsidR="00FE3516">
        <w:softHyphen/>
      </w:r>
      <w:r>
        <w:t>kulttuurin ylläpitämiseen. Turvallisuuskulttuuri sisältää käsitteenä myös turvajärjestelyt. Toimenpiteiden perusteleminen ja niiden esittäminen mahdollisimman avoimesti koko henkilökunnalle voi vaikuttaa turvajärjestelyjen tehokkuuteen, kun koko henkilöstö saadaan sitoutettua noudattamaan määrättyjä menettelyjä. Lähtökohta on, että perehdytys (joka käsittää myös koulutuksen) sisältää tarpeelliset turvajärjestelyjä koskevat asiat. Perehdytys on tärkeää myös muussa ydinenergian käytössä.</w:t>
      </w:r>
    </w:p>
    <w:p w14:paraId="308AB65B" w14:textId="77777777" w:rsidR="00054A81" w:rsidRDefault="00054A81" w:rsidP="00444F89">
      <w:pPr>
        <w:tabs>
          <w:tab w:val="left" w:pos="1304"/>
        </w:tabs>
        <w:spacing w:before="120" w:after="120"/>
        <w:ind w:left="1304"/>
        <w:jc w:val="both"/>
        <w:rPr>
          <w:rFonts w:eastAsia="Times New Roman"/>
          <w:lang w:eastAsia="fi-FI"/>
        </w:rPr>
      </w:pPr>
    </w:p>
    <w:p w14:paraId="34166EB3" w14:textId="04B50E51" w:rsidR="007C7BCF" w:rsidRPr="00657FF1"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DF06BB" w:rsidRPr="00DF06BB">
        <w:rPr>
          <w:rFonts w:eastAsia="Times New Roman"/>
          <w:b/>
          <w:lang w:eastAsia="fi-FI"/>
        </w:rPr>
        <w:t>Asiointi ydinlaitoksella</w:t>
      </w:r>
    </w:p>
    <w:p w14:paraId="6D0D6D40" w14:textId="7746BF8D" w:rsidR="00DF06BB" w:rsidRDefault="00DF06BB" w:rsidP="00DF06BB">
      <w:pPr>
        <w:pStyle w:val="Leipteksti"/>
        <w:ind w:left="1304"/>
        <w:jc w:val="both"/>
      </w:pPr>
      <w:r>
        <w:t>Määräyksen 7 §:ssä on säädetty ydinlaitoksella asioinnin perusteista. Turvajärjestelyjä (ml. kulunvalvonta) ei voida toteuttaa tehokkaasti, jollei toimenpiteitä ydin- tai säteilyturvallisuutta vaarantavaa toimintaa vastaan ole etukäteen suunniteltu. Tämä edellyttää tiettyjen toimenpiteiden toteuttamista (esim. vierailukäynnit) ja henkilöllisyyden selvittämistä sekä kulkuoikeuksien määrittelyä eri turvajärjestely</w:t>
      </w:r>
      <w:r w:rsidR="000152D5">
        <w:softHyphen/>
      </w:r>
      <w:r>
        <w:t xml:space="preserve">vyöhykkeille. </w:t>
      </w:r>
    </w:p>
    <w:p w14:paraId="37252703" w14:textId="10702034" w:rsidR="00DF06BB" w:rsidRDefault="00DF06BB" w:rsidP="00DF06BB">
      <w:pPr>
        <w:pStyle w:val="Leipteksti"/>
        <w:ind w:left="1304"/>
        <w:jc w:val="both"/>
      </w:pPr>
      <w:r>
        <w:t>Kohtaan 2. on lisäksi lisätty ydinaineen ja ydinjätteen kuljetukset</w:t>
      </w:r>
      <w:r w:rsidR="00FF0F7F">
        <w:t xml:space="preserve"> sekä kaivostoiminta, jonka tarkoituksena on uraanin tai toriumin tuottaminen</w:t>
      </w:r>
      <w:r>
        <w:t>, koska henkilöllisyyden varmistaminen myös näissä tehtävissä on turvajärjestelyjen toteuttamisen kannalta tarpeellista.</w:t>
      </w:r>
    </w:p>
    <w:p w14:paraId="5BA1A497" w14:textId="3890197F" w:rsidR="007C7BCF" w:rsidRDefault="00DF06BB" w:rsidP="00DF06BB">
      <w:pPr>
        <w:tabs>
          <w:tab w:val="left" w:pos="1304"/>
        </w:tabs>
        <w:spacing w:before="120" w:after="120"/>
        <w:ind w:left="1304"/>
        <w:jc w:val="both"/>
        <w:rPr>
          <w:rFonts w:eastAsia="Times New Roman"/>
          <w:lang w:eastAsia="fi-FI"/>
        </w:rPr>
      </w:pPr>
      <w:r>
        <w:t>Kohdassa 3 esitetään vaatimus siitä, että liikkumisen ydinlaitoksen</w:t>
      </w:r>
      <w:r w:rsidR="00FF0F7F">
        <w:t xml:space="preserve"> sekä uraanin tai toriumin tuottamiseen tarkoituksen kaivoksen</w:t>
      </w:r>
      <w:r>
        <w:t xml:space="preserve"> alueella on oltava asioinnin tarkoituksen mukaan rajoitettua ja valvottua.</w:t>
      </w:r>
      <w:r w:rsidR="00874F9B">
        <w:t xml:space="preserve"> Kaivostoimintaa koskeva lisäys (soveltamisalan tarkennus) on uusi.</w:t>
      </w:r>
      <w:r>
        <w:t xml:space="preserve"> Tämä vaatimus edellyttää määrittelemään tarkoitukseen soveltuvat kulkualueet, kulunvalvonnan ja liikkumisen toteutumisen valvonnan. Ydinlaitoksen alueeseen kuuluvat eri turvajärjestelyvyöhykkeet, joista uloin vyöhyke liikkumis- ja oleskelurajoitusalue (voimalaitosalue ydinvoimalaitoksilla) ulottuu joissakin tapauksissa useita kilometrejä varsinaisen laitosalueen ulkopuolelle. Mikäli asiointi tapahtuu vain tällä alueella esimerkiksi mahdollisessa vierailu- tms. keskuksessa, on luvanhaltijan määriteltävä, millaista valvontaa se ulottaa ko. asiointia varten. Turvallisuusselvityksiä on tarkoitettu ensisijaisesti käytettävän vain niihin henkilöihin, jotka työskentelevät varsinaisen ydinlaitoksen alueella (laitosalue, suojattu alue, vitaalinen alue). Tämä ei kuitenkaan rajaa turvallisuusselvitysten käyttömahdollisuutta kokonaan pois, mikäli turvallisuus</w:t>
      </w:r>
      <w:r w:rsidR="00FE3516">
        <w:softHyphen/>
      </w:r>
      <w:r>
        <w:t>selvityksiä tekevä viranomainen (SUPO) tekee selvityksen henkilöstä, joka asioi pelkästään uloimmalla turvajärjestelyvyöhykkeellä</w:t>
      </w:r>
      <w:r w:rsidR="007C7BCF" w:rsidRPr="00944C16">
        <w:rPr>
          <w:rFonts w:eastAsia="Times New Roman"/>
          <w:lang w:eastAsia="fi-FI"/>
        </w:rPr>
        <w:t>.</w:t>
      </w:r>
      <w:r w:rsidR="00FF0F7F">
        <w:rPr>
          <w:rFonts w:eastAsia="Times New Roman"/>
          <w:lang w:eastAsia="fi-FI"/>
        </w:rPr>
        <w:t xml:space="preserve"> Uraanin tai toriumin tuottamiseen tarkoitetun kaivoksen alueella luvanhaltijan on määriteltävä toiminnan tarkoituksen perusteella em. kulkualueet, joilla asiointi on rajoitettua ja valvottua turvajärjestelyjen toteuttamiseksi.</w:t>
      </w:r>
    </w:p>
    <w:p w14:paraId="30A2C50E" w14:textId="5EAD8B38" w:rsidR="00054A81" w:rsidRDefault="00054A81" w:rsidP="00472916">
      <w:pPr>
        <w:tabs>
          <w:tab w:val="left" w:pos="1304"/>
        </w:tabs>
        <w:spacing w:before="120" w:after="120"/>
        <w:ind w:left="1304"/>
        <w:jc w:val="both"/>
        <w:rPr>
          <w:rFonts w:eastAsia="Times New Roman"/>
          <w:lang w:eastAsia="fi-FI"/>
        </w:rPr>
      </w:pPr>
    </w:p>
    <w:p w14:paraId="42C2BC49" w14:textId="43BE074C" w:rsidR="00902200" w:rsidRDefault="00902200">
      <w:pPr>
        <w:rPr>
          <w:rFonts w:eastAsia="Times New Roman"/>
          <w:lang w:eastAsia="fi-FI"/>
        </w:rPr>
      </w:pPr>
      <w:r>
        <w:rPr>
          <w:rFonts w:eastAsia="Times New Roman"/>
          <w:lang w:eastAsia="fi-FI"/>
        </w:rPr>
        <w:br w:type="page"/>
      </w:r>
    </w:p>
    <w:p w14:paraId="6C2AD316" w14:textId="77777777" w:rsidR="00902200" w:rsidRPr="00944C16" w:rsidRDefault="00902200" w:rsidP="00472916">
      <w:pPr>
        <w:tabs>
          <w:tab w:val="left" w:pos="1304"/>
        </w:tabs>
        <w:spacing w:before="120" w:after="120"/>
        <w:ind w:left="1304"/>
        <w:jc w:val="both"/>
        <w:rPr>
          <w:rFonts w:eastAsia="Times New Roman"/>
          <w:lang w:eastAsia="fi-FI"/>
        </w:rPr>
      </w:pPr>
    </w:p>
    <w:p w14:paraId="5EF0D6AA" w14:textId="18BCCC9A" w:rsidR="007C7BCF" w:rsidRPr="00657FF1"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DF06BB" w:rsidRPr="00DF06BB">
        <w:rPr>
          <w:rFonts w:eastAsia="Times New Roman"/>
          <w:b/>
          <w:lang w:eastAsia="fi-FI"/>
        </w:rPr>
        <w:t>Henkilö- ja tavaraliikenteen valvonta</w:t>
      </w:r>
    </w:p>
    <w:p w14:paraId="3585B3F1" w14:textId="21D0E642" w:rsidR="00DF06BB" w:rsidRPr="00874F9B" w:rsidRDefault="00DF06BB" w:rsidP="00DF06BB">
      <w:pPr>
        <w:autoSpaceDE w:val="0"/>
        <w:autoSpaceDN w:val="0"/>
        <w:adjustRightInd w:val="0"/>
        <w:ind w:left="1298"/>
        <w:jc w:val="both"/>
      </w:pPr>
      <w:r>
        <w:t xml:space="preserve">Määräyksen 8 §:ssä on säädetty henkilöiden ja tavaraliikenteen valvonnasta. Turvajärjestelyjen tehokkuuden varmistaminen edellyttää tarkastuksia, joita kohdistetaan henkilöihin ja ajoneuvoihin sekä tavaroihin, jotta näiden mukana ydinlaitokselle ei tule luvatta sellaisia esineitä tai aineita, jotka voivat vaarantaa turvallisuutta. </w:t>
      </w:r>
      <w:r w:rsidR="00925621">
        <w:t>Y</w:t>
      </w:r>
      <w:r>
        <w:t xml:space="preserve">dinlaitokselle tuodaan päivittäin esineitä tai aineita, jotka voivat vaarantaa turvallisuutta, tämä tapahtuu kuitenkin luvanvaraisesti ja valvotusti. </w:t>
      </w:r>
      <w:r w:rsidRPr="002560F6">
        <w:t>Turvavalvonnan tulee olla suunnitelmallista ja järjestelmällistä,</w:t>
      </w:r>
      <w:r>
        <w:t xml:space="preserve"> </w:t>
      </w:r>
      <w:r w:rsidRPr="002560F6">
        <w:t>ja se tulee ulottaa kaikkiin ydinlaitoksella asioivii</w:t>
      </w:r>
      <w:r>
        <w:t>n. Kohta 1. tarkentaa määräyksen 7 §:n kohtaa 3 liikkumisen valvonnan osalta. Luvanhaltijan on kuvattava ohjeistossaan, miten se suorittaa em. valvontaa. Koska ydinlaitoksen alue koostuu useista turvajärjestelyvyöhykkeistä, on tärkeää, että luvanhaltija määrittelee tarkastusmenettelyt ohjeistossaan. Esim. ajoneuvojen tarkastaminen voi olla perusvalmiustilanteessa tarpeen vasta laitosalueen rajalla, mutta täysvalmiustilanteessa jo voimalaitosalueen rajalla.</w:t>
      </w:r>
      <w:r w:rsidR="00874F9B">
        <w:t xml:space="preserve"> Tätä taustaa vasten määräykseen on lisätty vaatimus siitä, missä tarkastukset on </w:t>
      </w:r>
      <w:r w:rsidR="00874F9B">
        <w:rPr>
          <w:i/>
          <w:iCs/>
        </w:rPr>
        <w:t xml:space="preserve">viimeistään </w:t>
      </w:r>
      <w:r w:rsidR="00874F9B">
        <w:t>tehtävä.</w:t>
      </w:r>
    </w:p>
    <w:p w14:paraId="6554F060" w14:textId="77777777" w:rsidR="00DF06BB" w:rsidRDefault="00DF06BB" w:rsidP="00DF06BB">
      <w:pPr>
        <w:autoSpaceDE w:val="0"/>
        <w:autoSpaceDN w:val="0"/>
        <w:adjustRightInd w:val="0"/>
        <w:ind w:left="1304"/>
      </w:pPr>
    </w:p>
    <w:p w14:paraId="06968C30" w14:textId="77777777" w:rsidR="00DF06BB" w:rsidRDefault="00DF06BB" w:rsidP="00DF06BB">
      <w:pPr>
        <w:autoSpaceDE w:val="0"/>
        <w:autoSpaceDN w:val="0"/>
        <w:adjustRightInd w:val="0"/>
        <w:ind w:left="1304"/>
        <w:jc w:val="both"/>
      </w:pPr>
      <w:r>
        <w:t xml:space="preserve">Henkilöiden lisäksi valvotaan </w:t>
      </w:r>
      <w:r w:rsidRPr="002560F6">
        <w:t>ja tarkkaillaan ajoneuvoja, tavaraliikennettä ja muuta liikennettä.</w:t>
      </w:r>
      <w:r>
        <w:t xml:space="preserve"> </w:t>
      </w:r>
      <w:r w:rsidRPr="002560F6">
        <w:t xml:space="preserve">Erityisesti on korostettava, että </w:t>
      </w:r>
      <w:r>
        <w:t>määräyksen</w:t>
      </w:r>
      <w:r w:rsidRPr="002560F6">
        <w:t xml:space="preserve"> 8 §:n </w:t>
      </w:r>
      <w:r>
        <w:t>kohdassa 3</w:t>
      </w:r>
      <w:r w:rsidRPr="002560F6">
        <w:t xml:space="preserve"> mainitulla salassa</w:t>
      </w:r>
      <w:r>
        <w:t xml:space="preserve"> </w:t>
      </w:r>
      <w:r w:rsidRPr="002560F6">
        <w:t>pidettävällä tietoaineistolla tarkoitetaan tässä yhteydessä salassa pidettävää turvajärjestelyjä</w:t>
      </w:r>
      <w:r>
        <w:t xml:space="preserve"> </w:t>
      </w:r>
      <w:r w:rsidRPr="002560F6">
        <w:t xml:space="preserve">tai </w:t>
      </w:r>
      <w:r>
        <w:t>ydin</w:t>
      </w:r>
      <w:r w:rsidRPr="002560F6">
        <w:t>turvallisuutta koskevaa asiakirjaa</w:t>
      </w:r>
      <w:r>
        <w:t xml:space="preserve"> </w:t>
      </w:r>
      <w:r w:rsidRPr="002560F6">
        <w:t>sekä tällaisesta asiakirjasta saatavissa olevaa tietoa</w:t>
      </w:r>
      <w:r>
        <w:t xml:space="preserve"> </w:t>
      </w:r>
      <w:r w:rsidRPr="002560F6">
        <w:t xml:space="preserve">ja tällaisen tiedon perusteella tuotettua asiakirjaa ja materiaalia. </w:t>
      </w:r>
      <w:r>
        <w:t xml:space="preserve">Tietoaineisto, joka sisältää ydinaseiden leviämisen kannalta merkityksellistä tietoa, luokitellaan ydinmateriaaliksi. </w:t>
      </w:r>
      <w:r w:rsidRPr="002560F6">
        <w:t>Yksikin tiedosto</w:t>
      </w:r>
      <w:r>
        <w:t xml:space="preserve"> </w:t>
      </w:r>
      <w:r w:rsidRPr="002560F6">
        <w:t>saattaa näin ollen muodostaa tällaisen salassa pidettävän tietoaineiston, jollei ole ilmeistä,</w:t>
      </w:r>
      <w:r>
        <w:t xml:space="preserve"> </w:t>
      </w:r>
      <w:r w:rsidRPr="002560F6">
        <w:t xml:space="preserve">että sen sisältämät tiedot eivät vaaranna </w:t>
      </w:r>
      <w:r>
        <w:t>ydin</w:t>
      </w:r>
      <w:r w:rsidRPr="002560F6">
        <w:t>turvallisuutta tai turvajärjestelyjen</w:t>
      </w:r>
      <w:r>
        <w:t xml:space="preserve"> </w:t>
      </w:r>
      <w:r w:rsidRPr="002560F6">
        <w:t>tarkoituksen toteutumista.</w:t>
      </w:r>
      <w:r>
        <w:t xml:space="preserve"> </w:t>
      </w:r>
      <w:r w:rsidRPr="002560F6">
        <w:t>Salassa pidettävää tietoaineistoa saa käyttää ja luovuttaa vain siihen tarkoitukseen,</w:t>
      </w:r>
      <w:r>
        <w:t xml:space="preserve"> </w:t>
      </w:r>
      <w:r w:rsidRPr="002560F6">
        <w:t>jota varten se on annettu, jollei se, joka on määritellyt aineiston turvallisuusluokan,</w:t>
      </w:r>
      <w:r>
        <w:t xml:space="preserve"> </w:t>
      </w:r>
      <w:r w:rsidRPr="002560F6">
        <w:t>ole antanut muuhun suostumustaan. Luvanhaltijan on pidettävä huolta siitä, että salassa</w:t>
      </w:r>
      <w:r>
        <w:t xml:space="preserve"> </w:t>
      </w:r>
      <w:r w:rsidRPr="002560F6">
        <w:t>pidettävään tietoaineistoon on pääsy vain niillä, jotka tarvitsevat tietoja tehtävänsä</w:t>
      </w:r>
      <w:r>
        <w:t xml:space="preserve"> </w:t>
      </w:r>
      <w:r w:rsidRPr="002560F6">
        <w:t>hoitamisessa</w:t>
      </w:r>
      <w:r>
        <w:t>.</w:t>
      </w:r>
      <w:r w:rsidRPr="002560F6">
        <w:t xml:space="preserve"> Vastaavasti tällaisessa tehtävässä</w:t>
      </w:r>
      <w:r>
        <w:t xml:space="preserve"> </w:t>
      </w:r>
      <w:r w:rsidRPr="002560F6">
        <w:t xml:space="preserve">toimiva tai toiminut henkilö on velvollinen </w:t>
      </w:r>
      <w:r>
        <w:t xml:space="preserve">YEL 78 §:n mukaisesti </w:t>
      </w:r>
      <w:r w:rsidRPr="002560F6">
        <w:t>olemaan ilmaisematta, mitä hän on</w:t>
      </w:r>
      <w:r>
        <w:t xml:space="preserve"> </w:t>
      </w:r>
      <w:r w:rsidRPr="002560F6">
        <w:t>tässä tehtävässä saanut tietää suojattavaan tietoaineistoon sisältyvistä tiedoista.</w:t>
      </w:r>
    </w:p>
    <w:p w14:paraId="588CC3D6" w14:textId="77777777" w:rsidR="00DF06BB" w:rsidRDefault="00DF06BB" w:rsidP="00DF06BB">
      <w:pPr>
        <w:autoSpaceDE w:val="0"/>
        <w:autoSpaceDN w:val="0"/>
        <w:adjustRightInd w:val="0"/>
        <w:ind w:left="1304"/>
      </w:pPr>
    </w:p>
    <w:p w14:paraId="2B41BDA3" w14:textId="5F55C64F" w:rsidR="00DF06BB" w:rsidRDefault="00DF06BB" w:rsidP="00DF06BB">
      <w:pPr>
        <w:autoSpaceDE w:val="0"/>
        <w:autoSpaceDN w:val="0"/>
        <w:adjustRightInd w:val="0"/>
        <w:ind w:left="1304"/>
        <w:jc w:val="both"/>
      </w:pPr>
      <w:r>
        <w:t>Sen estämiseksi, että henkilöiden tai tavaroiden mukana ei ilman lupaa poistu ydinlaitokselta tai muulta ydinenergian käyttöpaikalta ydinainetta, ydinjätettä, muita radioaktiivisia aineita tai salassa pidettävää tietoaineistoa, edellytetään havaitsemiseksi ja estämiseksi menetelmiä, joiden riittävyyden STUK arvioi luvanhaltijan esityksestä. Määräyksessä on muokattu kohtaa 3 vastaamaan nykyaikaisia vaatimuksia. Kohd</w:t>
      </w:r>
      <w:r w:rsidR="00C465B3">
        <w:t>i</w:t>
      </w:r>
      <w:r>
        <w:t xml:space="preserve">sta </w:t>
      </w:r>
      <w:r w:rsidR="00C465B3">
        <w:t xml:space="preserve">2 ja </w:t>
      </w:r>
      <w:r>
        <w:t xml:space="preserve">3 poistettiin sana </w:t>
      </w:r>
      <w:r w:rsidR="00C465B3">
        <w:rPr>
          <w:i/>
        </w:rPr>
        <w:t>asianmukaisesti/asianmukainen</w:t>
      </w:r>
      <w:r>
        <w:t xml:space="preserve">, koska </w:t>
      </w:r>
      <w:r w:rsidR="00C465B3">
        <w:t>termi on epämääräinen eikä sitä voi käytännössä määrittää</w:t>
      </w:r>
      <w:r>
        <w:t>. Arviointia on tehtävä myös suunnitteluperusteuhkassa esitettyjä uhkia vastaan, jolloin voimassa olevan vaatimuksen tavoitetta voidaan arvioida</w:t>
      </w:r>
      <w:r w:rsidRPr="005067D1">
        <w:t xml:space="preserve"> </w:t>
      </w:r>
      <w:r>
        <w:t>käytännössä.</w:t>
      </w:r>
      <w:r w:rsidRPr="00DE59B9">
        <w:t xml:space="preserve"> </w:t>
      </w:r>
    </w:p>
    <w:p w14:paraId="1414E857" w14:textId="77777777" w:rsidR="00DF06BB" w:rsidRDefault="00DF06BB" w:rsidP="00DF06BB">
      <w:pPr>
        <w:autoSpaceDE w:val="0"/>
        <w:autoSpaceDN w:val="0"/>
        <w:adjustRightInd w:val="0"/>
        <w:ind w:left="1304"/>
      </w:pPr>
    </w:p>
    <w:p w14:paraId="62980AC5" w14:textId="01220815" w:rsidR="00DF06BB" w:rsidRDefault="00DF06BB" w:rsidP="00DF06BB">
      <w:pPr>
        <w:tabs>
          <w:tab w:val="left" w:pos="1304"/>
        </w:tabs>
        <w:spacing w:before="120" w:after="120"/>
        <w:ind w:left="1304"/>
        <w:jc w:val="both"/>
        <w:rPr>
          <w:rFonts w:eastAsia="Times New Roman"/>
          <w:lang w:eastAsia="fi-FI"/>
        </w:rPr>
      </w:pPr>
      <w:r>
        <w:lastRenderedPageBreak/>
        <w:t xml:space="preserve">Kohtaa 3 on selkiytetty. Sana ”muiden” on lisätty, koska ydinaine on radioaktiivista ainetta, mutta kaikki radioaktiivinen aine ei ole ydinainetta. Koska soveltamisalaa on tarkennettu koskemaan muutakin ydinenergian käyttöä kuin ydinlaitoksia, on sana ydinlaitoksessa korvattu sanoilla </w:t>
      </w:r>
      <w:r>
        <w:rPr>
          <w:i/>
        </w:rPr>
        <w:t xml:space="preserve">ydinenergian käytössä </w:t>
      </w:r>
      <w:r>
        <w:t>kattamaan nämä tilanteet siten kuin soveltamisalassa on tarkemmin määritelty</w:t>
      </w:r>
    </w:p>
    <w:p w14:paraId="7EA822AE" w14:textId="77777777" w:rsidR="00054A81" w:rsidRPr="00944C16" w:rsidRDefault="00054A81" w:rsidP="00A467F7">
      <w:pPr>
        <w:tabs>
          <w:tab w:val="left" w:pos="1304"/>
        </w:tabs>
        <w:spacing w:before="120" w:after="120"/>
        <w:ind w:left="1304"/>
        <w:jc w:val="both"/>
        <w:rPr>
          <w:rFonts w:eastAsia="Times New Roman"/>
          <w:lang w:eastAsia="fi-FI"/>
        </w:rPr>
      </w:pPr>
    </w:p>
    <w:p w14:paraId="21A42765" w14:textId="591CCD11"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DF06BB" w:rsidRPr="00DF06BB">
        <w:rPr>
          <w:rFonts w:eastAsia="Times New Roman"/>
          <w:b/>
          <w:lang w:eastAsia="fi-FI"/>
        </w:rPr>
        <w:t>Turvahenkilön koulutusvaatimukset</w:t>
      </w:r>
    </w:p>
    <w:p w14:paraId="4AFA90C6" w14:textId="7EC0DDB4" w:rsidR="007C7BCF" w:rsidRDefault="00DF06BB" w:rsidP="00DF06BB">
      <w:pPr>
        <w:tabs>
          <w:tab w:val="left" w:pos="1304"/>
        </w:tabs>
        <w:spacing w:before="120" w:after="120"/>
        <w:ind w:left="1304"/>
        <w:jc w:val="both"/>
        <w:rPr>
          <w:rFonts w:eastAsia="Times New Roman"/>
          <w:lang w:eastAsia="fi-FI"/>
        </w:rPr>
      </w:pPr>
      <w:r w:rsidRPr="00DF06BB">
        <w:rPr>
          <w:rFonts w:eastAsia="Times New Roman"/>
          <w:lang w:eastAsia="fi-FI"/>
        </w:rPr>
        <w:t>Määräyksen 9 §:stä on poistettu aiempi (2016) kohta 1, koska ydinenergialain muutoksessa (</w:t>
      </w:r>
      <w:r w:rsidRPr="00FE3516">
        <w:rPr>
          <w:rFonts w:eastAsia="Times New Roman"/>
          <w:highlight w:val="yellow"/>
          <w:lang w:eastAsia="fi-FI"/>
        </w:rPr>
        <w:t>xx/2020</w:t>
      </w:r>
      <w:r w:rsidRPr="00DF06BB">
        <w:rPr>
          <w:rFonts w:eastAsia="Times New Roman"/>
          <w:lang w:eastAsia="fi-FI"/>
        </w:rPr>
        <w:t xml:space="preserve">) turvahenkilön koulutusvaatimuksesta </w:t>
      </w:r>
      <w:r w:rsidR="00422CA6">
        <w:rPr>
          <w:rFonts w:eastAsia="Times New Roman"/>
          <w:lang w:eastAsia="fi-FI"/>
        </w:rPr>
        <w:t>säädetään ydinenergialain muutoksen jälkeen</w:t>
      </w:r>
      <w:r w:rsidRPr="00DF06BB">
        <w:rPr>
          <w:rFonts w:eastAsia="Times New Roman"/>
          <w:lang w:eastAsia="fi-FI"/>
        </w:rPr>
        <w:t xml:space="preserve"> lai</w:t>
      </w:r>
      <w:r w:rsidR="00422CA6">
        <w:rPr>
          <w:rFonts w:eastAsia="Times New Roman"/>
          <w:lang w:eastAsia="fi-FI"/>
        </w:rPr>
        <w:t>ss</w:t>
      </w:r>
      <w:r w:rsidRPr="00DF06BB">
        <w:rPr>
          <w:rFonts w:eastAsia="Times New Roman"/>
          <w:lang w:eastAsia="fi-FI"/>
        </w:rPr>
        <w:t xml:space="preserve">a. </w:t>
      </w:r>
      <w:r w:rsidR="0028661D">
        <w:rPr>
          <w:rFonts w:eastAsia="Times New Roman"/>
          <w:lang w:eastAsia="fi-FI"/>
        </w:rPr>
        <w:t>Nykyistä k</w:t>
      </w:r>
      <w:r w:rsidRPr="00DF06BB">
        <w:rPr>
          <w:rFonts w:eastAsia="Times New Roman"/>
          <w:lang w:eastAsia="fi-FI"/>
        </w:rPr>
        <w:t xml:space="preserve">ohtaa </w:t>
      </w:r>
      <w:r w:rsidR="0028661D">
        <w:rPr>
          <w:rFonts w:eastAsia="Times New Roman"/>
          <w:lang w:eastAsia="fi-FI"/>
        </w:rPr>
        <w:t>1</w:t>
      </w:r>
      <w:r w:rsidRPr="00DF06BB">
        <w:rPr>
          <w:rFonts w:eastAsia="Times New Roman"/>
          <w:lang w:eastAsia="fi-FI"/>
        </w:rPr>
        <w:t xml:space="preserve">) </w:t>
      </w:r>
      <w:r w:rsidR="0028661D">
        <w:rPr>
          <w:rFonts w:eastAsia="Times New Roman"/>
          <w:lang w:eastAsia="fi-FI"/>
        </w:rPr>
        <w:t xml:space="preserve">(aiempi kohta 2) </w:t>
      </w:r>
      <w:r w:rsidRPr="00DF06BB">
        <w:rPr>
          <w:rFonts w:eastAsia="Times New Roman"/>
          <w:lang w:eastAsia="fi-FI"/>
        </w:rPr>
        <w:t>on muokattu</w:t>
      </w:r>
      <w:r w:rsidR="0028661D">
        <w:rPr>
          <w:rFonts w:eastAsia="Times New Roman"/>
          <w:lang w:eastAsia="fi-FI"/>
        </w:rPr>
        <w:t xml:space="preserve"> </w:t>
      </w:r>
      <w:r w:rsidR="00FE6F9D">
        <w:rPr>
          <w:rFonts w:eastAsia="Times New Roman"/>
          <w:lang w:eastAsia="fi-FI"/>
        </w:rPr>
        <w:t xml:space="preserve">yleisemmin luvanhaltijaa koskevaksi velvoitteeksi </w:t>
      </w:r>
      <w:r w:rsidR="0028661D">
        <w:rPr>
          <w:rFonts w:eastAsia="Times New Roman"/>
          <w:lang w:eastAsia="fi-FI"/>
        </w:rPr>
        <w:t xml:space="preserve">niin, ettei siinä velvoiteta </w:t>
      </w:r>
      <w:r w:rsidR="00FE6F9D">
        <w:rPr>
          <w:rFonts w:eastAsia="Times New Roman"/>
          <w:lang w:eastAsia="fi-FI"/>
        </w:rPr>
        <w:t>yksittäistä työntekijää, mi</w:t>
      </w:r>
      <w:r w:rsidR="0076577E">
        <w:rPr>
          <w:rFonts w:eastAsia="Times New Roman"/>
          <w:lang w:eastAsia="fi-FI"/>
        </w:rPr>
        <w:t>st</w:t>
      </w:r>
      <w:r w:rsidR="00FE6F9D">
        <w:rPr>
          <w:rFonts w:eastAsia="Times New Roman"/>
          <w:lang w:eastAsia="fi-FI"/>
        </w:rPr>
        <w:t>ä pitäisi säätää laissa</w:t>
      </w:r>
      <w:r w:rsidRPr="00DF06BB">
        <w:rPr>
          <w:rFonts w:eastAsia="Times New Roman"/>
          <w:lang w:eastAsia="fi-FI"/>
        </w:rPr>
        <w:t>.</w:t>
      </w:r>
      <w:r w:rsidR="007C7BCF" w:rsidRPr="00944C16">
        <w:rPr>
          <w:rFonts w:eastAsia="Times New Roman"/>
          <w:lang w:eastAsia="fi-FI"/>
        </w:rPr>
        <w:t xml:space="preserve"> </w:t>
      </w:r>
    </w:p>
    <w:p w14:paraId="33FE671F" w14:textId="77777777" w:rsidR="00054A81" w:rsidRPr="00944C16" w:rsidRDefault="00054A81" w:rsidP="00472916">
      <w:pPr>
        <w:tabs>
          <w:tab w:val="left" w:pos="1304"/>
        </w:tabs>
        <w:spacing w:before="120" w:after="120"/>
        <w:ind w:left="1304"/>
        <w:jc w:val="both"/>
        <w:rPr>
          <w:rFonts w:eastAsia="Times New Roman"/>
          <w:lang w:eastAsia="fi-FI"/>
        </w:rPr>
      </w:pPr>
    </w:p>
    <w:p w14:paraId="6E6497F4" w14:textId="5D2D0CDA" w:rsidR="00DF06BB" w:rsidRDefault="007C7BCF" w:rsidP="00DF06BB">
      <w:pPr>
        <w:numPr>
          <w:ilvl w:val="0"/>
          <w:numId w:val="45"/>
        </w:numPr>
        <w:tabs>
          <w:tab w:val="left" w:pos="1304"/>
        </w:tabs>
        <w:spacing w:before="120"/>
        <w:jc w:val="both"/>
        <w:rPr>
          <w:rFonts w:eastAsia="Times New Roman"/>
          <w:b/>
          <w:lang w:eastAsia="fi-FI"/>
        </w:rPr>
      </w:pPr>
      <w:r w:rsidRPr="00944C16">
        <w:rPr>
          <w:rFonts w:eastAsia="Times New Roman"/>
          <w:b/>
          <w:lang w:eastAsia="fi-FI"/>
        </w:rPr>
        <w:t xml:space="preserve">§ </w:t>
      </w:r>
      <w:r w:rsidR="00DF06BB" w:rsidRPr="00DF06BB">
        <w:rPr>
          <w:rFonts w:eastAsia="Times New Roman"/>
          <w:b/>
          <w:lang w:eastAsia="fi-FI"/>
        </w:rPr>
        <w:t xml:space="preserve">Voimakeinojen käyttöön ja voimankäyttövälineisiin liittyvät </w:t>
      </w:r>
    </w:p>
    <w:p w14:paraId="14F571C6" w14:textId="27540413" w:rsidR="007C7BCF" w:rsidRPr="00944C16" w:rsidRDefault="00DF06BB" w:rsidP="00DF06BB">
      <w:pPr>
        <w:tabs>
          <w:tab w:val="left" w:pos="1701"/>
        </w:tabs>
        <w:spacing w:after="120"/>
        <w:ind w:left="1298"/>
        <w:jc w:val="both"/>
        <w:rPr>
          <w:rFonts w:eastAsia="Times New Roman"/>
          <w:b/>
          <w:lang w:eastAsia="fi-FI"/>
        </w:rPr>
      </w:pPr>
      <w:r>
        <w:rPr>
          <w:rFonts w:eastAsia="Times New Roman"/>
          <w:b/>
          <w:lang w:eastAsia="fi-FI"/>
        </w:rPr>
        <w:tab/>
      </w:r>
      <w:r w:rsidR="00FD6BF6">
        <w:rPr>
          <w:rFonts w:eastAsia="Times New Roman"/>
          <w:b/>
          <w:lang w:eastAsia="fi-FI"/>
        </w:rPr>
        <w:t>erityis</w:t>
      </w:r>
      <w:r w:rsidRPr="00DF06BB">
        <w:rPr>
          <w:rFonts w:eastAsia="Times New Roman"/>
          <w:b/>
          <w:lang w:eastAsia="fi-FI"/>
        </w:rPr>
        <w:t>vaatimukset</w:t>
      </w:r>
    </w:p>
    <w:p w14:paraId="2EF2BC8D" w14:textId="163FA48C" w:rsidR="00FD6BF6" w:rsidRPr="00FD6BF6" w:rsidRDefault="00FD6BF6" w:rsidP="00FD6BF6">
      <w:pPr>
        <w:tabs>
          <w:tab w:val="left" w:pos="1304"/>
        </w:tabs>
        <w:spacing w:before="120" w:after="120"/>
        <w:ind w:left="1304"/>
        <w:jc w:val="both"/>
        <w:rPr>
          <w:rFonts w:eastAsia="Times New Roman"/>
          <w:lang w:eastAsia="fi-FI"/>
        </w:rPr>
      </w:pPr>
      <w:r w:rsidRPr="00FD6BF6">
        <w:rPr>
          <w:rFonts w:eastAsia="Times New Roman"/>
          <w:lang w:eastAsia="fi-FI"/>
        </w:rPr>
        <w:t>Määräyksen 10 §:ssä on esitetty voimakeinojen käyttöä ja voimankäyttövälineitä koskevat erityisvaatimukset. Voimakeinojen käytössä edellytetään voiman</w:t>
      </w:r>
      <w:r w:rsidR="00FE3516">
        <w:rPr>
          <w:rFonts w:eastAsia="Times New Roman"/>
          <w:lang w:eastAsia="fi-FI"/>
        </w:rPr>
        <w:softHyphen/>
      </w:r>
      <w:r w:rsidRPr="00FD6BF6">
        <w:rPr>
          <w:rFonts w:eastAsia="Times New Roman"/>
          <w:lang w:eastAsia="fi-FI"/>
        </w:rPr>
        <w:t xml:space="preserve">käyttövälineiden käytön osaamista. Osaamisvaatimukset on määritelty erikseen ydinlaitoksen turvaohjesäännössä, koska yksityiskohtaisia tietoja käytettävistä välineistä ei voida antaa julkisesti; se voisi vaarantaa turvajärjestelyjen tarkoituksen. </w:t>
      </w:r>
    </w:p>
    <w:p w14:paraId="53F1A62D" w14:textId="48063063" w:rsidR="00FD6BF6" w:rsidRPr="00FD6BF6" w:rsidRDefault="00FD6BF6" w:rsidP="00FD6BF6">
      <w:pPr>
        <w:tabs>
          <w:tab w:val="left" w:pos="1304"/>
        </w:tabs>
        <w:spacing w:before="120" w:after="120"/>
        <w:ind w:left="1304"/>
        <w:jc w:val="both"/>
        <w:rPr>
          <w:rFonts w:eastAsia="Times New Roman"/>
          <w:lang w:eastAsia="fi-FI"/>
        </w:rPr>
      </w:pPr>
      <w:r w:rsidRPr="00FD6BF6">
        <w:rPr>
          <w:rFonts w:eastAsia="Times New Roman"/>
          <w:lang w:eastAsia="fi-FI"/>
        </w:rPr>
        <w:t xml:space="preserve">On perusteltua, että vain sellaisia välineitä, jotka ovat turvaohjesäännön mukaisia ja luvanhaltijan tai vartioimisliikkeen </w:t>
      </w:r>
      <w:r w:rsidR="00422CA6">
        <w:rPr>
          <w:rFonts w:eastAsia="Times New Roman"/>
          <w:lang w:eastAsia="fi-FI"/>
        </w:rPr>
        <w:t>omistamia</w:t>
      </w:r>
      <w:r w:rsidRPr="00FD6BF6">
        <w:rPr>
          <w:rFonts w:eastAsia="Times New Roman"/>
          <w:lang w:eastAsia="fi-FI"/>
        </w:rPr>
        <w:t xml:space="preserve">, voidaan käyttää voimakeinojen käytössä. </w:t>
      </w:r>
      <w:r w:rsidR="00422CA6">
        <w:rPr>
          <w:rFonts w:eastAsia="Times New Roman"/>
          <w:lang w:eastAsia="fi-FI"/>
        </w:rPr>
        <w:t xml:space="preserve">Sana ’hallitsemia’ on muutettu tarkemmin asiaa kuvaavaan sanaan ’omistamia’. </w:t>
      </w:r>
      <w:r w:rsidRPr="00FD6BF6">
        <w:rPr>
          <w:rFonts w:eastAsia="Times New Roman"/>
          <w:lang w:eastAsia="fi-FI"/>
        </w:rPr>
        <w:t>Voimakeinojen käytössä puututaan usein perusoikeuksiin ja tällä vaatimuksella varmistetaan se, että käytetään vain hyväksyttyjä välineitä, joiden tarpeellisuuden sisäministeriö, Ydinalan turvajärjestelyjen neuvottelukunta ja STUK ovat arvioineet turvaohjesääntöä hyväksyttäessä.</w:t>
      </w:r>
    </w:p>
    <w:p w14:paraId="141F27FC" w14:textId="22984E53" w:rsidR="007C7BCF" w:rsidRDefault="00FD6BF6" w:rsidP="00FD6BF6">
      <w:pPr>
        <w:tabs>
          <w:tab w:val="left" w:pos="1304"/>
        </w:tabs>
        <w:spacing w:before="120" w:after="120"/>
        <w:ind w:left="1304"/>
        <w:jc w:val="both"/>
        <w:rPr>
          <w:rFonts w:eastAsia="Times New Roman"/>
          <w:lang w:eastAsia="fi-FI"/>
        </w:rPr>
      </w:pPr>
      <w:r w:rsidRPr="00FD6BF6">
        <w:rPr>
          <w:rFonts w:eastAsia="Times New Roman"/>
          <w:lang w:eastAsia="fi-FI"/>
        </w:rPr>
        <w:t>Määräykseen on korjattu viittaus ydinenergialain 7 t §:</w:t>
      </w:r>
      <w:proofErr w:type="spellStart"/>
      <w:r w:rsidRPr="00FD6BF6">
        <w:rPr>
          <w:rFonts w:eastAsia="Times New Roman"/>
          <w:lang w:eastAsia="fi-FI"/>
        </w:rPr>
        <w:t>ään</w:t>
      </w:r>
      <w:proofErr w:type="spellEnd"/>
      <w:r w:rsidRPr="00FD6BF6">
        <w:rPr>
          <w:rFonts w:eastAsia="Times New Roman"/>
          <w:lang w:eastAsia="fi-FI"/>
        </w:rPr>
        <w:t>, jossa säädetään turva</w:t>
      </w:r>
      <w:r w:rsidR="00FE3516">
        <w:rPr>
          <w:rFonts w:eastAsia="Times New Roman"/>
          <w:lang w:eastAsia="fi-FI"/>
        </w:rPr>
        <w:softHyphen/>
      </w:r>
      <w:r w:rsidRPr="00FD6BF6">
        <w:rPr>
          <w:rFonts w:eastAsia="Times New Roman"/>
          <w:lang w:eastAsia="fi-FI"/>
        </w:rPr>
        <w:t>henkilön oikeudesta käyttää voimakeinoja</w:t>
      </w:r>
      <w:r w:rsidR="007C7BCF" w:rsidRPr="00944C16">
        <w:rPr>
          <w:rFonts w:eastAsia="Times New Roman"/>
          <w:lang w:eastAsia="fi-FI"/>
        </w:rPr>
        <w:t xml:space="preserve">. </w:t>
      </w:r>
    </w:p>
    <w:p w14:paraId="0512F003" w14:textId="77777777" w:rsidR="00054A81" w:rsidRPr="00944C16" w:rsidRDefault="00054A81" w:rsidP="00472916">
      <w:pPr>
        <w:tabs>
          <w:tab w:val="left" w:pos="1304"/>
        </w:tabs>
        <w:spacing w:before="120" w:after="120"/>
        <w:ind w:left="1304"/>
        <w:jc w:val="both"/>
        <w:rPr>
          <w:rFonts w:eastAsia="Times New Roman"/>
          <w:lang w:eastAsia="fi-FI"/>
        </w:rPr>
      </w:pPr>
    </w:p>
    <w:p w14:paraId="5E0E8035" w14:textId="10D62491"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D6BF6">
        <w:rPr>
          <w:rFonts w:eastAsia="Times New Roman"/>
          <w:b/>
          <w:lang w:eastAsia="fi-FI"/>
        </w:rPr>
        <w:t>Hälytyskeskus</w:t>
      </w:r>
    </w:p>
    <w:p w14:paraId="4FAB5F62" w14:textId="068F6634" w:rsidR="00FD6BF6" w:rsidRDefault="00FD6BF6" w:rsidP="00FD6BF6">
      <w:pPr>
        <w:pStyle w:val="Leipteksti"/>
        <w:spacing w:after="0"/>
        <w:ind w:left="1304"/>
        <w:jc w:val="both"/>
      </w:pPr>
      <w:r>
        <w:t>Määräyksen 11 §:ssä on säädetty ydinlaitoksen hälytyskeskuksesta ja varahälytys</w:t>
      </w:r>
      <w:r w:rsidR="001F5F08">
        <w:softHyphen/>
      </w:r>
      <w:r>
        <w:t>keskuksesta. Turvajärjestelyjen ja turvaorganisaation toiminnan varmistamiseksi ja ohjaamiseksi, hälytysten arvioimiseksi, tilanteen kehittymisen seuraamiseksi ja tilannekuvan ylläpitämiseksi tarvitaan ydinlaitoksella hälytyskeskusta ja varahälytys</w:t>
      </w:r>
      <w:r w:rsidR="001F5F08">
        <w:softHyphen/>
      </w:r>
      <w:r>
        <w:t>keskusta. Tilanteen johtamiseksi ja tilannekuvan ylläpitämiseksi ja välittämiseksi yhtey</w:t>
      </w:r>
      <w:r w:rsidR="00FE6F9D">
        <w:t>ksien</w:t>
      </w:r>
      <w:r>
        <w:t xml:space="preserve"> </w:t>
      </w:r>
      <w:r w:rsidR="00FE6F9D">
        <w:t xml:space="preserve">on </w:t>
      </w:r>
      <w:r>
        <w:t xml:space="preserve">ovat tietoturvallisia. Määräykseen on lisätty yhteys </w:t>
      </w:r>
      <w:r w:rsidRPr="006D5AA1">
        <w:rPr>
          <w:i/>
        </w:rPr>
        <w:t>johtokeskukseen</w:t>
      </w:r>
      <w:r>
        <w:t>, koska uhkatilanteessa tätä tarvitaan tilanteen hoitamiseksi. Hälytyskeskuksen miehitykseen liittyvästi vaatimuksesta on poistettu sana aina, koska se ei siirryttäessä hälytyskeskuksesta varahälytys</w:t>
      </w:r>
      <w:r w:rsidR="000152D5">
        <w:softHyphen/>
      </w:r>
      <w:r>
        <w:t>keskukseen ole aina mahdollista.</w:t>
      </w:r>
      <w:r w:rsidR="009D77E9">
        <w:t xml:space="preserve"> Erottelun osalta vaatimusta on lievennetty siten, että sekä etäisyyttä että rakenteellisia ratkaisuja ei kumpaakin välttämättä edellytetä.</w:t>
      </w:r>
    </w:p>
    <w:p w14:paraId="7C771B0C" w14:textId="77777777" w:rsidR="00FD6BF6" w:rsidRDefault="00FD6BF6" w:rsidP="00FD6BF6">
      <w:pPr>
        <w:pStyle w:val="Leipteksti"/>
        <w:spacing w:after="0"/>
        <w:ind w:left="1304"/>
        <w:jc w:val="both"/>
      </w:pPr>
    </w:p>
    <w:p w14:paraId="0055A382" w14:textId="00864EE8" w:rsidR="00FD6BF6" w:rsidRDefault="00FD6BF6" w:rsidP="00FD6BF6">
      <w:pPr>
        <w:pStyle w:val="Leipteksti"/>
        <w:spacing w:after="0"/>
        <w:ind w:left="1304"/>
        <w:jc w:val="both"/>
      </w:pPr>
      <w:r w:rsidRPr="008D041F">
        <w:lastRenderedPageBreak/>
        <w:t>Uhkatilanteisiin varautumiseen kuuluu myös asianmukaisten ulkoisten edellytysten</w:t>
      </w:r>
      <w:r>
        <w:t xml:space="preserve"> </w:t>
      </w:r>
      <w:r w:rsidRPr="008D041F">
        <w:t xml:space="preserve">ja yhteysjärjestelmien suunnittelu ennakkoon. </w:t>
      </w:r>
      <w:r>
        <w:t>Määräyksessä</w:t>
      </w:r>
      <w:r w:rsidRPr="008D041F">
        <w:t xml:space="preserve"> </w:t>
      </w:r>
      <w:r>
        <w:t>säädetään</w:t>
      </w:r>
      <w:r w:rsidRPr="008D041F">
        <w:t>, että</w:t>
      </w:r>
      <w:r>
        <w:t xml:space="preserve"> </w:t>
      </w:r>
      <w:r w:rsidRPr="008D041F">
        <w:t xml:space="preserve">nämä toiminnot toteutetaan siten varmennettuina, että </w:t>
      </w:r>
      <w:r>
        <w:t>ne ovat käytettävissä ja toimin</w:t>
      </w:r>
      <w:r w:rsidRPr="008D041F">
        <w:t>ta</w:t>
      </w:r>
      <w:r w:rsidR="00FE3516">
        <w:softHyphen/>
      </w:r>
      <w:r w:rsidRPr="008D041F">
        <w:t>kykyiset myös odottamattomassa uhkatilanteessa tai normaalista poikkeavassa</w:t>
      </w:r>
      <w:r>
        <w:t xml:space="preserve"> </w:t>
      </w:r>
      <w:r w:rsidRPr="008D041F">
        <w:t>käyttötilanteessa.</w:t>
      </w:r>
    </w:p>
    <w:p w14:paraId="706E6759" w14:textId="77777777" w:rsidR="00FD6BF6" w:rsidRDefault="00FD6BF6" w:rsidP="00FD6BF6">
      <w:pPr>
        <w:pStyle w:val="Leipteksti"/>
        <w:spacing w:after="0"/>
        <w:ind w:left="1304"/>
      </w:pPr>
    </w:p>
    <w:p w14:paraId="44C5BB6F" w14:textId="2FA74B31" w:rsidR="00FD6BF6" w:rsidRDefault="00FD6BF6" w:rsidP="00FD6BF6">
      <w:pPr>
        <w:tabs>
          <w:tab w:val="left" w:pos="1304"/>
        </w:tabs>
        <w:ind w:left="1304"/>
        <w:jc w:val="both"/>
        <w:rPr>
          <w:rFonts w:eastAsia="Times New Roman"/>
          <w:lang w:eastAsia="fi-FI"/>
        </w:rPr>
      </w:pPr>
      <w:r>
        <w:t>Ydinaineiden ja ydinjätteen kuljetuksissa tarvittavat menettelytavat arvioidaan tapaus</w:t>
      </w:r>
      <w:r w:rsidR="000152D5">
        <w:softHyphen/>
      </w:r>
      <w:r>
        <w:t>kohtaisesti, mutta myös näissä lainvastaisen toiminnan torjumiseksi edellytetään turvajärjestelyjä, jotka sisältävät hälytysyhteyksiä.</w:t>
      </w:r>
    </w:p>
    <w:p w14:paraId="699EAA37" w14:textId="77777777" w:rsidR="00054A81" w:rsidRPr="00944C16" w:rsidRDefault="00054A81" w:rsidP="00624FC6">
      <w:pPr>
        <w:tabs>
          <w:tab w:val="left" w:pos="1304"/>
        </w:tabs>
        <w:spacing w:after="120"/>
        <w:ind w:left="1304"/>
        <w:jc w:val="both"/>
        <w:rPr>
          <w:rFonts w:eastAsia="Times New Roman"/>
          <w:lang w:eastAsia="fi-FI"/>
        </w:rPr>
      </w:pPr>
    </w:p>
    <w:p w14:paraId="70DD3717" w14:textId="78E6595B"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J</w:t>
      </w:r>
      <w:r w:rsidR="00FD6BF6">
        <w:rPr>
          <w:rFonts w:eastAsia="Times New Roman"/>
          <w:b/>
          <w:lang w:eastAsia="fi-FI"/>
        </w:rPr>
        <w:t>ohtokeskus ja j</w:t>
      </w:r>
      <w:r w:rsidRPr="00944C16">
        <w:rPr>
          <w:rFonts w:eastAsia="Times New Roman"/>
          <w:b/>
          <w:lang w:eastAsia="fi-FI"/>
        </w:rPr>
        <w:t>ohtaminen</w:t>
      </w:r>
    </w:p>
    <w:p w14:paraId="12EFB294" w14:textId="1D170D73" w:rsidR="00FD6BF6" w:rsidRDefault="00FD6BF6" w:rsidP="00FD6BF6">
      <w:pPr>
        <w:pStyle w:val="Leipteksti"/>
        <w:ind w:left="1304"/>
        <w:jc w:val="both"/>
      </w:pPr>
      <w:r>
        <w:t>Määräyksen 12 §:ssä on säädetty johtokeskuksesta ja ydin- tai säteilyturvallisuutta vaarantavan uhkatilanteen torjumiseksi tarvittavasta johtamisesta. Turvaorganisaation johtamiseksi edellytetään</w:t>
      </w:r>
      <w:r w:rsidR="009D77E9">
        <w:t xml:space="preserve"> määräysmuutoksessa</w:t>
      </w:r>
      <w:r>
        <w:t xml:space="preserve">, että ydinlaitoksella on aina </w:t>
      </w:r>
      <w:r w:rsidR="00FE6F9D">
        <w:t xml:space="preserve">paikalla </w:t>
      </w:r>
      <w:r>
        <w:t xml:space="preserve">organisaation johtamisesta vastaava henkilö. Koska uhkatilanteen torjumiseksi on tärkeätä, että sen johtaminen voidaan tehdä suojatusta paikasta, edellytetään toiminnolle johtokeskusta ja sille varajohtokeskusta. Johtokeskus tai varajohtokeskus miehitetään tarvittaessa siten, kuin luvanhaltija on suunnitelmissaan esittänyt. Johtamisen varmistamiseksi yhteydet valvomoon ja poliisiin on varmennettava ja niiden on oltava tietoturvalliset. </w:t>
      </w:r>
      <w:r w:rsidR="00E11739">
        <w:t>Jo m</w:t>
      </w:r>
      <w:r>
        <w:t>ääräyksessä (2016) o</w:t>
      </w:r>
      <w:r w:rsidR="00E11739">
        <w:t>li</w:t>
      </w:r>
      <w:r>
        <w:t xml:space="preserve"> muokattu sanamuotoa ymmärrettävämmäksi kuin aiemmassa asetuksessa, jossa oli käytetty termejä johtokeskus ja johtokeskustoiminto. Vastaava muutos kuin säädöksessä 11 § on lisätty määräykseen (yhteys hälytyskeskukseen). Sanamuotoja on selkeytetty ja johtamisesta vastaava henkilö on erotettu omaksi vaatimuksekseen.</w:t>
      </w:r>
      <w:r w:rsidR="007E3548">
        <w:t xml:space="preserve"> Erottelun osalta on käytetty samaa terminologiaa kuin hälytyskeskuksen osalta, sekä etäisyyttä että rakenteellisia ratkaisuja ei kumpaakin edellytetä.</w:t>
      </w:r>
    </w:p>
    <w:p w14:paraId="10A28374" w14:textId="77777777" w:rsidR="00FD6BF6" w:rsidRDefault="00FD6BF6" w:rsidP="00FD6BF6">
      <w:pPr>
        <w:pStyle w:val="Leipteksti"/>
        <w:ind w:left="1304"/>
        <w:jc w:val="both"/>
      </w:pPr>
      <w:r>
        <w:t xml:space="preserve">Poliisitoiminnan johtamisen mahdollistamiseksi on poliisin käyttöön osoitettava johtamiseen soveltuva tila, jonka varustamisesta on sovittava poliisin kanssa. Tilanteen perusteella poliisi päättää, mistä se omaa toimintaansa johtaa. </w:t>
      </w:r>
    </w:p>
    <w:p w14:paraId="57C62A8B" w14:textId="77759C83" w:rsidR="007C7BCF" w:rsidRPr="00FD6BF6" w:rsidRDefault="00FD6BF6" w:rsidP="00FD6BF6">
      <w:pPr>
        <w:ind w:left="1304"/>
        <w:jc w:val="both"/>
        <w:rPr>
          <w:rFonts w:eastAsia="Cambria"/>
        </w:rPr>
      </w:pPr>
      <w:r>
        <w:t>Ydinvoimalaitoksella sama henkilö ei voi vastata hälytystoiminnoista ja turvaorgani</w:t>
      </w:r>
      <w:r w:rsidR="00FE3516">
        <w:softHyphen/>
      </w:r>
      <w:r>
        <w:t xml:space="preserve">saation johtamisesta. Tämä on perusteltua, koska useimpien ydinvoimalaitosten monimuotoisuuden ja koon vuoksi yksi henkilö ei pysty samanaikaisesti hoitamaan useita tehtäviä. </w:t>
      </w:r>
    </w:p>
    <w:p w14:paraId="7F6584A2" w14:textId="77777777" w:rsidR="00054A81" w:rsidRPr="00944C16" w:rsidRDefault="00054A81" w:rsidP="00FD6BF6">
      <w:pPr>
        <w:tabs>
          <w:tab w:val="left" w:pos="1304"/>
        </w:tabs>
        <w:spacing w:before="120" w:after="120"/>
        <w:ind w:left="1304"/>
        <w:rPr>
          <w:rFonts w:eastAsia="Times New Roman"/>
          <w:lang w:eastAsia="fi-FI"/>
        </w:rPr>
      </w:pPr>
    </w:p>
    <w:p w14:paraId="03BD252D" w14:textId="72F8AEC4"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D6BF6" w:rsidRPr="00FD6BF6">
        <w:rPr>
          <w:rFonts w:eastAsia="Times New Roman"/>
          <w:b/>
          <w:lang w:eastAsia="fi-FI"/>
        </w:rPr>
        <w:t>Toiminta uhkatilanteessa</w:t>
      </w:r>
    </w:p>
    <w:p w14:paraId="3169D384" w14:textId="500226D7" w:rsidR="00FD6BF6" w:rsidRDefault="00FD6BF6" w:rsidP="00FD6BF6">
      <w:pPr>
        <w:pStyle w:val="Leipteksti"/>
        <w:spacing w:after="0"/>
        <w:ind w:left="1298"/>
        <w:jc w:val="both"/>
      </w:pPr>
      <w:r>
        <w:t xml:space="preserve">Määräyksen 13 §:ssä on säädetty toiminnasta uhkatilanteissa. Uhkatilanteissa on ryhdyttävä niihin toimenpiteisiin, jotka on kuvattu luvanhaltijan toimesta turvaohjesäännössä ja turvasuunnitelmassa, tai muissa luvanhaltijan ohjeissa. </w:t>
      </w:r>
    </w:p>
    <w:p w14:paraId="43E44160" w14:textId="77777777" w:rsidR="00FD6BF6" w:rsidRDefault="00FD6BF6" w:rsidP="00FD6BF6">
      <w:pPr>
        <w:pStyle w:val="Leipteksti"/>
        <w:spacing w:after="0"/>
        <w:ind w:left="1298"/>
        <w:jc w:val="both"/>
      </w:pPr>
    </w:p>
    <w:p w14:paraId="26ACD239" w14:textId="77777777" w:rsidR="00FD6BF6" w:rsidRDefault="00FD6BF6" w:rsidP="00FD6BF6">
      <w:pPr>
        <w:pStyle w:val="Leipteksti"/>
        <w:spacing w:after="0"/>
        <w:ind w:left="1298"/>
        <w:jc w:val="both"/>
      </w:pPr>
      <w:r>
        <w:t xml:space="preserve">Poliisitoiminnan resurssien mitoittamiseksi oikein, on poliisi hälytettävä heti kun uhka on todettu. Sanamuoto on korjattu helpommin ymmärrettävään muotoon. Tilannekuvaa on välitettävä poliisille jo ennen tämän saapumista paikalle, jotta se osaa organisoida omaa toimintaansa uhkaa vastaan. </w:t>
      </w:r>
    </w:p>
    <w:p w14:paraId="4F09A016" w14:textId="77777777" w:rsidR="00FD6BF6" w:rsidRDefault="00FD6BF6" w:rsidP="00FD6BF6">
      <w:pPr>
        <w:pStyle w:val="Leipteksti"/>
        <w:spacing w:after="0"/>
        <w:ind w:left="1298"/>
        <w:jc w:val="both"/>
      </w:pPr>
    </w:p>
    <w:p w14:paraId="3F4F3B7E" w14:textId="6166631D" w:rsidR="00FD6BF6" w:rsidRDefault="00FD6BF6" w:rsidP="00FD6BF6">
      <w:pPr>
        <w:pStyle w:val="Leipteksti"/>
        <w:ind w:left="1298"/>
        <w:jc w:val="both"/>
      </w:pPr>
      <w:r>
        <w:lastRenderedPageBreak/>
        <w:t>Turvaorganisaation toimintaa johtaa tehtävään määrätty, koulutettu henkilö. Ydinen</w:t>
      </w:r>
      <w:r w:rsidR="00FE3516">
        <w:softHyphen/>
      </w:r>
      <w:r>
        <w:t>ergialaissa säädetään, miten johtovastuu siirtyy poliisille, koska STUK ei voi antaa poliisia koskevia määräyksiä.</w:t>
      </w:r>
    </w:p>
    <w:p w14:paraId="04007CE1" w14:textId="522FECD7" w:rsidR="007C7BCF" w:rsidRDefault="00FD6BF6" w:rsidP="00FD6BF6">
      <w:pPr>
        <w:tabs>
          <w:tab w:val="left" w:pos="1304"/>
        </w:tabs>
        <w:spacing w:before="120" w:after="120"/>
        <w:ind w:left="1304"/>
        <w:jc w:val="both"/>
        <w:rPr>
          <w:rFonts w:eastAsia="Times New Roman"/>
          <w:lang w:eastAsia="fi-FI"/>
        </w:rPr>
      </w:pPr>
      <w:r>
        <w:t>Luvanhaltijan on asetettava poliisin käyttöön riittävä määrä henkilökuntaa, joka tuntee laitoksen ja säteilysuojelun sekä turvajärjestelyt. Tämä on perusteltua sekä laitoksen toiminnan turvallisuuden että henkilöturvallisuuden varmistamiseksi. Kohdassa 4. on luvanhaltijan velvollisuudesta käytetty termiä ”huolehtii”, koska uhkatilanteessa toiminnan johtovastuu on poliisilla. Turvahenkilöt käyttävät kuitenkin ydinenergialaissa säädettyjä toimivaltuuksiaan näissä tilanteissa lähtökohtaisesti poliisin johtamana</w:t>
      </w:r>
      <w:r w:rsidR="0082395F">
        <w:rPr>
          <w:rFonts w:eastAsia="Times New Roman"/>
          <w:lang w:eastAsia="fi-FI"/>
        </w:rPr>
        <w:t>.</w:t>
      </w:r>
    </w:p>
    <w:p w14:paraId="5E4A5E7B" w14:textId="77777777" w:rsidR="00AE04C4" w:rsidRPr="00944C16" w:rsidRDefault="00AE04C4" w:rsidP="007C7BCF">
      <w:pPr>
        <w:tabs>
          <w:tab w:val="left" w:pos="1304"/>
        </w:tabs>
        <w:spacing w:before="120" w:after="120"/>
        <w:ind w:left="1304"/>
        <w:rPr>
          <w:rFonts w:eastAsia="Times New Roman"/>
          <w:lang w:eastAsia="fi-FI"/>
        </w:rPr>
      </w:pPr>
    </w:p>
    <w:p w14:paraId="61B316CF" w14:textId="3DFFFE62"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D6BF6" w:rsidRPr="00FD6BF6">
        <w:rPr>
          <w:rFonts w:eastAsia="Times New Roman"/>
          <w:b/>
          <w:lang w:eastAsia="fi-FI"/>
        </w:rPr>
        <w:t>Ilmoittaminen Säteilyturvakeskukselle</w:t>
      </w:r>
    </w:p>
    <w:p w14:paraId="498E89A5" w14:textId="6FC7856D" w:rsidR="00FD6BF6" w:rsidRDefault="00FD6BF6" w:rsidP="00FD6BF6">
      <w:pPr>
        <w:pStyle w:val="Leipteksti"/>
        <w:spacing w:after="0"/>
        <w:ind w:left="1304"/>
        <w:jc w:val="both"/>
      </w:pPr>
      <w:r>
        <w:t xml:space="preserve">Määräyksen 14 §:ssä säädetään ilmoittamisvelvollisuudesta </w:t>
      </w:r>
      <w:proofErr w:type="spellStart"/>
      <w:r>
        <w:t>STUKiin</w:t>
      </w:r>
      <w:proofErr w:type="spellEnd"/>
      <w:r>
        <w:t xml:space="preserve">. Mahdollisessa uhkatilanteessa, </w:t>
      </w:r>
      <w:proofErr w:type="spellStart"/>
      <w:r>
        <w:t>STUKin</w:t>
      </w:r>
      <w:proofErr w:type="spellEnd"/>
      <w:r>
        <w:t xml:space="preserve"> on tärkeää saada tieto uhkasta viipymättä. Tilanteen edellyttäessä voidaan </w:t>
      </w:r>
      <w:r w:rsidRPr="00702B12">
        <w:t xml:space="preserve">tällöin </w:t>
      </w:r>
      <w:r>
        <w:t xml:space="preserve">ryhtyä mahdollisimman aikaisessa vaiheessa niihin toimenpiteisiin, joita tilanteen hoitaminen edellyttää. Myös tiedotusvälineiden yhteydenottoon valmistautuminen edellyttää tiedon saamista mahdollisimman aikaisessa vaiheessa. </w:t>
      </w:r>
    </w:p>
    <w:p w14:paraId="2E7EE056" w14:textId="2D40B7DD" w:rsidR="007C7BCF" w:rsidRDefault="00FD6BF6" w:rsidP="00624FC6">
      <w:pPr>
        <w:tabs>
          <w:tab w:val="left" w:pos="1304"/>
        </w:tabs>
        <w:spacing w:before="120" w:after="120"/>
        <w:ind w:left="1304"/>
        <w:jc w:val="both"/>
        <w:rPr>
          <w:rFonts w:eastAsia="Times New Roman"/>
          <w:lang w:eastAsia="fi-FI"/>
        </w:rPr>
      </w:pPr>
      <w:r>
        <w:t>STUK informoi tilanteen niin edellyttäessä muita viranomaisia, mutta määräykses</w:t>
      </w:r>
      <w:r w:rsidR="00D335AF">
        <w:t>s</w:t>
      </w:r>
      <w:r>
        <w:t xml:space="preserve">ä </w:t>
      </w:r>
      <w:r w:rsidR="00D335AF">
        <w:t>ei ole</w:t>
      </w:r>
      <w:r>
        <w:t xml:space="preserve"> tä</w:t>
      </w:r>
      <w:r w:rsidR="00D335AF">
        <w:t>t</w:t>
      </w:r>
      <w:r>
        <w:t>ä vaatimus</w:t>
      </w:r>
      <w:r w:rsidR="00D335AF">
        <w:t>ta</w:t>
      </w:r>
      <w:r>
        <w:t>, koska STUK ei voi asettaa määräyksessä vaatimuksia itselleen</w:t>
      </w:r>
      <w:r w:rsidR="007C7BCF" w:rsidRPr="00944C16">
        <w:rPr>
          <w:rFonts w:eastAsia="Times New Roman"/>
          <w:lang w:eastAsia="fi-FI"/>
        </w:rPr>
        <w:t>.</w:t>
      </w:r>
    </w:p>
    <w:p w14:paraId="08E6932C" w14:textId="77777777" w:rsidR="00054A81" w:rsidRPr="00944C16" w:rsidRDefault="00054A81" w:rsidP="00624FC6">
      <w:pPr>
        <w:tabs>
          <w:tab w:val="left" w:pos="1304"/>
        </w:tabs>
        <w:spacing w:before="120" w:after="120"/>
        <w:ind w:left="1304"/>
        <w:jc w:val="both"/>
        <w:rPr>
          <w:rFonts w:eastAsia="Times New Roman"/>
          <w:lang w:eastAsia="fi-FI"/>
        </w:rPr>
      </w:pPr>
    </w:p>
    <w:p w14:paraId="1130AEEB" w14:textId="7D2996B8"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FD6BF6" w:rsidRPr="00FD6BF6">
        <w:rPr>
          <w:rFonts w:eastAsia="Times New Roman"/>
          <w:b/>
          <w:lang w:eastAsia="fi-FI"/>
        </w:rPr>
        <w:t>Suunnitelmien laatiminen</w:t>
      </w:r>
    </w:p>
    <w:p w14:paraId="230954ED" w14:textId="77777777" w:rsidR="00FD6BF6" w:rsidRDefault="00FD6BF6" w:rsidP="00FD6BF6">
      <w:pPr>
        <w:pStyle w:val="Leipteksti"/>
        <w:spacing w:after="0"/>
        <w:ind w:left="1304"/>
        <w:jc w:val="both"/>
      </w:pPr>
      <w:r>
        <w:t>Määräyksen 15 §:n 1 kohdassa on säädetty turvajärjestelyjä koskevien suunnitelmien valmistelusta yhteistyössä poliisin kanssa sen varmistamiseksi, että toimenpiteet toteutetaan ottaen huomioon poliisitoiminnalliset lähtökohdat ja resurssit. Yhteisvalmistelu myös edesauttaa turvaorganisaation ja poliisiviranomaisen välistä yhteistyötä ja varmistaa sen, että eri näkökohdat otetaan huomioon ja että poliisille välitetään sen tarvitsemaa informaatiota laitoksesta ja toimintaympäristöstä.</w:t>
      </w:r>
    </w:p>
    <w:p w14:paraId="380BCCF5" w14:textId="77777777" w:rsidR="00FD6BF6" w:rsidRDefault="00FD6BF6" w:rsidP="00FD6BF6">
      <w:pPr>
        <w:pStyle w:val="Leipteksti"/>
        <w:spacing w:after="0"/>
        <w:ind w:left="1304"/>
        <w:jc w:val="both"/>
      </w:pPr>
    </w:p>
    <w:p w14:paraId="37C2AA12" w14:textId="198C4C31" w:rsidR="00FD6BF6" w:rsidRDefault="00FD6BF6" w:rsidP="00FD6BF6">
      <w:pPr>
        <w:pStyle w:val="Leipteksti"/>
        <w:spacing w:after="0"/>
        <w:ind w:left="1304"/>
        <w:jc w:val="both"/>
      </w:pPr>
      <w:r>
        <w:t>Määräyksen 15 §:n kohta 2 on uusi ja siinä säädetään menettelyistä koskien kadonneen tai anastetun ydinaineen tai ydinjätteen takaisinsaantia sekä säteily</w:t>
      </w:r>
      <w:r w:rsidR="00FE3516">
        <w:softHyphen/>
      </w:r>
      <w:r>
        <w:t>vaikutusten vähentämisvelvoitetta niihin kohdistuneen ydin- tai säteilyturvallisuutta vaarantavan toiminnan seurauksena.</w:t>
      </w:r>
    </w:p>
    <w:p w14:paraId="420350ED" w14:textId="77777777" w:rsidR="00FD6BF6" w:rsidRDefault="00FD6BF6" w:rsidP="00FD6BF6">
      <w:pPr>
        <w:pStyle w:val="Leipteksti"/>
        <w:spacing w:after="0"/>
        <w:ind w:left="1304"/>
        <w:jc w:val="both"/>
      </w:pPr>
    </w:p>
    <w:p w14:paraId="14446C84" w14:textId="77777777" w:rsidR="00FD6BF6" w:rsidRPr="000152D5" w:rsidRDefault="00FD6BF6" w:rsidP="00FD6BF6">
      <w:pPr>
        <w:pStyle w:val="Leipteksti"/>
        <w:spacing w:after="0"/>
        <w:ind w:left="1304"/>
        <w:jc w:val="both"/>
      </w:pPr>
      <w:r w:rsidRPr="000152D5">
        <w:t>Kansainvälisen sopimuksen (CPPNM/A, 2A b) edellyttää, että sopimuksen osapuoli toteuttaa järjestelmälliset menettelyt, joilla pyritään saamaan takaisin haltuun anastettu tai kadonnut ydinaine. Ydinaineen luvanhaltijan on vaatimuksen mukaisesti laadittava suunnitelmalliset menettelytavat ydinaineen takaisinsaamiseksi. Tämä huomio esitettiin myös turvajärjestelyvaatimuksia koskevassa ulkopuolisessa arvioinnissa.</w:t>
      </w:r>
    </w:p>
    <w:p w14:paraId="2003C452" w14:textId="77777777" w:rsidR="00FD6BF6" w:rsidRPr="000152D5" w:rsidRDefault="00FD6BF6" w:rsidP="00FD6BF6">
      <w:pPr>
        <w:pStyle w:val="Leipteksti"/>
        <w:spacing w:after="0"/>
        <w:ind w:left="1304"/>
        <w:jc w:val="both"/>
      </w:pPr>
    </w:p>
    <w:p w14:paraId="4B8F3263" w14:textId="45F1162D" w:rsidR="00FD6BF6" w:rsidRDefault="00FD6BF6" w:rsidP="00FD6BF6">
      <w:pPr>
        <w:pStyle w:val="Leipteksti"/>
        <w:spacing w:after="0"/>
        <w:ind w:left="1304"/>
        <w:jc w:val="both"/>
        <w:rPr>
          <w:u w:val="single"/>
        </w:rPr>
      </w:pPr>
      <w:r w:rsidRPr="000152D5">
        <w:t>Määräyksen 15 §:n 2. kohdassa säädetään säteilyvaikutusten vähentämisvelvolli</w:t>
      </w:r>
      <w:r w:rsidR="00FE3516">
        <w:softHyphen/>
      </w:r>
      <w:r w:rsidRPr="000152D5">
        <w:t xml:space="preserve">suudesta, kun ne ovat aiheutuneet ydinlaitokseen tai ydinaineen kuljetukseen kohdistuneesta lainvastaisesta toiminnasta (sabotaasi). Vaatimuksen peruste on esitetty CPPNM(A) artikla 2A (d) kohdassa. </w:t>
      </w:r>
      <w:r>
        <w:t>Tämä huomio esitettiin myös turva</w:t>
      </w:r>
      <w:r w:rsidR="002C2C39">
        <w:softHyphen/>
      </w:r>
      <w:r>
        <w:t>järjestelyvaatimuksia koskevassa ulkopuolisessa arvioinnissa.</w:t>
      </w:r>
    </w:p>
    <w:p w14:paraId="4F8CED6F" w14:textId="77777777" w:rsidR="00FD6BF6" w:rsidRDefault="00FD6BF6" w:rsidP="00FD6BF6">
      <w:pPr>
        <w:pStyle w:val="Leipteksti"/>
        <w:spacing w:after="0"/>
        <w:ind w:left="1304"/>
        <w:jc w:val="both"/>
        <w:rPr>
          <w:b/>
        </w:rPr>
      </w:pPr>
    </w:p>
    <w:p w14:paraId="6C7DA39F" w14:textId="75AAA251" w:rsidR="00FD6BF6" w:rsidRPr="000152D5" w:rsidRDefault="00FD6BF6" w:rsidP="000152D5">
      <w:pPr>
        <w:numPr>
          <w:ilvl w:val="0"/>
          <w:numId w:val="45"/>
        </w:numPr>
        <w:tabs>
          <w:tab w:val="left" w:pos="1304"/>
        </w:tabs>
        <w:spacing w:before="120" w:after="120"/>
        <w:jc w:val="both"/>
        <w:rPr>
          <w:rFonts w:eastAsia="Times New Roman"/>
          <w:b/>
          <w:lang w:eastAsia="fi-FI"/>
        </w:rPr>
      </w:pPr>
      <w:r w:rsidRPr="000152D5">
        <w:rPr>
          <w:rFonts w:eastAsia="Times New Roman"/>
          <w:b/>
          <w:lang w:eastAsia="fi-FI"/>
        </w:rPr>
        <w:lastRenderedPageBreak/>
        <w:t>§ Turvahenkilön asu ja liikkumis- ja oleskelurajoitusalueen merkitseminen</w:t>
      </w:r>
    </w:p>
    <w:p w14:paraId="7AFA81D2" w14:textId="622976E3" w:rsidR="00FD6BF6" w:rsidRDefault="00FD6BF6" w:rsidP="00FD6BF6">
      <w:pPr>
        <w:pStyle w:val="Leipteksti"/>
        <w:spacing w:after="0"/>
        <w:ind w:left="1304"/>
        <w:jc w:val="both"/>
      </w:pPr>
      <w:r>
        <w:t xml:space="preserve">Määräyksen 16 §:n 1. kohdassa säädetään turvahenkilön asusta ja siinä käytettävistä tunnisteista. </w:t>
      </w:r>
      <w:r w:rsidR="003D2227">
        <w:t xml:space="preserve">Vaatimukset ovat kokonaan uusia ja niiden tarkoituksena on yhdenmukaistaa käytetyt merkinnät. Ydinenergialain muutoksen yhteydessä </w:t>
      </w:r>
      <w:proofErr w:type="spellStart"/>
      <w:r w:rsidR="003D2227">
        <w:t>STUKille</w:t>
      </w:r>
      <w:proofErr w:type="spellEnd"/>
      <w:r w:rsidR="003D2227">
        <w:t xml:space="preserve"> on annettu määräyksenantovaltuutus asiasta säätämiseksi. </w:t>
      </w:r>
      <w:r>
        <w:t xml:space="preserve">Yksityiskohtaiset vaatimukset on esitetty määräyksen </w:t>
      </w:r>
      <w:r w:rsidR="00BE1651">
        <w:t xml:space="preserve">16 §:n kohdissa 3, 4, 5, 6 ja 7 sekä </w:t>
      </w:r>
      <w:r>
        <w:t xml:space="preserve">liitteessä 1. Ydinlaitoksella työskentelevän tai siellä asioivan on kyettävä tunnistamaan turvahenkilö tämän käyttämän asun ja siihen tehtyjen merkintöjen perusteella luotettavasti. Asialla on merkitystä sekä turvahenkilön että tämän toimenpiteiden kohteeksi joutuneen henkilön oikeusturvan kannalta. Turvahenkilö käyttää tehtävässään merkittäviä, ydinenergialaissa säädettyjä toimivaltuuksia, minkä vuoksi tunnistaminen on tarpeen. </w:t>
      </w:r>
      <w:r w:rsidR="003D2227">
        <w:t>Turvahenkilöä koskevissa merkinnöissä on käytetty sekä suomen että ruotsin kieltä. Koska ydinlaitoksilla työskentelee merkittävä määrä (erityisesti vuosihuoltojen aikana) muunkielisiä työntekijöitä, merkinnöissä käytetään myös englanninkieltä. Tilanpuutteen vuoksi selkäosaan tehtävissä merkinnöissä käytetään vain käytännössä kaikkien ymmärtämää englanninkieltä.</w:t>
      </w:r>
    </w:p>
    <w:p w14:paraId="77534C6C" w14:textId="77777777" w:rsidR="00FD6BF6" w:rsidRDefault="00FD6BF6" w:rsidP="00FD6BF6">
      <w:pPr>
        <w:pStyle w:val="Leipteksti"/>
        <w:spacing w:after="0"/>
        <w:ind w:left="1304"/>
        <w:jc w:val="both"/>
      </w:pPr>
    </w:p>
    <w:p w14:paraId="6D9C2252" w14:textId="71DB4398" w:rsidR="00311B70" w:rsidRDefault="00FD6BF6" w:rsidP="00FD6BF6">
      <w:pPr>
        <w:pStyle w:val="Leipteksti"/>
        <w:spacing w:after="0"/>
        <w:ind w:left="1304"/>
        <w:jc w:val="both"/>
      </w:pPr>
      <w:r>
        <w:t>Määräyksen 16 §:n 2. kohdassa säädetään ydinlaitoksen liikkumis- ja oleskelu</w:t>
      </w:r>
      <w:r w:rsidR="002C2C39">
        <w:softHyphen/>
      </w:r>
      <w:r>
        <w:t>rajoitusalueen merkitsemisestä. Merkitseminen voidaan tehdä kyltein, nauhoin tai muulla sopivalla tavalla, mutta niistä on käytävä ilmi määräyksen liitteen 1. mukaiset seikat. Merkitsemisellä varmistetaan, että ydinlaitoksen alueelle tuleva tai siellä oleva henkilö voi merkkien perusteella havaita olevansa alueella, jossa liikkuminen on rajoitettua ja edellyttää luvanhaltijan myöntämää lupaa.</w:t>
      </w:r>
    </w:p>
    <w:p w14:paraId="6BC7B4E6" w14:textId="77777777" w:rsidR="00054A81" w:rsidRPr="00944C16" w:rsidRDefault="00054A81" w:rsidP="000152D5">
      <w:pPr>
        <w:tabs>
          <w:tab w:val="left" w:pos="1304"/>
        </w:tabs>
        <w:spacing w:before="120" w:after="120"/>
        <w:ind w:left="1298"/>
        <w:jc w:val="both"/>
        <w:rPr>
          <w:rFonts w:eastAsia="Times New Roman"/>
          <w:lang w:eastAsia="fi-FI"/>
        </w:rPr>
      </w:pPr>
    </w:p>
    <w:p w14:paraId="7C84F576" w14:textId="1F11C7DF"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xml:space="preserve">§ </w:t>
      </w:r>
      <w:r w:rsidR="000152D5" w:rsidRPr="000152D5">
        <w:rPr>
          <w:rFonts w:eastAsia="Times New Roman"/>
          <w:b/>
          <w:lang w:eastAsia="fi-FI"/>
        </w:rPr>
        <w:t>Vaitiolo- ja salassapitovelvollisuus</w:t>
      </w:r>
    </w:p>
    <w:p w14:paraId="2A7E6A4B" w14:textId="0B5FF99B" w:rsidR="00FE3516" w:rsidRDefault="000152D5">
      <w:pPr>
        <w:tabs>
          <w:tab w:val="left" w:pos="1304"/>
        </w:tabs>
        <w:spacing w:before="120" w:after="120"/>
        <w:ind w:left="1298"/>
        <w:jc w:val="both"/>
        <w:rPr>
          <w:rFonts w:eastAsia="Times New Roman"/>
          <w:lang w:eastAsia="fi-FI"/>
        </w:rPr>
      </w:pPr>
      <w:r w:rsidRPr="000152D5">
        <w:rPr>
          <w:rFonts w:eastAsia="Times New Roman"/>
          <w:lang w:eastAsia="fi-FI"/>
        </w:rPr>
        <w:t>Määräyksen 1</w:t>
      </w:r>
      <w:r>
        <w:rPr>
          <w:rFonts w:eastAsia="Times New Roman"/>
          <w:lang w:eastAsia="fi-FI"/>
        </w:rPr>
        <w:t>7</w:t>
      </w:r>
      <w:r w:rsidRPr="000152D5">
        <w:rPr>
          <w:rFonts w:eastAsia="Times New Roman"/>
          <w:lang w:eastAsia="fi-FI"/>
        </w:rPr>
        <w:t xml:space="preserve"> §:ssä on säädetty vaitiolo- ja salassapitovelvollisuudesta. Vaitiolo- ja salassapitovelvollisuutta koskevaa kohtaa on muutettu siten, että siitä käy ilmi, mitä toimintoja tai ketä se koskee. Viittaukset ajantasaiseen lainsäädäntöön on päivitetty</w:t>
      </w:r>
      <w:r w:rsidR="007C7BCF" w:rsidRPr="00944C16">
        <w:rPr>
          <w:rFonts w:eastAsia="Times New Roman"/>
          <w:lang w:eastAsia="fi-FI"/>
        </w:rPr>
        <w:t>.</w:t>
      </w:r>
    </w:p>
    <w:p w14:paraId="0976D009" w14:textId="77777777" w:rsidR="00FE3516" w:rsidRPr="00944C16" w:rsidRDefault="00FE3516" w:rsidP="00A6158F">
      <w:pPr>
        <w:tabs>
          <w:tab w:val="left" w:pos="1304"/>
        </w:tabs>
        <w:spacing w:before="120" w:after="120"/>
        <w:ind w:left="1298"/>
        <w:jc w:val="both"/>
        <w:rPr>
          <w:rFonts w:eastAsia="Times New Roman"/>
          <w:lang w:eastAsia="fi-FI"/>
        </w:rPr>
      </w:pPr>
    </w:p>
    <w:p w14:paraId="0F6A4DC3" w14:textId="77777777" w:rsidR="007C7BCF" w:rsidRPr="00944C16" w:rsidRDefault="007C7BCF" w:rsidP="00657FF1">
      <w:pPr>
        <w:numPr>
          <w:ilvl w:val="0"/>
          <w:numId w:val="45"/>
        </w:numPr>
        <w:tabs>
          <w:tab w:val="left" w:pos="1304"/>
        </w:tabs>
        <w:spacing w:before="120" w:after="120"/>
        <w:jc w:val="both"/>
        <w:rPr>
          <w:rFonts w:eastAsia="Times New Roman"/>
          <w:b/>
          <w:lang w:eastAsia="fi-FI"/>
        </w:rPr>
      </w:pPr>
      <w:r w:rsidRPr="00944C16">
        <w:rPr>
          <w:rFonts w:eastAsia="Times New Roman"/>
          <w:b/>
          <w:lang w:eastAsia="fi-FI"/>
        </w:rPr>
        <w:t>§ Voimaantulo</w:t>
      </w:r>
    </w:p>
    <w:p w14:paraId="0B95C3DA" w14:textId="33E8D299" w:rsidR="000152D5" w:rsidRDefault="000152D5" w:rsidP="000152D5">
      <w:pPr>
        <w:pStyle w:val="Leipteksti"/>
        <w:ind w:left="1304"/>
        <w:rPr>
          <w:color w:val="000000" w:themeColor="text1"/>
        </w:rPr>
      </w:pPr>
      <w:r>
        <w:t xml:space="preserve">Määräyksen 18 §:ssä on säädetty määräyksen voimaantulosta. </w:t>
      </w:r>
      <w:r w:rsidRPr="00F4161E">
        <w:rPr>
          <w:color w:val="000000" w:themeColor="text1"/>
        </w:rPr>
        <w:t>Samalla kumotaan 22.12.2015 annettu Säteilyturva</w:t>
      </w:r>
      <w:r>
        <w:rPr>
          <w:color w:val="000000" w:themeColor="text1"/>
        </w:rPr>
        <w:t>keskuksen määräys ydinenergian käytön turva</w:t>
      </w:r>
      <w:r w:rsidRPr="00F4161E">
        <w:rPr>
          <w:color w:val="000000" w:themeColor="text1"/>
        </w:rPr>
        <w:t>järjestelyistä.</w:t>
      </w:r>
    </w:p>
    <w:p w14:paraId="0B872E2F" w14:textId="77777777" w:rsidR="000152D5" w:rsidRDefault="000152D5" w:rsidP="000152D5">
      <w:pPr>
        <w:pStyle w:val="Leipteksti"/>
        <w:ind w:left="1304"/>
      </w:pPr>
      <w:r w:rsidRPr="00D8235D">
        <w:t xml:space="preserve">Määräyksen on tarkoitus tulla voimaan </w:t>
      </w:r>
      <w:r>
        <w:t>xx</w:t>
      </w:r>
      <w:r w:rsidRPr="00D8235D">
        <w:t>.</w:t>
      </w:r>
      <w:r>
        <w:t>yy</w:t>
      </w:r>
      <w:r w:rsidRPr="00D8235D">
        <w:t>.20</w:t>
      </w:r>
      <w:r>
        <w:t>20 ja se on voimassa toistaiseksi</w:t>
      </w:r>
      <w:r w:rsidRPr="00D8235D">
        <w:t xml:space="preserve">. </w:t>
      </w:r>
    </w:p>
    <w:p w14:paraId="5C036616" w14:textId="77777777" w:rsidR="000152D5" w:rsidRDefault="000152D5" w:rsidP="000152D5">
      <w:pPr>
        <w:pStyle w:val="Leipteksti"/>
        <w:ind w:left="1304"/>
      </w:pPr>
      <w:r w:rsidRPr="00F860B8">
        <w:t>Määräyksen voimaan tullessa vireillä oleviin asioihin sovelletaan tätä määräystä.</w:t>
      </w:r>
    </w:p>
    <w:p w14:paraId="17DB8123" w14:textId="77777777" w:rsidR="00311B70" w:rsidRPr="00311B70" w:rsidRDefault="00311B70" w:rsidP="00311B70">
      <w:pPr>
        <w:numPr>
          <w:ilvl w:val="0"/>
          <w:numId w:val="45"/>
        </w:numPr>
        <w:tabs>
          <w:tab w:val="left" w:pos="1304"/>
        </w:tabs>
        <w:spacing w:before="120" w:after="120"/>
        <w:jc w:val="both"/>
        <w:rPr>
          <w:rFonts w:eastAsia="Times New Roman"/>
          <w:b/>
          <w:lang w:eastAsia="fi-FI"/>
        </w:rPr>
      </w:pPr>
      <w:r w:rsidRPr="00311B70">
        <w:rPr>
          <w:rFonts w:eastAsia="Times New Roman"/>
          <w:b/>
          <w:lang w:eastAsia="fi-FI"/>
        </w:rPr>
        <w:t>Siirtymäsäännös</w:t>
      </w:r>
    </w:p>
    <w:p w14:paraId="5AF5E9A4" w14:textId="77433FB9" w:rsidR="00311B70" w:rsidRPr="00311B70" w:rsidRDefault="00311B70" w:rsidP="00311B70">
      <w:pPr>
        <w:spacing w:after="220"/>
        <w:ind w:left="1304"/>
        <w:jc w:val="both"/>
        <w:rPr>
          <w:rFonts w:eastAsia="Cambria"/>
        </w:rPr>
      </w:pPr>
      <w:r>
        <w:rPr>
          <w:rFonts w:eastAsia="Cambria"/>
        </w:rPr>
        <w:t>Määräyksen 19 §:ssä on säädetty liitteessä 1 esitettyjen l</w:t>
      </w:r>
      <w:r w:rsidRPr="00311B70">
        <w:rPr>
          <w:rFonts w:eastAsia="Cambria"/>
        </w:rPr>
        <w:t>uvanhaltijan ydinlaitoksen liikkumis- ja oleskelurajoitusalueen merkitsem</w:t>
      </w:r>
      <w:r>
        <w:rPr>
          <w:rFonts w:eastAsia="Cambria"/>
        </w:rPr>
        <w:t>is</w:t>
      </w:r>
      <w:r w:rsidR="00981933">
        <w:rPr>
          <w:rFonts w:eastAsia="Cambria"/>
        </w:rPr>
        <w:t>ess</w:t>
      </w:r>
      <w:r>
        <w:rPr>
          <w:rFonts w:eastAsia="Cambria"/>
        </w:rPr>
        <w:t>ä</w:t>
      </w:r>
      <w:r w:rsidRPr="00311B70">
        <w:rPr>
          <w:rFonts w:eastAsia="Cambria"/>
        </w:rPr>
        <w:t xml:space="preserve"> sekä turvahenkilön </w:t>
      </w:r>
      <w:r w:rsidR="00BE1651">
        <w:rPr>
          <w:rFonts w:eastAsia="Cambria"/>
        </w:rPr>
        <w:t>työ</w:t>
      </w:r>
      <w:r w:rsidRPr="00311B70">
        <w:rPr>
          <w:rFonts w:eastAsia="Cambria"/>
        </w:rPr>
        <w:t>asu</w:t>
      </w:r>
      <w:r w:rsidR="00981933">
        <w:rPr>
          <w:rFonts w:eastAsia="Cambria"/>
        </w:rPr>
        <w:t>ss</w:t>
      </w:r>
      <w:r>
        <w:rPr>
          <w:rFonts w:eastAsia="Cambria"/>
        </w:rPr>
        <w:t xml:space="preserve">a </w:t>
      </w:r>
      <w:r w:rsidR="00981933">
        <w:rPr>
          <w:rFonts w:eastAsia="Cambria"/>
        </w:rPr>
        <w:t>käytett</w:t>
      </w:r>
      <w:r w:rsidR="00AD2AB7">
        <w:rPr>
          <w:rFonts w:eastAsia="Cambria"/>
        </w:rPr>
        <w:t>ävi</w:t>
      </w:r>
      <w:r w:rsidR="00981933">
        <w:rPr>
          <w:rFonts w:eastAsia="Cambria"/>
        </w:rPr>
        <w:t>en</w:t>
      </w:r>
      <w:r>
        <w:rPr>
          <w:rFonts w:eastAsia="Cambria"/>
        </w:rPr>
        <w:t xml:space="preserve"> </w:t>
      </w:r>
      <w:r w:rsidR="00BE1651">
        <w:rPr>
          <w:rFonts w:eastAsia="Cambria"/>
        </w:rPr>
        <w:t>merki</w:t>
      </w:r>
      <w:r w:rsidR="00981933">
        <w:rPr>
          <w:rFonts w:eastAsia="Cambria"/>
        </w:rPr>
        <w:t>n</w:t>
      </w:r>
      <w:r w:rsidR="00BE1651">
        <w:rPr>
          <w:rFonts w:eastAsia="Cambria"/>
        </w:rPr>
        <w:t>töjen</w:t>
      </w:r>
      <w:r>
        <w:rPr>
          <w:rFonts w:eastAsia="Cambria"/>
        </w:rPr>
        <w:t xml:space="preserve"> olevan pakollisia 1.1.2021 alkaen, eli </w:t>
      </w:r>
      <w:r w:rsidR="00981933">
        <w:rPr>
          <w:rFonts w:eastAsia="Cambria"/>
        </w:rPr>
        <w:t xml:space="preserve">luvanhaltijan </w:t>
      </w:r>
      <w:r w:rsidRPr="00311B70">
        <w:rPr>
          <w:rFonts w:eastAsia="Cambria"/>
        </w:rPr>
        <w:t>nykyisin käyttämiä merkintöjä voidaan käyttää 31.12.2020 saakka.</w:t>
      </w:r>
    </w:p>
    <w:p w14:paraId="17206CE5" w14:textId="1CA0FD63" w:rsidR="007C7BCF" w:rsidRDefault="007C7BCF" w:rsidP="007C7BCF">
      <w:pPr>
        <w:spacing w:after="220"/>
        <w:ind w:left="1304"/>
        <w:jc w:val="both"/>
        <w:rPr>
          <w:rFonts w:eastAsia="Cambria"/>
        </w:rPr>
      </w:pPr>
    </w:p>
    <w:p w14:paraId="6725931B" w14:textId="77777777" w:rsidR="00311B70" w:rsidRPr="00944C16" w:rsidRDefault="00311B70" w:rsidP="007C7BCF">
      <w:pPr>
        <w:spacing w:after="220"/>
        <w:ind w:left="1304"/>
        <w:jc w:val="both"/>
        <w:rPr>
          <w:rFonts w:eastAsia="Cambria"/>
        </w:rPr>
      </w:pPr>
      <w:bookmarkStart w:id="2" w:name="_GoBack"/>
      <w:bookmarkEnd w:id="2"/>
    </w:p>
    <w:p w14:paraId="51FE459D" w14:textId="77777777" w:rsidR="007C7BCF" w:rsidRPr="00944C16" w:rsidRDefault="007C7BCF" w:rsidP="007C7BCF">
      <w:pPr>
        <w:spacing w:after="220"/>
        <w:ind w:left="1304"/>
        <w:jc w:val="both"/>
        <w:rPr>
          <w:rFonts w:eastAsia="Cambria"/>
          <w:b/>
        </w:rPr>
      </w:pPr>
      <w:r w:rsidRPr="00944C16">
        <w:rPr>
          <w:rFonts w:eastAsia="Cambria"/>
          <w:b/>
        </w:rPr>
        <w:lastRenderedPageBreak/>
        <w:t>Määräyksen saatavuus, ohjaus ja neuvonta:</w:t>
      </w:r>
    </w:p>
    <w:p w14:paraId="22C16942" w14:textId="77777777" w:rsidR="007C7BCF" w:rsidRPr="00944C16" w:rsidRDefault="007C7BCF" w:rsidP="007C7BCF">
      <w:pPr>
        <w:spacing w:after="220"/>
        <w:ind w:left="1304"/>
        <w:jc w:val="both"/>
        <w:rPr>
          <w:rFonts w:eastAsia="Cambria"/>
        </w:rPr>
      </w:pPr>
      <w:r w:rsidRPr="00944C16">
        <w:rPr>
          <w:rFonts w:eastAsia="Cambria"/>
        </w:rPr>
        <w:t xml:space="preserve">Määräys julkaistaan Säteilyturvakeskuksen määräyskokoelmassa, jonka osoite Finlexissä on: </w:t>
      </w:r>
      <w:hyperlink r:id="rId9" w:history="1">
        <w:r w:rsidRPr="00944C16">
          <w:rPr>
            <w:rFonts w:eastAsia="Cambria"/>
            <w:u w:val="single"/>
          </w:rPr>
          <w:t>http://www.finlex.fi/fi/viranomaiset/normi/555001/</w:t>
        </w:r>
      </w:hyperlink>
      <w:r w:rsidRPr="00944C16">
        <w:rPr>
          <w:rFonts w:eastAsia="Cambria"/>
        </w:rPr>
        <w:t>. Määräys on myös saatavilla Säteilyturvakeskuksesta.</w:t>
      </w:r>
    </w:p>
    <w:sectPr w:rsidR="007C7BCF" w:rsidRPr="00944C16" w:rsidSect="00573B89">
      <w:headerReference w:type="default" r:id="rId10"/>
      <w:pgSz w:w="11906" w:h="16838"/>
      <w:pgMar w:top="2438" w:right="1134" w:bottom="1701"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2B1B3" w14:textId="77777777" w:rsidR="0006271A" w:rsidRDefault="0006271A" w:rsidP="001D19F9">
      <w:r>
        <w:separator/>
      </w:r>
    </w:p>
  </w:endnote>
  <w:endnote w:type="continuationSeparator" w:id="0">
    <w:p w14:paraId="37EB76D6" w14:textId="77777777" w:rsidR="0006271A" w:rsidRDefault="0006271A" w:rsidP="001D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9962C" w14:textId="77777777" w:rsidR="0006271A" w:rsidRDefault="0006271A" w:rsidP="001D19F9">
      <w:r>
        <w:separator/>
      </w:r>
    </w:p>
  </w:footnote>
  <w:footnote w:type="continuationSeparator" w:id="0">
    <w:p w14:paraId="7ED8976D" w14:textId="77777777" w:rsidR="0006271A" w:rsidRDefault="0006271A" w:rsidP="001D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00" w:type="pct"/>
      <w:tblLayout w:type="fixed"/>
      <w:tblCellMar>
        <w:left w:w="0" w:type="dxa"/>
      </w:tblCellMar>
      <w:tblLook w:val="04A0" w:firstRow="1" w:lastRow="0" w:firstColumn="1" w:lastColumn="0" w:noHBand="0" w:noVBand="1"/>
    </w:tblPr>
    <w:tblGrid>
      <w:gridCol w:w="4859"/>
      <w:gridCol w:w="2431"/>
      <w:gridCol w:w="1396"/>
      <w:gridCol w:w="952"/>
    </w:tblGrid>
    <w:tr w:rsidR="000A7336" w14:paraId="5C958B74" w14:textId="77777777" w:rsidTr="00430EE3">
      <w:tc>
        <w:tcPr>
          <w:tcW w:w="2521" w:type="pct"/>
        </w:tcPr>
        <w:p w14:paraId="5593AD77" w14:textId="77777777" w:rsidR="000A7336" w:rsidRPr="004008A8" w:rsidRDefault="000A7336" w:rsidP="00B71099">
          <w:pPr>
            <w:pStyle w:val="Yltunniste"/>
            <w:rPr>
              <w:b/>
            </w:rPr>
          </w:pPr>
          <w:r w:rsidRPr="00392CF0">
            <w:rPr>
              <w:b/>
              <w:noProof/>
              <w:lang w:eastAsia="fi-FI"/>
            </w:rPr>
            <w:drawing>
              <wp:anchor distT="0" distB="0" distL="114300" distR="114300" simplePos="0" relativeHeight="251659264" behindDoc="0" locked="1" layoutInCell="1" allowOverlap="1" wp14:anchorId="51E19BB1" wp14:editId="571EBEB9">
                <wp:simplePos x="0" y="0"/>
                <wp:positionH relativeFrom="column">
                  <wp:posOffset>-67310</wp:posOffset>
                </wp:positionH>
                <wp:positionV relativeFrom="paragraph">
                  <wp:posOffset>-215900</wp:posOffset>
                </wp:positionV>
                <wp:extent cx="1562100" cy="539750"/>
                <wp:effectExtent l="0" t="0" r="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539750"/>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Asiakirjatyyppi"/>
          <w:tag w:val="Asiakirjatyyppi"/>
          <w:id w:val="110494831"/>
          <w:comboBox>
            <w:listItem w:displayText=" " w:value=" Kirje"/>
            <w:listItem w:displayText="Esittelymuistio" w:value="Esittelymuistio"/>
            <w:listItem w:displayText="Lausunto" w:value="Lausunto"/>
            <w:listItem w:displayText="Muistio" w:value="Muistio"/>
            <w:listItem w:displayText="Perustelumuistio" w:value="Perustelumuistio"/>
            <w:listItem w:displayText="Päätös" w:value="Päätös"/>
            <w:listItem w:displayText="Tarjouspyyntö" w:value="Tarjouspyyntö"/>
            <w:listItem w:displayText="Tarkastusmuistio" w:value="Tarkastusmuistio"/>
            <w:listItem w:displayText="Tilaus" w:value="Tilaus"/>
            <w:listItem w:displayText="Yhteenveto" w:value="Yhteenveto"/>
          </w:comboBox>
        </w:sdtPr>
        <w:sdtEndPr/>
        <w:sdtContent>
          <w:tc>
            <w:tcPr>
              <w:tcW w:w="1261" w:type="pct"/>
            </w:tcPr>
            <w:p w14:paraId="1D728AD8" w14:textId="77777777" w:rsidR="000A7336" w:rsidRPr="00F83356" w:rsidRDefault="0006271A" w:rsidP="00F83356">
              <w:pPr>
                <w:pStyle w:val="Yltunniste"/>
                <w:rPr>
                  <w:b/>
                </w:rPr>
              </w:pPr>
              <w:r>
                <w:rPr>
                  <w:b/>
                </w:rPr>
                <w:t>Perustelumuistio</w:t>
              </w:r>
            </w:p>
          </w:tc>
        </w:sdtContent>
      </w:sdt>
      <w:sdt>
        <w:sdtPr>
          <w:alias w:val="Numero"/>
          <w:tag w:val="Numero"/>
          <w:id w:val="110494832"/>
          <w:dataBinding w:prefixMappings="xmlns:ns0='http://schemas.microsoft.com/office/2006/coverPageProps' " w:xpath="/ns0:CoverPageProperties[1]/ns0:CompanyFax[1]" w:storeItemID="{55AF091B-3C7A-41E3-B477-F2FDAA23CFDA}"/>
          <w:text/>
        </w:sdtPr>
        <w:sdtEndPr/>
        <w:sdtContent>
          <w:tc>
            <w:tcPr>
              <w:tcW w:w="724" w:type="pct"/>
            </w:tcPr>
            <w:p w14:paraId="4E45476D" w14:textId="4ED04356" w:rsidR="000A7336" w:rsidRPr="001D19F9" w:rsidRDefault="004540C5" w:rsidP="00FC57CF">
              <w:pPr>
                <w:pStyle w:val="Yltunniste"/>
              </w:pPr>
              <w:r>
                <w:t>#1902040</w:t>
              </w:r>
            </w:p>
          </w:tc>
        </w:sdtContent>
      </w:sdt>
      <w:tc>
        <w:tcPr>
          <w:tcW w:w="494" w:type="pct"/>
        </w:tcPr>
        <w:p w14:paraId="52D1FAF6" w14:textId="77777777" w:rsidR="000A7336" w:rsidRDefault="000A7336" w:rsidP="00F83356">
          <w:pPr>
            <w:pStyle w:val="Yltunniste"/>
            <w:jc w:val="right"/>
          </w:pPr>
          <w:r>
            <w:fldChar w:fldCharType="begin"/>
          </w:r>
          <w:r>
            <w:instrText xml:space="preserve"> PAGE   \* MERGEFORMAT </w:instrText>
          </w:r>
          <w:r>
            <w:fldChar w:fldCharType="separate"/>
          </w:r>
          <w:r>
            <w:rPr>
              <w:noProof/>
            </w:rPr>
            <w:t>1</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p>
      </w:tc>
    </w:tr>
    <w:tr w:rsidR="000A7336" w14:paraId="6099C2E8" w14:textId="77777777" w:rsidTr="00430EE3">
      <w:tc>
        <w:tcPr>
          <w:tcW w:w="2521" w:type="pct"/>
        </w:tcPr>
        <w:p w14:paraId="7013C40B" w14:textId="77777777" w:rsidR="000A7336" w:rsidRPr="001D19F9" w:rsidRDefault="000A7336" w:rsidP="004008A8">
          <w:pPr>
            <w:pStyle w:val="Yltunniste"/>
          </w:pPr>
        </w:p>
      </w:tc>
      <w:sdt>
        <w:sdtPr>
          <w:alias w:val="Tarkenne"/>
          <w:tag w:val="Tarkenne"/>
          <w:id w:val="110494833"/>
          <w:dataBinding w:prefixMappings="xmlns:ns0='http://schemas.microsoft.com/office/2006/coverPageProps' " w:xpath="/ns0:CoverPageProperties[1]/ns0:Abstract[1]" w:storeItemID="{55AF091B-3C7A-41E3-B477-F2FDAA23CFDA}"/>
          <w:text/>
        </w:sdtPr>
        <w:sdtEndPr/>
        <w:sdtContent>
          <w:tc>
            <w:tcPr>
              <w:tcW w:w="1261" w:type="pct"/>
            </w:tcPr>
            <w:p w14:paraId="4154D135" w14:textId="25850C6A" w:rsidR="000A7336" w:rsidRPr="001D19F9" w:rsidRDefault="009349F2" w:rsidP="00FC57CF">
              <w:pPr>
                <w:pStyle w:val="Yltunniste"/>
              </w:pPr>
              <w:r>
                <w:t>LUONNOS 2</w:t>
              </w:r>
            </w:p>
          </w:tc>
        </w:sdtContent>
      </w:sdt>
      <w:sdt>
        <w:sdtPr>
          <w:alias w:val="Liite"/>
          <w:tag w:val="Liite"/>
          <w:id w:val="110494834"/>
          <w:showingPlcHdr/>
          <w:dataBinding w:prefixMappings="xmlns:ns0='http://schemas.microsoft.com/office/2006/coverPageProps' " w:xpath="/ns0:CoverPageProperties[1]/ns0:CompanyPhone[1]" w:storeItemID="{55AF091B-3C7A-41E3-B477-F2FDAA23CFDA}"/>
          <w:text/>
        </w:sdtPr>
        <w:sdtEndPr/>
        <w:sdtContent>
          <w:tc>
            <w:tcPr>
              <w:tcW w:w="1218" w:type="pct"/>
              <w:gridSpan w:val="2"/>
            </w:tcPr>
            <w:p w14:paraId="6DEAB7CA" w14:textId="77777777" w:rsidR="000A7336" w:rsidRPr="001D19F9" w:rsidRDefault="000A7336" w:rsidP="00B71099">
              <w:pPr>
                <w:pStyle w:val="Yltunniste"/>
              </w:pPr>
              <w:r w:rsidRPr="00925DE6">
                <w:rPr>
                  <w:rStyle w:val="Paikkamerkkiteksti"/>
                </w:rPr>
                <w:t>[Liite]</w:t>
              </w:r>
            </w:p>
          </w:tc>
        </w:sdtContent>
      </w:sdt>
    </w:tr>
    <w:tr w:rsidR="000A7336" w14:paraId="1C299801" w14:textId="77777777" w:rsidTr="00430EE3">
      <w:tc>
        <w:tcPr>
          <w:tcW w:w="2521" w:type="pct"/>
        </w:tcPr>
        <w:p w14:paraId="05D7284F" w14:textId="77777777" w:rsidR="000A7336" w:rsidRPr="001D19F9" w:rsidRDefault="000A7336" w:rsidP="004008A8">
          <w:pPr>
            <w:pStyle w:val="Yltunniste"/>
          </w:pPr>
        </w:p>
      </w:tc>
      <w:tc>
        <w:tcPr>
          <w:tcW w:w="1261" w:type="pct"/>
        </w:tcPr>
        <w:p w14:paraId="2A321300" w14:textId="77777777" w:rsidR="000A7336" w:rsidRDefault="000A7336" w:rsidP="00FC57CF">
          <w:pPr>
            <w:pStyle w:val="Yltunniste"/>
          </w:pPr>
        </w:p>
      </w:tc>
      <w:tc>
        <w:tcPr>
          <w:tcW w:w="1218" w:type="pct"/>
          <w:gridSpan w:val="2"/>
        </w:tcPr>
        <w:p w14:paraId="5E0FB898" w14:textId="77777777" w:rsidR="000A7336" w:rsidRDefault="000A7336" w:rsidP="00B71099">
          <w:pPr>
            <w:pStyle w:val="Yltunniste"/>
          </w:pPr>
        </w:p>
      </w:tc>
    </w:tr>
    <w:tr w:rsidR="000A7336" w14:paraId="10C0B758" w14:textId="77777777" w:rsidTr="00430EE3">
      <w:tc>
        <w:tcPr>
          <w:tcW w:w="2521" w:type="pct"/>
        </w:tcPr>
        <w:p w14:paraId="02B930B7" w14:textId="7BD27B32" w:rsidR="000A7336" w:rsidRPr="003A241F" w:rsidRDefault="00AD2AB7" w:rsidP="00B71099">
          <w:pPr>
            <w:pStyle w:val="Yltunniste"/>
            <w:rPr>
              <w:rFonts w:ascii="Arial" w:hAnsi="Arial" w:cs="Arial"/>
            </w:rPr>
          </w:pPr>
          <w:sdt>
            <w:sdtPr>
              <w:rPr>
                <w:rFonts w:ascii="Arial" w:hAnsi="Arial" w:cs="Arial"/>
              </w:rPr>
              <w:alias w:val="Osasto"/>
              <w:tag w:val="Osasto_1035"/>
              <w:id w:val="110494835"/>
              <w:showingPlcHdr/>
              <w:dataBinding w:prefixMappings="xmlns:ns0='http://schemas.microsoft.com/office/2006/coverPageProps' " w:xpath="/ns0:CoverPageProperties[1]/ns0:CompanyAddress[1]" w:storeItemID="{55AF091B-3C7A-41E3-B477-F2FDAA23CFDA}"/>
              <w:text/>
            </w:sdtPr>
            <w:sdtEndPr/>
            <w:sdtContent>
              <w:r w:rsidR="0064622E">
                <w:rPr>
                  <w:rFonts w:ascii="Arial" w:hAnsi="Arial" w:cs="Arial"/>
                </w:rPr>
                <w:t xml:space="preserve">     </w:t>
              </w:r>
            </w:sdtContent>
          </w:sdt>
        </w:p>
      </w:tc>
      <w:sdt>
        <w:sdtPr>
          <w:rPr>
            <w:rFonts w:ascii="Arial" w:hAnsi="Arial" w:cs="Arial"/>
          </w:rPr>
          <w:alias w:val="Luonnos"/>
          <w:tag w:val="Luonnos"/>
          <w:id w:val="110494836"/>
          <w:dropDownList>
            <w:listItem w:displayText=" " w:value="Tyhjä"/>
            <w:listItem w:displayText="Luonnos" w:value="Luonnos"/>
            <w:listItem w:displayText="Väliaikainen" w:value="Väliaikainen"/>
            <w:listItem w:displayText="Sisäinen" w:value="Sisäinen"/>
            <w:listItem w:displayText="Kiireellinen" w:value="Kiireellinen"/>
          </w:dropDownList>
        </w:sdtPr>
        <w:sdtEndPr/>
        <w:sdtContent>
          <w:tc>
            <w:tcPr>
              <w:tcW w:w="1261" w:type="pct"/>
            </w:tcPr>
            <w:p w14:paraId="158E817F" w14:textId="75F9301B" w:rsidR="000A7336" w:rsidRPr="003A241F" w:rsidRDefault="001569A0" w:rsidP="00B71099">
              <w:pPr>
                <w:pStyle w:val="Yltunniste"/>
                <w:rPr>
                  <w:rFonts w:ascii="Arial" w:hAnsi="Arial" w:cs="Arial"/>
                </w:rPr>
              </w:pPr>
              <w:r>
                <w:rPr>
                  <w:rFonts w:ascii="Arial" w:hAnsi="Arial" w:cs="Arial"/>
                </w:rPr>
                <w:t xml:space="preserve"> </w:t>
              </w:r>
            </w:p>
          </w:tc>
        </w:sdtContent>
      </w:sdt>
      <w:sdt>
        <w:sdtPr>
          <w:rPr>
            <w:rFonts w:ascii="Arial" w:hAnsi="Arial" w:cs="Arial"/>
          </w:rPr>
          <w:alias w:val="Asianro"/>
          <w:tag w:val="Asianro"/>
          <w:id w:val="110494837"/>
          <w:dataBinding w:prefixMappings="xmlns:ns0='http://purl.org/dc/elements/1.1/' xmlns:ns1='http://schemas.openxmlformats.org/package/2006/metadata/core-properties' " w:xpath="/ns1:coreProperties[1]/ns1:contentStatus[1]" w:storeItemID="{6C3C8BC8-F283-45AE-878A-BAB7291924A1}"/>
          <w:text/>
        </w:sdtPr>
        <w:sdtEndPr/>
        <w:sdtContent>
          <w:tc>
            <w:tcPr>
              <w:tcW w:w="1218" w:type="pct"/>
              <w:gridSpan w:val="2"/>
            </w:tcPr>
            <w:p w14:paraId="170AB4A4" w14:textId="6DF1EA61" w:rsidR="000A7336" w:rsidRPr="003A241F" w:rsidRDefault="00B53D8A" w:rsidP="00FC57CF">
              <w:pPr>
                <w:pStyle w:val="Yltunniste"/>
                <w:rPr>
                  <w:rFonts w:ascii="Arial" w:hAnsi="Arial" w:cs="Arial"/>
                </w:rPr>
              </w:pPr>
              <w:r>
                <w:rPr>
                  <w:rFonts w:ascii="Arial" w:hAnsi="Arial" w:cs="Arial"/>
                </w:rPr>
                <w:t>3/0007/2017</w:t>
              </w:r>
            </w:p>
          </w:tc>
        </w:sdtContent>
      </w:sdt>
    </w:tr>
    <w:tr w:rsidR="000A7336" w14:paraId="4A3C8FA4" w14:textId="77777777" w:rsidTr="00430EE3">
      <w:tc>
        <w:tcPr>
          <w:tcW w:w="2521" w:type="pct"/>
        </w:tcPr>
        <w:p w14:paraId="4C46748C" w14:textId="2E96540B" w:rsidR="000A7336" w:rsidRPr="003A241F" w:rsidRDefault="00AD2AB7" w:rsidP="00B71099">
          <w:pPr>
            <w:pStyle w:val="Yltunniste"/>
            <w:rPr>
              <w:rFonts w:ascii="Arial" w:hAnsi="Arial" w:cs="Arial"/>
            </w:rPr>
          </w:pPr>
          <w:sdt>
            <w:sdtPr>
              <w:rPr>
                <w:rFonts w:ascii="Arial" w:hAnsi="Arial" w:cs="Arial"/>
              </w:rPr>
              <w:alias w:val="Author"/>
              <w:id w:val="110494838"/>
              <w:dataBinding w:prefixMappings="xmlns:ns0='http://purl.org/dc/elements/1.1/' xmlns:ns1='http://schemas.openxmlformats.org/package/2006/metadata/core-properties' " w:xpath="/ns1:coreProperties[1]/ns0:creator[1]" w:storeItemID="{6C3C8BC8-F283-45AE-878A-BAB7291924A1}"/>
              <w:text/>
            </w:sdtPr>
            <w:sdtEndPr/>
            <w:sdtContent>
              <w:r w:rsidR="000F0C1F">
                <w:rPr>
                  <w:rFonts w:ascii="Arial" w:hAnsi="Arial" w:cs="Arial"/>
                </w:rPr>
                <w:t>Suksi Seija</w:t>
              </w:r>
            </w:sdtContent>
          </w:sdt>
        </w:p>
      </w:tc>
      <w:sdt>
        <w:sdtPr>
          <w:rPr>
            <w:rFonts w:ascii="Arial" w:hAnsi="Arial" w:cs="Arial"/>
          </w:rPr>
          <w:alias w:val="Päivämäärä"/>
          <w:tag w:val="Päivämäärä"/>
          <w:id w:val="110494839"/>
          <w:dataBinding w:prefixMappings="xmlns:ns0='http://schemas.microsoft.com/office/2006/coverPageProps' " w:xpath="/ns0:CoverPageProperties[1]/ns0:PublishDate[1]" w:storeItemID="{55AF091B-3C7A-41E3-B477-F2FDAA23CFDA}"/>
          <w:date w:fullDate="2020-03-06T00:00:00Z">
            <w:dateFormat w:val="d.M.yyyy"/>
            <w:lid w:val="fi-FI"/>
            <w:storeMappedDataAs w:val="dateTime"/>
            <w:calendar w:val="gregorian"/>
          </w:date>
        </w:sdtPr>
        <w:sdtEndPr/>
        <w:sdtContent>
          <w:tc>
            <w:tcPr>
              <w:tcW w:w="1261" w:type="pct"/>
            </w:tcPr>
            <w:p w14:paraId="45F206EF" w14:textId="7A221BF9" w:rsidR="000A7336" w:rsidRPr="003A241F" w:rsidRDefault="00902200" w:rsidP="004008A8">
              <w:pPr>
                <w:pStyle w:val="Yltunniste"/>
                <w:rPr>
                  <w:rFonts w:ascii="Arial" w:hAnsi="Arial" w:cs="Arial"/>
                </w:rPr>
              </w:pPr>
              <w:r>
                <w:rPr>
                  <w:rFonts w:ascii="Arial" w:hAnsi="Arial" w:cs="Arial"/>
                </w:rPr>
                <w:t>6</w:t>
              </w:r>
              <w:r w:rsidR="004540C5">
                <w:rPr>
                  <w:rFonts w:ascii="Arial" w:hAnsi="Arial" w:cs="Arial"/>
                </w:rPr>
                <w:t>.3.2020</w:t>
              </w:r>
            </w:p>
          </w:tc>
        </w:sdtContent>
      </w:sdt>
      <w:sdt>
        <w:sdtPr>
          <w:rPr>
            <w:rFonts w:ascii="Arial" w:hAnsi="Arial" w:cs="Arial"/>
          </w:rPr>
          <w:alias w:val="Julkisuus"/>
          <w:tag w:val="Julkisuus"/>
          <w:id w:val="110494840"/>
          <w:showingPlcHdr/>
          <w:dataBinding w:prefixMappings="xmlns:ns0='http://schemas.microsoft.com/office/2006/coverPageProps' " w:xpath="/ns0:CoverPageProperties[1]/ns0:CompanyEmail[1]" w:storeItemID="{55AF091B-3C7A-41E3-B477-F2FDAA23CFDA}"/>
          <w:text/>
        </w:sdtPr>
        <w:sdtEndPr/>
        <w:sdtContent>
          <w:tc>
            <w:tcPr>
              <w:tcW w:w="1218" w:type="pct"/>
              <w:gridSpan w:val="2"/>
            </w:tcPr>
            <w:p w14:paraId="7100E420" w14:textId="77777777" w:rsidR="000A7336" w:rsidRPr="003A241F" w:rsidRDefault="000A7336" w:rsidP="00925DE6">
              <w:pPr>
                <w:pStyle w:val="Yltunniste"/>
                <w:rPr>
                  <w:rFonts w:ascii="Arial" w:hAnsi="Arial" w:cs="Arial"/>
                </w:rPr>
              </w:pPr>
              <w:r w:rsidRPr="003A241F">
                <w:rPr>
                  <w:rStyle w:val="Paikkamerkkiteksti"/>
                  <w:rFonts w:ascii="Arial" w:hAnsi="Arial" w:cs="Arial"/>
                </w:rPr>
                <w:t>[Julkisuus]</w:t>
              </w:r>
            </w:p>
          </w:tc>
        </w:sdtContent>
      </w:sdt>
    </w:tr>
  </w:tbl>
  <w:p w14:paraId="105F75B3" w14:textId="77777777" w:rsidR="000E0D26" w:rsidRDefault="000E0D26" w:rsidP="001D19F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020D39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4C6429E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F24DA6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F1ED2B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585C5F"/>
    <w:multiLevelType w:val="multilevel"/>
    <w:tmpl w:val="B08A1124"/>
    <w:numStyleLink w:val="MerkittyluetteloSTUK"/>
  </w:abstractNum>
  <w:abstractNum w:abstractNumId="5" w15:restartNumberingAfterBreak="0">
    <w:nsid w:val="0B1A0977"/>
    <w:multiLevelType w:val="multilevel"/>
    <w:tmpl w:val="A10E2FD6"/>
    <w:styleLink w:val="NumeroituluetteloSTUK"/>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6" w15:restartNumberingAfterBreak="0">
    <w:nsid w:val="0BE635A1"/>
    <w:multiLevelType w:val="multilevel"/>
    <w:tmpl w:val="B08A1124"/>
    <w:styleLink w:val="MerkittyluetteloSTUK"/>
    <w:lvl w:ilvl="0">
      <w:start w:val="1"/>
      <w:numFmt w:val="bullet"/>
      <w:pStyle w:val="Merkittyluettelo"/>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Wingdings" w:hAnsi="Wingdings"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Wingdings" w:hAnsi="Wingdings"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Wingdings" w:hAnsi="Wingdings" w:hint="default"/>
      </w:rPr>
    </w:lvl>
  </w:abstractNum>
  <w:abstractNum w:abstractNumId="7" w15:restartNumberingAfterBreak="0">
    <w:nsid w:val="0D565A5E"/>
    <w:multiLevelType w:val="multilevel"/>
    <w:tmpl w:val="AD120668"/>
    <w:numStyleLink w:val="Stukmerkittyluettelo2"/>
  </w:abstractNum>
  <w:abstractNum w:abstractNumId="8" w15:restartNumberingAfterBreak="0">
    <w:nsid w:val="116808CF"/>
    <w:multiLevelType w:val="hybridMultilevel"/>
    <w:tmpl w:val="6470744A"/>
    <w:lvl w:ilvl="0" w:tplc="14267322">
      <w:start w:val="1"/>
      <w:numFmt w:val="decimal"/>
      <w:lvlText w:val="%1"/>
      <w:lvlJc w:val="center"/>
      <w:pPr>
        <w:ind w:left="1468" w:hanging="170"/>
      </w:pPr>
      <w:rPr>
        <w:rFonts w:hint="default"/>
        <w:i w:val="0"/>
      </w:rPr>
    </w:lvl>
    <w:lvl w:ilvl="1" w:tplc="040B0019" w:tentative="1">
      <w:start w:val="1"/>
      <w:numFmt w:val="lowerLetter"/>
      <w:lvlText w:val="%2."/>
      <w:lvlJc w:val="left"/>
      <w:pPr>
        <w:ind w:left="2738" w:hanging="360"/>
      </w:pPr>
    </w:lvl>
    <w:lvl w:ilvl="2" w:tplc="040B001B" w:tentative="1">
      <w:start w:val="1"/>
      <w:numFmt w:val="lowerRoman"/>
      <w:lvlText w:val="%3."/>
      <w:lvlJc w:val="right"/>
      <w:pPr>
        <w:ind w:left="3458" w:hanging="180"/>
      </w:pPr>
    </w:lvl>
    <w:lvl w:ilvl="3" w:tplc="040B000F" w:tentative="1">
      <w:start w:val="1"/>
      <w:numFmt w:val="decimal"/>
      <w:lvlText w:val="%4."/>
      <w:lvlJc w:val="left"/>
      <w:pPr>
        <w:ind w:left="4178" w:hanging="360"/>
      </w:pPr>
    </w:lvl>
    <w:lvl w:ilvl="4" w:tplc="040B0019" w:tentative="1">
      <w:start w:val="1"/>
      <w:numFmt w:val="lowerLetter"/>
      <w:lvlText w:val="%5."/>
      <w:lvlJc w:val="left"/>
      <w:pPr>
        <w:ind w:left="4898" w:hanging="360"/>
      </w:pPr>
    </w:lvl>
    <w:lvl w:ilvl="5" w:tplc="040B001B" w:tentative="1">
      <w:start w:val="1"/>
      <w:numFmt w:val="lowerRoman"/>
      <w:lvlText w:val="%6."/>
      <w:lvlJc w:val="right"/>
      <w:pPr>
        <w:ind w:left="5618" w:hanging="180"/>
      </w:pPr>
    </w:lvl>
    <w:lvl w:ilvl="6" w:tplc="040B000F" w:tentative="1">
      <w:start w:val="1"/>
      <w:numFmt w:val="decimal"/>
      <w:lvlText w:val="%7."/>
      <w:lvlJc w:val="left"/>
      <w:pPr>
        <w:ind w:left="6338" w:hanging="360"/>
      </w:pPr>
    </w:lvl>
    <w:lvl w:ilvl="7" w:tplc="040B0019" w:tentative="1">
      <w:start w:val="1"/>
      <w:numFmt w:val="lowerLetter"/>
      <w:lvlText w:val="%8."/>
      <w:lvlJc w:val="left"/>
      <w:pPr>
        <w:ind w:left="7058" w:hanging="360"/>
      </w:pPr>
    </w:lvl>
    <w:lvl w:ilvl="8" w:tplc="040B001B" w:tentative="1">
      <w:start w:val="1"/>
      <w:numFmt w:val="lowerRoman"/>
      <w:lvlText w:val="%9."/>
      <w:lvlJc w:val="right"/>
      <w:pPr>
        <w:ind w:left="7778" w:hanging="180"/>
      </w:pPr>
    </w:lvl>
  </w:abstractNum>
  <w:abstractNum w:abstractNumId="9" w15:restartNumberingAfterBreak="0">
    <w:nsid w:val="14442EE7"/>
    <w:multiLevelType w:val="hybridMultilevel"/>
    <w:tmpl w:val="1C2415B8"/>
    <w:lvl w:ilvl="0" w:tplc="EB221BDC">
      <w:start w:val="1"/>
      <w:numFmt w:val="decimal"/>
      <w:lvlText w:val="%1"/>
      <w:lvlJc w:val="center"/>
      <w:pPr>
        <w:ind w:left="360" w:hanging="360"/>
      </w:pPr>
      <w:rPr>
        <w:rFonts w:hint="default"/>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18996B71"/>
    <w:multiLevelType w:val="multilevel"/>
    <w:tmpl w:val="FAF8B86A"/>
    <w:styleLink w:val="Stuknumeroituluettelo2"/>
    <w:lvl w:ilvl="0">
      <w:start w:val="1"/>
      <w:numFmt w:val="decimal"/>
      <w:pStyle w:val="Numeroituluettelo2"/>
      <w:lvlText w:val="%1."/>
      <w:lvlJc w:val="left"/>
      <w:pPr>
        <w:tabs>
          <w:tab w:val="num" w:pos="2608"/>
        </w:tabs>
        <w:ind w:left="3005" w:hanging="397"/>
      </w:pPr>
      <w:rPr>
        <w:rFonts w:hint="default"/>
      </w:rPr>
    </w:lvl>
    <w:lvl w:ilvl="1">
      <w:start w:val="1"/>
      <w:numFmt w:val="decimal"/>
      <w:suff w:val="space"/>
      <w:lvlText w:val="%1.%2."/>
      <w:lvlJc w:val="left"/>
      <w:pPr>
        <w:ind w:left="3402" w:hanging="397"/>
      </w:pPr>
      <w:rPr>
        <w:rFonts w:hint="default"/>
      </w:rPr>
    </w:lvl>
    <w:lvl w:ilvl="2">
      <w:start w:val="1"/>
      <w:numFmt w:val="decimal"/>
      <w:suff w:val="space"/>
      <w:lvlText w:val="%1.%2.%3."/>
      <w:lvlJc w:val="left"/>
      <w:pPr>
        <w:ind w:left="3799" w:hanging="397"/>
      </w:pPr>
      <w:rPr>
        <w:rFonts w:hint="default"/>
      </w:rPr>
    </w:lvl>
    <w:lvl w:ilvl="3">
      <w:start w:val="1"/>
      <w:numFmt w:val="decimal"/>
      <w:suff w:val="space"/>
      <w:lvlText w:val="%1.%2.%3.%4."/>
      <w:lvlJc w:val="left"/>
      <w:pPr>
        <w:ind w:left="4196" w:hanging="397"/>
      </w:pPr>
      <w:rPr>
        <w:rFonts w:hint="default"/>
      </w:rPr>
    </w:lvl>
    <w:lvl w:ilvl="4">
      <w:start w:val="1"/>
      <w:numFmt w:val="decimal"/>
      <w:suff w:val="space"/>
      <w:lvlText w:val="%1.%2.%3.%4.%5."/>
      <w:lvlJc w:val="left"/>
      <w:pPr>
        <w:ind w:left="4593" w:hanging="397"/>
      </w:pPr>
      <w:rPr>
        <w:rFonts w:hint="default"/>
      </w:rPr>
    </w:lvl>
    <w:lvl w:ilvl="5">
      <w:start w:val="1"/>
      <w:numFmt w:val="decimal"/>
      <w:suff w:val="space"/>
      <w:lvlText w:val="%1.%2.%3.%4.%5.%6."/>
      <w:lvlJc w:val="left"/>
      <w:pPr>
        <w:ind w:left="4990" w:hanging="397"/>
      </w:pPr>
      <w:rPr>
        <w:rFonts w:hint="default"/>
      </w:rPr>
    </w:lvl>
    <w:lvl w:ilvl="6">
      <w:start w:val="1"/>
      <w:numFmt w:val="decimal"/>
      <w:suff w:val="space"/>
      <w:lvlText w:val="%1.%2.%3.%4.%5.%6.%7."/>
      <w:lvlJc w:val="left"/>
      <w:pPr>
        <w:ind w:left="5387" w:hanging="397"/>
      </w:pPr>
      <w:rPr>
        <w:rFonts w:hint="default"/>
      </w:rPr>
    </w:lvl>
    <w:lvl w:ilvl="7">
      <w:start w:val="1"/>
      <w:numFmt w:val="decimal"/>
      <w:suff w:val="space"/>
      <w:lvlText w:val="%1.%2.%3.%4.%5.%6.%7.%8."/>
      <w:lvlJc w:val="left"/>
      <w:pPr>
        <w:ind w:left="5784" w:hanging="397"/>
      </w:pPr>
      <w:rPr>
        <w:rFonts w:hint="default"/>
      </w:rPr>
    </w:lvl>
    <w:lvl w:ilvl="8">
      <w:start w:val="1"/>
      <w:numFmt w:val="decimal"/>
      <w:suff w:val="space"/>
      <w:lvlText w:val="%1.%2.%3.%4.%5.%6.%7.%8.%9"/>
      <w:lvlJc w:val="left"/>
      <w:pPr>
        <w:ind w:left="6181" w:hanging="397"/>
      </w:pPr>
      <w:rPr>
        <w:rFonts w:hint="default"/>
      </w:rPr>
    </w:lvl>
  </w:abstractNum>
  <w:abstractNum w:abstractNumId="11" w15:restartNumberingAfterBreak="0">
    <w:nsid w:val="2CC70FD9"/>
    <w:multiLevelType w:val="multilevel"/>
    <w:tmpl w:val="AD120668"/>
    <w:numStyleLink w:val="Stukmerkittyluettelo2"/>
  </w:abstractNum>
  <w:abstractNum w:abstractNumId="12" w15:restartNumberingAfterBreak="0">
    <w:nsid w:val="2DF55ED3"/>
    <w:multiLevelType w:val="multilevel"/>
    <w:tmpl w:val="FAF8B86A"/>
    <w:numStyleLink w:val="Stuknumeroituluettelo2"/>
  </w:abstractNum>
  <w:abstractNum w:abstractNumId="13" w15:restartNumberingAfterBreak="0">
    <w:nsid w:val="2E133F6A"/>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0AC6CF7"/>
    <w:multiLevelType w:val="hybridMultilevel"/>
    <w:tmpl w:val="1C2415B8"/>
    <w:lvl w:ilvl="0" w:tplc="EB221BDC">
      <w:start w:val="1"/>
      <w:numFmt w:val="decimal"/>
      <w:lvlText w:val="%1"/>
      <w:lvlJc w:val="center"/>
      <w:pPr>
        <w:ind w:left="1664" w:hanging="360"/>
      </w:pPr>
      <w:rPr>
        <w:rFonts w:hint="default"/>
        <w:i w:val="0"/>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8F516DB"/>
    <w:multiLevelType w:val="multilevel"/>
    <w:tmpl w:val="B08A1124"/>
    <w:numStyleLink w:val="MerkittyluetteloSTUK"/>
  </w:abstractNum>
  <w:abstractNum w:abstractNumId="16" w15:restartNumberingAfterBreak="0">
    <w:nsid w:val="49E943BC"/>
    <w:multiLevelType w:val="multilevel"/>
    <w:tmpl w:val="CEECB684"/>
    <w:styleLink w:val="Numeroidutotsikot"/>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17" w15:restartNumberingAfterBreak="0">
    <w:nsid w:val="4AA84E5A"/>
    <w:multiLevelType w:val="multilevel"/>
    <w:tmpl w:val="AD120668"/>
    <w:styleLink w:val="Stukmerkittyluettelo2"/>
    <w:lvl w:ilvl="0">
      <w:start w:val="1"/>
      <w:numFmt w:val="bullet"/>
      <w:pStyle w:val="Merkittyluettelo2"/>
      <w:lvlText w:val="–"/>
      <w:lvlJc w:val="left"/>
      <w:pPr>
        <w:ind w:left="3005" w:hanging="397"/>
      </w:pPr>
      <w:rPr>
        <w:rFonts w:ascii="Cambria" w:hAnsi="Cambria" w:hint="default"/>
      </w:rPr>
    </w:lvl>
    <w:lvl w:ilvl="1">
      <w:start w:val="1"/>
      <w:numFmt w:val="bullet"/>
      <w:lvlText w:val="–"/>
      <w:lvlJc w:val="left"/>
      <w:pPr>
        <w:ind w:left="3402" w:hanging="397"/>
      </w:pPr>
      <w:rPr>
        <w:rFonts w:ascii="Cambria" w:hAnsi="Cambria" w:hint="default"/>
      </w:rPr>
    </w:lvl>
    <w:lvl w:ilvl="2">
      <w:start w:val="1"/>
      <w:numFmt w:val="bullet"/>
      <w:lvlText w:val="–"/>
      <w:lvlJc w:val="left"/>
      <w:pPr>
        <w:ind w:left="3799" w:hanging="397"/>
      </w:pPr>
      <w:rPr>
        <w:rFonts w:ascii="Cambria" w:hAnsi="Cambria" w:hint="default"/>
      </w:rPr>
    </w:lvl>
    <w:lvl w:ilvl="3">
      <w:start w:val="1"/>
      <w:numFmt w:val="bullet"/>
      <w:lvlText w:val="–"/>
      <w:lvlJc w:val="left"/>
      <w:pPr>
        <w:ind w:left="4196" w:hanging="397"/>
      </w:pPr>
      <w:rPr>
        <w:rFonts w:ascii="Cambria" w:hAnsi="Cambria" w:hint="default"/>
      </w:rPr>
    </w:lvl>
    <w:lvl w:ilvl="4">
      <w:start w:val="1"/>
      <w:numFmt w:val="bullet"/>
      <w:lvlText w:val="–"/>
      <w:lvlJc w:val="left"/>
      <w:pPr>
        <w:ind w:left="4593" w:hanging="397"/>
      </w:pPr>
      <w:rPr>
        <w:rFonts w:ascii="Cambria" w:hAnsi="Cambria" w:hint="default"/>
      </w:rPr>
    </w:lvl>
    <w:lvl w:ilvl="5">
      <w:start w:val="1"/>
      <w:numFmt w:val="bullet"/>
      <w:lvlText w:val="–"/>
      <w:lvlJc w:val="left"/>
      <w:pPr>
        <w:ind w:left="4990" w:hanging="397"/>
      </w:pPr>
      <w:rPr>
        <w:rFonts w:ascii="Cambria" w:hAnsi="Cambria" w:hint="default"/>
      </w:rPr>
    </w:lvl>
    <w:lvl w:ilvl="6">
      <w:start w:val="1"/>
      <w:numFmt w:val="bullet"/>
      <w:lvlText w:val="–"/>
      <w:lvlJc w:val="left"/>
      <w:pPr>
        <w:ind w:left="5387" w:hanging="397"/>
      </w:pPr>
      <w:rPr>
        <w:rFonts w:ascii="Cambria" w:hAnsi="Cambria" w:hint="default"/>
      </w:rPr>
    </w:lvl>
    <w:lvl w:ilvl="7">
      <w:start w:val="1"/>
      <w:numFmt w:val="bullet"/>
      <w:lvlText w:val="–"/>
      <w:lvlJc w:val="left"/>
      <w:pPr>
        <w:ind w:left="5784" w:hanging="397"/>
      </w:pPr>
      <w:rPr>
        <w:rFonts w:ascii="Cambria" w:hAnsi="Cambria" w:hint="default"/>
      </w:rPr>
    </w:lvl>
    <w:lvl w:ilvl="8">
      <w:start w:val="1"/>
      <w:numFmt w:val="bullet"/>
      <w:lvlText w:val="–"/>
      <w:lvlJc w:val="left"/>
      <w:pPr>
        <w:ind w:left="6181" w:hanging="397"/>
      </w:pPr>
      <w:rPr>
        <w:rFonts w:ascii="Cambria" w:hAnsi="Cambria" w:hint="default"/>
      </w:rPr>
    </w:lvl>
  </w:abstractNum>
  <w:abstractNum w:abstractNumId="18" w15:restartNumberingAfterBreak="0">
    <w:nsid w:val="4F496A73"/>
    <w:multiLevelType w:val="multilevel"/>
    <w:tmpl w:val="A10E2FD6"/>
    <w:numStyleLink w:val="NumeroituluetteloSTUK"/>
  </w:abstractNum>
  <w:abstractNum w:abstractNumId="19" w15:restartNumberingAfterBreak="0">
    <w:nsid w:val="4F4F4882"/>
    <w:multiLevelType w:val="hybridMultilevel"/>
    <w:tmpl w:val="38F43550"/>
    <w:lvl w:ilvl="0" w:tplc="96D4CCE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4FB34551"/>
    <w:multiLevelType w:val="multilevel"/>
    <w:tmpl w:val="FAF8B86A"/>
    <w:numStyleLink w:val="Stuknumeroituluettelo2"/>
  </w:abstractNum>
  <w:abstractNum w:abstractNumId="21" w15:restartNumberingAfterBreak="0">
    <w:nsid w:val="62A22655"/>
    <w:multiLevelType w:val="multilevel"/>
    <w:tmpl w:val="AD120668"/>
    <w:numStyleLink w:val="Stukmerkittyluettelo2"/>
  </w:abstractNum>
  <w:abstractNum w:abstractNumId="22" w15:restartNumberingAfterBreak="0">
    <w:nsid w:val="75D405BE"/>
    <w:multiLevelType w:val="multilevel"/>
    <w:tmpl w:val="FAF8B86A"/>
    <w:numStyleLink w:val="Stuknumeroituluettelo2"/>
  </w:abstractNum>
  <w:abstractNum w:abstractNumId="23" w15:restartNumberingAfterBreak="0">
    <w:nsid w:val="7BD854F4"/>
    <w:multiLevelType w:val="multilevel"/>
    <w:tmpl w:val="A10E2FD6"/>
    <w:numStyleLink w:val="NumeroituluetteloSTUK"/>
  </w:abstractNum>
  <w:abstractNum w:abstractNumId="24" w15:restartNumberingAfterBreak="0">
    <w:nsid w:val="7C8E293B"/>
    <w:multiLevelType w:val="multilevel"/>
    <w:tmpl w:val="B08A1124"/>
    <w:numStyleLink w:val="MerkittyluetteloSTUK"/>
  </w:abstractNum>
  <w:num w:numId="1">
    <w:abstractNumId w:val="3"/>
  </w:num>
  <w:num w:numId="2">
    <w:abstractNumId w:val="2"/>
  </w:num>
  <w:num w:numId="3">
    <w:abstractNumId w:val="6"/>
  </w:num>
  <w:num w:numId="4">
    <w:abstractNumId w:val="13"/>
  </w:num>
  <w:num w:numId="5">
    <w:abstractNumId w:val="5"/>
  </w:num>
  <w:num w:numId="6">
    <w:abstractNumId w:val="4"/>
  </w:num>
  <w:num w:numId="7">
    <w:abstractNumId w:val="1"/>
  </w:num>
  <w:num w:numId="8">
    <w:abstractNumId w:val="11"/>
  </w:num>
  <w:num w:numId="9">
    <w:abstractNumId w:val="23"/>
  </w:num>
  <w:num w:numId="10">
    <w:abstractNumId w:val="0"/>
  </w:num>
  <w:num w:numId="11">
    <w:abstractNumId w:val="22"/>
  </w:num>
  <w:num w:numId="12">
    <w:abstractNumId w:val="6"/>
  </w:num>
  <w:num w:numId="13">
    <w:abstractNumId w:val="5"/>
  </w:num>
  <w:num w:numId="14">
    <w:abstractNumId w:val="17"/>
  </w:num>
  <w:num w:numId="15">
    <w:abstractNumId w:val="10"/>
  </w:num>
  <w:num w:numId="16">
    <w:abstractNumId w:val="4"/>
  </w:num>
  <w:num w:numId="17">
    <w:abstractNumId w:val="11"/>
  </w:num>
  <w:num w:numId="18">
    <w:abstractNumId w:val="23"/>
  </w:num>
  <w:num w:numId="19">
    <w:abstractNumId w:val="22"/>
  </w:num>
  <w:num w:numId="20">
    <w:abstractNumId w:val="15"/>
  </w:num>
  <w:num w:numId="21">
    <w:abstractNumId w:val="21"/>
  </w:num>
  <w:num w:numId="22">
    <w:abstractNumId w:val="5"/>
  </w:num>
  <w:num w:numId="23">
    <w:abstractNumId w:val="20"/>
  </w:num>
  <w:num w:numId="24">
    <w:abstractNumId w:val="6"/>
  </w:num>
  <w:num w:numId="25">
    <w:abstractNumId w:val="5"/>
  </w:num>
  <w:num w:numId="26">
    <w:abstractNumId w:val="17"/>
  </w:num>
  <w:num w:numId="27">
    <w:abstractNumId w:val="10"/>
  </w:num>
  <w:num w:numId="28">
    <w:abstractNumId w:val="24"/>
  </w:num>
  <w:num w:numId="29">
    <w:abstractNumId w:val="7"/>
  </w:num>
  <w:num w:numId="30">
    <w:abstractNumId w:val="6"/>
  </w:num>
  <w:num w:numId="31">
    <w:abstractNumId w:val="16"/>
  </w:num>
  <w:num w:numId="32">
    <w:abstractNumId w:val="18"/>
  </w:num>
  <w:num w:numId="33">
    <w:abstractNumId w:val="12"/>
  </w:num>
  <w:num w:numId="34">
    <w:abstractNumId w:val="5"/>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7"/>
  </w:num>
  <w:num w:numId="42">
    <w:abstractNumId w:val="10"/>
  </w:num>
  <w:num w:numId="43">
    <w:abstractNumId w:val="9"/>
  </w:num>
  <w:num w:numId="44">
    <w:abstractNumId w:val="14"/>
  </w:num>
  <w:num w:numId="45">
    <w:abstractNumId w:val="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fi-FI" w:vendorID="64" w:dllVersion="0" w:nlCheck="1" w:checkStyle="0"/>
  <w:activeWritingStyle w:appName="MSWord" w:lang="en-US" w:vendorID="64" w:dllVersion="0" w:nlCheck="1" w:checkStyle="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1A"/>
    <w:rsid w:val="000152D5"/>
    <w:rsid w:val="0004413F"/>
    <w:rsid w:val="00054A81"/>
    <w:rsid w:val="0006271A"/>
    <w:rsid w:val="00074532"/>
    <w:rsid w:val="000750BC"/>
    <w:rsid w:val="000A2607"/>
    <w:rsid w:val="000A4A41"/>
    <w:rsid w:val="000A70D1"/>
    <w:rsid w:val="000A7336"/>
    <w:rsid w:val="000B2382"/>
    <w:rsid w:val="000D2C4B"/>
    <w:rsid w:val="000E027B"/>
    <w:rsid w:val="000E0D26"/>
    <w:rsid w:val="000F0C1F"/>
    <w:rsid w:val="000F4409"/>
    <w:rsid w:val="000F4D5B"/>
    <w:rsid w:val="00115462"/>
    <w:rsid w:val="001226C1"/>
    <w:rsid w:val="00152A39"/>
    <w:rsid w:val="001569A0"/>
    <w:rsid w:val="00160D6E"/>
    <w:rsid w:val="00177679"/>
    <w:rsid w:val="001A5492"/>
    <w:rsid w:val="001B16BE"/>
    <w:rsid w:val="001B30BA"/>
    <w:rsid w:val="001C16A1"/>
    <w:rsid w:val="001D19F9"/>
    <w:rsid w:val="001D3BC9"/>
    <w:rsid w:val="001D45C0"/>
    <w:rsid w:val="001D502B"/>
    <w:rsid w:val="001D6D92"/>
    <w:rsid w:val="001E1D14"/>
    <w:rsid w:val="001F2E03"/>
    <w:rsid w:val="001F5F08"/>
    <w:rsid w:val="0022252A"/>
    <w:rsid w:val="00246D95"/>
    <w:rsid w:val="00255E57"/>
    <w:rsid w:val="0028409F"/>
    <w:rsid w:val="00285F1A"/>
    <w:rsid w:val="0028661D"/>
    <w:rsid w:val="002A5A6F"/>
    <w:rsid w:val="002C2812"/>
    <w:rsid w:val="002C2C39"/>
    <w:rsid w:val="00311B70"/>
    <w:rsid w:val="0032325B"/>
    <w:rsid w:val="003400CA"/>
    <w:rsid w:val="00344811"/>
    <w:rsid w:val="00344BDA"/>
    <w:rsid w:val="003467DD"/>
    <w:rsid w:val="00392CF0"/>
    <w:rsid w:val="003A6F16"/>
    <w:rsid w:val="003A7212"/>
    <w:rsid w:val="003B4CED"/>
    <w:rsid w:val="003D06F5"/>
    <w:rsid w:val="003D2227"/>
    <w:rsid w:val="003D4F34"/>
    <w:rsid w:val="003E1831"/>
    <w:rsid w:val="004008A8"/>
    <w:rsid w:val="00402065"/>
    <w:rsid w:val="00422CA6"/>
    <w:rsid w:val="00444F89"/>
    <w:rsid w:val="00446CCB"/>
    <w:rsid w:val="004540C5"/>
    <w:rsid w:val="00472916"/>
    <w:rsid w:val="00472C65"/>
    <w:rsid w:val="004A6AB0"/>
    <w:rsid w:val="004A6E41"/>
    <w:rsid w:val="004C5937"/>
    <w:rsid w:val="004D586A"/>
    <w:rsid w:val="004D7EF2"/>
    <w:rsid w:val="004E5D70"/>
    <w:rsid w:val="004F228F"/>
    <w:rsid w:val="004F66FD"/>
    <w:rsid w:val="0051148C"/>
    <w:rsid w:val="00573B89"/>
    <w:rsid w:val="005A021C"/>
    <w:rsid w:val="005B4C65"/>
    <w:rsid w:val="005E14A8"/>
    <w:rsid w:val="006002B9"/>
    <w:rsid w:val="00624FC6"/>
    <w:rsid w:val="0062519F"/>
    <w:rsid w:val="00633382"/>
    <w:rsid w:val="0064622E"/>
    <w:rsid w:val="00657FF1"/>
    <w:rsid w:val="00660B72"/>
    <w:rsid w:val="0068508C"/>
    <w:rsid w:val="0069187D"/>
    <w:rsid w:val="00697640"/>
    <w:rsid w:val="006B1100"/>
    <w:rsid w:val="006D1010"/>
    <w:rsid w:val="006D7616"/>
    <w:rsid w:val="006E6247"/>
    <w:rsid w:val="00711F61"/>
    <w:rsid w:val="00732DA4"/>
    <w:rsid w:val="00734D72"/>
    <w:rsid w:val="00736465"/>
    <w:rsid w:val="0075105B"/>
    <w:rsid w:val="0076577E"/>
    <w:rsid w:val="0077334B"/>
    <w:rsid w:val="00782377"/>
    <w:rsid w:val="0078559B"/>
    <w:rsid w:val="00793032"/>
    <w:rsid w:val="007C0699"/>
    <w:rsid w:val="007C207F"/>
    <w:rsid w:val="007C7BCF"/>
    <w:rsid w:val="007D49DA"/>
    <w:rsid w:val="007E01C0"/>
    <w:rsid w:val="007E3548"/>
    <w:rsid w:val="007E4069"/>
    <w:rsid w:val="008006F3"/>
    <w:rsid w:val="008129EB"/>
    <w:rsid w:val="0082395F"/>
    <w:rsid w:val="00835E11"/>
    <w:rsid w:val="00837FE9"/>
    <w:rsid w:val="00843D5F"/>
    <w:rsid w:val="008459D7"/>
    <w:rsid w:val="0085175D"/>
    <w:rsid w:val="008522CB"/>
    <w:rsid w:val="00852974"/>
    <w:rsid w:val="008707FC"/>
    <w:rsid w:val="00874F9B"/>
    <w:rsid w:val="00885432"/>
    <w:rsid w:val="00892FAA"/>
    <w:rsid w:val="008A7A16"/>
    <w:rsid w:val="008D33B2"/>
    <w:rsid w:val="008E1F84"/>
    <w:rsid w:val="008F054E"/>
    <w:rsid w:val="008F56C2"/>
    <w:rsid w:val="00902200"/>
    <w:rsid w:val="00912532"/>
    <w:rsid w:val="00925621"/>
    <w:rsid w:val="00925DE6"/>
    <w:rsid w:val="009349F2"/>
    <w:rsid w:val="00944C16"/>
    <w:rsid w:val="0096045C"/>
    <w:rsid w:val="00963EBD"/>
    <w:rsid w:val="00981933"/>
    <w:rsid w:val="009851DE"/>
    <w:rsid w:val="00985BF1"/>
    <w:rsid w:val="00990128"/>
    <w:rsid w:val="009C1DF5"/>
    <w:rsid w:val="009D77E9"/>
    <w:rsid w:val="00A05371"/>
    <w:rsid w:val="00A16487"/>
    <w:rsid w:val="00A32DEE"/>
    <w:rsid w:val="00A370CD"/>
    <w:rsid w:val="00A467F7"/>
    <w:rsid w:val="00A54B20"/>
    <w:rsid w:val="00A55DF6"/>
    <w:rsid w:val="00A6158F"/>
    <w:rsid w:val="00A77748"/>
    <w:rsid w:val="00A80B6F"/>
    <w:rsid w:val="00A96012"/>
    <w:rsid w:val="00AA3426"/>
    <w:rsid w:val="00AB08CF"/>
    <w:rsid w:val="00AD2AB7"/>
    <w:rsid w:val="00AD495F"/>
    <w:rsid w:val="00AE04C4"/>
    <w:rsid w:val="00AE4A3C"/>
    <w:rsid w:val="00AF2BA4"/>
    <w:rsid w:val="00B46768"/>
    <w:rsid w:val="00B46D98"/>
    <w:rsid w:val="00B53D8A"/>
    <w:rsid w:val="00B63538"/>
    <w:rsid w:val="00B74F3A"/>
    <w:rsid w:val="00B97956"/>
    <w:rsid w:val="00BE0D38"/>
    <w:rsid w:val="00BE1651"/>
    <w:rsid w:val="00BF63D1"/>
    <w:rsid w:val="00C1337D"/>
    <w:rsid w:val="00C30BE1"/>
    <w:rsid w:val="00C4118A"/>
    <w:rsid w:val="00C45744"/>
    <w:rsid w:val="00C465B3"/>
    <w:rsid w:val="00C53E40"/>
    <w:rsid w:val="00C61FC8"/>
    <w:rsid w:val="00C932AB"/>
    <w:rsid w:val="00CB5F39"/>
    <w:rsid w:val="00CB7C9B"/>
    <w:rsid w:val="00CD49C9"/>
    <w:rsid w:val="00CF4BD0"/>
    <w:rsid w:val="00D101D0"/>
    <w:rsid w:val="00D16C02"/>
    <w:rsid w:val="00D22B09"/>
    <w:rsid w:val="00D22B9E"/>
    <w:rsid w:val="00D3042D"/>
    <w:rsid w:val="00D335AF"/>
    <w:rsid w:val="00D401EA"/>
    <w:rsid w:val="00D55A9A"/>
    <w:rsid w:val="00D56595"/>
    <w:rsid w:val="00D64FBE"/>
    <w:rsid w:val="00D71584"/>
    <w:rsid w:val="00D729BF"/>
    <w:rsid w:val="00D753CC"/>
    <w:rsid w:val="00DB223A"/>
    <w:rsid w:val="00DB4B1D"/>
    <w:rsid w:val="00DB6EC6"/>
    <w:rsid w:val="00DC06CB"/>
    <w:rsid w:val="00DF06BB"/>
    <w:rsid w:val="00E02C64"/>
    <w:rsid w:val="00E11739"/>
    <w:rsid w:val="00E214F6"/>
    <w:rsid w:val="00E31B6B"/>
    <w:rsid w:val="00E43EE7"/>
    <w:rsid w:val="00E71117"/>
    <w:rsid w:val="00E7650A"/>
    <w:rsid w:val="00EA67DE"/>
    <w:rsid w:val="00EE796E"/>
    <w:rsid w:val="00EF3C6E"/>
    <w:rsid w:val="00F056F2"/>
    <w:rsid w:val="00F12458"/>
    <w:rsid w:val="00F134C3"/>
    <w:rsid w:val="00F14A9A"/>
    <w:rsid w:val="00F151BC"/>
    <w:rsid w:val="00F23C13"/>
    <w:rsid w:val="00F37C7A"/>
    <w:rsid w:val="00F547B7"/>
    <w:rsid w:val="00F64D3C"/>
    <w:rsid w:val="00F66398"/>
    <w:rsid w:val="00F805BF"/>
    <w:rsid w:val="00F83356"/>
    <w:rsid w:val="00F930F1"/>
    <w:rsid w:val="00FB5988"/>
    <w:rsid w:val="00FC57CF"/>
    <w:rsid w:val="00FD495A"/>
    <w:rsid w:val="00FD6BF6"/>
    <w:rsid w:val="00FE3516"/>
    <w:rsid w:val="00FE6F9D"/>
    <w:rsid w:val="00FF0F7F"/>
    <w:rsid w:val="00FF5FCC"/>
    <w:rsid w:val="00FF708E"/>
    <w:rsid w:val="00FF76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87AED9"/>
  <w15:docId w15:val="{5BF44C44-3C19-4FCB-8FA8-184B73ED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9851DE"/>
  </w:style>
  <w:style w:type="paragraph" w:styleId="Otsikko1">
    <w:name w:val="heading 1"/>
    <w:basedOn w:val="Normaali"/>
    <w:next w:val="Leipteksti"/>
    <w:link w:val="Otsikko1Char"/>
    <w:uiPriority w:val="9"/>
    <w:qFormat/>
    <w:rsid w:val="009851DE"/>
    <w:pPr>
      <w:keepNext/>
      <w:keepLines/>
      <w:suppressAutoHyphen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unhideWhenUsed/>
    <w:qFormat/>
    <w:rsid w:val="009851DE"/>
    <w:pPr>
      <w:keepNext/>
      <w:keepLines/>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9851DE"/>
    <w:pPr>
      <w:keepNext/>
      <w:keepLines/>
      <w:suppressAutoHyphens/>
      <w:spacing w:after="220"/>
      <w:ind w:left="2608"/>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9851DE"/>
    <w:pPr>
      <w:keepNext/>
      <w:keepLines/>
      <w:numPr>
        <w:ilvl w:val="3"/>
        <w:numId w:val="40"/>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9851DE"/>
    <w:pPr>
      <w:keepNext/>
      <w:keepLines/>
      <w:numPr>
        <w:ilvl w:val="4"/>
        <w:numId w:val="40"/>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9851DE"/>
    <w:pPr>
      <w:keepNext/>
      <w:keepLines/>
      <w:numPr>
        <w:ilvl w:val="5"/>
        <w:numId w:val="40"/>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9851DE"/>
    <w:pPr>
      <w:keepNext/>
      <w:keepLines/>
      <w:numPr>
        <w:ilvl w:val="6"/>
        <w:numId w:val="40"/>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9851DE"/>
    <w:pPr>
      <w:keepNext/>
      <w:keepLines/>
      <w:numPr>
        <w:ilvl w:val="7"/>
        <w:numId w:val="40"/>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9851DE"/>
    <w:pPr>
      <w:keepNext/>
      <w:keepLines/>
      <w:numPr>
        <w:ilvl w:val="8"/>
        <w:numId w:val="40"/>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Otsikko1"/>
    <w:next w:val="Leipteksti"/>
    <w:link w:val="OtsikkoChar"/>
    <w:uiPriority w:val="10"/>
    <w:qFormat/>
    <w:rsid w:val="009851DE"/>
    <w:pPr>
      <w:contextualSpacing/>
    </w:pPr>
    <w:rPr>
      <w:rFonts w:ascii="Arial Black" w:hAnsi="Arial Black" w:cstheme="majorHAnsi"/>
      <w:kern w:val="28"/>
      <w:szCs w:val="52"/>
    </w:rPr>
  </w:style>
  <w:style w:type="character" w:customStyle="1" w:styleId="OtsikkoChar">
    <w:name w:val="Otsikko Char"/>
    <w:basedOn w:val="Kappaleenoletusfontti"/>
    <w:link w:val="Otsikko"/>
    <w:uiPriority w:val="10"/>
    <w:rsid w:val="009851DE"/>
    <w:rPr>
      <w:rFonts w:ascii="Arial Black" w:eastAsiaTheme="majorEastAsia" w:hAnsi="Arial Black" w:cstheme="majorHAnsi"/>
      <w:b/>
      <w:bCs/>
      <w:kern w:val="28"/>
      <w:sz w:val="24"/>
      <w:szCs w:val="52"/>
    </w:rPr>
  </w:style>
  <w:style w:type="character" w:customStyle="1" w:styleId="Otsikko1Char">
    <w:name w:val="Otsikko 1 Char"/>
    <w:basedOn w:val="Kappaleenoletusfontti"/>
    <w:link w:val="Otsikko1"/>
    <w:uiPriority w:val="9"/>
    <w:rsid w:val="009851DE"/>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851DE"/>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851DE"/>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9851DE"/>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9851DE"/>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9851DE"/>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9851DE"/>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9851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9851DE"/>
    <w:rPr>
      <w:rFonts w:asciiTheme="majorHAnsi" w:eastAsiaTheme="majorEastAsia" w:hAnsiTheme="majorHAnsi" w:cstheme="majorBidi"/>
      <w:iCs/>
      <w:szCs w:val="20"/>
    </w:rPr>
  </w:style>
  <w:style w:type="paragraph" w:styleId="Eivli">
    <w:name w:val="No Spacing"/>
    <w:link w:val="EivliChar"/>
    <w:uiPriority w:val="1"/>
    <w:qFormat/>
    <w:rsid w:val="009851DE"/>
    <w:pPr>
      <w:ind w:left="2608"/>
      <w:jc w:val="both"/>
    </w:pPr>
  </w:style>
  <w:style w:type="paragraph" w:styleId="Leipteksti">
    <w:name w:val="Body Text"/>
    <w:basedOn w:val="Normaali"/>
    <w:link w:val="LeiptekstiChar"/>
    <w:qFormat/>
    <w:rsid w:val="009851DE"/>
    <w:pPr>
      <w:spacing w:after="220"/>
      <w:ind w:left="2608"/>
    </w:pPr>
  </w:style>
  <w:style w:type="character" w:customStyle="1" w:styleId="LeiptekstiChar">
    <w:name w:val="Leipäteksti Char"/>
    <w:basedOn w:val="Kappaleenoletusfontti"/>
    <w:link w:val="Leipteksti"/>
    <w:rsid w:val="009851DE"/>
  </w:style>
  <w:style w:type="paragraph" w:styleId="Sisluet1">
    <w:name w:val="toc 1"/>
    <w:basedOn w:val="Normaali"/>
    <w:next w:val="Normaali"/>
    <w:autoRedefine/>
    <w:uiPriority w:val="39"/>
    <w:semiHidden/>
    <w:rsid w:val="009851DE"/>
    <w:pPr>
      <w:spacing w:after="100"/>
    </w:pPr>
  </w:style>
  <w:style w:type="paragraph" w:styleId="Lhdeluettelonotsikko">
    <w:name w:val="toa heading"/>
    <w:basedOn w:val="Normaali"/>
    <w:next w:val="Normaali"/>
    <w:uiPriority w:val="99"/>
    <w:semiHidden/>
    <w:rsid w:val="009851DE"/>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9851DE"/>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9851DE"/>
    <w:rPr>
      <w:rFonts w:ascii="Calibri" w:hAnsi="Calibri"/>
      <w:sz w:val="16"/>
    </w:rPr>
  </w:style>
  <w:style w:type="character" w:styleId="Paikkamerkkiteksti">
    <w:name w:val="Placeholder Text"/>
    <w:basedOn w:val="Kappaleenoletusfontti"/>
    <w:uiPriority w:val="99"/>
    <w:rsid w:val="009851DE"/>
    <w:rPr>
      <w:vanish/>
      <w:color w:val="auto"/>
    </w:rPr>
  </w:style>
  <w:style w:type="numbering" w:customStyle="1" w:styleId="MerkittyluetteloSTUK">
    <w:name w:val="Merkitty luettelo STUK"/>
    <w:uiPriority w:val="99"/>
    <w:rsid w:val="009851DE"/>
    <w:pPr>
      <w:numPr>
        <w:numId w:val="3"/>
      </w:numPr>
    </w:pPr>
  </w:style>
  <w:style w:type="numbering" w:customStyle="1" w:styleId="NumeroituluetteloSTUK">
    <w:name w:val="Numeroitu luettelo STUK"/>
    <w:uiPriority w:val="99"/>
    <w:rsid w:val="009851DE"/>
    <w:pPr>
      <w:numPr>
        <w:numId w:val="5"/>
      </w:numPr>
    </w:pPr>
  </w:style>
  <w:style w:type="paragraph" w:styleId="Merkittyluettelo">
    <w:name w:val="List Bullet"/>
    <w:basedOn w:val="Normaali"/>
    <w:uiPriority w:val="99"/>
    <w:qFormat/>
    <w:rsid w:val="009851DE"/>
    <w:pPr>
      <w:numPr>
        <w:numId w:val="30"/>
      </w:numPr>
      <w:spacing w:after="220"/>
      <w:contextualSpacing/>
    </w:pPr>
  </w:style>
  <w:style w:type="paragraph" w:styleId="Yltunniste">
    <w:name w:val="header"/>
    <w:basedOn w:val="Normaali"/>
    <w:link w:val="YltunnisteChar"/>
    <w:uiPriority w:val="99"/>
    <w:rsid w:val="009851DE"/>
    <w:pPr>
      <w:suppressAutoHyphens/>
    </w:pPr>
  </w:style>
  <w:style w:type="paragraph" w:styleId="Numeroituluettelo">
    <w:name w:val="List Number"/>
    <w:basedOn w:val="Normaali"/>
    <w:uiPriority w:val="99"/>
    <w:qFormat/>
    <w:rsid w:val="009851DE"/>
    <w:pPr>
      <w:numPr>
        <w:numId w:val="34"/>
      </w:numPr>
      <w:spacing w:after="220"/>
      <w:contextualSpacing/>
    </w:pPr>
  </w:style>
  <w:style w:type="character" w:customStyle="1" w:styleId="YltunnisteChar">
    <w:name w:val="Ylätunniste Char"/>
    <w:basedOn w:val="Kappaleenoletusfontti"/>
    <w:link w:val="Yltunniste"/>
    <w:uiPriority w:val="99"/>
    <w:rsid w:val="009851DE"/>
  </w:style>
  <w:style w:type="table" w:styleId="TaulukkoRuudukko">
    <w:name w:val="Table Grid"/>
    <w:basedOn w:val="Normaalitaulukko"/>
    <w:uiPriority w:val="59"/>
    <w:rsid w:val="009851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9851DE"/>
    <w:tblPr/>
  </w:style>
  <w:style w:type="paragraph" w:styleId="Seliteteksti">
    <w:name w:val="Balloon Text"/>
    <w:basedOn w:val="Normaali"/>
    <w:link w:val="SelitetekstiChar"/>
    <w:uiPriority w:val="99"/>
    <w:semiHidden/>
    <w:unhideWhenUsed/>
    <w:rsid w:val="009851DE"/>
    <w:rPr>
      <w:rFonts w:ascii="Tahoma" w:hAnsi="Tahoma" w:cs="Tahoma"/>
      <w:sz w:val="16"/>
      <w:szCs w:val="16"/>
    </w:rPr>
  </w:style>
  <w:style w:type="character" w:customStyle="1" w:styleId="SelitetekstiChar">
    <w:name w:val="Seliteteksti Char"/>
    <w:basedOn w:val="Kappaleenoletusfontti"/>
    <w:link w:val="Seliteteksti"/>
    <w:uiPriority w:val="99"/>
    <w:semiHidden/>
    <w:rsid w:val="009851DE"/>
    <w:rPr>
      <w:rFonts w:ascii="Tahoma" w:hAnsi="Tahoma" w:cs="Tahoma"/>
      <w:sz w:val="16"/>
      <w:szCs w:val="16"/>
    </w:rPr>
  </w:style>
  <w:style w:type="paragraph" w:styleId="Sisllysluettelonotsikko">
    <w:name w:val="TOC Heading"/>
    <w:basedOn w:val="Otsikko1"/>
    <w:next w:val="Normaali"/>
    <w:uiPriority w:val="39"/>
    <w:semiHidden/>
    <w:rsid w:val="009851DE"/>
    <w:pPr>
      <w:spacing w:after="240"/>
      <w:outlineLvl w:val="9"/>
    </w:pPr>
  </w:style>
  <w:style w:type="paragraph" w:styleId="Merkittyluettelo2">
    <w:name w:val="List Bullet 2"/>
    <w:basedOn w:val="Normaali"/>
    <w:uiPriority w:val="99"/>
    <w:qFormat/>
    <w:rsid w:val="009851DE"/>
    <w:pPr>
      <w:numPr>
        <w:numId w:val="41"/>
      </w:numPr>
      <w:spacing w:after="220"/>
      <w:contextualSpacing/>
    </w:pPr>
  </w:style>
  <w:style w:type="paragraph" w:styleId="Numeroituluettelo2">
    <w:name w:val="List Number 2"/>
    <w:basedOn w:val="Normaali"/>
    <w:uiPriority w:val="99"/>
    <w:unhideWhenUsed/>
    <w:qFormat/>
    <w:rsid w:val="009851DE"/>
    <w:pPr>
      <w:numPr>
        <w:numId w:val="42"/>
      </w:numPr>
      <w:spacing w:after="220"/>
      <w:contextualSpacing/>
    </w:pPr>
  </w:style>
  <w:style w:type="numbering" w:customStyle="1" w:styleId="Stukmerkittyluettelo2">
    <w:name w:val="Stuk merkitty luettelo 2"/>
    <w:uiPriority w:val="99"/>
    <w:rsid w:val="009851DE"/>
    <w:pPr>
      <w:numPr>
        <w:numId w:val="14"/>
      </w:numPr>
    </w:pPr>
  </w:style>
  <w:style w:type="numbering" w:customStyle="1" w:styleId="Stuknumeroituluettelo2">
    <w:name w:val="Stuk numeroitu luettelo 2"/>
    <w:uiPriority w:val="99"/>
    <w:rsid w:val="009851DE"/>
    <w:pPr>
      <w:numPr>
        <w:numId w:val="15"/>
      </w:numPr>
    </w:pPr>
  </w:style>
  <w:style w:type="character" w:customStyle="1" w:styleId="EivliChar">
    <w:name w:val="Ei väliä Char"/>
    <w:basedOn w:val="Kappaleenoletusfontti"/>
    <w:link w:val="Eivli"/>
    <w:uiPriority w:val="1"/>
    <w:rsid w:val="009851DE"/>
  </w:style>
  <w:style w:type="paragraph" w:styleId="Luettelokappale">
    <w:name w:val="List Paragraph"/>
    <w:basedOn w:val="Normaali"/>
    <w:uiPriority w:val="34"/>
    <w:semiHidden/>
    <w:qFormat/>
    <w:rsid w:val="009851DE"/>
    <w:pPr>
      <w:ind w:left="720"/>
      <w:contextualSpacing/>
    </w:pPr>
  </w:style>
  <w:style w:type="numbering" w:customStyle="1" w:styleId="Numeroidutotsikot">
    <w:name w:val="Numeroidut otsikot"/>
    <w:uiPriority w:val="99"/>
    <w:rsid w:val="009851DE"/>
    <w:pPr>
      <w:numPr>
        <w:numId w:val="31"/>
      </w:numPr>
    </w:pPr>
  </w:style>
  <w:style w:type="character" w:styleId="Kommentinviite">
    <w:name w:val="annotation reference"/>
    <w:basedOn w:val="Kappaleenoletusfontti"/>
    <w:uiPriority w:val="99"/>
    <w:semiHidden/>
    <w:unhideWhenUsed/>
    <w:rsid w:val="007C7BCF"/>
    <w:rPr>
      <w:sz w:val="16"/>
      <w:szCs w:val="16"/>
    </w:rPr>
  </w:style>
  <w:style w:type="paragraph" w:styleId="Kommentinteksti">
    <w:name w:val="annotation text"/>
    <w:basedOn w:val="Normaali"/>
    <w:link w:val="KommentintekstiChar"/>
    <w:uiPriority w:val="99"/>
    <w:unhideWhenUsed/>
    <w:rsid w:val="007C7BCF"/>
    <w:pPr>
      <w:jc w:val="both"/>
    </w:pPr>
    <w:rPr>
      <w:sz w:val="20"/>
      <w:szCs w:val="20"/>
    </w:rPr>
  </w:style>
  <w:style w:type="character" w:customStyle="1" w:styleId="KommentintekstiChar">
    <w:name w:val="Kommentin teksti Char"/>
    <w:basedOn w:val="Kappaleenoletusfontti"/>
    <w:link w:val="Kommentinteksti"/>
    <w:uiPriority w:val="99"/>
    <w:rsid w:val="007C7BCF"/>
    <w:rPr>
      <w:sz w:val="20"/>
      <w:szCs w:val="20"/>
    </w:rPr>
  </w:style>
  <w:style w:type="paragraph" w:styleId="Kommentinotsikko">
    <w:name w:val="annotation subject"/>
    <w:basedOn w:val="Kommentinteksti"/>
    <w:next w:val="Kommentinteksti"/>
    <w:link w:val="KommentinotsikkoChar"/>
    <w:uiPriority w:val="99"/>
    <w:semiHidden/>
    <w:unhideWhenUsed/>
    <w:rsid w:val="00446CCB"/>
    <w:pPr>
      <w:jc w:val="left"/>
    </w:pPr>
    <w:rPr>
      <w:b/>
      <w:bCs/>
    </w:rPr>
  </w:style>
  <w:style w:type="character" w:customStyle="1" w:styleId="KommentinotsikkoChar">
    <w:name w:val="Kommentin otsikko Char"/>
    <w:basedOn w:val="KommentintekstiChar"/>
    <w:link w:val="Kommentinotsikko"/>
    <w:uiPriority w:val="99"/>
    <w:semiHidden/>
    <w:rsid w:val="00446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inlex.fi/fi/viranomaiset/normi/5550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3935\AppData\Roaming\Microsoft\Templates\STUK%20suomi\Peru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DDAA7E3BFC4E7EB1602E2DB0BD4EE4"/>
        <w:category>
          <w:name w:val="Yleiset"/>
          <w:gallery w:val="placeholder"/>
        </w:category>
        <w:types>
          <w:type w:val="bbPlcHdr"/>
        </w:types>
        <w:behaviors>
          <w:behavior w:val="content"/>
        </w:behaviors>
        <w:guid w:val="{E57F4C02-2546-4364-96E9-0EF3D9A426CA}"/>
      </w:docPartPr>
      <w:docPartBody>
        <w:p w:rsidR="00EF48DD" w:rsidRDefault="00EF48DD">
          <w:pPr>
            <w:pStyle w:val="62DDAA7E3BFC4E7EB1602E2DB0BD4EE4"/>
          </w:pPr>
          <w:r w:rsidRPr="00DF49CA">
            <w:rPr>
              <w:rStyle w:val="Paikkamerkkiteksti"/>
            </w:rPr>
            <w:t>[</w:t>
          </w:r>
          <w:r>
            <w:rPr>
              <w:rStyle w:val="Paikkamerkkiteksti"/>
            </w:rPr>
            <w:t>Asiaotsikko</w:t>
          </w:r>
          <w:r w:rsidRPr="00DF49CA">
            <w:rPr>
              <w:rStyle w:val="Paikkamerkkitekst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DD"/>
    <w:rsid w:val="00EF48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rPr>
      <w:vanish/>
      <w:color w:val="auto"/>
    </w:rPr>
  </w:style>
  <w:style w:type="paragraph" w:customStyle="1" w:styleId="62DDAA7E3BFC4E7EB1602E2DB0BD4EE4">
    <w:name w:val="62DDAA7E3BFC4E7EB1602E2DB0BD4EE4"/>
  </w:style>
  <w:style w:type="paragraph" w:customStyle="1" w:styleId="13394A6F25DD49429446C0AE1907D454">
    <w:name w:val="13394A6F25DD49429446C0AE1907D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C99AC6"/>
      </a:lt2>
      <a:accent1>
        <a:srgbClr val="0066B3"/>
      </a:accent1>
      <a:accent2>
        <a:srgbClr val="50C2BF"/>
      </a:accent2>
      <a:accent3>
        <a:srgbClr val="F48480"/>
      </a:accent3>
      <a:accent4>
        <a:srgbClr val="FCBA61"/>
      </a:accent4>
      <a:accent5>
        <a:srgbClr val="6ECFF6"/>
      </a:accent5>
      <a:accent6>
        <a:srgbClr val="94CC80"/>
      </a:accent6>
      <a:hlink>
        <a:srgbClr val="50C2BF"/>
      </a:hlink>
      <a:folHlink>
        <a:srgbClr val="9999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2020-03-06T00:00:00</PublishDate>
  <Abstract>LUONNOS 2</Abstract>
  <CompanyAddress/>
  <CompanyPhone/>
  <CompanyFax>#1902040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F35297-20C8-4917-9182-6FE392F4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Perusasiakirja.dotx</Template>
  <TotalTime>4</TotalTime>
  <Pages>15</Pages>
  <Words>4531</Words>
  <Characters>36702</Characters>
  <Application>Microsoft Office Word</Application>
  <DocSecurity>0</DocSecurity>
  <Lines>305</Lines>
  <Paragraphs>82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Säteilyturvakeskuksen määräys ydinenergian käytön turvajärjestelyistä, STUK Y/3/2020</vt:lpstr>
      <vt:lpstr>Säteilyturvakeskuksen määräys ydinenergian käytön turvajärjestelyistä, STUK Y/3/2020</vt:lpstr>
    </vt:vector>
  </TitlesOfParts>
  <Company>Säteilyturvakeskus STUK</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Säteilyturvakeskuksen määräys ydinenergian käytön turvajärjestelyistä, STUK Y/3/2020</dc:title>
  <dc:subject/>
  <dc:creator>Suksi Seija</dc:creator>
  <cp:keywords/>
  <dc:description/>
  <cp:lastModifiedBy>Suksi Seija</cp:lastModifiedBy>
  <cp:revision>4</cp:revision>
  <dcterms:created xsi:type="dcterms:W3CDTF">2020-03-09T07:27:00Z</dcterms:created>
  <dcterms:modified xsi:type="dcterms:W3CDTF">2020-03-09T07:31:00Z</dcterms:modified>
  <cp:contentStatus>3/0007/2017</cp:contentStatus>
</cp:coreProperties>
</file>