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ajorBidi"/>
          <w:spacing w:val="5"/>
        </w:rPr>
        <w:alias w:val="Asiaotsikko"/>
        <w:tag w:val="Asiaotsikko"/>
        <w:id w:val="33890565"/>
        <w:placeholder>
          <w:docPart w:val="62DDAA7E3BFC4E7EB1602E2DB0BD4EE4"/>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AD26469" w14:textId="0CB93647" w:rsidR="00736465" w:rsidRPr="00C1337D" w:rsidRDefault="0006271A" w:rsidP="00DB223A">
          <w:pPr>
            <w:pStyle w:val="Otsikko"/>
          </w:pPr>
          <w:r w:rsidRPr="0006271A">
            <w:rPr>
              <w:rFonts w:cstheme="majorBidi"/>
              <w:spacing w:val="5"/>
            </w:rPr>
            <w:t>Säteilyturvakeskuksen määräys uraanin tai toriumin tuottamiseksi harjoitettavan malminrikastustoiminnan turvallisuudesta</w:t>
          </w:r>
          <w:r>
            <w:rPr>
              <w:rFonts w:cstheme="majorBidi"/>
              <w:spacing w:val="5"/>
            </w:rPr>
            <w:br/>
            <w:t>STUK Y/5/2020</w:t>
          </w:r>
        </w:p>
      </w:sdtContent>
    </w:sdt>
    <w:p w14:paraId="3462DE5F" w14:textId="77777777" w:rsidR="00736465" w:rsidRDefault="00736465" w:rsidP="007D11C8">
      <w:pPr>
        <w:pStyle w:val="Leipteksti"/>
        <w:ind w:left="1304"/>
      </w:pPr>
    </w:p>
    <w:p w14:paraId="4FF9AE43" w14:textId="77777777" w:rsidR="00D22B9E" w:rsidRDefault="0006271A" w:rsidP="00D22B9E">
      <w:pPr>
        <w:pStyle w:val="Otsikko2"/>
      </w:pPr>
      <w:r w:rsidRPr="0006271A">
        <w:rPr>
          <w:sz w:val="24"/>
          <w:szCs w:val="28"/>
        </w:rPr>
        <w:t>PÄÄASIALLINEN SISÄLTÖ</w:t>
      </w:r>
    </w:p>
    <w:p w14:paraId="389F32AE" w14:textId="0FA1881B" w:rsidR="0006271A" w:rsidRPr="0006271A" w:rsidRDefault="0006271A" w:rsidP="003231E8">
      <w:pPr>
        <w:pStyle w:val="Leipteksti"/>
        <w:ind w:left="1304"/>
        <w:jc w:val="both"/>
      </w:pPr>
      <w:r w:rsidRPr="0006271A">
        <w:t>Ydinenergialain (990/1987) 7 q §:n 27 kohdan nojalla säädetään Säteily</w:t>
      </w:r>
      <w:r w:rsidR="008006F3">
        <w:softHyphen/>
      </w:r>
      <w:r w:rsidRPr="0006271A">
        <w:t xml:space="preserve">turvakeskuksen määräys uraanin tai toriumin tuottamiseksi harjoitettavan malminrikastustoiminnan turvallisuudesta. Samalla kumotaan 1.1.2016 voimaan tullut Säteilyturvakeskuksen määräys uraanin tai toriumin tuottamiseksi harjoitettavan kaivostoiminnan ja malminrikastustoiminnan turvallisuudesta (Y/5/2016). </w:t>
      </w:r>
    </w:p>
    <w:p w14:paraId="4E681E18" w14:textId="42EF3F43" w:rsidR="0006271A" w:rsidRPr="0006271A" w:rsidRDefault="0006271A" w:rsidP="003231E8">
      <w:pPr>
        <w:pStyle w:val="Leipteksti"/>
        <w:ind w:left="1304"/>
        <w:jc w:val="both"/>
      </w:pPr>
      <w:r w:rsidRPr="0006271A">
        <w:t>Määräys koskee uraanin ja toriumin tuottamiseksi harjoitettavan malminrikastus</w:t>
      </w:r>
      <w:r w:rsidR="008006F3">
        <w:softHyphen/>
      </w:r>
      <w:r w:rsidRPr="0006271A">
        <w:t>toiminnan teknistä suunnittelua, tuotantoyksikön käyttöönottoa ja käyttöä sekä siinä tarvittavien turvallisuustoimintojen varmistamista, säteilysuojelujärjestelyjä, säteily</w:t>
      </w:r>
      <w:r w:rsidR="008006F3">
        <w:softHyphen/>
      </w:r>
      <w:r w:rsidRPr="0006271A">
        <w:t xml:space="preserve">tarkkailua, ympäristön säteilyturvallisuutta, poikkeustilanteita ja valmiusjärjestelyjä, luvanhaltijan organisaatiota ja henkilöstöä, ydinmateriaalivalvontaa ja turvajärjestelyjä sekä ydinjätehuoltoa ja alueen jälkihoitoa. </w:t>
      </w:r>
    </w:p>
    <w:p w14:paraId="0B57533E" w14:textId="78C0BDCB" w:rsidR="0006271A" w:rsidRPr="0006271A" w:rsidRDefault="0006271A" w:rsidP="003231E8">
      <w:pPr>
        <w:pStyle w:val="Leipteksti"/>
        <w:ind w:left="1304"/>
        <w:jc w:val="both"/>
      </w:pPr>
      <w:r w:rsidRPr="0006271A">
        <w:t>Sisällöllisesti uusi määräys vastaa kumottavaa Säteilyturvakeskuksen määräystä uraanin tai toriumin tuottamiseksi harjoitettavan kaivostoiminnan ja malmin</w:t>
      </w:r>
      <w:r w:rsidR="008006F3">
        <w:softHyphen/>
      </w:r>
      <w:r w:rsidRPr="0006271A">
        <w:t xml:space="preserve">rikastustoiminnan turvallisuudesta. Määräyksestä poistetaan kaivostoimintaa koskevia vaatimuksia, jotka annetaan muissa säädöksissä. Keskeisenä tavoitteena on saattaa määräys vastaaman ydinenergialain </w:t>
      </w:r>
      <w:r w:rsidR="00431E1E" w:rsidRPr="00431E1E">
        <w:t xml:space="preserve">muutoksia </w:t>
      </w:r>
      <w:r w:rsidRPr="0006271A">
        <w:t xml:space="preserve">ja </w:t>
      </w:r>
      <w:r w:rsidR="00431E1E">
        <w:t>uu</w:t>
      </w:r>
      <w:r w:rsidR="004A5A40">
        <w:t>tta</w:t>
      </w:r>
      <w:r w:rsidR="00431E1E">
        <w:t xml:space="preserve"> </w:t>
      </w:r>
      <w:r w:rsidRPr="0006271A">
        <w:t>säteilylain</w:t>
      </w:r>
      <w:r w:rsidR="00431E1E">
        <w:t>säädäntöä</w:t>
      </w:r>
      <w:r w:rsidRPr="0006271A">
        <w:t>. Tämän määräyksen osalta se tarkoittaa</w:t>
      </w:r>
      <w:r w:rsidR="005124E0">
        <w:t xml:space="preserve"> kaivostoi</w:t>
      </w:r>
      <w:bookmarkStart w:id="0" w:name="_GoBack"/>
      <w:bookmarkEnd w:id="0"/>
      <w:r w:rsidR="005124E0">
        <w:t>mintaa koskevien pykälien poistoa</w:t>
      </w:r>
      <w:r w:rsidR="00431E1E">
        <w:t xml:space="preserve"> sekä</w:t>
      </w:r>
      <w:r w:rsidRPr="0006271A">
        <w:t xml:space="preserve"> säädösviittausten muutoksia ja vain vähäisiä muutoksia vaatimuksiin. </w:t>
      </w:r>
      <w:r w:rsidR="00896CEC">
        <w:t>Luonnonsäteilylle altistavasta toiminnasta säädetään säteilylaissa 859/2018.</w:t>
      </w:r>
    </w:p>
    <w:p w14:paraId="302120CE" w14:textId="461E4AFF" w:rsidR="0006271A" w:rsidRDefault="0006271A" w:rsidP="003231E8">
      <w:pPr>
        <w:pStyle w:val="Leipteksti"/>
        <w:ind w:left="1304"/>
        <w:jc w:val="both"/>
      </w:pPr>
      <w:r w:rsidRPr="0006271A">
        <w:t xml:space="preserve">Määräyksen on tarkoitus tulla voimaan </w:t>
      </w:r>
      <w:r w:rsidRPr="008A7A16">
        <w:t>xx.9</w:t>
      </w:r>
      <w:r w:rsidRPr="0006271A">
        <w:t xml:space="preserve">.2020. </w:t>
      </w:r>
    </w:p>
    <w:p w14:paraId="1330030A" w14:textId="77777777" w:rsidR="007C0699" w:rsidRPr="0006271A" w:rsidRDefault="007C0699" w:rsidP="003231E8">
      <w:pPr>
        <w:pStyle w:val="Leipteksti"/>
        <w:ind w:left="1304"/>
        <w:jc w:val="both"/>
      </w:pPr>
    </w:p>
    <w:p w14:paraId="01F449EB" w14:textId="77777777" w:rsidR="0006271A" w:rsidRPr="0006271A" w:rsidRDefault="0006271A" w:rsidP="0006271A">
      <w:pPr>
        <w:pStyle w:val="Otsikko2"/>
        <w:rPr>
          <w:rFonts w:eastAsia="Times New Roman"/>
        </w:rPr>
      </w:pPr>
      <w:r w:rsidRPr="0006271A">
        <w:rPr>
          <w:rFonts w:eastAsia="Times New Roman"/>
        </w:rPr>
        <w:t>Yleiset perustelut</w:t>
      </w:r>
    </w:p>
    <w:p w14:paraId="13C47000" w14:textId="6D3699C8"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Johdanto</w:t>
      </w:r>
    </w:p>
    <w:p w14:paraId="25C21773" w14:textId="10EFECDB" w:rsidR="001D45C0" w:rsidRDefault="0006271A" w:rsidP="003231E8">
      <w:pPr>
        <w:pStyle w:val="Leipteksti"/>
        <w:ind w:left="1304"/>
        <w:jc w:val="both"/>
      </w:pPr>
      <w:r w:rsidRPr="003B0051">
        <w:t>Uusi säteilylaki (</w:t>
      </w:r>
      <w:r w:rsidRPr="00FB6E66">
        <w:t>859</w:t>
      </w:r>
      <w:r w:rsidRPr="003B0051">
        <w:t>/</w:t>
      </w:r>
      <w:r>
        <w:t>2018</w:t>
      </w:r>
      <w:r w:rsidRPr="003B0051">
        <w:t xml:space="preserve">) annettiin </w:t>
      </w:r>
      <w:r>
        <w:t>9</w:t>
      </w:r>
      <w:r w:rsidRPr="003B0051">
        <w:t>.</w:t>
      </w:r>
      <w:r>
        <w:t>11</w:t>
      </w:r>
      <w:r w:rsidRPr="003B0051">
        <w:t>.201</w:t>
      </w:r>
      <w:r>
        <w:t>8</w:t>
      </w:r>
      <w:r w:rsidRPr="003B0051">
        <w:t xml:space="preserve"> ja se tuli voimaan </w:t>
      </w:r>
      <w:r>
        <w:t>15.12.2018</w:t>
      </w:r>
      <w:r w:rsidRPr="003B0051">
        <w:t>. Säteilylailla pantiin täy</w:t>
      </w:r>
      <w:r>
        <w:t xml:space="preserve">täntöön EU:ssa </w:t>
      </w:r>
      <w:r w:rsidRPr="00F00383">
        <w:t xml:space="preserve">5 päivänä joulukuuta 2013 </w:t>
      </w:r>
      <w:r>
        <w:t xml:space="preserve">annettu </w:t>
      </w:r>
      <w:r w:rsidRPr="00F00383">
        <w:t xml:space="preserve">uusi neuvoston direktiivi </w:t>
      </w:r>
      <w:r w:rsidRPr="003B0051">
        <w:t>2013/59/EURATOM</w:t>
      </w:r>
      <w:r>
        <w:t xml:space="preserve"> </w:t>
      </w:r>
      <w:r w:rsidRPr="003B0051">
        <w:t>turvallisuutta koskevien perusnormien vahvistamis</w:t>
      </w:r>
      <w:r>
        <w:t>esta ionisoivasta säteilystä ai</w:t>
      </w:r>
      <w:r w:rsidRPr="003B0051">
        <w:t xml:space="preserve">heutuvilta vaaroilta suojelemiseksi </w:t>
      </w:r>
      <w:r>
        <w:t>sekä</w:t>
      </w:r>
      <w:r w:rsidRPr="003B0051">
        <w:t xml:space="preserve"> direktiivien 89/618/Euratom, 90/641/Euratom, 96/29/Euratom, 97/43/Euratom ja 2003/122/Euratom kumoamisesta</w:t>
      </w:r>
      <w:r>
        <w:t>. Direktiivistä käytetään myös nimikettä BSS-direktiivi (</w:t>
      </w:r>
      <w:r w:rsidRPr="006B2121">
        <w:t>Basic Safety Standards</w:t>
      </w:r>
      <w:r>
        <w:t>).</w:t>
      </w:r>
      <w:r w:rsidR="008459D7">
        <w:t xml:space="preserve"> </w:t>
      </w:r>
      <w:r w:rsidR="001D45C0" w:rsidRPr="001D45C0">
        <w:t xml:space="preserve">Samalla uudistettiin koko säteilylainsäädäntö. Uuteen </w:t>
      </w:r>
      <w:proofErr w:type="spellStart"/>
      <w:r w:rsidR="001D45C0" w:rsidRPr="001D45C0">
        <w:t>säädöstöön</w:t>
      </w:r>
      <w:proofErr w:type="spellEnd"/>
      <w:r w:rsidR="001D45C0" w:rsidRPr="001D45C0">
        <w:t xml:space="preserve"> sisältyy säteilylain lisäksi valtioneuvoston asetus ionisoivasta säteilystä (1034/2018) ja kaksi </w:t>
      </w:r>
      <w:proofErr w:type="spellStart"/>
      <w:r w:rsidR="001D45C0" w:rsidRPr="001D45C0">
        <w:t>STM:n</w:t>
      </w:r>
      <w:proofErr w:type="spellEnd"/>
      <w:r w:rsidR="001D45C0" w:rsidRPr="001D45C0">
        <w:t xml:space="preserve"> asetusta sekä 12 </w:t>
      </w:r>
      <w:proofErr w:type="spellStart"/>
      <w:r w:rsidR="001D45C0" w:rsidRPr="001D45C0">
        <w:t>STUKin</w:t>
      </w:r>
      <w:proofErr w:type="spellEnd"/>
      <w:r w:rsidR="001D45C0" w:rsidRPr="001D45C0">
        <w:t xml:space="preserve"> määräystä.</w:t>
      </w:r>
    </w:p>
    <w:p w14:paraId="6E177E09" w14:textId="153E10D5" w:rsidR="0006271A" w:rsidRDefault="0006271A" w:rsidP="003231E8">
      <w:pPr>
        <w:pStyle w:val="Leipteksti"/>
        <w:ind w:left="1304"/>
        <w:jc w:val="both"/>
      </w:pPr>
      <w:r w:rsidRPr="00F00383">
        <w:t xml:space="preserve">Säteilylaissa </w:t>
      </w:r>
      <w:r>
        <w:t xml:space="preserve">ja </w:t>
      </w:r>
      <w:r w:rsidR="001D45C0">
        <w:t xml:space="preserve">valtioneuvoston </w:t>
      </w:r>
      <w:r>
        <w:t xml:space="preserve">asetuksessa </w:t>
      </w:r>
      <w:r w:rsidRPr="00F00383">
        <w:t xml:space="preserve">säädetyt vaatimukset, </w:t>
      </w:r>
      <w:r>
        <w:t>joita</w:t>
      </w:r>
      <w:r w:rsidRPr="00F00383">
        <w:t xml:space="preserve"> sovelletaan myös </w:t>
      </w:r>
      <w:r>
        <w:t>ydinenergialain alaiseen toimin</w:t>
      </w:r>
      <w:r w:rsidRPr="00F00383">
        <w:t>taan</w:t>
      </w:r>
      <w:r>
        <w:t xml:space="preserve">, hoidetaan määräyksessä viittauksilla </w:t>
      </w:r>
      <w:r>
        <w:lastRenderedPageBreak/>
        <w:t>säteilypuolen säädöksiin</w:t>
      </w:r>
      <w:r w:rsidRPr="00F00383">
        <w:t>. BSS-direktiivin vaatimukset, mitkä oli toimeenpantava erikseen ydinenergi</w:t>
      </w:r>
      <w:r>
        <w:t>an käy</w:t>
      </w:r>
      <w:r w:rsidRPr="00F00383">
        <w:t xml:space="preserve">tön puolella ja edellyttivät muutoksia ydinenergialakiin, sisällytettiin lakiteknisistä syistä säteilylain esityspakettiin ja tulivat voimaan säteilylain liitelakina </w:t>
      </w:r>
      <w:r w:rsidR="00F66398">
        <w:t xml:space="preserve">(862/2018) </w:t>
      </w:r>
      <w:r>
        <w:t>15</w:t>
      </w:r>
      <w:r w:rsidRPr="00F00383">
        <w:t>.</w:t>
      </w:r>
      <w:r>
        <w:t>12</w:t>
      </w:r>
      <w:r w:rsidRPr="00F00383">
        <w:t xml:space="preserve">.2018. </w:t>
      </w:r>
    </w:p>
    <w:p w14:paraId="164B0BB2" w14:textId="2960387F" w:rsidR="0006271A" w:rsidRDefault="0006271A" w:rsidP="003231E8">
      <w:pPr>
        <w:pStyle w:val="Leipteksti"/>
        <w:ind w:left="1304"/>
        <w:jc w:val="both"/>
      </w:pPr>
      <w:r w:rsidRPr="00E1689C">
        <w:t>Säteilyturvallisuusdirektiivissä annetaan yksityiskohtaisia säännöksiä luonnon</w:t>
      </w:r>
      <w:r w:rsidR="00F66398">
        <w:softHyphen/>
      </w:r>
      <w:r w:rsidRPr="00E1689C">
        <w:t>säteilylle altistavasta toiminnasta. STUK antoi 5.4.2019 säteilylain nojalla määräyksen luonnonsäteilylle altistavasta toiminnasta (STUK S/3/2019)</w:t>
      </w:r>
      <w:r>
        <w:t>.</w:t>
      </w:r>
      <w:r w:rsidRPr="00E1689C">
        <w:t xml:space="preserve"> </w:t>
      </w:r>
      <w:r>
        <w:t>Määräystä S/3/2019 ei sovelleta ydinenergialain alaisiin ydinaineisiin eikä ydinjätteisiin. M</w:t>
      </w:r>
      <w:r w:rsidRPr="00E1689C">
        <w:t>ääräyksen kanna</w:t>
      </w:r>
      <w:r>
        <w:t>l</w:t>
      </w:r>
      <w:r w:rsidRPr="00E1689C">
        <w:t xml:space="preserve">ta keskeisiä </w:t>
      </w:r>
      <w:r>
        <w:t xml:space="preserve">BSS-direktiivin </w:t>
      </w:r>
      <w:r w:rsidRPr="00E1689C">
        <w:t>säännöksiä ovat: 25 artiklassa luonnonsäteilylle altistavan toiminnan ilmoittamisesta toimivaltaiselle viranomaiselle, artiklassa 35 järjestelyistä työpaikoilla, joissa radonpitoisuus on viitearvoa suurempi sekä järjestelyistä</w:t>
      </w:r>
      <w:r w:rsidR="00431E1E">
        <w:t>,</w:t>
      </w:r>
      <w:r w:rsidRPr="00E1689C">
        <w:t xml:space="preserve"> jos lentohenkilön altistus on viitearvoa suurempi, 54 artiklassa työpaikkojen radonista, 74 artiklassa sisäilman radonista ja 75 artiklassa rakennusmateriaalien aiheuttamasta säteilyaltistuksesta. Lisäksi direktiivin liitteessä VIII säädetään rakennusmateriaalien radioaktiivisuutta koskevan aktiivisuusindeksin käytöstä.</w:t>
      </w:r>
    </w:p>
    <w:p w14:paraId="4A4D6A80" w14:textId="65C2E8CA" w:rsidR="007C0699" w:rsidRPr="0064678A" w:rsidRDefault="002771CB" w:rsidP="003231E8">
      <w:pPr>
        <w:pStyle w:val="Leipteksti"/>
        <w:ind w:left="1304"/>
        <w:jc w:val="both"/>
      </w:pPr>
      <w:r>
        <w:t xml:space="preserve">Ydinenergialain </w:t>
      </w:r>
      <w:r w:rsidR="0006271A">
        <w:t>(990/1987) 1.1.2018</w:t>
      </w:r>
      <w:r>
        <w:t xml:space="preserve"> voimaantulleella</w:t>
      </w:r>
      <w:r w:rsidR="0006271A">
        <w:t xml:space="preserve"> </w:t>
      </w:r>
      <w:r>
        <w:t>m</w:t>
      </w:r>
      <w:r w:rsidR="0006271A" w:rsidRPr="003041CA">
        <w:t xml:space="preserve">uutoksella </w:t>
      </w:r>
      <w:r w:rsidR="0006271A">
        <w:t>pantiin</w:t>
      </w:r>
      <w:r w:rsidR="0006271A" w:rsidRPr="003041CA">
        <w:t xml:space="preserve"> kansallisesti täytän</w:t>
      </w:r>
      <w:r w:rsidR="0006271A">
        <w:t>töön Euroopan neu</w:t>
      </w:r>
      <w:r w:rsidR="0006271A" w:rsidRPr="003041CA">
        <w:t>voston</w:t>
      </w:r>
      <w:r w:rsidR="0006271A">
        <w:t xml:space="preserve"> </w:t>
      </w:r>
      <w:r w:rsidR="0006271A" w:rsidRPr="00E01008">
        <w:t>8 päivänä heinäkuuta 2014</w:t>
      </w:r>
      <w:r w:rsidR="0006271A" w:rsidRPr="003041CA">
        <w:t xml:space="preserve"> </w:t>
      </w:r>
      <w:r w:rsidR="0006271A">
        <w:t xml:space="preserve">antama </w:t>
      </w:r>
      <w:r w:rsidR="0006271A" w:rsidRPr="003041CA">
        <w:t>direktiivi 2014/87/EURATOM</w:t>
      </w:r>
      <w:r w:rsidR="0006271A">
        <w:t xml:space="preserve">, millä täydennettiin </w:t>
      </w:r>
      <w:r w:rsidR="0006271A" w:rsidRPr="003041CA">
        <w:t>ydinlaitosten ydinturvallisuutta koskevan yhteisön kehyksen perustamisesta an</w:t>
      </w:r>
      <w:r w:rsidR="0006271A">
        <w:t>nettua direktiiviä</w:t>
      </w:r>
      <w:r w:rsidR="0006271A" w:rsidRPr="003041CA">
        <w:t xml:space="preserve"> 2009/71/Euratom</w:t>
      </w:r>
      <w:r w:rsidR="008459D7">
        <w:t xml:space="preserve"> (NSD-direktiivi)</w:t>
      </w:r>
      <w:r w:rsidR="0006271A">
        <w:t>.</w:t>
      </w:r>
      <w:r w:rsidR="0006271A" w:rsidRPr="003041CA">
        <w:t xml:space="preserve"> NSD-direktiivin </w:t>
      </w:r>
      <w:r w:rsidR="0006271A">
        <w:t xml:space="preserve">täydennyksen toimeenpanosta </w:t>
      </w:r>
      <w:r w:rsidR="0006271A" w:rsidRPr="00E01008">
        <w:t xml:space="preserve">ei </w:t>
      </w:r>
      <w:r w:rsidR="0006271A">
        <w:t xml:space="preserve">tähän määräykseen aiheutunut uusia </w:t>
      </w:r>
      <w:r w:rsidR="0006271A" w:rsidRPr="00E01008">
        <w:t>vaatimuksia</w:t>
      </w:r>
      <w:r w:rsidR="0006271A">
        <w:t>.</w:t>
      </w:r>
    </w:p>
    <w:p w14:paraId="6CB9449C" w14:textId="77777777"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 xml:space="preserve">Nykytila </w:t>
      </w:r>
    </w:p>
    <w:p w14:paraId="5466EC28" w14:textId="2132693F" w:rsidR="003231E8" w:rsidRDefault="003231E8" w:rsidP="003231E8">
      <w:pPr>
        <w:pStyle w:val="Leipteksti"/>
        <w:ind w:left="1304"/>
        <w:jc w:val="both"/>
      </w:pPr>
      <w:r w:rsidRPr="003231E8">
        <w:t>Uraanin tai toriumin tuottamiseksi harjoitettavan kaivostoiminnan ja malmin-rikastustoiminnan turvallisuusvaatimuksista säädetään ydinenergialain 7 q §:</w:t>
      </w:r>
      <w:proofErr w:type="spellStart"/>
      <w:r w:rsidRPr="003231E8">
        <w:t>ssä</w:t>
      </w:r>
      <w:proofErr w:type="spellEnd"/>
      <w:r w:rsidRPr="003231E8">
        <w:t>.</w:t>
      </w:r>
    </w:p>
    <w:p w14:paraId="3E60E659" w14:textId="01696E1F" w:rsidR="0006271A" w:rsidRDefault="0006271A" w:rsidP="003231E8">
      <w:pPr>
        <w:pStyle w:val="Leipteksti"/>
        <w:ind w:left="1304"/>
        <w:jc w:val="both"/>
      </w:pPr>
      <w:r>
        <w:t xml:space="preserve">Ydinenergialain muutoksella </w:t>
      </w:r>
      <w:bookmarkStart w:id="1" w:name="OLE_LINK1"/>
      <w:bookmarkStart w:id="2" w:name="OLE_LINK2"/>
      <w:r>
        <w:t xml:space="preserve">(676/2015) </w:t>
      </w:r>
      <w:bookmarkEnd w:id="1"/>
      <w:bookmarkEnd w:id="2"/>
      <w:r>
        <w:t xml:space="preserve">yleisten turvallisuusmääräysten antovalta siirrettiin Säteilyturvakeskukselle. Ydinenergialain uudistuksen yhteydessä aiemmat valtioneuvoston asetuksina säädetyt yleiset turvallisuusmääräykset kumottiin. Säteilyturvakeskuksen yleiset turvallisuusmääräykset annettiin 22.12.2015 ja ne tulivat voimaan 1.1.2016. </w:t>
      </w:r>
    </w:p>
    <w:p w14:paraId="2671ABF7" w14:textId="2D11D63F" w:rsidR="0006271A" w:rsidRDefault="0006271A" w:rsidP="003231E8">
      <w:pPr>
        <w:pStyle w:val="Leipteksti"/>
        <w:ind w:left="1304"/>
        <w:jc w:val="both"/>
        <w:rPr>
          <w:rFonts w:cs="Times New Roman"/>
        </w:rPr>
      </w:pPr>
      <w:r>
        <w:t>Säteilyturvakeskuksen määräys u</w:t>
      </w:r>
      <w:r w:rsidRPr="00662DEA">
        <w:t>raanin tai toriumin tuottamiseksi harjoitettavan kaivos</w:t>
      </w:r>
      <w:r>
        <w:t>toiminnan ja malmin</w:t>
      </w:r>
      <w:r w:rsidRPr="00662DEA">
        <w:t>rikastustoiminnan turvallisuu</w:t>
      </w:r>
      <w:r>
        <w:t xml:space="preserve">desta annettiin osana tätä uudistusta. </w:t>
      </w:r>
      <w:r>
        <w:rPr>
          <w:rFonts w:cs="Times New Roman"/>
        </w:rPr>
        <w:t xml:space="preserve">Määräystä vastaavia säännöksiä ei ollut </w:t>
      </w:r>
      <w:r w:rsidRPr="00E01008">
        <w:rPr>
          <w:rFonts w:cs="Times New Roman"/>
        </w:rPr>
        <w:t xml:space="preserve">annettu </w:t>
      </w:r>
      <w:r>
        <w:rPr>
          <w:rFonts w:cs="Times New Roman"/>
        </w:rPr>
        <w:t>aiemmin valtioneuvoston asetuksella.</w:t>
      </w:r>
    </w:p>
    <w:p w14:paraId="71DEEF14" w14:textId="77777777" w:rsidR="0006271A" w:rsidRDefault="0006271A" w:rsidP="003231E8">
      <w:pPr>
        <w:pStyle w:val="Leipteksti"/>
        <w:ind w:left="1304"/>
        <w:jc w:val="both"/>
      </w:pPr>
      <w:r w:rsidRPr="00662DEA">
        <w:t xml:space="preserve">1.1.2016 voimaantullut Säteilyturvakeskuksen määräys uraanin tai toriumin tuottamiseksi harjoitettavan kaivostoiminnan ja malminrikastustoiminnan turvallisuudesta </w:t>
      </w:r>
      <w:r>
        <w:t>vastaa sisällöllisesti uutta määräystä</w:t>
      </w:r>
      <w:r w:rsidRPr="00662DEA">
        <w:t>.</w:t>
      </w:r>
    </w:p>
    <w:p w14:paraId="62EA46BB" w14:textId="4E05CA49" w:rsidR="004D586A" w:rsidRDefault="0006271A" w:rsidP="003231E8">
      <w:pPr>
        <w:pStyle w:val="Leipteksti"/>
        <w:ind w:left="1304"/>
        <w:jc w:val="both"/>
      </w:pPr>
      <w:bookmarkStart w:id="3" w:name="_Hlk27118742"/>
      <w:r>
        <w:t>S</w:t>
      </w:r>
      <w:r w:rsidRPr="00FB6E66">
        <w:t>äteilylain nojalla</w:t>
      </w:r>
      <w:r>
        <w:t xml:space="preserve"> annettu </w:t>
      </w:r>
      <w:proofErr w:type="spellStart"/>
      <w:r>
        <w:t>STUKin</w:t>
      </w:r>
      <w:proofErr w:type="spellEnd"/>
      <w:r>
        <w:t xml:space="preserve"> määräys luonnonsäteilylle altistavasta toiminnasta (</w:t>
      </w:r>
      <w:r w:rsidRPr="00F310D6">
        <w:t>STUK S/</w:t>
      </w:r>
      <w:r>
        <w:t>3</w:t>
      </w:r>
      <w:r w:rsidRPr="00F310D6">
        <w:t>/2019</w:t>
      </w:r>
      <w:r>
        <w:t>)</w:t>
      </w:r>
      <w:bookmarkEnd w:id="3"/>
      <w:r>
        <w:t xml:space="preserve"> koskee luonnonsäteilylle altistavaa toimintaa. Luonnonsäteilylle altistavaa toimintaa on toiminta, joihin liittyvästä luonnonsäteilystä aiheutuu työperäistä tai väestön säteilyaltistusta. Näistä toiminnoista säädetään ja ne yksilöidään säteilylain 18 luvussa ja lain nojalla annetussa valioneuvoston asetuksessa ionisoivasta säteilystä. </w:t>
      </w:r>
    </w:p>
    <w:p w14:paraId="4F2E2E9B" w14:textId="77777777" w:rsidR="007D11C8" w:rsidRPr="00D94DFA" w:rsidRDefault="007D11C8" w:rsidP="003231E8">
      <w:pPr>
        <w:pStyle w:val="Leipteksti"/>
        <w:ind w:left="1304"/>
        <w:jc w:val="both"/>
      </w:pPr>
    </w:p>
    <w:p w14:paraId="1FCC3157" w14:textId="77777777"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 xml:space="preserve">Määräyksen tavoitteet ja ehdotukset </w:t>
      </w:r>
    </w:p>
    <w:p w14:paraId="778D95B1" w14:textId="77777777" w:rsidR="0006271A" w:rsidRPr="004B554F" w:rsidRDefault="0006271A" w:rsidP="00115462">
      <w:pPr>
        <w:spacing w:before="120" w:after="120"/>
        <w:ind w:left="1298"/>
        <w:jc w:val="both"/>
      </w:pPr>
      <w:r>
        <w:t xml:space="preserve">Määräyksellä </w:t>
      </w:r>
      <w:r w:rsidRPr="004B554F">
        <w:t>annet</w:t>
      </w:r>
      <w:r>
        <w:t>aan</w:t>
      </w:r>
      <w:r w:rsidRPr="004B554F">
        <w:t xml:space="preserve"> ydinenergialakia tarkentavat säännökset uraanin ja toriumin tuottamiseksi harjoitettavan malminrikastustoiminnan turvallisuudesta. </w:t>
      </w:r>
      <w:r w:rsidRPr="00BB6144">
        <w:t>Uraanin tuotannon tullessa mahdolliseksi maassamme on turvallisuusmääräyksen antaminen aiheellista.</w:t>
      </w:r>
      <w:r w:rsidRPr="004B554F">
        <w:t xml:space="preserve"> </w:t>
      </w:r>
    </w:p>
    <w:p w14:paraId="0DB4A542" w14:textId="401A107C" w:rsidR="0006271A" w:rsidRDefault="0006271A" w:rsidP="00115462">
      <w:pPr>
        <w:spacing w:before="120" w:after="120"/>
        <w:ind w:left="1298"/>
        <w:jc w:val="both"/>
      </w:pPr>
      <w:r>
        <w:t xml:space="preserve">Määräystä </w:t>
      </w:r>
      <w:r w:rsidRPr="004B554F">
        <w:t>sovellet</w:t>
      </w:r>
      <w:r>
        <w:t>aan</w:t>
      </w:r>
      <w:r w:rsidRPr="004B554F">
        <w:t xml:space="preserve"> ydinenergialain soveltamisalaan kuuluvaan malmin</w:t>
      </w:r>
      <w:r w:rsidR="008D33B2">
        <w:softHyphen/>
      </w:r>
      <w:r w:rsidRPr="004B554F">
        <w:t>rikastustoimintaan</w:t>
      </w:r>
      <w:r>
        <w:t xml:space="preserve">, jonka tarkoituksena </w:t>
      </w:r>
      <w:r w:rsidRPr="00D1088E">
        <w:t>on</w:t>
      </w:r>
      <w:r>
        <w:t xml:space="preserve"> uraanin tai toriumin tuottaminen</w:t>
      </w:r>
      <w:r w:rsidRPr="004B554F">
        <w:t xml:space="preserve">. </w:t>
      </w:r>
      <w:r>
        <w:t>T</w:t>
      </w:r>
      <w:r w:rsidRPr="004B554F">
        <w:t>urvallisuusvaatimukset kosk</w:t>
      </w:r>
      <w:r>
        <w:t>evat</w:t>
      </w:r>
      <w:r w:rsidRPr="004B554F">
        <w:t xml:space="preserve"> rikastamon (malminrikastuslaitoksen) käytön turvallisuutta </w:t>
      </w:r>
      <w:r>
        <w:t>ja</w:t>
      </w:r>
      <w:r w:rsidRPr="004B554F">
        <w:t xml:space="preserve"> niistä peräisin olevien tuotantojätteiden loppusijoituksen turvallisuutta. </w:t>
      </w:r>
      <w:r>
        <w:t xml:space="preserve">Määräys </w:t>
      </w:r>
      <w:r w:rsidRPr="004B554F">
        <w:t xml:space="preserve">täsmentää lain 2A lukuun sisältyviä yleisiä vaatimuksia. </w:t>
      </w:r>
    </w:p>
    <w:p w14:paraId="4A2246D9" w14:textId="788B0153" w:rsidR="007C0699" w:rsidRDefault="0006271A" w:rsidP="00115462">
      <w:pPr>
        <w:spacing w:before="120" w:after="120"/>
        <w:ind w:left="1298"/>
        <w:jc w:val="both"/>
      </w:pPr>
      <w:r>
        <w:t xml:space="preserve">Määräys </w:t>
      </w:r>
      <w:r w:rsidRPr="004B554F">
        <w:t>koskee toiminnan turvallisuutta siltä osin</w:t>
      </w:r>
      <w:r w:rsidR="007408F6" w:rsidRPr="004B554F">
        <w:t>,</w:t>
      </w:r>
      <w:r w:rsidRPr="004B554F">
        <w:t xml:space="preserve"> kun siitä säädetään ydinenergia</w:t>
      </w:r>
      <w:r w:rsidR="008D33B2">
        <w:softHyphen/>
      </w:r>
      <w:r w:rsidRPr="004B554F">
        <w:t xml:space="preserve">laissa sekä säteilylain </w:t>
      </w:r>
      <w:r>
        <w:t>5-7</w:t>
      </w:r>
      <w:r w:rsidRPr="004B554F">
        <w:t xml:space="preserve"> §:ssä ja </w:t>
      </w:r>
      <w:r>
        <w:t>12</w:t>
      </w:r>
      <w:r w:rsidRPr="004B554F">
        <w:t xml:space="preserve"> luvussa. Sääntelyn tarkoituksena on varmistaa, että toiminnasta aiheutuva säteilyaltistus ja ympäristöhaitat pidetään niin alhaisina kuin käytännöllisin toimenpitein on mahdollista, ja että </w:t>
      </w:r>
      <w:r w:rsidR="000F4D5B">
        <w:t>toiminnasta</w:t>
      </w:r>
      <w:r w:rsidRPr="004B554F">
        <w:t xml:space="preserve"> aiheutuvista tuotanto</w:t>
      </w:r>
      <w:r w:rsidR="000F4D5B">
        <w:softHyphen/>
      </w:r>
      <w:r w:rsidRPr="004B554F">
        <w:t xml:space="preserve">jätteistä huolehditaan asianmukaisesti. Toiminnan muuta turvallisuutta koskevat määräykset annetaan asianomaisten lakien nojalla annetuissa säännöksissä. </w:t>
      </w:r>
      <w:r>
        <w:t xml:space="preserve">Määräyksen </w:t>
      </w:r>
      <w:r w:rsidRPr="004B554F">
        <w:t xml:space="preserve">vaatimukset velvoittavat suoranaisesti ydinenergialaissa tarkoitetun malminrikastusluvan haltijaa, mutta vaatimukset on otettava huomioon jo kyseisenlaista toimintaa suunniteltaessa.  </w:t>
      </w:r>
    </w:p>
    <w:p w14:paraId="0A57C550" w14:textId="7A36813F"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Määräyksen vaikutukset</w:t>
      </w:r>
    </w:p>
    <w:p w14:paraId="64394CED" w14:textId="58000928" w:rsidR="0006271A" w:rsidRDefault="0006271A" w:rsidP="00115462">
      <w:pPr>
        <w:spacing w:before="120" w:after="120"/>
        <w:ind w:left="1298"/>
        <w:jc w:val="both"/>
      </w:pPr>
      <w:r>
        <w:t xml:space="preserve">Määräyksellä </w:t>
      </w:r>
      <w:r w:rsidRPr="004B554F">
        <w:t xml:space="preserve">ei ole erityisiä taloudellisia, yhteiskunnallisia tai viranomaistoimintaan kohdistuvia vaikutuksia. </w:t>
      </w:r>
      <w:r>
        <w:t xml:space="preserve">Määräyksen </w:t>
      </w:r>
      <w:r w:rsidRPr="004B554F">
        <w:t xml:space="preserve">tarkoituksena on mm. varmistaa, ettei </w:t>
      </w:r>
      <w:r>
        <w:t>rikastus</w:t>
      </w:r>
      <w:r w:rsidR="000F4D5B">
        <w:softHyphen/>
      </w:r>
      <w:r w:rsidRPr="004B554F">
        <w:t xml:space="preserve">toiminnasta aiheudu säteilyaltistusta ja ympäristöhaittoja, joten </w:t>
      </w:r>
      <w:r>
        <w:t xml:space="preserve">määräys </w:t>
      </w:r>
      <w:r w:rsidRPr="004B554F">
        <w:t xml:space="preserve">vaikuttaa myönteisesti ympäristöön ja terveyteen. Käytännössä jo nykyinen lainsäädäntö velvoittaa toiminnanharjoittajan huolehtimaan uraanin ja toriumin tuottamiseksi harjoitettavan malminrikastustoiminnan säteilyturvallisuudesta. Tällä </w:t>
      </w:r>
      <w:r>
        <w:t xml:space="preserve">määräyksellä </w:t>
      </w:r>
      <w:r w:rsidRPr="004B554F">
        <w:t>selkeytet</w:t>
      </w:r>
      <w:r>
        <w:t xml:space="preserve">ään </w:t>
      </w:r>
      <w:r w:rsidRPr="004B554F">
        <w:t xml:space="preserve">toiminnanharjoittajan lakiin perustuvia velvollisuuksia.  </w:t>
      </w:r>
    </w:p>
    <w:p w14:paraId="72D0B84B" w14:textId="51EDAD15" w:rsidR="007C0699" w:rsidRDefault="0006271A" w:rsidP="00115462">
      <w:pPr>
        <w:spacing w:before="120" w:after="120"/>
        <w:ind w:left="1298"/>
        <w:jc w:val="both"/>
      </w:pPr>
      <w:r>
        <w:t xml:space="preserve">Ydinenergialain </w:t>
      </w:r>
      <w:r w:rsidRPr="00E25A19">
        <w:t>muutokse</w:t>
      </w:r>
      <w:r>
        <w:t>ssa</w:t>
      </w:r>
      <w:r w:rsidRPr="00E25A19">
        <w:t xml:space="preserve"> </w:t>
      </w:r>
      <w:r w:rsidRPr="00C76F58">
        <w:t xml:space="preserve">(676/2015) </w:t>
      </w:r>
      <w:r w:rsidRPr="00E25A19">
        <w:t>asetuksenantovaltuutta koskevaan 82 §:ään lisätt</w:t>
      </w:r>
      <w:r>
        <w:t>iin</w:t>
      </w:r>
      <w:r w:rsidRPr="00E25A19">
        <w:t xml:space="preserve"> kohdat, joista säädetään tarkemmin valtioneuvoston asetuksella. Tällaisia asioita ovat: väestön säteilyaltis</w:t>
      </w:r>
      <w:r>
        <w:t>tami</w:t>
      </w:r>
      <w:r w:rsidRPr="00E25A19">
        <w:t xml:space="preserve">nen, </w:t>
      </w:r>
      <w:r>
        <w:t>joka</w:t>
      </w:r>
      <w:r w:rsidRPr="00E25A19">
        <w:t xml:space="preserve"> on yhteiskunnallisesti niin merkittävä asia, että siitä on säädettävä korkeammalla tasolla, sekä asiat, </w:t>
      </w:r>
      <w:r>
        <w:t>jotka</w:t>
      </w:r>
      <w:r w:rsidRPr="00E25A19">
        <w:t xml:space="preserve"> kuuluvat toisten viranomaisten </w:t>
      </w:r>
      <w:r>
        <w:t>toimivaltaan</w:t>
      </w:r>
      <w:r w:rsidRPr="00E25A19">
        <w:t xml:space="preserve">. </w:t>
      </w:r>
    </w:p>
    <w:p w14:paraId="5DF0C39B" w14:textId="77777777"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 xml:space="preserve">Määräyksen valmistelu </w:t>
      </w:r>
    </w:p>
    <w:p w14:paraId="788CF21D" w14:textId="77777777" w:rsidR="0006271A" w:rsidRDefault="0006271A" w:rsidP="00115462">
      <w:pPr>
        <w:pStyle w:val="Leipteksti"/>
        <w:ind w:left="1304"/>
        <w:jc w:val="both"/>
      </w:pPr>
      <w:r w:rsidRPr="004B554F">
        <w:t xml:space="preserve">Määräys </w:t>
      </w:r>
      <w:r w:rsidRPr="00EF152D">
        <w:t xml:space="preserve">uraanin tai toriumin tuottamiseksi harjoitettavan malminrikastustoiminnan turvallisuudesta </w:t>
      </w:r>
      <w:r w:rsidRPr="004B554F">
        <w:t>on valmisteltu Säteilyturvakeskuksessa virkatyönä</w:t>
      </w:r>
      <w:r>
        <w:t xml:space="preserve"> osana </w:t>
      </w:r>
      <w:proofErr w:type="spellStart"/>
      <w:r w:rsidRPr="00D1088E">
        <w:t>STUKin</w:t>
      </w:r>
      <w:proofErr w:type="spellEnd"/>
      <w:r w:rsidRPr="003B22A8">
        <w:t xml:space="preserve"> määräysten valmiste</w:t>
      </w:r>
      <w:r>
        <w:t>lemiseksi perustamaa</w:t>
      </w:r>
      <w:r w:rsidRPr="003B22A8">
        <w:t xml:space="preserve"> projek</w:t>
      </w:r>
      <w:r>
        <w:t>tia</w:t>
      </w:r>
      <w:r w:rsidRPr="003B22A8">
        <w:t xml:space="preserve"> </w:t>
      </w:r>
      <w:r>
        <w:t xml:space="preserve">(RYSÄ), jonka tehtävänä oli ohjata määräysten valmistelua, taata eri määräysten yhtenäisyys sekä vastata </w:t>
      </w:r>
      <w:proofErr w:type="spellStart"/>
      <w:r>
        <w:t>STUKin</w:t>
      </w:r>
      <w:proofErr w:type="spellEnd"/>
      <w:r>
        <w:t xml:space="preserve"> määräysten lainmukaisuudesta ja ulkoasusta.</w:t>
      </w:r>
    </w:p>
    <w:p w14:paraId="4502B39E" w14:textId="77777777" w:rsidR="0006271A" w:rsidRDefault="0006271A" w:rsidP="00115462">
      <w:pPr>
        <w:pStyle w:val="Leipteksti"/>
        <w:ind w:left="1304"/>
        <w:jc w:val="both"/>
      </w:pPr>
      <w:r>
        <w:t>Määräysehdotuksesta pyydettiin lausunnot….</w:t>
      </w:r>
    </w:p>
    <w:p w14:paraId="13B18613" w14:textId="13493522" w:rsidR="0006271A" w:rsidRDefault="0006271A" w:rsidP="00115462">
      <w:pPr>
        <w:pStyle w:val="Leipteksti"/>
        <w:ind w:left="1304"/>
        <w:jc w:val="both"/>
      </w:pPr>
      <w:r w:rsidRPr="004B554F">
        <w:t>Lausunnot saatiin</w:t>
      </w:r>
      <w:r>
        <w:t xml:space="preserve"> </w:t>
      </w:r>
      <w:r w:rsidRPr="00F853C4">
        <w:t>[täydentyy prosessin edetessä]</w:t>
      </w:r>
    </w:p>
    <w:p w14:paraId="1C7139EE" w14:textId="77777777" w:rsidR="0006271A" w:rsidRDefault="0006271A" w:rsidP="00115462">
      <w:pPr>
        <w:pStyle w:val="Leipteksti"/>
        <w:ind w:left="1304"/>
        <w:jc w:val="both"/>
      </w:pPr>
      <w:r>
        <w:lastRenderedPageBreak/>
        <w:t>Seuraavat tahot ilmoittivat, ettei niillä ole lausuttavaa tai huomautettavaa luonnokseen…</w:t>
      </w:r>
    </w:p>
    <w:p w14:paraId="3EC82DB0" w14:textId="77777777" w:rsidR="0006271A" w:rsidRPr="004B554F" w:rsidRDefault="0006271A" w:rsidP="00115462">
      <w:pPr>
        <w:pStyle w:val="Leipteksti"/>
        <w:ind w:left="1304"/>
        <w:jc w:val="both"/>
      </w:pPr>
      <w:r>
        <w:t>Lausunnot sisälsivät …</w:t>
      </w:r>
    </w:p>
    <w:p w14:paraId="208D84B1" w14:textId="77777777" w:rsidR="0006271A" w:rsidRDefault="0006271A" w:rsidP="00115462">
      <w:pPr>
        <w:pStyle w:val="Leipteksti"/>
        <w:ind w:left="1304"/>
        <w:jc w:val="both"/>
      </w:pPr>
      <w:r w:rsidRPr="00811CAF">
        <w:t>Lausuntojen perusteella mää</w:t>
      </w:r>
      <w:r>
        <w:t xml:space="preserve">räyksen pykäliin x, y, z </w:t>
      </w:r>
      <w:r w:rsidRPr="00811CAF">
        <w:t>sekä pe</w:t>
      </w:r>
      <w:r>
        <w:t>rustelu</w:t>
      </w:r>
      <w:r w:rsidRPr="00811CAF">
        <w:t>muistioon tehtiin muutoksia</w:t>
      </w:r>
      <w:r>
        <w:t>…</w:t>
      </w:r>
    </w:p>
    <w:p w14:paraId="70284647" w14:textId="77777777"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Määräyksen voimaantulo</w:t>
      </w:r>
    </w:p>
    <w:p w14:paraId="541CF2AD" w14:textId="5C6A4A19" w:rsidR="0006271A" w:rsidRDefault="0006271A" w:rsidP="0006271A">
      <w:pPr>
        <w:pStyle w:val="Leipteksti"/>
        <w:ind w:left="1304"/>
      </w:pPr>
      <w:r>
        <w:t xml:space="preserve">Määräys tulee voimaan </w:t>
      </w:r>
      <w:r w:rsidRPr="00407649">
        <w:t>xx päivänä xxxxkuuta 20</w:t>
      </w:r>
      <w:r>
        <w:t>20</w:t>
      </w:r>
      <w:r w:rsidR="000F4D5B">
        <w:t>.</w:t>
      </w:r>
    </w:p>
    <w:p w14:paraId="74A99B5D" w14:textId="77777777" w:rsidR="000F4D5B" w:rsidRDefault="000F4D5B" w:rsidP="0006271A">
      <w:pPr>
        <w:pStyle w:val="Leipteksti"/>
        <w:ind w:left="1304"/>
      </w:pPr>
    </w:p>
    <w:p w14:paraId="7596AB70" w14:textId="77777777" w:rsidR="007C7BCF" w:rsidRPr="007C7BCF" w:rsidRDefault="007C7BCF" w:rsidP="00115462">
      <w:pPr>
        <w:pStyle w:val="Otsikko2"/>
        <w:rPr>
          <w:rFonts w:eastAsia="Times New Roman"/>
        </w:rPr>
      </w:pPr>
      <w:r w:rsidRPr="007C7BCF">
        <w:rPr>
          <w:rFonts w:eastAsia="Times New Roman"/>
        </w:rPr>
        <w:t xml:space="preserve">Yksityiskohtaiset perustelut </w:t>
      </w:r>
    </w:p>
    <w:p w14:paraId="303BEAAA"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Soveltamisala</w:t>
      </w:r>
    </w:p>
    <w:p w14:paraId="05A642B8" w14:textId="77777777" w:rsidR="007C7BCF" w:rsidRPr="00944C16" w:rsidRDefault="007C7BCF" w:rsidP="007C7BCF">
      <w:pPr>
        <w:spacing w:before="120" w:after="120"/>
        <w:ind w:left="1298"/>
        <w:jc w:val="both"/>
        <w:rPr>
          <w:rFonts w:eastAsia="Cambria"/>
        </w:rPr>
      </w:pPr>
      <w:r w:rsidRPr="00944C16">
        <w:rPr>
          <w:rFonts w:eastAsia="Cambria"/>
        </w:rPr>
        <w:t>Määräyksen 1 § määrittelee soveltamisalaksi uraanin tai toriumin tuottamiseksi harjoitettavan malminrikastustoiminnan, siltä osin kuin toiminta kuuluu ydinenergialain soveltamisalaan. Ydinenergialain 2 §:n 1 momentin 2-kohdan mukaan ydinenergialakia sovelletaan kaivos- ja malminrikastustoimintaan, jonka tarkoituksena on uraanin ja toriumin tuottaminen. Saman pykälän 3 momentin nojalla on ydinenergia-asetuksen (161/1988) 9 b §:ssä kuitenkin rajattu soveltamisalan ulkopuolelle sellainen kaivos- ja malminrikastustoiminta, jossa yhden vuoden aikana tuotettavan uraanin tai toriumin määrä on enintään 10 000 kilogrammaa tai käsiteltävässä malmissa uraanin ja toriumin keskimääräinen pitoisuus on 2 §:ssä asetettuja rajoja pienempi ja jalostuksen tuloksena syntyvissä tuotteissa uraanin ja toriumin yhteinen pitoisuus on pienempi kuin 0,5 kilogrammaa tonnissa.</w:t>
      </w:r>
    </w:p>
    <w:p w14:paraId="565A40D8" w14:textId="4A11A31F" w:rsidR="007C7BCF" w:rsidRPr="00944C16" w:rsidRDefault="007C7BCF" w:rsidP="00177679">
      <w:pPr>
        <w:spacing w:before="120" w:after="120"/>
        <w:ind w:left="1298"/>
        <w:jc w:val="both"/>
        <w:rPr>
          <w:rFonts w:eastAsia="Cambria"/>
        </w:rPr>
      </w:pPr>
      <w:r w:rsidRPr="00944C16">
        <w:rPr>
          <w:rFonts w:eastAsia="Cambria"/>
        </w:rPr>
        <w:t>Määräys koskee myös uraanin tai toriumin tuottamisessa syntyvien jätteiden loppu</w:t>
      </w:r>
      <w:r w:rsidR="00177679" w:rsidRPr="00944C16">
        <w:rPr>
          <w:rFonts w:eastAsia="Cambria"/>
        </w:rPr>
        <w:softHyphen/>
      </w:r>
      <w:r w:rsidRPr="00944C16">
        <w:rPr>
          <w:rFonts w:eastAsia="Cambria"/>
        </w:rPr>
        <w:t>sijoitusta siltä osin kuin jäte kuuluu ydinenergialain soveltamisalaan. Loppu</w:t>
      </w:r>
      <w:r w:rsidR="00657FF1">
        <w:rPr>
          <w:rFonts w:eastAsia="Cambria"/>
        </w:rPr>
        <w:softHyphen/>
      </w:r>
      <w:r w:rsidRPr="00944C16">
        <w:rPr>
          <w:rFonts w:eastAsia="Cambria"/>
        </w:rPr>
        <w:t>sijoitustoimet saattavat osin ajoittua kaivos- ja malminrikastustoiminnan jälkeiseen aikaan.</w:t>
      </w:r>
    </w:p>
    <w:p w14:paraId="5F767A8E" w14:textId="346C3248" w:rsidR="007C7BCF" w:rsidRPr="00944C16" w:rsidRDefault="007C7BCF" w:rsidP="00177679">
      <w:pPr>
        <w:tabs>
          <w:tab w:val="left" w:pos="1304"/>
        </w:tabs>
        <w:spacing w:before="120" w:after="120"/>
        <w:ind w:left="1298"/>
        <w:jc w:val="both"/>
        <w:rPr>
          <w:rFonts w:eastAsia="Times New Roman"/>
          <w:lang w:eastAsia="fi-FI"/>
        </w:rPr>
      </w:pPr>
      <w:r w:rsidRPr="00944C16">
        <w:rPr>
          <w:rFonts w:eastAsia="Times New Roman"/>
          <w:lang w:eastAsia="fi-FI"/>
        </w:rPr>
        <w:t xml:space="preserve">Säteilylakiin sisältyy mm. työntekijöiden säteilysuojelua koskevia vaatimuksia, joita ei ole otettu osaksi tätä määräystä. </w:t>
      </w:r>
      <w:r w:rsidRPr="004E4362">
        <w:rPr>
          <w:rFonts w:eastAsia="Times New Roman"/>
          <w:lang w:eastAsia="fi-FI"/>
        </w:rPr>
        <w:t>Siksi toisessa kohdassa on säädetty, että säteilyturvallisuudesta on lisäksi voimassa, mitä säteilylain 5-7 §:ssä säädetään säteilysuojelun yleisistä periaatteista ja 12 luvussa työperäisestä altistuksesta.</w:t>
      </w:r>
      <w:r w:rsidR="00963EBD" w:rsidRPr="004E4362">
        <w:rPr>
          <w:rFonts w:eastAsia="Times New Roman"/>
          <w:lang w:eastAsia="fi-FI"/>
        </w:rPr>
        <w:t xml:space="preserve"> </w:t>
      </w:r>
      <w:bookmarkStart w:id="4" w:name="_Hlk30596847"/>
      <w:r w:rsidR="00D101D0" w:rsidRPr="004E4362">
        <w:rPr>
          <w:rFonts w:eastAsia="Times New Roman"/>
          <w:lang w:eastAsia="fi-FI"/>
        </w:rPr>
        <w:t>Kyseiset säädökset kuuluvat myös ydinenergialain soveltamisalaan ja niistä säädetään lain 2 a §:n 1 momentin kohdissa 1 ja 8.</w:t>
      </w:r>
      <w:bookmarkEnd w:id="4"/>
    </w:p>
    <w:p w14:paraId="5F487C7D" w14:textId="4C3AFF6B" w:rsidR="007C7BCF" w:rsidRDefault="007C7BCF" w:rsidP="00177679">
      <w:pPr>
        <w:spacing w:after="220"/>
        <w:ind w:left="1304"/>
        <w:jc w:val="both"/>
        <w:rPr>
          <w:rFonts w:eastAsia="Cambria"/>
        </w:rPr>
      </w:pPr>
      <w:r w:rsidRPr="00944C16">
        <w:rPr>
          <w:rFonts w:eastAsia="Cambria"/>
        </w:rPr>
        <w:t xml:space="preserve">Määräyksen soveltamisalaa on rajattu koskemaan vain malminrikastusta, ja sen takia useisiin kohtiin määräystä on täsmennetty, että vaatimukset eivät pääosin koske tuotantoyksikköä vaan rikastamoa. </w:t>
      </w:r>
    </w:p>
    <w:p w14:paraId="0E65948D" w14:textId="77777777" w:rsidR="007C0699" w:rsidRPr="00944C16" w:rsidRDefault="007C0699" w:rsidP="00177679">
      <w:pPr>
        <w:spacing w:after="220"/>
        <w:ind w:left="1304"/>
        <w:jc w:val="both"/>
        <w:rPr>
          <w:rFonts w:eastAsia="Cambria"/>
        </w:rPr>
      </w:pPr>
    </w:p>
    <w:p w14:paraId="0189B33B"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Määritelmät</w:t>
      </w:r>
    </w:p>
    <w:p w14:paraId="1AAD8D6B" w14:textId="77777777" w:rsidR="007C7BCF" w:rsidRPr="00944C16" w:rsidRDefault="007C7BCF">
      <w:pPr>
        <w:spacing w:before="120" w:after="120"/>
        <w:ind w:left="1298"/>
        <w:jc w:val="both"/>
        <w:rPr>
          <w:rFonts w:eastAsia="Cambria"/>
        </w:rPr>
      </w:pPr>
      <w:r w:rsidRPr="00944C16">
        <w:rPr>
          <w:rFonts w:eastAsia="Cambria"/>
        </w:rPr>
        <w:t>Määräyksen 2 § sisältää käytettyjen termien määritelmät.</w:t>
      </w:r>
    </w:p>
    <w:p w14:paraId="7E2B5BE0" w14:textId="0024E963" w:rsidR="007C7BCF" w:rsidRDefault="00896CEC" w:rsidP="00D55C51">
      <w:pPr>
        <w:tabs>
          <w:tab w:val="left" w:pos="1304"/>
        </w:tabs>
        <w:ind w:left="1304"/>
        <w:jc w:val="both"/>
        <w:rPr>
          <w:rFonts w:eastAsia="Times New Roman"/>
          <w:lang w:eastAsia="fi-FI"/>
        </w:rPr>
      </w:pPr>
      <w:r>
        <w:rPr>
          <w:rFonts w:eastAsia="Times New Roman"/>
          <w:lang w:eastAsia="fi-FI"/>
        </w:rPr>
        <w:t>Radioaktiivinen t</w:t>
      </w:r>
      <w:r w:rsidR="007C7BCF" w:rsidRPr="00944C16">
        <w:rPr>
          <w:rFonts w:eastAsia="Times New Roman"/>
          <w:lang w:eastAsia="fi-FI"/>
        </w:rPr>
        <w:t xml:space="preserve">uotantojäte on ydinenergian käytössä syntyvää jätettä, joten se on ydinjätettä. </w:t>
      </w:r>
      <w:r>
        <w:rPr>
          <w:rFonts w:eastAsia="Times New Roman"/>
          <w:lang w:eastAsia="fi-FI"/>
        </w:rPr>
        <w:t>Radioaktiivisen t</w:t>
      </w:r>
      <w:r w:rsidR="007C7BCF" w:rsidRPr="00944C16">
        <w:rPr>
          <w:rFonts w:eastAsia="Times New Roman"/>
          <w:lang w:eastAsia="fi-FI"/>
        </w:rPr>
        <w:t xml:space="preserve">uotantojätteen määritelmän lukuarvot perustuvat </w:t>
      </w:r>
      <w:r w:rsidR="007C7BCF" w:rsidRPr="00944C16">
        <w:rPr>
          <w:rFonts w:eastAsia="Times New Roman"/>
          <w:lang w:eastAsia="fi-FI"/>
        </w:rPr>
        <w:lastRenderedPageBreak/>
        <w:t>joulukuussa 2013 annettuun EU:n säteilysuojelun perusdirektiiviin (Neuvoston direktiivi 2013/59/EURATOM), jossa kyseiset arvot ovat sekä vapaarajoina (exemption levels) että vapauttamisrajoina (clearance levels), kun kyseessä ovat luonnon radioaktiiviset aineet. Aktiivisuus</w:t>
      </w:r>
      <w:r w:rsidR="00FB5988">
        <w:rPr>
          <w:rFonts w:eastAsia="Times New Roman"/>
          <w:lang w:eastAsia="fi-FI"/>
        </w:rPr>
        <w:softHyphen/>
      </w:r>
      <w:r w:rsidR="007C7BCF" w:rsidRPr="00944C16">
        <w:rPr>
          <w:rFonts w:eastAsia="Times New Roman"/>
          <w:lang w:eastAsia="fi-FI"/>
        </w:rPr>
        <w:t>pitoisuudessa otetaan huomioon vain pitkäikäiset radioaktiiviset aineet (T</w:t>
      </w:r>
      <w:bookmarkStart w:id="5" w:name="_Hlk30580498"/>
      <w:r w:rsidR="007C7BCF" w:rsidRPr="00944C16">
        <w:rPr>
          <w:rFonts w:eastAsia="Times New Roman"/>
          <w:lang w:eastAsia="fi-FI"/>
        </w:rPr>
        <w:t>½</w:t>
      </w:r>
      <w:bookmarkEnd w:id="5"/>
      <w:r w:rsidR="007C7BCF" w:rsidRPr="00944C16">
        <w:rPr>
          <w:rFonts w:eastAsia="Times New Roman"/>
          <w:lang w:eastAsia="fi-FI"/>
        </w:rPr>
        <w:t xml:space="preserve"> &gt; 20 vuotta), sillä lyhytikäisten radioaktiivisten aineiden</w:t>
      </w:r>
      <w:r w:rsidR="00177679" w:rsidRPr="00944C16">
        <w:rPr>
          <w:rFonts w:eastAsia="Times New Roman"/>
          <w:lang w:eastAsia="fi-FI"/>
        </w:rPr>
        <w:t>,</w:t>
      </w:r>
      <w:r w:rsidR="007C7BCF" w:rsidRPr="00944C16">
        <w:rPr>
          <w:rFonts w:eastAsia="Times New Roman"/>
          <w:lang w:eastAsia="fi-FI"/>
        </w:rPr>
        <w:t xml:space="preserve"> kuten esimerkiksi poloniumin</w:t>
      </w:r>
      <w:r w:rsidR="00177679" w:rsidRPr="00944C16">
        <w:rPr>
          <w:rFonts w:eastAsia="Times New Roman"/>
          <w:lang w:eastAsia="fi-FI"/>
        </w:rPr>
        <w:t xml:space="preserve"> </w:t>
      </w:r>
      <w:bookmarkStart w:id="6" w:name="_Hlk30580745"/>
      <w:r w:rsidR="00177679" w:rsidRPr="00944C16">
        <w:rPr>
          <w:rFonts w:eastAsia="Times New Roman"/>
          <w:lang w:eastAsia="fi-FI"/>
        </w:rPr>
        <w:t>(Po-210 T½ = 138 päivää),</w:t>
      </w:r>
      <w:bookmarkEnd w:id="6"/>
      <w:r w:rsidR="007C7BCF" w:rsidRPr="00944C16">
        <w:rPr>
          <w:rFonts w:eastAsia="Times New Roman"/>
          <w:lang w:eastAsia="fi-FI"/>
        </w:rPr>
        <w:t xml:space="preserve"> oletetaan olevan tai saavuttavan tasapainon emonuklidin kanssa jätteiden varastoinnin aikana.</w:t>
      </w:r>
    </w:p>
    <w:p w14:paraId="48B633C1" w14:textId="74E5FD90" w:rsidR="00DC06CB" w:rsidRPr="00944C16" w:rsidRDefault="00DC06CB" w:rsidP="00177679">
      <w:pPr>
        <w:tabs>
          <w:tab w:val="left" w:pos="1304"/>
        </w:tabs>
        <w:spacing w:before="120" w:after="120"/>
        <w:ind w:left="1298"/>
        <w:jc w:val="both"/>
        <w:rPr>
          <w:rFonts w:eastAsia="Times New Roman"/>
          <w:lang w:eastAsia="fi-FI"/>
        </w:rPr>
      </w:pPr>
      <w:bookmarkStart w:id="7" w:name="_Hlk31634610"/>
      <w:r>
        <w:rPr>
          <w:rFonts w:eastAsia="Times New Roman"/>
          <w:lang w:eastAsia="fi-FI"/>
        </w:rPr>
        <w:t>Sivukiven määritelmä poistetaan, sillä</w:t>
      </w:r>
      <w:r w:rsidRPr="00DC06CB">
        <w:rPr>
          <w:rFonts w:eastAsia="Times New Roman"/>
          <w:lang w:eastAsia="fi-FI"/>
        </w:rPr>
        <w:t xml:space="preserve"> määräys ei koske kaivostoimintaa, johon sivukivi liittyy</w:t>
      </w:r>
      <w:r>
        <w:rPr>
          <w:rFonts w:eastAsia="Times New Roman"/>
          <w:lang w:eastAsia="fi-FI"/>
        </w:rPr>
        <w:t xml:space="preserve"> eikä sitä viedä malminrikastukseen.</w:t>
      </w:r>
    </w:p>
    <w:bookmarkEnd w:id="7"/>
    <w:p w14:paraId="60708D22" w14:textId="087F79E9" w:rsidR="007C7BCF" w:rsidRDefault="00B85D56" w:rsidP="00177679">
      <w:pPr>
        <w:tabs>
          <w:tab w:val="left" w:pos="1304"/>
        </w:tabs>
        <w:spacing w:before="120" w:after="120"/>
        <w:ind w:left="1298"/>
        <w:jc w:val="both"/>
        <w:rPr>
          <w:rFonts w:eastAsia="Times New Roman"/>
          <w:lang w:eastAsia="fi-FI"/>
        </w:rPr>
      </w:pPr>
      <w:r>
        <w:rPr>
          <w:rFonts w:eastAsia="Times New Roman"/>
          <w:lang w:eastAsia="fi-FI"/>
        </w:rPr>
        <w:t>Määräyksestä on poistettu loppusijoituksen, ydinjätteen</w:t>
      </w:r>
      <w:r w:rsidR="009D3C2B">
        <w:rPr>
          <w:rFonts w:eastAsia="Times New Roman"/>
          <w:lang w:eastAsia="fi-FI"/>
        </w:rPr>
        <w:t xml:space="preserve"> ja</w:t>
      </w:r>
      <w:r>
        <w:rPr>
          <w:rFonts w:eastAsia="Times New Roman"/>
          <w:lang w:eastAsia="fi-FI"/>
        </w:rPr>
        <w:t xml:space="preserve"> luvanhaltijan määritelmät, sillä ne </w:t>
      </w:r>
      <w:r w:rsidR="007C7BCF" w:rsidRPr="00944C16">
        <w:rPr>
          <w:rFonts w:eastAsia="Times New Roman"/>
          <w:lang w:eastAsia="fi-FI"/>
        </w:rPr>
        <w:t>on määritelty ydinenergialaissa (3 §:n 1 momentin 3 kohta).</w:t>
      </w:r>
      <w:r>
        <w:rPr>
          <w:rFonts w:eastAsia="Times New Roman"/>
          <w:lang w:eastAsia="fi-FI"/>
        </w:rPr>
        <w:t xml:space="preserve"> </w:t>
      </w:r>
      <w:r w:rsidR="003F1895">
        <w:rPr>
          <w:rFonts w:eastAsia="Times New Roman"/>
          <w:lang w:eastAsia="fi-FI"/>
        </w:rPr>
        <w:t xml:space="preserve">Sivukiveä koskeva määritelmä on poistettu, sillä </w:t>
      </w:r>
      <w:r w:rsidR="003F1895" w:rsidRPr="003F1895">
        <w:rPr>
          <w:rFonts w:eastAsia="Times New Roman"/>
          <w:lang w:eastAsia="fi-FI"/>
        </w:rPr>
        <w:t>määräys ei koske kaivostoimintaa, johon sivukivi liittyy</w:t>
      </w:r>
      <w:r w:rsidR="003F1895">
        <w:rPr>
          <w:rFonts w:eastAsia="Times New Roman"/>
          <w:lang w:eastAsia="fi-FI"/>
        </w:rPr>
        <w:t>.</w:t>
      </w:r>
      <w:r w:rsidR="003F1895" w:rsidRPr="003F1895">
        <w:rPr>
          <w:rFonts w:eastAsia="Times New Roman"/>
          <w:lang w:eastAsia="fi-FI"/>
        </w:rPr>
        <w:t xml:space="preserve"> </w:t>
      </w:r>
      <w:r>
        <w:rPr>
          <w:rFonts w:eastAsia="Times New Roman"/>
          <w:lang w:eastAsia="fi-FI"/>
        </w:rPr>
        <w:t>Lisäksi on poistettu tuotannon määritelmä, koska sitä ei käytetä määräyksessä laajasti. Kontaminaation ja sisäisen kontaminaation määritelmät on poistettu tarpeettom</w:t>
      </w:r>
      <w:r w:rsidR="009D3C2B">
        <w:rPr>
          <w:rFonts w:eastAsia="Times New Roman"/>
          <w:lang w:eastAsia="fi-FI"/>
        </w:rPr>
        <w:t>i</w:t>
      </w:r>
      <w:r>
        <w:rPr>
          <w:rFonts w:eastAsia="Times New Roman"/>
          <w:lang w:eastAsia="fi-FI"/>
        </w:rPr>
        <w:t xml:space="preserve">na. </w:t>
      </w:r>
      <w:r w:rsidR="005124E0">
        <w:rPr>
          <w:rFonts w:eastAsia="Times New Roman"/>
          <w:lang w:eastAsia="fi-FI"/>
        </w:rPr>
        <w:t>Tuotantoyksikön määritelmä on korvattu rikastamon määritelmällä.</w:t>
      </w:r>
    </w:p>
    <w:p w14:paraId="3281CD20" w14:textId="77777777" w:rsidR="007C0699" w:rsidRPr="00944C16" w:rsidRDefault="007C0699" w:rsidP="00177679">
      <w:pPr>
        <w:tabs>
          <w:tab w:val="left" w:pos="1304"/>
        </w:tabs>
        <w:spacing w:before="120" w:after="120"/>
        <w:ind w:left="1298"/>
        <w:jc w:val="both"/>
        <w:rPr>
          <w:rFonts w:eastAsia="Times New Roman"/>
          <w:lang w:eastAsia="fi-FI"/>
        </w:rPr>
      </w:pPr>
    </w:p>
    <w:p w14:paraId="1EDCFE63"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Työntekijöiden ja ympäristön väestön säteilyturvallisuus</w:t>
      </w:r>
    </w:p>
    <w:p w14:paraId="2BADFCBB" w14:textId="4157585A" w:rsidR="0075105B" w:rsidRDefault="0075105B" w:rsidP="00892FAA">
      <w:pPr>
        <w:pStyle w:val="Leipteksti"/>
        <w:spacing w:after="0"/>
        <w:ind w:left="1304"/>
        <w:jc w:val="both"/>
        <w:rPr>
          <w:rFonts w:eastAsia="Cambria"/>
        </w:rPr>
      </w:pPr>
      <w:r w:rsidRPr="00530C5D">
        <w:t xml:space="preserve">Väestön ja työntekijöiden säteilyaltistuksen rajoittamisesta säädetään </w:t>
      </w:r>
      <w:r>
        <w:t>säteily</w:t>
      </w:r>
      <w:r w:rsidRPr="00530C5D">
        <w:t>laissa sekä valtioneuvoston asetuksessa</w:t>
      </w:r>
      <w:r>
        <w:t xml:space="preserve"> ionisoivasta säteilystä</w:t>
      </w:r>
      <w:r w:rsidRPr="00530C5D">
        <w:t>. Pykälän kohdassa 1 oli alun</w:t>
      </w:r>
      <w:r>
        <w:t xml:space="preserve"> </w:t>
      </w:r>
      <w:r w:rsidRPr="00530C5D">
        <w:t xml:space="preserve">perin viittaukset </w:t>
      </w:r>
      <w:r>
        <w:t>säteilylainsäädäntöön</w:t>
      </w:r>
      <w:r w:rsidRPr="00530C5D">
        <w:t xml:space="preserve">. </w:t>
      </w:r>
      <w:r w:rsidRPr="00D8407A">
        <w:t xml:space="preserve">Viittaukset </w:t>
      </w:r>
      <w:r>
        <w:t>säteilylakiin</w:t>
      </w:r>
      <w:r w:rsidRPr="00D8407A">
        <w:t xml:space="preserve"> ja </w:t>
      </w:r>
      <w:r>
        <w:t>säteily</w:t>
      </w:r>
      <w:r w:rsidRPr="00D8407A">
        <w:t xml:space="preserve">asetuksen </w:t>
      </w:r>
      <w:r>
        <w:t xml:space="preserve">enimmäisarvoja (nykyisin </w:t>
      </w:r>
      <w:r w:rsidRPr="00D8407A">
        <w:t>annosrajoituksia</w:t>
      </w:r>
      <w:r>
        <w:t>)</w:t>
      </w:r>
      <w:r w:rsidRPr="00D8407A">
        <w:t xml:space="preserve"> koskeviin kohtiin on poistettu</w:t>
      </w:r>
      <w:r>
        <w:t>,</w:t>
      </w:r>
      <w:r w:rsidRPr="00D8407A">
        <w:t xml:space="preserve"> sillä ne sisältyvät myös ydinenergialakiin.</w:t>
      </w:r>
      <w:r>
        <w:t xml:space="preserve"> Säteilylain uudistuksen ja sen liitelakina julkaistun ydinenergialain muutoksen yhteydessä ydinenergialakiin lisättiin uusi 2a § säteilylain soveltamisesta ydinenergian käyttöön ja viittaukset </w:t>
      </w:r>
      <w:r w:rsidRPr="00765A23">
        <w:t xml:space="preserve">voidaan </w:t>
      </w:r>
      <w:r>
        <w:t xml:space="preserve">tehdä suoraan ydinenergialakiin. Pykälän 1 kohtaan on </w:t>
      </w:r>
      <w:r w:rsidRPr="00530C5D">
        <w:t>lisätty viittau</w:t>
      </w:r>
      <w:r>
        <w:t>k</w:t>
      </w:r>
      <w:r w:rsidRPr="00530C5D">
        <w:t>s</w:t>
      </w:r>
      <w:r>
        <w:t>et</w:t>
      </w:r>
      <w:r w:rsidRPr="00530C5D">
        <w:t xml:space="preserve"> ydinenergialain uuden 2 a §:n 1 momentin kohtaan 1, minkä kautta annosrajat tulevat</w:t>
      </w:r>
      <w:r>
        <w:t xml:space="preserve">, sekä </w:t>
      </w:r>
      <w:r w:rsidRPr="00D8407A">
        <w:t>ydinenergialain 7 c §:</w:t>
      </w:r>
      <w:proofErr w:type="spellStart"/>
      <w:r w:rsidRPr="00D8407A">
        <w:t>ään</w:t>
      </w:r>
      <w:proofErr w:type="spellEnd"/>
      <w:r w:rsidR="00C4118A">
        <w:t xml:space="preserve">, missä säädetään </w:t>
      </w:r>
      <w:r w:rsidR="00782377">
        <w:t>y</w:t>
      </w:r>
      <w:r w:rsidR="00C4118A" w:rsidRPr="00C4118A">
        <w:t>dinenergian käytöstä aiheutuvi</w:t>
      </w:r>
      <w:r w:rsidR="00782377">
        <w:t>en</w:t>
      </w:r>
      <w:r w:rsidR="00C4118A" w:rsidRPr="00C4118A">
        <w:t xml:space="preserve"> radioaktiivisten aineiden päästöj</w:t>
      </w:r>
      <w:r w:rsidR="00782377">
        <w:t>en</w:t>
      </w:r>
      <w:r w:rsidR="00C4118A" w:rsidRPr="00C4118A">
        <w:t xml:space="preserve"> rajoitta</w:t>
      </w:r>
      <w:r w:rsidR="00782377">
        <w:t xml:space="preserve">misesta ja </w:t>
      </w:r>
      <w:r w:rsidR="00782377" w:rsidRPr="00782377">
        <w:t>väestön yksilölle aiheutuvan säteilyaltistuksen annos</w:t>
      </w:r>
      <w:r w:rsidR="00333875">
        <w:softHyphen/>
      </w:r>
      <w:r w:rsidR="00782377" w:rsidRPr="00782377">
        <w:t>rajoituksista</w:t>
      </w:r>
      <w:r w:rsidR="007E4069">
        <w:t>.</w:t>
      </w:r>
    </w:p>
    <w:p w14:paraId="4923E660" w14:textId="77777777" w:rsidR="0075105B" w:rsidRDefault="0075105B" w:rsidP="00892FAA">
      <w:pPr>
        <w:ind w:left="1304"/>
        <w:jc w:val="both"/>
        <w:rPr>
          <w:rFonts w:eastAsia="Cambria"/>
        </w:rPr>
      </w:pPr>
    </w:p>
    <w:p w14:paraId="1F17E6D2" w14:textId="4CC55392" w:rsidR="007C7BCF" w:rsidRPr="00944C16" w:rsidRDefault="007C7BCF" w:rsidP="00892FAA">
      <w:pPr>
        <w:ind w:left="1304"/>
        <w:jc w:val="both"/>
        <w:rPr>
          <w:rFonts w:eastAsia="Cambria"/>
        </w:rPr>
      </w:pPr>
      <w:r w:rsidRPr="00944C16">
        <w:rPr>
          <w:rFonts w:eastAsia="Cambria"/>
        </w:rPr>
        <w:t xml:space="preserve">Väestön ja työntekijöiden säteilyaltistuksen rajoittamisesta säädetään </w:t>
      </w:r>
      <w:r w:rsidR="0022252A">
        <w:rPr>
          <w:rFonts w:eastAsia="Cambria"/>
        </w:rPr>
        <w:t>säteily</w:t>
      </w:r>
      <w:r w:rsidRPr="00944C16">
        <w:rPr>
          <w:rFonts w:eastAsia="Cambria"/>
        </w:rPr>
        <w:t>laissa sekä valtioneuvoston asetuksessa</w:t>
      </w:r>
      <w:r w:rsidR="00944C16">
        <w:rPr>
          <w:rFonts w:eastAsia="Cambria"/>
        </w:rPr>
        <w:t xml:space="preserve"> ionisoivasta säteilystä</w:t>
      </w:r>
      <w:r w:rsidRPr="00944C16">
        <w:rPr>
          <w:rFonts w:eastAsia="Cambria"/>
        </w:rPr>
        <w:t xml:space="preserve">. Pykälän kohdassa 1 oli alun perin esitetty viittaukset </w:t>
      </w:r>
      <w:r w:rsidR="0022252A">
        <w:rPr>
          <w:rFonts w:eastAsia="Cambria"/>
        </w:rPr>
        <w:t>säteilylainsäädäntöön</w:t>
      </w:r>
      <w:r w:rsidRPr="00944C16">
        <w:rPr>
          <w:rFonts w:eastAsia="Cambria"/>
        </w:rPr>
        <w:t>. Viittaus ydinenergialain 7 c §:ään on säilytetty sekä lisätty viittaus ydinenergialain uuden 2 a §:n 1 momentin kohtaan 1, minkä kautta annosrajat tulevat. Viittaukset ydinenergia-asetuksen ja säteilyasetuksen annosrajoituksia (aiemmin enimmäisarvot) koskeviin kohtiin on poistettu sillä ne sisältyvät myös ydinenergialakiin.</w:t>
      </w:r>
    </w:p>
    <w:p w14:paraId="72FECB5F" w14:textId="77777777" w:rsidR="007C7BCF" w:rsidRPr="00944C16" w:rsidRDefault="007C7BCF" w:rsidP="007C7BCF">
      <w:pPr>
        <w:ind w:left="1304"/>
        <w:jc w:val="both"/>
        <w:rPr>
          <w:rFonts w:eastAsia="Cambria"/>
        </w:rPr>
      </w:pPr>
    </w:p>
    <w:p w14:paraId="33CCE77C" w14:textId="4489241C" w:rsidR="007C7BCF" w:rsidRPr="00944C16" w:rsidRDefault="007C7BCF" w:rsidP="007C7BCF">
      <w:pPr>
        <w:ind w:left="1304"/>
        <w:jc w:val="both"/>
        <w:rPr>
          <w:rFonts w:eastAsia="Cambria"/>
        </w:rPr>
      </w:pPr>
      <w:r w:rsidRPr="00944C16">
        <w:rPr>
          <w:rFonts w:eastAsia="Cambria"/>
        </w:rPr>
        <w:t>Säteilylain 5-7 §:t edellyttävät, että säteilyn käytön tulee</w:t>
      </w:r>
      <w:r w:rsidR="00944C16">
        <w:rPr>
          <w:rFonts w:eastAsia="Cambria"/>
        </w:rPr>
        <w:t xml:space="preserve"> </w:t>
      </w:r>
      <w:r w:rsidRPr="00944C16">
        <w:rPr>
          <w:rFonts w:eastAsia="Cambria"/>
        </w:rPr>
        <w:t>täyttää seuraavat vaatimukset:</w:t>
      </w:r>
    </w:p>
    <w:p w14:paraId="56D95025" w14:textId="77777777" w:rsidR="007C7BCF" w:rsidRPr="00944C16" w:rsidRDefault="007C7BCF" w:rsidP="007C7BCF">
      <w:pPr>
        <w:numPr>
          <w:ilvl w:val="0"/>
          <w:numId w:val="46"/>
        </w:numPr>
        <w:ind w:left="1587" w:hanging="283"/>
        <w:jc w:val="both"/>
        <w:rPr>
          <w:rFonts w:eastAsia="Cambria"/>
        </w:rPr>
      </w:pPr>
      <w:r w:rsidRPr="00944C16">
        <w:rPr>
          <w:rFonts w:eastAsia="Cambria"/>
        </w:rPr>
        <w:t>toiminnalla saavutettava hyöty on suurempi kuin toiminnasta aiheutuva haitta (oikeutusperiaate);</w:t>
      </w:r>
    </w:p>
    <w:p w14:paraId="69E47BF2" w14:textId="77777777" w:rsidR="007C7BCF" w:rsidRPr="00944C16" w:rsidRDefault="007C7BCF" w:rsidP="007C7BCF">
      <w:pPr>
        <w:numPr>
          <w:ilvl w:val="0"/>
          <w:numId w:val="46"/>
        </w:numPr>
        <w:ind w:left="1587" w:hanging="283"/>
        <w:jc w:val="both"/>
        <w:rPr>
          <w:rFonts w:eastAsia="Cambria"/>
        </w:rPr>
      </w:pPr>
      <w:r w:rsidRPr="00944C16">
        <w:rPr>
          <w:rFonts w:eastAsia="Cambria"/>
        </w:rPr>
        <w:t>työperäinen altistus ja väestön altistus ionisoivalle säteilylle on pidettävä niin vähäisenä kuin käytännöllisin toimenpitein on mahdollista (optimointiperiaate);</w:t>
      </w:r>
    </w:p>
    <w:p w14:paraId="7D73F151" w14:textId="3BEBDD49" w:rsidR="007C7BCF" w:rsidRPr="00944C16" w:rsidRDefault="007C7BCF" w:rsidP="007C7BCF">
      <w:pPr>
        <w:ind w:left="1587" w:hanging="283"/>
        <w:jc w:val="both"/>
        <w:rPr>
          <w:rFonts w:eastAsia="Cambria"/>
        </w:rPr>
      </w:pPr>
      <w:r w:rsidRPr="00944C16">
        <w:rPr>
          <w:rFonts w:eastAsia="Cambria"/>
        </w:rPr>
        <w:t xml:space="preserve">3) työntekijän ja väestön yksilön säteilyaltistus ei </w:t>
      </w:r>
      <w:r w:rsidR="008A7A16" w:rsidRPr="00944C16">
        <w:rPr>
          <w:rFonts w:eastAsia="Cambria"/>
        </w:rPr>
        <w:t>ol</w:t>
      </w:r>
      <w:r w:rsidR="008A7A16">
        <w:rPr>
          <w:rFonts w:eastAsia="Cambria"/>
        </w:rPr>
        <w:t>e</w:t>
      </w:r>
      <w:r w:rsidR="008A7A16" w:rsidRPr="00944C16">
        <w:rPr>
          <w:rFonts w:eastAsia="Cambria"/>
        </w:rPr>
        <w:t xml:space="preserve"> </w:t>
      </w:r>
      <w:r w:rsidRPr="00944C16">
        <w:rPr>
          <w:rFonts w:eastAsia="Cambria"/>
        </w:rPr>
        <w:t>annosrajaa suurempi (yksilönsuojaperiaate).</w:t>
      </w:r>
    </w:p>
    <w:p w14:paraId="63FD9AAC" w14:textId="1D74A1CF" w:rsidR="007C7BCF" w:rsidRPr="00944C16" w:rsidRDefault="007C7BCF" w:rsidP="00892FAA">
      <w:pPr>
        <w:tabs>
          <w:tab w:val="left" w:pos="1304"/>
        </w:tabs>
        <w:spacing w:before="120" w:after="120"/>
        <w:ind w:left="1304"/>
        <w:jc w:val="both"/>
        <w:rPr>
          <w:rFonts w:eastAsia="Times New Roman"/>
          <w:color w:val="000000"/>
          <w:lang w:eastAsia="fi-FI"/>
        </w:rPr>
      </w:pPr>
      <w:r w:rsidRPr="00944C16">
        <w:rPr>
          <w:rFonts w:eastAsia="Times New Roman"/>
          <w:color w:val="000000"/>
          <w:lang w:eastAsia="fi-FI"/>
        </w:rPr>
        <w:t>Pykälän 2 kohta koskee radonista aiheutuvan altistuksen rajoittamista. Jos radon</w:t>
      </w:r>
      <w:r w:rsidRPr="00944C16">
        <w:rPr>
          <w:rFonts w:eastAsia="Times New Roman"/>
          <w:color w:val="000000"/>
          <w:lang w:eastAsia="fi-FI"/>
        </w:rPr>
        <w:softHyphen/>
        <w:t xml:space="preserve">pitoisuus tuotantoyksikön tiloissa on suurempi kuin 400 becquereliä kuutiometrissä, on </w:t>
      </w:r>
      <w:r w:rsidRPr="00944C16">
        <w:rPr>
          <w:rFonts w:eastAsia="Times New Roman"/>
          <w:color w:val="000000"/>
          <w:lang w:eastAsia="fi-FI"/>
        </w:rPr>
        <w:lastRenderedPageBreak/>
        <w:t>pitoisuutta pienennettävä esimerkiksi parantamalla ilmanvaihtoa ja tukkimalla mahdolliset vesivuodot.</w:t>
      </w:r>
    </w:p>
    <w:p w14:paraId="1323A835" w14:textId="77777777" w:rsidR="007C7BCF" w:rsidRPr="00944C16" w:rsidRDefault="007C7BCF" w:rsidP="00892FAA">
      <w:pPr>
        <w:tabs>
          <w:tab w:val="left" w:pos="1304"/>
        </w:tabs>
        <w:spacing w:before="120" w:after="120"/>
        <w:ind w:left="1304"/>
        <w:jc w:val="both"/>
        <w:rPr>
          <w:rFonts w:eastAsia="Times New Roman"/>
          <w:color w:val="000000"/>
          <w:lang w:eastAsia="fi-FI"/>
        </w:rPr>
      </w:pPr>
      <w:r w:rsidRPr="00944C16">
        <w:rPr>
          <w:rFonts w:eastAsia="Times New Roman"/>
          <w:color w:val="000000"/>
          <w:lang w:eastAsia="fi-FI"/>
        </w:rPr>
        <w:t xml:space="preserve">Pykälän kolmas kohta koskee tuotantolaitoksen ympäristön väestön altistuksen rajoittamista. </w:t>
      </w:r>
      <w:r w:rsidRPr="00944C16">
        <w:rPr>
          <w:rFonts w:eastAsia="Times New Roman"/>
          <w:lang w:eastAsia="fi-FI"/>
        </w:rPr>
        <w:t xml:space="preserve">Säädös perustuu säteilylakiin ja säteilyasetukseen. Edellä mainitut säteilylain 5-7 §:ien yleiset periaatteet koskevat myös väestön säteilyaltistusta. </w:t>
      </w:r>
    </w:p>
    <w:p w14:paraId="59F8A60F" w14:textId="38A7104E" w:rsidR="007C7BCF" w:rsidRDefault="007C7BCF" w:rsidP="00892FAA">
      <w:pPr>
        <w:tabs>
          <w:tab w:val="left" w:pos="1304"/>
        </w:tabs>
        <w:spacing w:before="120" w:after="120"/>
        <w:ind w:left="1304"/>
        <w:jc w:val="both"/>
        <w:rPr>
          <w:rFonts w:eastAsia="Times New Roman"/>
          <w:lang w:eastAsia="fi-FI"/>
        </w:rPr>
      </w:pPr>
      <w:r w:rsidRPr="00944C16">
        <w:rPr>
          <w:rFonts w:eastAsia="Times New Roman"/>
          <w:lang w:eastAsia="fi-FI"/>
        </w:rPr>
        <w:t>Rikastamon toiminnasta ja tuotantojätteiden loppusijoituksesta ympäristön väestölle aiheutuvat säteilyaltistuksen annosrajat ja -rajoitukset säädetään ydinenergia-asetuksen 22 c §:</w:t>
      </w:r>
      <w:proofErr w:type="spellStart"/>
      <w:r w:rsidRPr="00944C16">
        <w:rPr>
          <w:rFonts w:eastAsia="Times New Roman"/>
          <w:lang w:eastAsia="fi-FI"/>
        </w:rPr>
        <w:t>ssä</w:t>
      </w:r>
      <w:proofErr w:type="spellEnd"/>
      <w:r w:rsidRPr="00944C16">
        <w:rPr>
          <w:rFonts w:eastAsia="Times New Roman"/>
          <w:lang w:eastAsia="fi-FI"/>
        </w:rPr>
        <w:t>.</w:t>
      </w:r>
    </w:p>
    <w:p w14:paraId="7C294557" w14:textId="77777777" w:rsidR="007C0699" w:rsidRPr="00944C16" w:rsidRDefault="007C0699" w:rsidP="00892FAA">
      <w:pPr>
        <w:tabs>
          <w:tab w:val="left" w:pos="1304"/>
        </w:tabs>
        <w:spacing w:before="120" w:after="120"/>
        <w:ind w:left="1304"/>
        <w:jc w:val="both"/>
        <w:rPr>
          <w:rFonts w:eastAsia="Times New Roman"/>
          <w:lang w:eastAsia="fi-FI"/>
        </w:rPr>
      </w:pPr>
    </w:p>
    <w:p w14:paraId="41A46A6E"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Väestön säteilyannosten arvioiminen</w:t>
      </w:r>
    </w:p>
    <w:p w14:paraId="5B93D134" w14:textId="66D8B707" w:rsidR="007C7BCF" w:rsidRPr="00944C16" w:rsidRDefault="007C7BCF" w:rsidP="001B16BE">
      <w:pPr>
        <w:tabs>
          <w:tab w:val="left" w:pos="1304"/>
        </w:tabs>
        <w:spacing w:before="120" w:after="120"/>
        <w:ind w:left="1298"/>
        <w:jc w:val="both"/>
        <w:rPr>
          <w:rFonts w:eastAsia="Times New Roman"/>
          <w:lang w:eastAsia="fi-FI"/>
        </w:rPr>
      </w:pPr>
      <w:r w:rsidRPr="00944C16">
        <w:rPr>
          <w:rFonts w:eastAsia="Times New Roman"/>
          <w:lang w:eastAsia="fi-FI"/>
        </w:rPr>
        <w:t>Pelkillä ympäristönäyteanalyyseilla ei voi arvioida toiminnasta aiheutuvia säteily</w:t>
      </w:r>
      <w:r w:rsidR="001B16BE">
        <w:rPr>
          <w:rFonts w:eastAsia="Times New Roman"/>
          <w:lang w:eastAsia="fi-FI"/>
        </w:rPr>
        <w:softHyphen/>
      </w:r>
      <w:r w:rsidRPr="00944C16">
        <w:rPr>
          <w:rFonts w:eastAsia="Times New Roman"/>
          <w:lang w:eastAsia="fi-FI"/>
        </w:rPr>
        <w:t xml:space="preserve">annoksia, koska varsinkin rikastamon normaalikäytöstä aiheutuva annos on niin pieni, että ympäristönäytemittaukset eivät eroa tausta-arvoista. Toisaalta onnettomuustilanteiden säteilyannoksia ei ole mahdollista mitata etukäteen. </w:t>
      </w:r>
      <w:r w:rsidRPr="00444F89">
        <w:rPr>
          <w:rFonts w:eastAsia="Times New Roman"/>
          <w:lang w:eastAsia="fi-FI"/>
        </w:rPr>
        <w:t>Näistä syistä väestölle annettujen viitearvojen noudattaminen on osoitettava laskemalla annokset laskennallisin analyysein. Säteilylain 160 §:n mukaisesti Sosiaali- ja terveysministeriö antaa tarkemmat säädökset luonnonsäteilystä aiheutuvan altistuksen viitearvoista.</w:t>
      </w:r>
      <w:r w:rsidRPr="00944C16">
        <w:rPr>
          <w:rFonts w:eastAsia="Times New Roman"/>
          <w:lang w:eastAsia="fi-FI"/>
        </w:rPr>
        <w:t xml:space="preserve"> </w:t>
      </w:r>
      <w:r w:rsidR="00444F89" w:rsidRPr="00444F89">
        <w:rPr>
          <w:rFonts w:eastAsia="Times New Roman"/>
          <w:lang w:eastAsia="fi-FI"/>
        </w:rPr>
        <w:t>YEA 22 c §:ssä asetetaan rikastusjätteen loppusijoitukselle annosrajoitus.</w:t>
      </w:r>
    </w:p>
    <w:p w14:paraId="50CDB086" w14:textId="77777777" w:rsidR="007C7BCF" w:rsidRPr="00944C16" w:rsidRDefault="007C7BCF" w:rsidP="001B16BE">
      <w:pPr>
        <w:tabs>
          <w:tab w:val="left" w:pos="1304"/>
        </w:tabs>
        <w:spacing w:before="120" w:after="120"/>
        <w:ind w:left="1298"/>
        <w:jc w:val="both"/>
        <w:rPr>
          <w:rFonts w:eastAsia="Times New Roman"/>
          <w:lang w:eastAsia="fi-FI"/>
        </w:rPr>
      </w:pPr>
      <w:r w:rsidRPr="00944C16">
        <w:rPr>
          <w:rFonts w:eastAsia="Times New Roman"/>
          <w:lang w:eastAsia="fi-FI"/>
        </w:rPr>
        <w:t xml:space="preserve">Onnettomuustilanteella tarkoitetaan sellaista malminrikastustoiminnassa tapahtuvaa odotettavissa olevasta käyttötilanteesta poikkeava tapahtumaa, jonka voidaan arvioida sattuvan harvemmin kuin kerran sadassa vuodessa ja jossa väestön yksilön saama vuosiannos on suurempi kuin 0,1 </w:t>
      </w:r>
      <w:proofErr w:type="spellStart"/>
      <w:r w:rsidRPr="00944C16">
        <w:rPr>
          <w:rFonts w:eastAsia="Times New Roman"/>
          <w:lang w:eastAsia="fi-FI"/>
        </w:rPr>
        <w:t>mSv</w:t>
      </w:r>
      <w:proofErr w:type="spellEnd"/>
      <w:r w:rsidRPr="00944C16">
        <w:rPr>
          <w:rFonts w:eastAsia="Times New Roman"/>
          <w:lang w:eastAsia="fi-FI"/>
        </w:rPr>
        <w:t xml:space="preserve">.  </w:t>
      </w:r>
    </w:p>
    <w:p w14:paraId="7DF9EF73" w14:textId="565625F9" w:rsidR="007C7BCF" w:rsidRDefault="007C7BCF" w:rsidP="001B16BE">
      <w:pPr>
        <w:tabs>
          <w:tab w:val="left" w:pos="1304"/>
        </w:tabs>
        <w:spacing w:before="120" w:after="120"/>
        <w:ind w:left="1298"/>
        <w:jc w:val="both"/>
        <w:rPr>
          <w:rFonts w:eastAsia="Arial Unicode MS"/>
          <w:color w:val="000000"/>
          <w:lang w:eastAsia="fi-FI"/>
        </w:rPr>
      </w:pPr>
      <w:r w:rsidRPr="00944C16">
        <w:rPr>
          <w:rFonts w:eastAsia="Times New Roman"/>
          <w:lang w:eastAsia="fi-FI"/>
        </w:rPr>
        <w:t>Todennäköisenä pidettävillä kehityskuluilla tarkoitetaan tässä yhteydessä sellaisia kehityskulkuja, joissa tuotantojätteen loppusijoitus toteutuu suunnitellusti tai joissa yhden tai useamman pitkäaikaisturvallisuuteen vaikuttavan rakenteen oletetaan heikkenevän</w:t>
      </w:r>
      <w:r w:rsidRPr="00944C16">
        <w:rPr>
          <w:rFonts w:eastAsia="Arial Unicode MS"/>
          <w:color w:val="000000"/>
          <w:lang w:eastAsia="fi-FI"/>
        </w:rPr>
        <w:t>.</w:t>
      </w:r>
    </w:p>
    <w:p w14:paraId="41FB959A" w14:textId="77777777" w:rsidR="007C0699" w:rsidRPr="00944C16" w:rsidRDefault="007C0699" w:rsidP="001B16BE">
      <w:pPr>
        <w:tabs>
          <w:tab w:val="left" w:pos="1304"/>
        </w:tabs>
        <w:spacing w:before="120" w:after="120"/>
        <w:ind w:left="1298"/>
        <w:jc w:val="both"/>
        <w:rPr>
          <w:rFonts w:eastAsia="Times New Roman"/>
          <w:lang w:eastAsia="fi-FI"/>
        </w:rPr>
      </w:pPr>
    </w:p>
    <w:p w14:paraId="30B0EF97" w14:textId="7B33DD60"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444F89">
        <w:rPr>
          <w:rFonts w:eastAsia="Times New Roman"/>
          <w:b/>
          <w:lang w:eastAsia="fi-FI"/>
        </w:rPr>
        <w:t>K</w:t>
      </w:r>
      <w:r w:rsidRPr="00944C16">
        <w:rPr>
          <w:rFonts w:eastAsia="Times New Roman"/>
          <w:b/>
          <w:lang w:eastAsia="fi-FI"/>
        </w:rPr>
        <w:t>aivo</w:t>
      </w:r>
      <w:r w:rsidR="00444F89">
        <w:rPr>
          <w:rFonts w:eastAsia="Times New Roman"/>
          <w:b/>
          <w:lang w:eastAsia="fi-FI"/>
        </w:rPr>
        <w:t>s</w:t>
      </w:r>
      <w:r w:rsidRPr="00944C16">
        <w:rPr>
          <w:rFonts w:eastAsia="Times New Roman"/>
          <w:b/>
          <w:lang w:eastAsia="fi-FI"/>
        </w:rPr>
        <w:t>toiminnan suunnittelu</w:t>
      </w:r>
    </w:p>
    <w:p w14:paraId="66FB7D8B" w14:textId="1006DE2F" w:rsidR="007C7BCF" w:rsidRDefault="007C7BCF" w:rsidP="007C7BCF">
      <w:pPr>
        <w:tabs>
          <w:tab w:val="left" w:pos="1304"/>
        </w:tabs>
        <w:spacing w:before="120" w:after="120"/>
        <w:ind w:left="1304"/>
        <w:rPr>
          <w:rFonts w:eastAsia="Times New Roman"/>
          <w:lang w:eastAsia="fi-FI"/>
        </w:rPr>
      </w:pPr>
      <w:r w:rsidRPr="00944C16">
        <w:rPr>
          <w:rFonts w:eastAsia="Times New Roman"/>
          <w:lang w:eastAsia="fi-FI"/>
        </w:rPr>
        <w:t xml:space="preserve">Pykälä on </w:t>
      </w:r>
      <w:r w:rsidR="00444F89">
        <w:rPr>
          <w:rFonts w:eastAsia="Times New Roman"/>
          <w:lang w:eastAsia="fi-FI"/>
        </w:rPr>
        <w:t xml:space="preserve">poistettu. </w:t>
      </w:r>
      <w:r w:rsidRPr="00944C16">
        <w:rPr>
          <w:rFonts w:eastAsia="Times New Roman"/>
          <w:lang w:eastAsia="fi-FI"/>
        </w:rPr>
        <w:t xml:space="preserve">Kaivostoiminnassa aiheutuvista luonnon radioaktiivisista aineista ja niihin liittyvistä vaatimuksista määrätään säteilylaissa sekä Säteilyturvakeskuksen määräyksessä </w:t>
      </w:r>
      <w:r w:rsidR="007408F6">
        <w:rPr>
          <w:rFonts w:eastAsia="Times New Roman"/>
          <w:lang w:eastAsia="fi-FI"/>
        </w:rPr>
        <w:t xml:space="preserve">STUK </w:t>
      </w:r>
      <w:r w:rsidRPr="00944C16">
        <w:rPr>
          <w:rFonts w:eastAsia="Times New Roman"/>
          <w:lang w:eastAsia="fi-FI"/>
        </w:rPr>
        <w:t>S/3/2019, joka koskee luonnonsäteilylle altistavaa toimintaa.</w:t>
      </w:r>
    </w:p>
    <w:p w14:paraId="288DA6A0" w14:textId="77777777" w:rsidR="00054A81" w:rsidRPr="00944C16" w:rsidRDefault="00054A81" w:rsidP="007C7BCF">
      <w:pPr>
        <w:tabs>
          <w:tab w:val="left" w:pos="1304"/>
        </w:tabs>
        <w:spacing w:before="120" w:after="120"/>
        <w:ind w:left="1304"/>
        <w:rPr>
          <w:rFonts w:eastAsia="Times New Roman"/>
          <w:lang w:eastAsia="fi-FI"/>
        </w:rPr>
      </w:pPr>
    </w:p>
    <w:p w14:paraId="40BCC658" w14:textId="2CFA8306"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Malminrikastuksen suunnittelu</w:t>
      </w:r>
      <w:r w:rsidR="007408F6">
        <w:rPr>
          <w:rFonts w:eastAsia="Times New Roman"/>
          <w:b/>
          <w:lang w:eastAsia="fi-FI"/>
        </w:rPr>
        <w:t xml:space="preserve"> ja toteutus</w:t>
      </w:r>
    </w:p>
    <w:p w14:paraId="2511F94F" w14:textId="513B46EB" w:rsidR="007C7BCF" w:rsidRDefault="007C7BCF" w:rsidP="001B16BE">
      <w:pPr>
        <w:tabs>
          <w:tab w:val="left" w:pos="1304"/>
        </w:tabs>
        <w:spacing w:before="120" w:after="120"/>
        <w:ind w:left="1304"/>
        <w:jc w:val="both"/>
        <w:rPr>
          <w:rFonts w:eastAsia="Times New Roman"/>
          <w:lang w:eastAsia="fi-FI"/>
        </w:rPr>
      </w:pPr>
      <w:r w:rsidRPr="00944C16">
        <w:rPr>
          <w:rFonts w:eastAsia="Times New Roman"/>
          <w:lang w:eastAsia="fi-FI"/>
        </w:rPr>
        <w:t>Malminrikastustoiminnan suunnittelulla voidaan vaikuttaa työntekijöiden säteily</w:t>
      </w:r>
      <w:r w:rsidR="001B16BE">
        <w:rPr>
          <w:rFonts w:eastAsia="Times New Roman"/>
          <w:lang w:eastAsia="fi-FI"/>
        </w:rPr>
        <w:softHyphen/>
      </w:r>
      <w:r w:rsidRPr="00944C16">
        <w:rPr>
          <w:rFonts w:eastAsia="Times New Roman"/>
          <w:lang w:eastAsia="fi-FI"/>
        </w:rPr>
        <w:t>altistukseen ja radioaktiivisten aineiden leviämiseen ympäristöön. Suunnittelu</w:t>
      </w:r>
      <w:r w:rsidR="001B16BE">
        <w:rPr>
          <w:rFonts w:eastAsia="Times New Roman"/>
          <w:lang w:eastAsia="fi-FI"/>
        </w:rPr>
        <w:softHyphen/>
      </w:r>
      <w:r w:rsidRPr="00944C16">
        <w:rPr>
          <w:rFonts w:eastAsia="Times New Roman"/>
          <w:lang w:eastAsia="fi-FI"/>
        </w:rPr>
        <w:t>vaiheessa on mietittävä myös sitä, miten radioaktiivisia aineita sisältävien jätteiden loppusijoitus voidaan parhaiten hoitaa. Säteilyaltistuksen rajoittaminen on huomioitava mm. rikastamon tiloja, järjestelmiä ja ilmastointia suunniteltaessa.</w:t>
      </w:r>
      <w:r w:rsidR="001B16BE">
        <w:rPr>
          <w:rFonts w:eastAsia="Times New Roman"/>
          <w:lang w:eastAsia="fi-FI"/>
        </w:rPr>
        <w:t xml:space="preserve"> </w:t>
      </w:r>
      <w:r w:rsidRPr="00944C16">
        <w:rPr>
          <w:rFonts w:eastAsia="Times New Roman"/>
          <w:lang w:eastAsia="fi-FI"/>
        </w:rPr>
        <w:t xml:space="preserve">Radioaktiiviset aineet voivat levitä rikastamolta mm. pölyn tai veden mukana. </w:t>
      </w:r>
    </w:p>
    <w:p w14:paraId="6A1C990F" w14:textId="7BF816F2" w:rsidR="006B1100" w:rsidRPr="00944C16" w:rsidRDefault="006B1100" w:rsidP="001B16BE">
      <w:pPr>
        <w:tabs>
          <w:tab w:val="left" w:pos="1304"/>
        </w:tabs>
        <w:spacing w:before="120" w:after="120"/>
        <w:ind w:left="1304"/>
        <w:jc w:val="both"/>
        <w:rPr>
          <w:rFonts w:eastAsia="Times New Roman"/>
          <w:lang w:eastAsia="fi-FI"/>
        </w:rPr>
      </w:pPr>
      <w:r w:rsidRPr="006B1100">
        <w:rPr>
          <w:rFonts w:eastAsia="Times New Roman"/>
          <w:lang w:eastAsia="fi-FI"/>
        </w:rPr>
        <w:t xml:space="preserve">Kohdan 3 viittaus 3 §:ään on muutettu viittaukseksi säteilylain lukuun 12. </w:t>
      </w:r>
      <w:r w:rsidRPr="008B3007">
        <w:rPr>
          <w:rFonts w:eastAsia="Times New Roman"/>
          <w:lang w:eastAsia="fi-FI"/>
        </w:rPr>
        <w:t>Jottei tehty viittausmuutos johda vaatimustason lieventämiseen, on tehty viittauslisäys uuden säteilylain lukuun 18, jotta myös radon tulee huomioitua ilmanvaihtojärjestelmien suunnittelussa.</w:t>
      </w:r>
    </w:p>
    <w:p w14:paraId="40D53737" w14:textId="19956D3A" w:rsidR="007C7BCF" w:rsidRPr="00944C16" w:rsidRDefault="007C7BCF" w:rsidP="001B16BE">
      <w:pPr>
        <w:tabs>
          <w:tab w:val="left" w:pos="1304"/>
        </w:tabs>
        <w:spacing w:before="120" w:after="120"/>
        <w:ind w:left="1304"/>
        <w:jc w:val="both"/>
        <w:rPr>
          <w:rFonts w:eastAsia="Times New Roman"/>
          <w:lang w:eastAsia="fi-FI"/>
        </w:rPr>
      </w:pPr>
      <w:r w:rsidRPr="00944C16">
        <w:rPr>
          <w:rFonts w:eastAsia="Times New Roman"/>
          <w:lang w:eastAsia="fi-FI"/>
        </w:rPr>
        <w:lastRenderedPageBreak/>
        <w:t>Radioaktiiviset aineet on huomioitava varauduttaessa käyttöhäiriöihin. Kaivoslaissa on säädetty kaivosonnettomuuksiin varautumisesta. Kaivoslaissa säädetyn ohella kaivosonnettomuuksiin varauduttaessa on otettava huomioon myös radioaktiivisista aineista aiheutuvat vaaratekijät.</w:t>
      </w:r>
      <w:r w:rsidR="00F12458">
        <w:rPr>
          <w:rFonts w:eastAsia="Times New Roman"/>
          <w:lang w:eastAsia="fi-FI"/>
        </w:rPr>
        <w:t xml:space="preserve"> </w:t>
      </w:r>
      <w:r w:rsidRPr="00944C16">
        <w:rPr>
          <w:rFonts w:eastAsia="Times New Roman"/>
          <w:lang w:eastAsia="fi-FI"/>
        </w:rPr>
        <w:t>Eri radionuklidit ovat säteily- ja kemiallisilta ominaisuuksiltaan erilaisia. Ne kulkeutuvat rikastusprosessissa eri tavalla ja niiden aiheuttama säteilyaltistus riippuu nuklidista. Jotta toiminnan säteilyvaikutukset voidaan luotettavasti arvioida ja selvittää, pykälän 6 kohdassa on säädetty toiminnan harjoittajan velvollisuudesta selvittää eri radionuklidien kulkeutuminen prosessissa. Selvityksen tulokset on huomioitava toimintaa suunniteltaessa sekä huolehdittaessa toiminnan säteilyturvallisuudesta.</w:t>
      </w:r>
    </w:p>
    <w:p w14:paraId="4EB40EB3" w14:textId="3A7DCA26" w:rsidR="007C7BCF" w:rsidRPr="00944C16" w:rsidRDefault="007C7BCF" w:rsidP="001B16BE">
      <w:pPr>
        <w:tabs>
          <w:tab w:val="left" w:pos="1304"/>
        </w:tabs>
        <w:spacing w:before="120" w:after="120"/>
        <w:ind w:left="1304"/>
        <w:jc w:val="both"/>
        <w:rPr>
          <w:rFonts w:eastAsia="Times New Roman"/>
          <w:lang w:eastAsia="fi-FI"/>
        </w:rPr>
      </w:pPr>
      <w:r w:rsidRPr="00944C16">
        <w:rPr>
          <w:rFonts w:eastAsia="Times New Roman"/>
          <w:lang w:eastAsia="fi-FI"/>
        </w:rPr>
        <w:t xml:space="preserve">Pykälän 7 kohdassa säädetään malminrikastusjätteen käsittelystä ja varastoinnista. Tuotantojätteeksi luokitellusta malminrikastusjätteestä voi vapautua radioaktiivisia aineita (radon, radioaktiivisia aineita sisältävä pöly, vuotovedet) ja siksi sen käsittelylle ja varastoinnille on syytä asettaa erityisvaatimuksia. </w:t>
      </w:r>
      <w:r w:rsidR="00444F89" w:rsidRPr="00444F89">
        <w:rPr>
          <w:rFonts w:eastAsia="Times New Roman"/>
          <w:lang w:eastAsia="fi-FI"/>
        </w:rPr>
        <w:t>Rikastamon jätemateriaaleille suunniteltavien varastorakenteiden ja -järjestelmien suunnittelussa on otettava huomioon eroosio, tulvat, poikkeavat sääilmiöt, maaperän liikunnot ja muut rakenteiden ja järjestelmien vakautta uhkaavat luonnonilmiöt.</w:t>
      </w:r>
    </w:p>
    <w:p w14:paraId="0EE7F878" w14:textId="661DCD98" w:rsidR="00444F89" w:rsidRPr="00444F89" w:rsidRDefault="007C7BCF" w:rsidP="00444F89">
      <w:pPr>
        <w:tabs>
          <w:tab w:val="left" w:pos="1304"/>
        </w:tabs>
        <w:spacing w:before="120" w:after="120"/>
        <w:ind w:left="1304"/>
        <w:jc w:val="both"/>
        <w:rPr>
          <w:rFonts w:eastAsia="Times New Roman"/>
          <w:lang w:eastAsia="fi-FI"/>
        </w:rPr>
      </w:pPr>
      <w:r w:rsidRPr="00944C16">
        <w:rPr>
          <w:rFonts w:eastAsia="Times New Roman"/>
          <w:lang w:eastAsia="fi-FI"/>
        </w:rPr>
        <w:t xml:space="preserve">Malminrikastustoiminnassa käsitellään mahdollisesti merkittäviä määriä radioaktiivisia aineita. Siksi pykälän 8 kohdassa säädetään velvollisuudesta tunnistaa laitoksen suunnitteluvaiheessa sellaiset vaaratekijät, joiden seurauksena laitostiloihin tai ympäristöön voisi vapautua merkittäviä määriä radioaktiivisia aineita. Merkittävinä on pidettävä sellaisia määriä, jotka aiheuttavat ympäristön puhdistamisen tai väestöön kohdistuvat suojelutoimien tarvetta. Lisäksi säädetään toiminnanharjoittajan velvollisuudesta varautua käyttöhäiriöihin ja onnettomuustilanteisiin teknisin ja hallinnollisin järjestelyin, joilla lievennetään onnettomuuden seurauksia ja toteutetaan tarvittaessa pelastustoimia. </w:t>
      </w:r>
      <w:r w:rsidR="00444F89" w:rsidRPr="00444F89">
        <w:rPr>
          <w:rFonts w:eastAsia="Times New Roman"/>
          <w:lang w:eastAsia="fi-FI"/>
        </w:rPr>
        <w:t>Sisäisiä tapahtumia voivat olla esimerkiksi tulipalot, tulvat ja prosessinesteiden vuodot, räjähdykset ja muut mahdolliset tapahtumat. Ulkoisia tapahtumia voivat olla esimerkiksi harvinaiset sääolosuhteet, laitoksen ympäristössä tapahtuvien onnettomuuksien vaikutukset ja ihmisen toiminnasta aiheutuvat tekijät, mukaan lukien lainvastaiset ja muut ydin- tai säteilyturvallisuutta vaarantavat toimet laitoksen vahingoittamiseksi.</w:t>
      </w:r>
    </w:p>
    <w:p w14:paraId="311897B0" w14:textId="1E704497" w:rsidR="00A467F7" w:rsidRDefault="00444F89" w:rsidP="00444F89">
      <w:pPr>
        <w:tabs>
          <w:tab w:val="left" w:pos="1304"/>
        </w:tabs>
        <w:spacing w:before="120" w:after="120"/>
        <w:ind w:left="1304"/>
        <w:jc w:val="both"/>
        <w:rPr>
          <w:rFonts w:eastAsia="Times New Roman"/>
          <w:lang w:eastAsia="fi-FI"/>
        </w:rPr>
      </w:pPr>
      <w:r w:rsidRPr="00444F89">
        <w:rPr>
          <w:rFonts w:eastAsia="Times New Roman"/>
          <w:lang w:eastAsia="fi-FI"/>
        </w:rPr>
        <w:t>Tulevassa YEL TJ-muutoksessa turvajärjestelyjen muotoilu on: ”</w:t>
      </w:r>
      <w:r w:rsidRPr="00F12458">
        <w:rPr>
          <w:rFonts w:eastAsia="Times New Roman"/>
          <w:i/>
          <w:iCs/>
          <w:lang w:eastAsia="fi-FI"/>
        </w:rPr>
        <w:t>tarvittavat turvaamistoimenpiteet ydinenergian käytön turvaamiseksi ydin- tai säteilyturvallisuutta vaarantavalta toiminnalta</w:t>
      </w:r>
      <w:r w:rsidRPr="00444F89">
        <w:rPr>
          <w:rFonts w:eastAsia="Times New Roman"/>
          <w:lang w:eastAsia="fi-FI"/>
        </w:rPr>
        <w:t xml:space="preserve">”, joten aiemmin itse määräyksessä ollutta kohtaa on muutettu </w:t>
      </w:r>
      <w:proofErr w:type="spellStart"/>
      <w:r w:rsidRPr="00444F89">
        <w:rPr>
          <w:rFonts w:eastAsia="Times New Roman"/>
          <w:lang w:eastAsia="fi-FI"/>
        </w:rPr>
        <w:t>YEL:n</w:t>
      </w:r>
      <w:proofErr w:type="spellEnd"/>
      <w:r w:rsidRPr="00444F89">
        <w:rPr>
          <w:rFonts w:eastAsia="Times New Roman"/>
          <w:lang w:eastAsia="fi-FI"/>
        </w:rPr>
        <w:t xml:space="preserve"> tulevan määritelmän mukaiseksi.</w:t>
      </w:r>
    </w:p>
    <w:p w14:paraId="308AB65B" w14:textId="77777777" w:rsidR="00054A81" w:rsidRDefault="00054A81" w:rsidP="00444F89">
      <w:pPr>
        <w:tabs>
          <w:tab w:val="left" w:pos="1304"/>
        </w:tabs>
        <w:spacing w:before="120" w:after="120"/>
        <w:ind w:left="1304"/>
        <w:jc w:val="both"/>
        <w:rPr>
          <w:rFonts w:eastAsia="Times New Roman"/>
          <w:lang w:eastAsia="fi-FI"/>
        </w:rPr>
      </w:pPr>
    </w:p>
    <w:p w14:paraId="34166EB3" w14:textId="77777777" w:rsidR="007C7BCF" w:rsidRPr="00657FF1"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Turvallisuustoimintojen varmistaminen</w:t>
      </w:r>
    </w:p>
    <w:p w14:paraId="5BA1A497" w14:textId="54829534" w:rsidR="007C7BCF" w:rsidRDefault="007C7BCF" w:rsidP="00472916">
      <w:pPr>
        <w:tabs>
          <w:tab w:val="left" w:pos="1304"/>
        </w:tabs>
        <w:spacing w:before="120" w:after="120"/>
        <w:ind w:left="1304"/>
        <w:jc w:val="both"/>
        <w:rPr>
          <w:rFonts w:eastAsia="Times New Roman"/>
          <w:lang w:eastAsia="fi-FI"/>
        </w:rPr>
      </w:pPr>
      <w:r w:rsidRPr="00944C16">
        <w:rPr>
          <w:rFonts w:eastAsia="Times New Roman"/>
          <w:lang w:eastAsia="fi-FI"/>
        </w:rPr>
        <w:t>Pykälän tarkoituksena on varmistaa, että luvanhaltija varmistaa tuotantoyksikön toimivuuden ennen käyttöönottoa ja on käyttöönoton jälkeenkin jatkuvasti selvillä säteilyturvallisuuden kannalta merkittävien rakenteiden, järjestelmien ja laitteiden toimivuudesta niin normaaleissa käyttötilanteissa kuin häiriö- ja onnettomuus</w:t>
      </w:r>
      <w:r w:rsidR="00A467F7">
        <w:rPr>
          <w:rFonts w:eastAsia="Times New Roman"/>
          <w:lang w:eastAsia="fi-FI"/>
        </w:rPr>
        <w:softHyphen/>
      </w:r>
      <w:r w:rsidRPr="00944C16">
        <w:rPr>
          <w:rFonts w:eastAsia="Times New Roman"/>
          <w:lang w:eastAsia="fi-FI"/>
        </w:rPr>
        <w:t>tilanteissakin. Kohtaan on lisätty selventävää tekstiä, mitä säteilyturvallisuuden kannalta tärkeillä rakenteilla, järjestelmillä ja laitteilla uraanin ja toriumin tuotannon ja malminrikastustoiminnan yhteydessä tarkoitetaan.</w:t>
      </w:r>
    </w:p>
    <w:p w14:paraId="6ADD862D" w14:textId="39BED337" w:rsidR="00054A81" w:rsidRDefault="00054A81" w:rsidP="00472916">
      <w:pPr>
        <w:tabs>
          <w:tab w:val="left" w:pos="1304"/>
        </w:tabs>
        <w:spacing w:before="120" w:after="120"/>
        <w:ind w:left="1304"/>
        <w:jc w:val="both"/>
        <w:rPr>
          <w:rFonts w:eastAsia="Times New Roman"/>
          <w:lang w:eastAsia="fi-FI"/>
        </w:rPr>
      </w:pPr>
    </w:p>
    <w:p w14:paraId="68B9B5D3" w14:textId="37815F7B" w:rsidR="007D11C8" w:rsidRDefault="007D11C8">
      <w:pPr>
        <w:rPr>
          <w:rFonts w:eastAsia="Times New Roman"/>
          <w:lang w:eastAsia="fi-FI"/>
        </w:rPr>
      </w:pPr>
      <w:r>
        <w:rPr>
          <w:rFonts w:eastAsia="Times New Roman"/>
          <w:lang w:eastAsia="fi-FI"/>
        </w:rPr>
        <w:br w:type="page"/>
      </w:r>
    </w:p>
    <w:p w14:paraId="7938C6E0" w14:textId="77777777" w:rsidR="007D11C8" w:rsidRPr="00944C16" w:rsidRDefault="007D11C8" w:rsidP="00472916">
      <w:pPr>
        <w:tabs>
          <w:tab w:val="left" w:pos="1304"/>
        </w:tabs>
        <w:spacing w:before="120" w:after="120"/>
        <w:ind w:left="1304"/>
        <w:jc w:val="both"/>
        <w:rPr>
          <w:rFonts w:eastAsia="Times New Roman"/>
          <w:lang w:eastAsia="fi-FI"/>
        </w:rPr>
      </w:pPr>
    </w:p>
    <w:p w14:paraId="5EF0D6AA" w14:textId="77777777" w:rsidR="007C7BCF" w:rsidRPr="00657FF1"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Säteilysuojelujärjestelyt</w:t>
      </w:r>
    </w:p>
    <w:p w14:paraId="58680E99" w14:textId="77777777" w:rsidR="007C7BCF" w:rsidRPr="00944C16" w:rsidRDefault="007C7BCF" w:rsidP="00A467F7">
      <w:pPr>
        <w:tabs>
          <w:tab w:val="left" w:pos="1304"/>
        </w:tabs>
        <w:spacing w:before="120" w:after="120"/>
        <w:ind w:left="1304"/>
        <w:jc w:val="both"/>
        <w:rPr>
          <w:rFonts w:eastAsia="Times New Roman"/>
          <w:lang w:eastAsia="fi-FI"/>
        </w:rPr>
      </w:pPr>
      <w:r w:rsidRPr="00944C16">
        <w:rPr>
          <w:rFonts w:eastAsia="Times New Roman"/>
          <w:lang w:eastAsia="fi-FI"/>
        </w:rPr>
        <w:t>Työntekijöiden säteilyaltistuksen rajoittaminen säädetyllä tavalla edellyttää, että säteilyaltistuksen rajoittaminen huomioidaan työmenetelmissä ja -olosuhteissa ja tarvittaessa lyhentämällä työaikaa.</w:t>
      </w:r>
    </w:p>
    <w:p w14:paraId="2B04F16E" w14:textId="77777777" w:rsidR="007C7BCF" w:rsidRPr="00944C16" w:rsidRDefault="007C7BCF" w:rsidP="00A467F7">
      <w:pPr>
        <w:tabs>
          <w:tab w:val="left" w:pos="1304"/>
        </w:tabs>
        <w:spacing w:before="120" w:after="120"/>
        <w:ind w:left="1304"/>
        <w:jc w:val="both"/>
        <w:rPr>
          <w:rFonts w:eastAsia="Times New Roman"/>
          <w:lang w:eastAsia="fi-FI"/>
        </w:rPr>
      </w:pPr>
      <w:r w:rsidRPr="00944C16">
        <w:rPr>
          <w:rFonts w:eastAsia="Times New Roman"/>
          <w:lang w:eastAsia="fi-FI"/>
        </w:rPr>
        <w:t>Työntekijöiden turvallisuuden varmistamiseksi on 8 §:ssä säädetty luvanhaltijan velvollisuudesta laatia ja ylläpitää kirjallisia säteilysuojeluohjeita.</w:t>
      </w:r>
    </w:p>
    <w:p w14:paraId="77AEC760" w14:textId="0236C855" w:rsidR="007C7BCF" w:rsidRPr="00944C16" w:rsidRDefault="007408F6" w:rsidP="00A467F7">
      <w:pPr>
        <w:tabs>
          <w:tab w:val="left" w:pos="1304"/>
        </w:tabs>
        <w:spacing w:before="120" w:after="120"/>
        <w:ind w:left="1304"/>
        <w:jc w:val="both"/>
        <w:rPr>
          <w:rFonts w:eastAsia="Times New Roman"/>
          <w:lang w:eastAsia="fi-FI"/>
        </w:rPr>
      </w:pPr>
      <w:r>
        <w:rPr>
          <w:rFonts w:eastAsia="Times New Roman"/>
          <w:lang w:eastAsia="fi-FI"/>
        </w:rPr>
        <w:t>Rikastamon</w:t>
      </w:r>
      <w:r w:rsidRPr="00944C16">
        <w:rPr>
          <w:rFonts w:eastAsia="Times New Roman"/>
          <w:lang w:eastAsia="fi-FI"/>
        </w:rPr>
        <w:t xml:space="preserve"> </w:t>
      </w:r>
      <w:r w:rsidR="007C7BCF" w:rsidRPr="00944C16">
        <w:rPr>
          <w:rFonts w:eastAsia="Times New Roman"/>
          <w:lang w:eastAsia="fi-FI"/>
        </w:rPr>
        <w:t xml:space="preserve">säteilytilanteen ja ympäristön ja työntekijöiden säteilyaltistuksen seuraamiseksi </w:t>
      </w:r>
      <w:r>
        <w:rPr>
          <w:rFonts w:eastAsia="Times New Roman"/>
          <w:lang w:eastAsia="fi-FI"/>
        </w:rPr>
        <w:t>rikastamolla</w:t>
      </w:r>
      <w:r w:rsidRPr="00944C16">
        <w:rPr>
          <w:rFonts w:eastAsia="Times New Roman"/>
          <w:lang w:eastAsia="fi-FI"/>
        </w:rPr>
        <w:t xml:space="preserve"> </w:t>
      </w:r>
      <w:r w:rsidR="007C7BCF" w:rsidRPr="00944C16">
        <w:rPr>
          <w:rFonts w:eastAsia="Times New Roman"/>
          <w:lang w:eastAsia="fi-FI"/>
        </w:rPr>
        <w:t xml:space="preserve">on oltava laitteet, joilla voidaan mitata työntekijöiden ja alueelta lähtevien ajoneuvojen, työkoneiden sekä muiden esineiden ja materiaalien kontaminaatiota. Radioaktiivisten aineiden leviämisen estämiseksi </w:t>
      </w:r>
      <w:r>
        <w:rPr>
          <w:rFonts w:eastAsia="Times New Roman"/>
          <w:lang w:eastAsia="fi-FI"/>
        </w:rPr>
        <w:t>rikastamon ja kaivoksen</w:t>
      </w:r>
      <w:r w:rsidRPr="00944C16">
        <w:rPr>
          <w:rFonts w:eastAsia="Times New Roman"/>
          <w:lang w:eastAsia="fi-FI"/>
        </w:rPr>
        <w:t xml:space="preserve"> </w:t>
      </w:r>
      <w:r w:rsidR="007C7BCF" w:rsidRPr="00944C16">
        <w:rPr>
          <w:rFonts w:eastAsia="Times New Roman"/>
          <w:lang w:eastAsia="fi-FI"/>
        </w:rPr>
        <w:t xml:space="preserve">alueelta lähtevät ajoneuvot ja koneet </w:t>
      </w:r>
      <w:r w:rsidR="00472916">
        <w:rPr>
          <w:rFonts w:eastAsia="Times New Roman"/>
          <w:lang w:eastAsia="fi-FI"/>
        </w:rPr>
        <w:t>sekä</w:t>
      </w:r>
      <w:r w:rsidR="007C7BCF" w:rsidRPr="00944C16">
        <w:rPr>
          <w:rFonts w:eastAsia="Times New Roman"/>
          <w:lang w:eastAsia="fi-FI"/>
        </w:rPr>
        <w:t xml:space="preserve"> muu materiaali on voitava tarvittaessa puhdistaa.</w:t>
      </w:r>
    </w:p>
    <w:p w14:paraId="0723937B" w14:textId="6F6E89C4" w:rsidR="007C7BCF" w:rsidRDefault="007C7BCF" w:rsidP="00A467F7">
      <w:pPr>
        <w:tabs>
          <w:tab w:val="left" w:pos="1304"/>
        </w:tabs>
        <w:spacing w:before="120" w:after="120"/>
        <w:ind w:left="1304"/>
        <w:jc w:val="both"/>
        <w:rPr>
          <w:rFonts w:eastAsia="Times New Roman"/>
          <w:lang w:eastAsia="fi-FI"/>
        </w:rPr>
      </w:pPr>
      <w:r w:rsidRPr="00944C16">
        <w:rPr>
          <w:rFonts w:eastAsia="Times New Roman"/>
          <w:lang w:eastAsia="fi-FI"/>
        </w:rPr>
        <w:t xml:space="preserve">Väestön pääsyä sellaisille alueille, joissa voi alistua säteilylle, on valvottava. </w:t>
      </w:r>
    </w:p>
    <w:p w14:paraId="7EA822AE" w14:textId="77777777" w:rsidR="00054A81" w:rsidRPr="00944C16" w:rsidRDefault="00054A81" w:rsidP="00A467F7">
      <w:pPr>
        <w:tabs>
          <w:tab w:val="left" w:pos="1304"/>
        </w:tabs>
        <w:spacing w:before="120" w:after="120"/>
        <w:ind w:left="1304"/>
        <w:jc w:val="both"/>
        <w:rPr>
          <w:rFonts w:eastAsia="Times New Roman"/>
          <w:lang w:eastAsia="fi-FI"/>
        </w:rPr>
      </w:pPr>
    </w:p>
    <w:p w14:paraId="21A42765"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Säteilytarkkailu</w:t>
      </w:r>
    </w:p>
    <w:p w14:paraId="31880A29" w14:textId="0BBB808B" w:rsidR="007C7BCF" w:rsidRPr="00944C16" w:rsidRDefault="007C7BCF" w:rsidP="00472916">
      <w:pPr>
        <w:tabs>
          <w:tab w:val="left" w:pos="1304"/>
        </w:tabs>
        <w:ind w:left="1304"/>
        <w:jc w:val="both"/>
        <w:rPr>
          <w:rFonts w:eastAsia="Times New Roman"/>
          <w:lang w:eastAsia="fi-FI"/>
        </w:rPr>
      </w:pPr>
      <w:r w:rsidRPr="00944C16">
        <w:rPr>
          <w:rFonts w:eastAsia="Times New Roman"/>
          <w:lang w:eastAsia="fi-FI"/>
        </w:rPr>
        <w:t>Ydinenergia-asetuksessa on säädetty toiminnasta aiheutuvan altistuksen enimmäis</w:t>
      </w:r>
      <w:r w:rsidR="00472916">
        <w:rPr>
          <w:rFonts w:eastAsia="Times New Roman"/>
          <w:lang w:eastAsia="fi-FI"/>
        </w:rPr>
        <w:softHyphen/>
      </w:r>
      <w:r w:rsidRPr="00944C16">
        <w:rPr>
          <w:rFonts w:eastAsia="Times New Roman"/>
          <w:lang w:eastAsia="fi-FI"/>
        </w:rPr>
        <w:t>arvoista. Jotta vaatimusten toteutuminen voidaan varmistaa ja mahdolliset poikkeamat havaita, on luvanhaltijan tehtävä kaivoksen ja rikastamon tiloissa ja radioaktiivisten aineiden mahdollisilla päästöreiteillä säännöllisiä mittauksia.</w:t>
      </w:r>
    </w:p>
    <w:p w14:paraId="4AFA90C6" w14:textId="7EDA68EE" w:rsidR="007C7BCF" w:rsidRDefault="007C7BCF" w:rsidP="00472916">
      <w:pPr>
        <w:tabs>
          <w:tab w:val="left" w:pos="1304"/>
        </w:tabs>
        <w:spacing w:before="120" w:after="120"/>
        <w:ind w:left="1304"/>
        <w:jc w:val="both"/>
        <w:rPr>
          <w:rFonts w:eastAsia="Times New Roman"/>
          <w:lang w:eastAsia="fi-FI"/>
        </w:rPr>
      </w:pPr>
      <w:r w:rsidRPr="00944C16">
        <w:rPr>
          <w:rFonts w:eastAsia="Times New Roman"/>
          <w:lang w:eastAsia="fi-FI"/>
        </w:rPr>
        <w:t>Työntekijöiden säteilyaltistuksen seuraamiseksi luvanhaltijan on toteutettava tuotantoyksikön alueella toiminnan laadun ja laajuuden mukaan suunniteltu altistusolosuhteiden ja henkilökohtaisen annoksen tarkkailu</w:t>
      </w:r>
      <w:r w:rsidRPr="00944C16" w:rsidDel="00CA235D">
        <w:rPr>
          <w:rFonts w:eastAsia="Times New Roman"/>
          <w:lang w:eastAsia="fi-FI"/>
        </w:rPr>
        <w:t xml:space="preserve"> </w:t>
      </w:r>
      <w:r w:rsidRPr="00944C16">
        <w:rPr>
          <w:rFonts w:eastAsia="Times New Roman"/>
          <w:lang w:eastAsia="fi-FI"/>
        </w:rPr>
        <w:t xml:space="preserve">säteilylain 92 §:n mukaisesti. </w:t>
      </w:r>
      <w:r w:rsidR="001A6203">
        <w:rPr>
          <w:rFonts w:eastAsia="Times New Roman"/>
          <w:lang w:eastAsia="fi-FI"/>
        </w:rPr>
        <w:t>9 §:n 1 kohta on poistettu, koska säteilylain 92 § vaatimukset kattavat tässä määräyksessä aiemmin olleet vaatimukset.</w:t>
      </w:r>
    </w:p>
    <w:p w14:paraId="33FE671F" w14:textId="77777777" w:rsidR="00054A81" w:rsidRPr="00944C16" w:rsidRDefault="00054A81" w:rsidP="00472916">
      <w:pPr>
        <w:tabs>
          <w:tab w:val="left" w:pos="1304"/>
        </w:tabs>
        <w:spacing w:before="120" w:after="120"/>
        <w:ind w:left="1304"/>
        <w:jc w:val="both"/>
        <w:rPr>
          <w:rFonts w:eastAsia="Times New Roman"/>
          <w:lang w:eastAsia="fi-FI"/>
        </w:rPr>
      </w:pPr>
    </w:p>
    <w:p w14:paraId="14F571C6"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Ympäristön säteilyturvallisuus</w:t>
      </w:r>
    </w:p>
    <w:p w14:paraId="271A8416" w14:textId="333F0234" w:rsidR="007C7BCF" w:rsidRPr="00944C16" w:rsidRDefault="007C7BCF" w:rsidP="00472916">
      <w:pPr>
        <w:tabs>
          <w:tab w:val="left" w:pos="1304"/>
        </w:tabs>
        <w:spacing w:before="120" w:after="120"/>
        <w:ind w:left="1304"/>
        <w:jc w:val="both"/>
        <w:rPr>
          <w:rFonts w:eastAsia="Times New Roman"/>
          <w:lang w:eastAsia="fi-FI"/>
        </w:rPr>
      </w:pPr>
      <w:r w:rsidRPr="00944C16">
        <w:rPr>
          <w:rFonts w:eastAsia="Times New Roman"/>
          <w:lang w:eastAsia="fi-FI"/>
        </w:rPr>
        <w:t>Jotta olisi mahdollista selvittää, miten toiminta vaikuttaa ympäristön säteily</w:t>
      </w:r>
      <w:r w:rsidR="00472916">
        <w:rPr>
          <w:rFonts w:eastAsia="Times New Roman"/>
          <w:lang w:eastAsia="fi-FI"/>
        </w:rPr>
        <w:softHyphen/>
      </w:r>
      <w:r w:rsidRPr="00944C16">
        <w:rPr>
          <w:rFonts w:eastAsia="Times New Roman"/>
          <w:lang w:eastAsia="fi-FI"/>
        </w:rPr>
        <w:t xml:space="preserve">tilanteeseen, on 10 §:n 1 kohdassa säädetty luvanhaltijalle velvollisuus selvittää tuotantoyksikön ympäristön luonnollinen säteilytilanne </w:t>
      </w:r>
      <w:r w:rsidRPr="007408F6">
        <w:rPr>
          <w:rFonts w:eastAsia="Times New Roman"/>
          <w:iCs/>
          <w:lang w:eastAsia="fi-FI"/>
        </w:rPr>
        <w:t>(perustila)</w:t>
      </w:r>
      <w:r w:rsidRPr="00944C16">
        <w:rPr>
          <w:rFonts w:eastAsia="Times New Roman"/>
          <w:lang w:eastAsia="fi-FI"/>
        </w:rPr>
        <w:t xml:space="preserve"> ennen yksikön toiminnan aloittamista. </w:t>
      </w:r>
    </w:p>
    <w:p w14:paraId="3F49FA96" w14:textId="3FCDCACC" w:rsidR="007C7BCF" w:rsidRPr="00944C16" w:rsidRDefault="007C7BCF" w:rsidP="00472916">
      <w:pPr>
        <w:tabs>
          <w:tab w:val="left" w:pos="1304"/>
        </w:tabs>
        <w:spacing w:before="120" w:after="120"/>
        <w:ind w:left="1304"/>
        <w:jc w:val="both"/>
        <w:rPr>
          <w:rFonts w:eastAsia="Times New Roman"/>
          <w:lang w:eastAsia="fi-FI"/>
        </w:rPr>
      </w:pPr>
      <w:r w:rsidRPr="00944C16">
        <w:rPr>
          <w:rFonts w:eastAsia="Times New Roman"/>
          <w:lang w:eastAsia="fi-FI"/>
        </w:rPr>
        <w:t>Pykälän 2 kohdassa säädetään luvanhaltijan velvollisuudesta tarkkailla tuotanto</w:t>
      </w:r>
      <w:r w:rsidR="00472916">
        <w:rPr>
          <w:rFonts w:eastAsia="Times New Roman"/>
          <w:lang w:eastAsia="fi-FI"/>
        </w:rPr>
        <w:softHyphen/>
      </w:r>
      <w:r w:rsidRPr="00944C16">
        <w:rPr>
          <w:rFonts w:eastAsia="Times New Roman"/>
          <w:lang w:eastAsia="fi-FI"/>
        </w:rPr>
        <w:t>yksikön mahdollisia radioaktiivisten aineiden päästöjä ja niiden pitoisuuksia ympäristössä. Myös STUK valvoo rikastamon ympäristöä oman säteilyvalvonta</w:t>
      </w:r>
      <w:r w:rsidR="00472916">
        <w:rPr>
          <w:rFonts w:eastAsia="Times New Roman"/>
          <w:lang w:eastAsia="fi-FI"/>
        </w:rPr>
        <w:softHyphen/>
      </w:r>
      <w:r w:rsidRPr="00944C16">
        <w:rPr>
          <w:rFonts w:eastAsia="Times New Roman"/>
          <w:lang w:eastAsia="fi-FI"/>
        </w:rPr>
        <w:t>ohjelman mukaisesti. Toiminnanharjoittaja tekee samanaikaisesti kaivosympäristön säteilyvalvontaa. Tulosten perusteella voidaan havaita toiminnan mahdollisesti aiheuttamat muutokset ympäristössä.</w:t>
      </w:r>
    </w:p>
    <w:p w14:paraId="141F27FC" w14:textId="41C6DCD7" w:rsidR="007C7BCF" w:rsidRDefault="00472916" w:rsidP="00472916">
      <w:pPr>
        <w:tabs>
          <w:tab w:val="left" w:pos="1304"/>
        </w:tabs>
        <w:spacing w:before="120" w:after="120"/>
        <w:ind w:left="1304"/>
        <w:jc w:val="both"/>
        <w:rPr>
          <w:rFonts w:eastAsia="Times New Roman"/>
          <w:lang w:eastAsia="fi-FI"/>
        </w:rPr>
      </w:pPr>
      <w:r>
        <w:rPr>
          <w:rFonts w:eastAsia="Times New Roman"/>
          <w:lang w:eastAsia="fi-FI"/>
        </w:rPr>
        <w:t>K</w:t>
      </w:r>
      <w:r w:rsidR="007C7BCF" w:rsidRPr="00944C16">
        <w:rPr>
          <w:rFonts w:eastAsia="Times New Roman"/>
          <w:lang w:eastAsia="fi-FI"/>
        </w:rPr>
        <w:t xml:space="preserve">ohdassa </w:t>
      </w:r>
      <w:r>
        <w:rPr>
          <w:rFonts w:eastAsia="Times New Roman"/>
          <w:lang w:eastAsia="fi-FI"/>
        </w:rPr>
        <w:t xml:space="preserve">3 </w:t>
      </w:r>
      <w:r w:rsidR="007C7BCF" w:rsidRPr="00944C16">
        <w:rPr>
          <w:rFonts w:eastAsia="Times New Roman"/>
          <w:lang w:eastAsia="fi-FI"/>
        </w:rPr>
        <w:t xml:space="preserve">velvoitetaan luvanhaltija vastaamaan puhdistamistoimenpiteiden toteuttamisesta, jos ympäristöön pääsee radioaktiivisia aineita siten, että niistä aiheutuvan terveydellisen tai ympäristöllisen haitan torjuminen vaatii toimenpiteitä ympäristön puhdistamiseksi (säteilylaki 138 §). Puhdistamisvelvollisuus ei riipu siitä, johtuuko päästö huolimattomuudesta tai tahallisuudesta. </w:t>
      </w:r>
    </w:p>
    <w:p w14:paraId="0512F003" w14:textId="77777777" w:rsidR="00054A81" w:rsidRPr="00944C16" w:rsidRDefault="00054A81" w:rsidP="00472916">
      <w:pPr>
        <w:tabs>
          <w:tab w:val="left" w:pos="1304"/>
        </w:tabs>
        <w:spacing w:before="120" w:after="120"/>
        <w:ind w:left="1304"/>
        <w:jc w:val="both"/>
        <w:rPr>
          <w:rFonts w:eastAsia="Times New Roman"/>
          <w:lang w:eastAsia="fi-FI"/>
        </w:rPr>
      </w:pPr>
    </w:p>
    <w:p w14:paraId="5E0E8035"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lastRenderedPageBreak/>
        <w:t>§ Poikkeustilanteet, käyttöhäiriöt ja valmiusjärjestelyt</w:t>
      </w:r>
    </w:p>
    <w:p w14:paraId="6D5947B8" w14:textId="77777777" w:rsidR="007C7BCF" w:rsidRPr="00944C16" w:rsidRDefault="007C7BCF" w:rsidP="00624FC6">
      <w:pPr>
        <w:tabs>
          <w:tab w:val="left" w:pos="1304"/>
        </w:tabs>
        <w:ind w:left="1304"/>
        <w:jc w:val="both"/>
        <w:rPr>
          <w:rFonts w:eastAsia="Times New Roman"/>
          <w:lang w:eastAsia="fi-FI"/>
        </w:rPr>
      </w:pPr>
      <w:r w:rsidRPr="00944C16">
        <w:rPr>
          <w:rFonts w:eastAsia="Times New Roman"/>
          <w:lang w:eastAsia="fi-FI"/>
        </w:rPr>
        <w:t xml:space="preserve">Ydinenergialain 7 p §:n mukaan ydinenergian käytön valmiusjärjestelyjen suunnittelun tulee perustua häiriö- ja onnettomuustilanteita koskeviin analyyseihin sekä niiden perusteella arvioituihin seurauksiin. Lisäksi valmiusjärjestelyt on sovitettava yhteen viranomaisten laatimien pelastus – ja valmiussuunnitelmien kanssa ottaen huomioon, mitä pelastuslain (379/2011) 9 §:n 2 momentissa säädetään. </w:t>
      </w:r>
    </w:p>
    <w:p w14:paraId="15214F37" w14:textId="77777777" w:rsidR="007C7BCF" w:rsidRPr="00944C16" w:rsidRDefault="007C7BCF" w:rsidP="00624FC6">
      <w:pPr>
        <w:tabs>
          <w:tab w:val="left" w:pos="1304"/>
        </w:tabs>
        <w:ind w:left="1304"/>
        <w:jc w:val="both"/>
        <w:rPr>
          <w:rFonts w:eastAsia="Times New Roman"/>
          <w:lang w:eastAsia="fi-FI"/>
        </w:rPr>
      </w:pPr>
    </w:p>
    <w:p w14:paraId="39E89DB7" w14:textId="77777777" w:rsidR="007C7BCF" w:rsidRPr="00944C16" w:rsidRDefault="007C7BCF" w:rsidP="00624FC6">
      <w:pPr>
        <w:tabs>
          <w:tab w:val="left" w:pos="1304"/>
        </w:tabs>
        <w:ind w:left="1304"/>
        <w:jc w:val="both"/>
        <w:rPr>
          <w:rFonts w:eastAsia="Times New Roman"/>
          <w:lang w:eastAsia="fi-FI"/>
        </w:rPr>
      </w:pPr>
      <w:r w:rsidRPr="00944C16">
        <w:rPr>
          <w:rFonts w:eastAsia="Times New Roman"/>
          <w:lang w:eastAsia="fi-FI"/>
        </w:rPr>
        <w:t xml:space="preserve">Kohdassa 1 edellytetään varautumista tapauksiin, joissa merkittävä määrä radioaktiivisia aineita vapautuu tuotantoyksikön alueelle tai sen ympäristöön. Merkittävä määrä on sellainen, josta voi aiheutua säteilyaltistusta työntekijöille tai ympäristön väestölle. </w:t>
      </w:r>
    </w:p>
    <w:p w14:paraId="2BF739D1" w14:textId="77777777" w:rsidR="007C7BCF" w:rsidRPr="00944C16" w:rsidRDefault="007C7BCF" w:rsidP="00624FC6">
      <w:pPr>
        <w:tabs>
          <w:tab w:val="left" w:pos="1304"/>
        </w:tabs>
        <w:ind w:left="1304"/>
        <w:jc w:val="both"/>
        <w:rPr>
          <w:rFonts w:eastAsia="Times New Roman"/>
          <w:lang w:eastAsia="fi-FI"/>
        </w:rPr>
      </w:pPr>
    </w:p>
    <w:p w14:paraId="4671D394" w14:textId="77777777" w:rsidR="007C7BCF" w:rsidRPr="00944C16" w:rsidRDefault="007C7BCF" w:rsidP="00624FC6">
      <w:pPr>
        <w:tabs>
          <w:tab w:val="left" w:pos="1304"/>
        </w:tabs>
        <w:ind w:left="1304"/>
        <w:jc w:val="both"/>
        <w:rPr>
          <w:rFonts w:eastAsia="Times New Roman"/>
          <w:lang w:eastAsia="fi-FI"/>
        </w:rPr>
      </w:pPr>
      <w:r w:rsidRPr="00944C16">
        <w:rPr>
          <w:rFonts w:eastAsia="Times New Roman"/>
          <w:lang w:eastAsia="fi-FI"/>
        </w:rPr>
        <w:t>Jotta valmiustilanteissa osataan toimia oikein, kohdassa 2 edellytetään, että niitä varten on olemassa kirjalliset ohjeet.</w:t>
      </w:r>
    </w:p>
    <w:p w14:paraId="17CEA7A4" w14:textId="77777777" w:rsidR="007C7BCF" w:rsidRPr="00944C16" w:rsidRDefault="007C7BCF" w:rsidP="00624FC6">
      <w:pPr>
        <w:tabs>
          <w:tab w:val="left" w:pos="1304"/>
        </w:tabs>
        <w:ind w:left="1304"/>
        <w:jc w:val="both"/>
        <w:rPr>
          <w:rFonts w:eastAsia="Times New Roman"/>
          <w:lang w:eastAsia="fi-FI"/>
        </w:rPr>
      </w:pPr>
    </w:p>
    <w:p w14:paraId="6E01EE01" w14:textId="77777777" w:rsidR="007C7BCF" w:rsidRPr="00944C16" w:rsidRDefault="007C7BCF" w:rsidP="00624FC6">
      <w:pPr>
        <w:tabs>
          <w:tab w:val="left" w:pos="1304"/>
        </w:tabs>
        <w:ind w:left="1304"/>
        <w:jc w:val="both"/>
        <w:rPr>
          <w:rFonts w:eastAsia="Times New Roman"/>
          <w:lang w:eastAsia="fi-FI"/>
        </w:rPr>
      </w:pPr>
      <w:r w:rsidRPr="00944C16">
        <w:rPr>
          <w:rFonts w:eastAsia="Times New Roman"/>
          <w:lang w:eastAsia="fi-FI"/>
        </w:rPr>
        <w:t>Sekä kaivoslaki 621/2011(kaivosten tapauksessa) että laki vaarallisten kemikaalien ja räjähteiden käsittelyn turvallisuudesta 390/2005 (erillisen uraanin tai toriumin malminrikastuslaitoksen tapauksessa) edellyttävät sisäistä pelastussuunnitelmaa. Kohdassa 3 edellytetään, että näissä huomioidaan myös säteilyaltistusta aiheuttavat radioaktiiviset aineet. Erillistä valmiussuunnitelmaa ei edellytetä.</w:t>
      </w:r>
    </w:p>
    <w:p w14:paraId="5B149BBD" w14:textId="77777777" w:rsidR="007C7BCF" w:rsidRPr="00944C16" w:rsidRDefault="007C7BCF" w:rsidP="00624FC6">
      <w:pPr>
        <w:tabs>
          <w:tab w:val="left" w:pos="1304"/>
        </w:tabs>
        <w:ind w:left="1304"/>
        <w:jc w:val="both"/>
        <w:rPr>
          <w:rFonts w:eastAsia="Times New Roman"/>
          <w:lang w:eastAsia="fi-FI"/>
        </w:rPr>
      </w:pPr>
    </w:p>
    <w:p w14:paraId="40A799C5" w14:textId="3C674BDF" w:rsidR="007C7BCF" w:rsidRPr="00944C16" w:rsidRDefault="00C2776F" w:rsidP="00624FC6">
      <w:pPr>
        <w:tabs>
          <w:tab w:val="left" w:pos="1304"/>
        </w:tabs>
        <w:spacing w:after="120"/>
        <w:ind w:left="1304"/>
        <w:jc w:val="both"/>
        <w:rPr>
          <w:rFonts w:eastAsia="Times New Roman"/>
          <w:lang w:eastAsia="fi-FI"/>
        </w:rPr>
      </w:pPr>
      <w:r>
        <w:rPr>
          <w:rFonts w:eastAsia="Times New Roman"/>
          <w:lang w:eastAsia="fi-FI"/>
        </w:rPr>
        <w:t>Kohta</w:t>
      </w:r>
      <w:r w:rsidRPr="00944C16">
        <w:rPr>
          <w:rFonts w:eastAsia="Times New Roman"/>
          <w:lang w:eastAsia="fi-FI"/>
        </w:rPr>
        <w:t xml:space="preserve"> </w:t>
      </w:r>
      <w:r w:rsidR="007C7BCF" w:rsidRPr="00944C16">
        <w:rPr>
          <w:rFonts w:eastAsia="Times New Roman"/>
          <w:lang w:eastAsia="fi-FI"/>
        </w:rPr>
        <w:t xml:space="preserve">4 </w:t>
      </w:r>
      <w:r>
        <w:rPr>
          <w:rFonts w:eastAsia="Times New Roman"/>
          <w:lang w:eastAsia="fi-FI"/>
        </w:rPr>
        <w:t xml:space="preserve">on poistettu, koska vaatimus on samansisältöisenä </w:t>
      </w:r>
      <w:r w:rsidR="007C7BCF" w:rsidRPr="00944C16">
        <w:rPr>
          <w:rFonts w:eastAsia="Times New Roman"/>
          <w:lang w:eastAsia="fi-FI"/>
        </w:rPr>
        <w:t xml:space="preserve">ydinenergialain 7 p §:n </w:t>
      </w:r>
      <w:r>
        <w:rPr>
          <w:rFonts w:eastAsia="Times New Roman"/>
          <w:lang w:eastAsia="fi-FI"/>
        </w:rPr>
        <w:t>4 momentissa</w:t>
      </w:r>
      <w:r w:rsidR="007C7BCF" w:rsidRPr="00944C16">
        <w:rPr>
          <w:rFonts w:eastAsia="Times New Roman"/>
          <w:lang w:eastAsia="fi-FI"/>
        </w:rPr>
        <w:t>, jonka mukaan valmiusjärjestelyt on sovitettava yhteen viranomaisten laatimien pelastus- ja valmiussuunnitelmien kanssa.</w:t>
      </w:r>
    </w:p>
    <w:p w14:paraId="78C2FAEC" w14:textId="428E56A4" w:rsidR="007C7BCF" w:rsidRDefault="007C7BCF" w:rsidP="00624FC6">
      <w:pPr>
        <w:tabs>
          <w:tab w:val="left" w:pos="1304"/>
        </w:tabs>
        <w:spacing w:after="120"/>
        <w:ind w:left="1304"/>
        <w:jc w:val="both"/>
        <w:rPr>
          <w:rFonts w:eastAsia="Times New Roman"/>
          <w:lang w:eastAsia="fi-FI"/>
        </w:rPr>
      </w:pPr>
      <w:r w:rsidRPr="00944C16">
        <w:rPr>
          <w:rFonts w:eastAsia="Times New Roman"/>
          <w:lang w:eastAsia="fi-FI"/>
        </w:rPr>
        <w:t xml:space="preserve">Kohdassa 5 edellytetään, että radioaktiivisten aineiden vapautumisesta ilmoitetaan välittömästi </w:t>
      </w:r>
      <w:proofErr w:type="spellStart"/>
      <w:r w:rsidRPr="00944C16">
        <w:rPr>
          <w:rFonts w:eastAsia="Times New Roman"/>
          <w:lang w:eastAsia="fi-FI"/>
        </w:rPr>
        <w:t>STUKille</w:t>
      </w:r>
      <w:proofErr w:type="spellEnd"/>
      <w:r w:rsidRPr="00944C16">
        <w:rPr>
          <w:rFonts w:eastAsia="Times New Roman"/>
          <w:lang w:eastAsia="fi-FI"/>
        </w:rPr>
        <w:t xml:space="preserve">, jotta keskus voi arvioida tilanteen vakavuutta ja antaa tarvittaessa neuvoja kansalaisille ja viranomaisille. Myös muilla poikkeavilla tapahtumilla saattaa olla merkitystä säteilyturvallisuudelle ja niiden perusteella saadaan tietoa organisaation toiminnasta. Poikkeavat tapahtumat saattavat herättää julkista mielenkiintoa ja kysymyksiä todennäköisesti tulee myös säteilyvaikutuksista. </w:t>
      </w:r>
      <w:proofErr w:type="spellStart"/>
      <w:r w:rsidRPr="00944C16">
        <w:rPr>
          <w:rFonts w:eastAsia="Times New Roman"/>
          <w:lang w:eastAsia="fi-FI"/>
        </w:rPr>
        <w:t>STUKille</w:t>
      </w:r>
      <w:proofErr w:type="spellEnd"/>
      <w:r w:rsidRPr="00944C16">
        <w:rPr>
          <w:rFonts w:eastAsia="Times New Roman"/>
          <w:lang w:eastAsia="fi-FI"/>
        </w:rPr>
        <w:t xml:space="preserve"> on myös ilmoitettava poikkeavasta tapahtumasta, jonka seurauksena työntekijöiden tai väestön säteilyturvallisuus tuotantoyksikön alueella tai sen ympäristössä voi vaarantua. Tätä koskeva lisäys tehtiin 5 kohdan alakohdaksi c.</w:t>
      </w:r>
    </w:p>
    <w:p w14:paraId="699EAA37" w14:textId="77777777" w:rsidR="00054A81" w:rsidRPr="00944C16" w:rsidRDefault="00054A81" w:rsidP="00624FC6">
      <w:pPr>
        <w:tabs>
          <w:tab w:val="left" w:pos="1304"/>
        </w:tabs>
        <w:spacing w:after="120"/>
        <w:ind w:left="1304"/>
        <w:jc w:val="both"/>
        <w:rPr>
          <w:rFonts w:eastAsia="Times New Roman"/>
          <w:lang w:eastAsia="fi-FI"/>
        </w:rPr>
      </w:pPr>
    </w:p>
    <w:p w14:paraId="70DD3717"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Johtaminen, organisaatio ja henkilöstö </w:t>
      </w:r>
    </w:p>
    <w:p w14:paraId="5064D2DE" w14:textId="50A7E49D" w:rsidR="00DC67B9" w:rsidRDefault="007C7BCF" w:rsidP="007C7BCF">
      <w:pPr>
        <w:ind w:left="1304"/>
        <w:jc w:val="both"/>
        <w:rPr>
          <w:rFonts w:eastAsia="Cambria"/>
        </w:rPr>
      </w:pPr>
      <w:r w:rsidRPr="00944C16">
        <w:rPr>
          <w:rFonts w:eastAsia="Cambria"/>
        </w:rPr>
        <w:t>Pykälä koskee luvanhaltijan organisaatiota, henkilöstöä ja johtamista</w:t>
      </w:r>
      <w:r w:rsidR="003F52A3">
        <w:rPr>
          <w:rFonts w:eastAsia="Cambria"/>
        </w:rPr>
        <w:t xml:space="preserve"> sekä t</w:t>
      </w:r>
      <w:r w:rsidR="003F52A3" w:rsidRPr="003F52A3">
        <w:rPr>
          <w:rFonts w:eastAsia="Cambria"/>
        </w:rPr>
        <w:t xml:space="preserve">yöntekijöiden </w:t>
      </w:r>
      <w:r w:rsidR="00C12306">
        <w:rPr>
          <w:rFonts w:eastAsia="Cambria"/>
        </w:rPr>
        <w:t xml:space="preserve">koulusta ja </w:t>
      </w:r>
      <w:r w:rsidR="003F52A3" w:rsidRPr="003F52A3">
        <w:rPr>
          <w:rFonts w:eastAsia="Cambria"/>
        </w:rPr>
        <w:t>perehdyty</w:t>
      </w:r>
      <w:r w:rsidR="00C12306">
        <w:rPr>
          <w:rFonts w:eastAsia="Cambria"/>
        </w:rPr>
        <w:t>stä</w:t>
      </w:r>
      <w:r w:rsidR="003F52A3" w:rsidRPr="003F52A3">
        <w:rPr>
          <w:rFonts w:eastAsia="Cambria"/>
        </w:rPr>
        <w:t xml:space="preserve"> </w:t>
      </w:r>
      <w:r w:rsidR="003F52A3">
        <w:rPr>
          <w:rFonts w:eastAsia="Cambria"/>
        </w:rPr>
        <w:t>säteilyturvallisuuteen liittyviin asioihin</w:t>
      </w:r>
      <w:r w:rsidRPr="00944C16">
        <w:rPr>
          <w:rFonts w:eastAsia="Cambria"/>
        </w:rPr>
        <w:t xml:space="preserve">. </w:t>
      </w:r>
    </w:p>
    <w:p w14:paraId="121F5736" w14:textId="5F614266" w:rsidR="00DC67B9" w:rsidRDefault="00DC67B9" w:rsidP="007C7BCF">
      <w:pPr>
        <w:ind w:left="1304"/>
        <w:jc w:val="both"/>
        <w:rPr>
          <w:rFonts w:eastAsia="Cambria"/>
        </w:rPr>
      </w:pPr>
    </w:p>
    <w:p w14:paraId="5CE0D1CF" w14:textId="458A71D4" w:rsidR="001D2C41" w:rsidRDefault="00F323CD" w:rsidP="001D2C41">
      <w:pPr>
        <w:ind w:left="1304"/>
        <w:jc w:val="both"/>
        <w:rPr>
          <w:rFonts w:eastAsia="Cambria"/>
        </w:rPr>
      </w:pPr>
      <w:r>
        <w:rPr>
          <w:rFonts w:eastAsia="Cambria"/>
        </w:rPr>
        <w:t>U</w:t>
      </w:r>
      <w:r w:rsidR="003F52A3" w:rsidRPr="003F52A3">
        <w:rPr>
          <w:rFonts w:eastAsia="Cambria"/>
        </w:rPr>
        <w:t>raanin tai toriumin tuottamiseen tarkoitettu malminrikastuslaito</w:t>
      </w:r>
      <w:r>
        <w:rPr>
          <w:rFonts w:eastAsia="Cambria"/>
        </w:rPr>
        <w:t xml:space="preserve">s ei ole ydinlaitos, mutta </w:t>
      </w:r>
      <w:r w:rsidR="003F52A3" w:rsidRPr="003F52A3">
        <w:rPr>
          <w:rFonts w:eastAsia="Cambria"/>
        </w:rPr>
        <w:t>toimintaan</w:t>
      </w:r>
      <w:r w:rsidR="003D105A">
        <w:rPr>
          <w:rFonts w:eastAsia="Cambria"/>
        </w:rPr>
        <w:t xml:space="preserve"> kuuluu ydinenergialain soveltamisalaan.</w:t>
      </w:r>
      <w:r w:rsidR="003F52A3" w:rsidRPr="003F52A3">
        <w:rPr>
          <w:rFonts w:eastAsia="Cambria"/>
        </w:rPr>
        <w:t xml:space="preserve"> </w:t>
      </w:r>
      <w:r w:rsidR="001D2C41" w:rsidRPr="001D2C41">
        <w:rPr>
          <w:rFonts w:eastAsia="Cambria"/>
        </w:rPr>
        <w:t xml:space="preserve">Uraanin tuottamiseen tähtäävää </w:t>
      </w:r>
      <w:r w:rsidR="001D2C41">
        <w:rPr>
          <w:rFonts w:eastAsia="Cambria"/>
        </w:rPr>
        <w:t>malmin</w:t>
      </w:r>
      <w:r w:rsidR="001D2C41" w:rsidRPr="001D2C41">
        <w:rPr>
          <w:rFonts w:eastAsia="Cambria"/>
        </w:rPr>
        <w:t>rikastustoimintaa koskevat vaatimukset on</w:t>
      </w:r>
      <w:r w:rsidR="001D2C41">
        <w:rPr>
          <w:rFonts w:eastAsia="Cambria"/>
        </w:rPr>
        <w:t xml:space="preserve"> </w:t>
      </w:r>
      <w:r w:rsidR="001D2C41" w:rsidRPr="001D2C41">
        <w:rPr>
          <w:rFonts w:eastAsia="Cambria"/>
        </w:rPr>
        <w:t>kirjattu ydinenergialain 21 §:ään</w:t>
      </w:r>
      <w:r w:rsidR="001D2C41">
        <w:rPr>
          <w:rFonts w:eastAsia="Cambria"/>
        </w:rPr>
        <w:t xml:space="preserve"> (</w:t>
      </w:r>
      <w:r w:rsidR="001D2C41" w:rsidRPr="001D2C41">
        <w:rPr>
          <w:rFonts w:eastAsia="Cambria"/>
        </w:rPr>
        <w:t>Muu ydinenergian käyttö</w:t>
      </w:r>
      <w:r w:rsidR="001D2C41">
        <w:rPr>
          <w:rFonts w:eastAsia="Cambria"/>
        </w:rPr>
        <w:t xml:space="preserve">) ja </w:t>
      </w:r>
      <w:r w:rsidR="001D2C41" w:rsidRPr="001D2C41">
        <w:rPr>
          <w:rFonts w:eastAsia="Cambria"/>
        </w:rPr>
        <w:t>ydinenergia-asetuksen 9 lukuun</w:t>
      </w:r>
      <w:r w:rsidR="001D2C41">
        <w:rPr>
          <w:rFonts w:eastAsia="Cambria"/>
        </w:rPr>
        <w:t>.</w:t>
      </w:r>
      <w:r w:rsidR="001D2C41" w:rsidRPr="001D2C41">
        <w:t xml:space="preserve"> </w:t>
      </w:r>
      <w:r w:rsidR="001D2C41" w:rsidRPr="001D2C41">
        <w:rPr>
          <w:rFonts w:eastAsia="Cambria"/>
        </w:rPr>
        <w:t>Asetuksen 61 ja</w:t>
      </w:r>
      <w:r w:rsidR="001D2C41">
        <w:rPr>
          <w:rFonts w:eastAsia="Cambria"/>
        </w:rPr>
        <w:t xml:space="preserve"> </w:t>
      </w:r>
      <w:r w:rsidR="001D2C41" w:rsidRPr="001D2C41">
        <w:rPr>
          <w:rFonts w:eastAsia="Cambria"/>
        </w:rPr>
        <w:t>62 §:ssä kuvataan valtioneuvostolle toimitettavan aineiston vaatimukset, ja 62 a §:ssä</w:t>
      </w:r>
      <w:r w:rsidR="001D2C41">
        <w:rPr>
          <w:rFonts w:eastAsia="Cambria"/>
        </w:rPr>
        <w:t xml:space="preserve"> </w:t>
      </w:r>
      <w:proofErr w:type="spellStart"/>
      <w:r w:rsidR="001D2C41" w:rsidRPr="001D2C41">
        <w:rPr>
          <w:rFonts w:eastAsia="Cambria"/>
        </w:rPr>
        <w:t>STUKille</w:t>
      </w:r>
      <w:proofErr w:type="spellEnd"/>
      <w:r w:rsidR="001D2C41" w:rsidRPr="001D2C41">
        <w:rPr>
          <w:rFonts w:eastAsia="Cambria"/>
        </w:rPr>
        <w:t xml:space="preserve"> toimitettava aineisto, joka tulee toimittaa viranomaiselle</w:t>
      </w:r>
      <w:r w:rsidR="001D2C41">
        <w:rPr>
          <w:rFonts w:eastAsia="Cambria"/>
        </w:rPr>
        <w:t xml:space="preserve"> </w:t>
      </w:r>
      <w:r w:rsidR="001D2C41" w:rsidRPr="001D2C41">
        <w:rPr>
          <w:rFonts w:eastAsia="Cambria"/>
        </w:rPr>
        <w:t>samanaikaisesti valtioneuvoston hakemusta jätettäessä.</w:t>
      </w:r>
      <w:r w:rsidR="001D2C41">
        <w:rPr>
          <w:rFonts w:eastAsia="Cambria"/>
        </w:rPr>
        <w:t xml:space="preserve"> </w:t>
      </w:r>
    </w:p>
    <w:p w14:paraId="67DAA3C5" w14:textId="77777777" w:rsidR="003F52A3" w:rsidRDefault="003F52A3" w:rsidP="007C7BCF">
      <w:pPr>
        <w:ind w:left="1304"/>
        <w:jc w:val="both"/>
        <w:rPr>
          <w:rFonts w:eastAsia="Cambria"/>
        </w:rPr>
      </w:pPr>
    </w:p>
    <w:p w14:paraId="4F964CE1" w14:textId="4F6D8D6B" w:rsidR="00DC67B9" w:rsidRDefault="004A30E3" w:rsidP="007C7BCF">
      <w:pPr>
        <w:ind w:left="1304"/>
        <w:jc w:val="both"/>
        <w:rPr>
          <w:rFonts w:eastAsia="Cambria"/>
        </w:rPr>
      </w:pPr>
      <w:r w:rsidRPr="004A30E3">
        <w:rPr>
          <w:rFonts w:eastAsia="Cambria"/>
        </w:rPr>
        <w:lastRenderedPageBreak/>
        <w:t>Luvanhaltijalla on oltava palveluksessa riittävä ja osaava henkilöstö rikastamon säteilyturvallisuudesta huolehtimiseksi ydinenergialain 7 i §:n mukaisesti. Luvanhaltijalla on oltava ydinenergialain 7 k §:n mukainen vastuullinen johtaja ja hänelle varahenkilö.</w:t>
      </w:r>
      <w:r>
        <w:rPr>
          <w:rFonts w:eastAsia="Cambria"/>
        </w:rPr>
        <w:t xml:space="preserve"> </w:t>
      </w:r>
      <w:r w:rsidR="00C12306">
        <w:rPr>
          <w:rFonts w:eastAsia="Cambria"/>
        </w:rPr>
        <w:t>Määräyksen 12 §:n kohdata 1</w:t>
      </w:r>
      <w:r w:rsidR="00BA5959" w:rsidRPr="00BA5959">
        <w:rPr>
          <w:rFonts w:eastAsia="Cambria"/>
        </w:rPr>
        <w:t xml:space="preserve"> on poistettu viittaukset ydinenergialain 7 i ja 7 k §:iin, sillä jo laissa olevia vaatimuksia ei</w:t>
      </w:r>
      <w:r w:rsidR="00BA5959">
        <w:rPr>
          <w:rFonts w:eastAsia="Cambria"/>
        </w:rPr>
        <w:t xml:space="preserve"> määräyksessä</w:t>
      </w:r>
      <w:r w:rsidR="00BA5959" w:rsidRPr="00BA5959">
        <w:rPr>
          <w:rFonts w:eastAsia="Cambria"/>
        </w:rPr>
        <w:t xml:space="preserve"> toisteta.</w:t>
      </w:r>
    </w:p>
    <w:p w14:paraId="0E26DC1E" w14:textId="77777777" w:rsidR="00DC67B9" w:rsidRDefault="00DC67B9" w:rsidP="007C7BCF">
      <w:pPr>
        <w:ind w:left="1304"/>
        <w:jc w:val="both"/>
        <w:rPr>
          <w:rFonts w:eastAsia="Cambria"/>
        </w:rPr>
      </w:pPr>
    </w:p>
    <w:p w14:paraId="71976337" w14:textId="54103DFC" w:rsidR="007C7BCF" w:rsidRPr="00944C16" w:rsidRDefault="007C7BCF" w:rsidP="007C7BCF">
      <w:pPr>
        <w:ind w:left="1304"/>
        <w:jc w:val="both"/>
        <w:rPr>
          <w:rFonts w:eastAsia="Cambria"/>
        </w:rPr>
      </w:pPr>
      <w:r w:rsidRPr="00944C16">
        <w:rPr>
          <w:rFonts w:eastAsia="Cambria"/>
        </w:rPr>
        <w:t>Laitoksen johtosuhteet ja säteilyturvallisen toiminnan kannalta merkittävät tehtävät ja vastuut on määriteltävä ja dokumentoitava. Säteilyturvallisuuden edellytyksenä on, että luvanhaltijalla on riittävä ja vastuuntuntoinen henkilöstö, jolla on tehtäviensä edellyttämä koulutus ja ammattitaito ja joka tiedostaa tehtäviensä turvallisuus</w:t>
      </w:r>
      <w:r w:rsidR="00624FC6">
        <w:rPr>
          <w:rFonts w:eastAsia="Cambria"/>
        </w:rPr>
        <w:softHyphen/>
      </w:r>
      <w:r w:rsidRPr="00944C16">
        <w:rPr>
          <w:rFonts w:eastAsia="Cambria"/>
        </w:rPr>
        <w:t>merkityksen.</w:t>
      </w:r>
    </w:p>
    <w:p w14:paraId="57C62A8B" w14:textId="03B8CA69" w:rsidR="007C7BCF" w:rsidRDefault="007C7BCF" w:rsidP="00624FC6">
      <w:pPr>
        <w:tabs>
          <w:tab w:val="left" w:pos="1304"/>
        </w:tabs>
        <w:spacing w:before="120" w:after="120"/>
        <w:ind w:left="1304"/>
        <w:jc w:val="both"/>
        <w:rPr>
          <w:rFonts w:eastAsia="Times New Roman"/>
          <w:lang w:eastAsia="fi-FI"/>
        </w:rPr>
      </w:pPr>
      <w:r w:rsidRPr="00944C16">
        <w:rPr>
          <w:rFonts w:eastAsia="Times New Roman"/>
          <w:lang w:eastAsia="fi-FI"/>
        </w:rPr>
        <w:t>Säteilyturvallisuuteen liittyviä toimintoja ohjaavien ja valvovien henkilöiden säteily</w:t>
      </w:r>
      <w:r w:rsidR="00624FC6">
        <w:rPr>
          <w:rFonts w:eastAsia="Times New Roman"/>
          <w:lang w:eastAsia="fi-FI"/>
        </w:rPr>
        <w:softHyphen/>
      </w:r>
      <w:r w:rsidRPr="00944C16">
        <w:rPr>
          <w:rFonts w:eastAsia="Times New Roman"/>
          <w:lang w:eastAsia="fi-FI"/>
        </w:rPr>
        <w:t>suojeluosaamisen kehittämiseksi ja ylläpitämiseksi on laadittava koulutusohjelmat, ja kyseisissä tehtävissä tarvittavien tietojen riittävä hallinta on todennettava. Lisäksi kaikille tuotantoyksikössä vakinaisesti tai väliaikaisesti työskentelevälle henkilöstölle on annettava perustiedot säteilyturvallisuusasioista (</w:t>
      </w:r>
      <w:r w:rsidR="00A80B6F">
        <w:rPr>
          <w:rFonts w:eastAsia="Times New Roman"/>
          <w:lang w:eastAsia="fi-FI"/>
        </w:rPr>
        <w:t>ydinenergia</w:t>
      </w:r>
      <w:r w:rsidRPr="00944C16">
        <w:rPr>
          <w:rFonts w:eastAsia="Times New Roman"/>
          <w:lang w:eastAsia="fi-FI"/>
        </w:rPr>
        <w:t xml:space="preserve">lain </w:t>
      </w:r>
      <w:r w:rsidR="00A80B6F">
        <w:rPr>
          <w:rFonts w:eastAsia="Times New Roman"/>
          <w:lang w:eastAsia="fi-FI"/>
        </w:rPr>
        <w:t>2a § 1 momentti</w:t>
      </w:r>
      <w:r w:rsidRPr="00944C16">
        <w:rPr>
          <w:rFonts w:eastAsia="Times New Roman"/>
          <w:lang w:eastAsia="fi-FI"/>
        </w:rPr>
        <w:t xml:space="preserve"> </w:t>
      </w:r>
      <w:r w:rsidR="00A80B6F">
        <w:rPr>
          <w:rFonts w:eastAsia="Times New Roman"/>
          <w:lang w:eastAsia="fi-FI"/>
        </w:rPr>
        <w:t>kohta 6</w:t>
      </w:r>
      <w:r w:rsidRPr="00944C16">
        <w:rPr>
          <w:rFonts w:eastAsia="Times New Roman"/>
          <w:lang w:eastAsia="fi-FI"/>
        </w:rPr>
        <w:t xml:space="preserve">). </w:t>
      </w:r>
    </w:p>
    <w:p w14:paraId="23207FA8" w14:textId="77777777" w:rsidR="00FA10BA" w:rsidRDefault="00A15524" w:rsidP="00624FC6">
      <w:pPr>
        <w:tabs>
          <w:tab w:val="left" w:pos="1304"/>
        </w:tabs>
        <w:spacing w:before="120" w:after="120"/>
        <w:ind w:left="1304"/>
        <w:jc w:val="both"/>
        <w:rPr>
          <w:rFonts w:eastAsia="Times New Roman"/>
          <w:lang w:eastAsia="fi-FI"/>
        </w:rPr>
      </w:pPr>
      <w:r>
        <w:rPr>
          <w:rFonts w:eastAsia="Times New Roman"/>
          <w:lang w:eastAsia="fi-FI"/>
        </w:rPr>
        <w:t>J</w:t>
      </w:r>
      <w:r w:rsidRPr="00A15524">
        <w:rPr>
          <w:rFonts w:eastAsia="Times New Roman"/>
          <w:lang w:eastAsia="fi-FI"/>
        </w:rPr>
        <w:t>otta luvanhakijan/haltijan organisaatio pystyy toimimaan siten, että turvallisuus</w:t>
      </w:r>
      <w:r>
        <w:rPr>
          <w:rFonts w:eastAsia="Times New Roman"/>
          <w:lang w:eastAsia="fi-FI"/>
        </w:rPr>
        <w:softHyphen/>
      </w:r>
      <w:r w:rsidRPr="00A15524">
        <w:rPr>
          <w:rFonts w:eastAsia="Times New Roman"/>
          <w:lang w:eastAsia="fi-FI"/>
        </w:rPr>
        <w:t>vaatimukset täyttyvät, sillä on oltava ohjeistojärjestelmä henkilöstön toiminnan ohjaamiseksi ja menettelyt, joiden avulla varmistetaan ohjeiden mukainen toiminta. Tällaisia ohjeistojärjestelmiä voidaan kutsua hallintajärjestelmiksi taikka johtamis</w:t>
      </w:r>
      <w:r>
        <w:rPr>
          <w:rFonts w:eastAsia="Times New Roman"/>
          <w:lang w:eastAsia="fi-FI"/>
        </w:rPr>
        <w:softHyphen/>
      </w:r>
      <w:r w:rsidRPr="00A15524">
        <w:rPr>
          <w:rFonts w:eastAsia="Times New Roman"/>
          <w:lang w:eastAsia="fi-FI"/>
        </w:rPr>
        <w:t>järjestelmiksi</w:t>
      </w:r>
      <w:r>
        <w:rPr>
          <w:rFonts w:eastAsia="Times New Roman"/>
          <w:lang w:eastAsia="fi-FI"/>
        </w:rPr>
        <w:t>.</w:t>
      </w:r>
      <w:r w:rsidRPr="00A15524">
        <w:rPr>
          <w:rFonts w:eastAsia="Times New Roman"/>
          <w:lang w:eastAsia="fi-FI"/>
        </w:rPr>
        <w:t xml:space="preserve"> </w:t>
      </w:r>
    </w:p>
    <w:p w14:paraId="489E7FB1" w14:textId="61D67F9E" w:rsidR="003F52A3" w:rsidRDefault="003F52A3" w:rsidP="00624FC6">
      <w:pPr>
        <w:tabs>
          <w:tab w:val="left" w:pos="1304"/>
        </w:tabs>
        <w:spacing w:before="120" w:after="120"/>
        <w:ind w:left="1304"/>
        <w:jc w:val="both"/>
        <w:rPr>
          <w:rFonts w:eastAsia="Times New Roman"/>
          <w:lang w:eastAsia="fi-FI"/>
        </w:rPr>
      </w:pPr>
      <w:r w:rsidRPr="003F52A3">
        <w:rPr>
          <w:rFonts w:eastAsia="Times New Roman"/>
          <w:lang w:eastAsia="fi-FI"/>
        </w:rPr>
        <w:t>Johtamisjärjestelmän tulee sisältää talteenottoprosessin kuvau</w:t>
      </w:r>
      <w:r w:rsidR="00FA45D7">
        <w:rPr>
          <w:rFonts w:eastAsia="Times New Roman"/>
          <w:lang w:eastAsia="fi-FI"/>
        </w:rPr>
        <w:t>s</w:t>
      </w:r>
      <w:r w:rsidRPr="003F52A3">
        <w:rPr>
          <w:rFonts w:eastAsia="Times New Roman"/>
          <w:lang w:eastAsia="fi-FI"/>
        </w:rPr>
        <w:t xml:space="preserve"> ja ohjeet, joiden pohjalta toimintaa voidaan toteuttaa turvallisuusvaatimukset täyttävästi.</w:t>
      </w:r>
      <w:r w:rsidR="000A72D6">
        <w:rPr>
          <w:rFonts w:eastAsia="Times New Roman"/>
          <w:lang w:eastAsia="fi-FI"/>
        </w:rPr>
        <w:t xml:space="preserve"> </w:t>
      </w:r>
      <w:r w:rsidR="00FA10BA">
        <w:rPr>
          <w:rFonts w:eastAsia="Times New Roman"/>
          <w:lang w:eastAsia="fi-FI"/>
        </w:rPr>
        <w:t>V</w:t>
      </w:r>
      <w:r w:rsidR="000A72D6">
        <w:rPr>
          <w:rFonts w:eastAsia="Times New Roman"/>
          <w:lang w:eastAsia="fi-FI"/>
        </w:rPr>
        <w:t>aatimus on lisätty pykälän kohdaksi 5.</w:t>
      </w:r>
    </w:p>
    <w:p w14:paraId="4BE2C00A" w14:textId="744A0C9C" w:rsidR="00333875" w:rsidRPr="00944C16" w:rsidRDefault="00333875" w:rsidP="00624FC6">
      <w:pPr>
        <w:tabs>
          <w:tab w:val="left" w:pos="1304"/>
        </w:tabs>
        <w:spacing w:before="120" w:after="120"/>
        <w:ind w:left="1304"/>
        <w:jc w:val="both"/>
        <w:rPr>
          <w:rFonts w:eastAsia="Times New Roman"/>
          <w:lang w:eastAsia="fi-FI"/>
        </w:rPr>
      </w:pPr>
    </w:p>
    <w:p w14:paraId="03BD252D"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Ydinmateriaalivalvonta ja turvajärjestelyt</w:t>
      </w:r>
    </w:p>
    <w:p w14:paraId="0A47EA9F" w14:textId="77777777" w:rsidR="007C7BCF" w:rsidRPr="00944C16" w:rsidRDefault="007C7BCF" w:rsidP="007C7BCF">
      <w:pPr>
        <w:tabs>
          <w:tab w:val="left" w:pos="1304"/>
        </w:tabs>
        <w:spacing w:before="120" w:after="120"/>
        <w:ind w:left="1304"/>
        <w:rPr>
          <w:rFonts w:eastAsia="Times New Roman"/>
          <w:lang w:eastAsia="fi-FI"/>
        </w:rPr>
      </w:pPr>
      <w:r w:rsidRPr="00944C16">
        <w:rPr>
          <w:rFonts w:eastAsia="Times New Roman"/>
          <w:lang w:eastAsia="fi-FI"/>
        </w:rPr>
        <w:t xml:space="preserve">Pykälässä muistutetaan turvajärjestelyistä ja ydinmateriaalivalvonnan velvoitteista. Nämä perustuvat ydinenergialakiin ja -asetukseen. </w:t>
      </w:r>
    </w:p>
    <w:p w14:paraId="72A8D826" w14:textId="57D2B741" w:rsidR="00054A81" w:rsidRDefault="007C7BCF" w:rsidP="007C7BCF">
      <w:pPr>
        <w:tabs>
          <w:tab w:val="left" w:pos="1304"/>
        </w:tabs>
        <w:spacing w:before="120" w:after="120"/>
        <w:ind w:left="1304"/>
        <w:rPr>
          <w:rFonts w:eastAsia="Times New Roman"/>
          <w:lang w:eastAsia="fi-FI"/>
        </w:rPr>
      </w:pPr>
      <w:r w:rsidRPr="00944C16">
        <w:rPr>
          <w:rFonts w:eastAsia="Times New Roman"/>
          <w:lang w:eastAsia="fi-FI"/>
        </w:rPr>
        <w:t>YEL 7 l §:ssä säädetään käytännössä turvajärjestelyjen suunnitteluperusteista, itse vaatimus ydinenergian käytön turvajärjestelyille on YEL 7 §:</w:t>
      </w:r>
      <w:proofErr w:type="spellStart"/>
      <w:r w:rsidRPr="00944C16">
        <w:rPr>
          <w:rFonts w:eastAsia="Times New Roman"/>
          <w:lang w:eastAsia="fi-FI"/>
        </w:rPr>
        <w:t>ssä</w:t>
      </w:r>
      <w:proofErr w:type="spellEnd"/>
      <w:r w:rsidRPr="00944C16">
        <w:rPr>
          <w:rFonts w:eastAsia="Times New Roman"/>
          <w:lang w:eastAsia="fi-FI"/>
        </w:rPr>
        <w:t>. Viit</w:t>
      </w:r>
      <w:r w:rsidR="00FF76BB">
        <w:rPr>
          <w:rFonts w:eastAsia="Times New Roman"/>
          <w:lang w:eastAsia="fi-FI"/>
        </w:rPr>
        <w:t>t</w:t>
      </w:r>
      <w:r w:rsidRPr="00944C16">
        <w:rPr>
          <w:rFonts w:eastAsia="Times New Roman"/>
          <w:lang w:eastAsia="fi-FI"/>
        </w:rPr>
        <w:t xml:space="preserve">aus </w:t>
      </w:r>
      <w:r w:rsidR="008129EB">
        <w:rPr>
          <w:rFonts w:eastAsia="Times New Roman"/>
          <w:lang w:eastAsia="fi-FI"/>
        </w:rPr>
        <w:t>muutettiin yleisemmäksi</w:t>
      </w:r>
      <w:r w:rsidRPr="00944C16">
        <w:rPr>
          <w:rFonts w:eastAsia="Times New Roman"/>
          <w:lang w:eastAsia="fi-FI"/>
        </w:rPr>
        <w:t>.</w:t>
      </w:r>
      <w:r w:rsidR="0082395F">
        <w:rPr>
          <w:rFonts w:eastAsia="Times New Roman"/>
          <w:lang w:eastAsia="fi-FI"/>
        </w:rPr>
        <w:t xml:space="preserve"> </w:t>
      </w:r>
      <w:proofErr w:type="spellStart"/>
      <w:r w:rsidR="0082395F" w:rsidRPr="0082395F">
        <w:rPr>
          <w:rFonts w:eastAsia="Times New Roman"/>
          <w:lang w:eastAsia="fi-FI"/>
        </w:rPr>
        <w:t>STUKin</w:t>
      </w:r>
      <w:proofErr w:type="spellEnd"/>
      <w:r w:rsidR="0082395F" w:rsidRPr="0082395F">
        <w:rPr>
          <w:rFonts w:eastAsia="Times New Roman"/>
          <w:lang w:eastAsia="fi-FI"/>
        </w:rPr>
        <w:t xml:space="preserve"> määräykseen STUK Y/3/20</w:t>
      </w:r>
      <w:r w:rsidR="0082395F">
        <w:rPr>
          <w:rFonts w:eastAsia="Times New Roman"/>
          <w:lang w:eastAsia="fi-FI"/>
        </w:rPr>
        <w:t>20</w:t>
      </w:r>
      <w:r w:rsidR="0082395F" w:rsidRPr="0082395F">
        <w:rPr>
          <w:rFonts w:eastAsia="Times New Roman"/>
          <w:lang w:eastAsia="fi-FI"/>
        </w:rPr>
        <w:t xml:space="preserve"> tulee myös tiettyjä vaatimuksia tälle toiminnalle</w:t>
      </w:r>
      <w:r w:rsidR="0082395F">
        <w:rPr>
          <w:rFonts w:eastAsia="Times New Roman"/>
          <w:lang w:eastAsia="fi-FI"/>
        </w:rPr>
        <w:t>.</w:t>
      </w:r>
    </w:p>
    <w:p w14:paraId="5E4A5E7B" w14:textId="77777777" w:rsidR="00AE04C4" w:rsidRPr="00944C16" w:rsidRDefault="00AE04C4" w:rsidP="007C7BCF">
      <w:pPr>
        <w:tabs>
          <w:tab w:val="left" w:pos="1304"/>
        </w:tabs>
        <w:spacing w:before="120" w:after="120"/>
        <w:ind w:left="1304"/>
        <w:rPr>
          <w:rFonts w:eastAsia="Times New Roman"/>
          <w:lang w:eastAsia="fi-FI"/>
        </w:rPr>
      </w:pPr>
    </w:p>
    <w:p w14:paraId="61B316CF"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Ydinjätehuollon periaate</w:t>
      </w:r>
    </w:p>
    <w:p w14:paraId="2E7EE056" w14:textId="52790CA2" w:rsidR="007C7BCF" w:rsidRDefault="007C7BCF" w:rsidP="00624FC6">
      <w:pPr>
        <w:tabs>
          <w:tab w:val="left" w:pos="1304"/>
        </w:tabs>
        <w:spacing w:before="120" w:after="120"/>
        <w:ind w:left="1304"/>
        <w:jc w:val="both"/>
        <w:rPr>
          <w:rFonts w:eastAsia="Times New Roman"/>
          <w:lang w:eastAsia="fi-FI"/>
        </w:rPr>
      </w:pPr>
      <w:r w:rsidRPr="00944C16">
        <w:rPr>
          <w:rFonts w:eastAsia="Times New Roman"/>
          <w:lang w:eastAsia="fi-FI"/>
        </w:rPr>
        <w:t>Pykälässä säädetään ydinjätehuollon periaatteesta. Uraanin ja toriumin tuotannossa syntyvä tuotantojäte saattaa sisältää radioaktiivisia aineita siinä määrin, että on aiheellista asettaa erityisvaatimuksia sen käsittelylle ja loppusijoitukselle. Tarvittavat loppusijoitustoimet riippuvat ydinjätteen määrästä, aktiivisuuspitoisuudesta ja muista säteilyaltistukseen vaikuttavista tekijöistä sekä paikallisista olosuhteista.</w:t>
      </w:r>
    </w:p>
    <w:p w14:paraId="08E6932C" w14:textId="12326D5F" w:rsidR="00054A81" w:rsidRDefault="00054A81" w:rsidP="00624FC6">
      <w:pPr>
        <w:tabs>
          <w:tab w:val="left" w:pos="1304"/>
        </w:tabs>
        <w:spacing w:before="120" w:after="120"/>
        <w:ind w:left="1304"/>
        <w:jc w:val="both"/>
        <w:rPr>
          <w:rFonts w:eastAsia="Times New Roman"/>
          <w:lang w:eastAsia="fi-FI"/>
        </w:rPr>
      </w:pPr>
    </w:p>
    <w:p w14:paraId="339AA1DD" w14:textId="4E4078A5" w:rsidR="007D11C8" w:rsidRDefault="007D11C8">
      <w:pPr>
        <w:rPr>
          <w:rFonts w:eastAsia="Times New Roman"/>
          <w:lang w:eastAsia="fi-FI"/>
        </w:rPr>
      </w:pPr>
      <w:r>
        <w:rPr>
          <w:rFonts w:eastAsia="Times New Roman"/>
          <w:lang w:eastAsia="fi-FI"/>
        </w:rPr>
        <w:br w:type="page"/>
      </w:r>
    </w:p>
    <w:p w14:paraId="1130AEEB" w14:textId="49CD18BF"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lastRenderedPageBreak/>
        <w:t xml:space="preserve">§ </w:t>
      </w:r>
      <w:r w:rsidR="00F960D0">
        <w:rPr>
          <w:rFonts w:eastAsia="Times New Roman"/>
          <w:b/>
          <w:lang w:eastAsia="fi-FI"/>
        </w:rPr>
        <w:t>Radioaktiivisen t</w:t>
      </w:r>
      <w:r w:rsidRPr="00944C16">
        <w:rPr>
          <w:rFonts w:eastAsia="Times New Roman"/>
          <w:b/>
          <w:lang w:eastAsia="fi-FI"/>
        </w:rPr>
        <w:t>uotantojätteen loppusijoitus</w:t>
      </w:r>
    </w:p>
    <w:p w14:paraId="13B325B8" w14:textId="143F4471" w:rsidR="007C7BCF" w:rsidRDefault="007C7BCF" w:rsidP="00624FC6">
      <w:pPr>
        <w:tabs>
          <w:tab w:val="left" w:pos="1304"/>
        </w:tabs>
        <w:spacing w:before="120" w:after="120"/>
        <w:ind w:left="1298"/>
        <w:jc w:val="both"/>
        <w:rPr>
          <w:rFonts w:eastAsia="Times New Roman"/>
          <w:lang w:eastAsia="fi-FI"/>
        </w:rPr>
      </w:pPr>
      <w:r w:rsidRPr="00944C16">
        <w:rPr>
          <w:rFonts w:eastAsia="Times New Roman"/>
          <w:lang w:eastAsia="fi-FI"/>
        </w:rPr>
        <w:t xml:space="preserve">Pykälässä säädetään tarkemmat määräykset </w:t>
      </w:r>
      <w:r w:rsidR="00F960D0">
        <w:rPr>
          <w:rFonts w:eastAsia="Times New Roman"/>
          <w:lang w:eastAsia="fi-FI"/>
        </w:rPr>
        <w:t xml:space="preserve">radioaktiivisen </w:t>
      </w:r>
      <w:r w:rsidRPr="00944C16">
        <w:rPr>
          <w:rFonts w:eastAsia="Times New Roman"/>
          <w:lang w:eastAsia="fi-FI"/>
        </w:rPr>
        <w:t>tuotantojätteen loppusijoituksesta. Ydinenergialain 63 §:n 1 momentin 6 kohdan nojalla Säteilyturvakeskuksella on oikeus antaa kiinteistöä koskevia turvallisuuden varmistamiseksi välttämättömiä toimenpidekieltoja, milloin kiinteistöllä on ydinjätteiden loppusijoitustiloja. Luvanhaltijan on 15 §:n 1 kohdan mukaan varattava tuotantojätteen loppusijoitusalueen ympärille tarvittava riittävän laaja suoja-alue em. toimenpidekieltojen toimeenpanoa varten. Alueen laajuuden määrittämisessä tavoitteena on oltava loppusijoituslaitoksen suojeleminen väestön toimenpiteiltä.</w:t>
      </w:r>
    </w:p>
    <w:p w14:paraId="5A316596" w14:textId="6DEC68C7" w:rsidR="003F1895" w:rsidRPr="00944C16" w:rsidRDefault="00817ABB" w:rsidP="00624FC6">
      <w:pPr>
        <w:tabs>
          <w:tab w:val="left" w:pos="1304"/>
        </w:tabs>
        <w:spacing w:before="120" w:after="120"/>
        <w:ind w:left="1298"/>
        <w:jc w:val="both"/>
        <w:rPr>
          <w:rFonts w:eastAsia="Times New Roman"/>
          <w:lang w:eastAsia="fi-FI"/>
        </w:rPr>
      </w:pPr>
      <w:r>
        <w:rPr>
          <w:rFonts w:eastAsia="Times New Roman"/>
          <w:lang w:eastAsia="fi-FI"/>
        </w:rPr>
        <w:t xml:space="preserve">Sivukiven loppusijoitusta koskevat vaatimukset (kohta 2) on poistettu, sillä </w:t>
      </w:r>
      <w:r w:rsidRPr="00817ABB">
        <w:rPr>
          <w:rFonts w:eastAsia="Times New Roman"/>
          <w:lang w:eastAsia="fi-FI"/>
        </w:rPr>
        <w:t>määräys ei koske kaivostoimintaa, johon sivukivi liittyy</w:t>
      </w:r>
      <w:r>
        <w:rPr>
          <w:rFonts w:eastAsia="Times New Roman"/>
          <w:lang w:eastAsia="fi-FI"/>
        </w:rPr>
        <w:t>.</w:t>
      </w:r>
    </w:p>
    <w:p w14:paraId="5ABACE19" w14:textId="10A8BD2E" w:rsidR="007C7BCF" w:rsidRDefault="007C7BCF" w:rsidP="00624FC6">
      <w:pPr>
        <w:tabs>
          <w:tab w:val="left" w:pos="1304"/>
        </w:tabs>
        <w:spacing w:before="120" w:after="120"/>
        <w:ind w:left="1298"/>
        <w:jc w:val="both"/>
        <w:rPr>
          <w:rFonts w:eastAsia="Times New Roman"/>
          <w:lang w:eastAsia="fi-FI"/>
        </w:rPr>
      </w:pPr>
      <w:r w:rsidRPr="00944C16">
        <w:rPr>
          <w:rFonts w:eastAsia="Times New Roman"/>
          <w:lang w:eastAsia="fi-FI"/>
        </w:rPr>
        <w:t xml:space="preserve">Pykälässä säädetyillä vaatimuksilla pyritään siihen, ettei tuotantojätteen loppusijoitus aiheuta säteilyvaaraa pitkälläkään aikavälillä. Tuotantojätteen loppusijoitustilan eristyksen on kestettävä luonnonilmiöistä aiheutuvaa heikentymistä. </w:t>
      </w:r>
    </w:p>
    <w:p w14:paraId="346E380C" w14:textId="77777777" w:rsidR="00054A81" w:rsidRPr="00944C16" w:rsidRDefault="00054A81" w:rsidP="00624FC6">
      <w:pPr>
        <w:tabs>
          <w:tab w:val="left" w:pos="1304"/>
        </w:tabs>
        <w:spacing w:before="120" w:after="120"/>
        <w:ind w:left="1298"/>
        <w:jc w:val="both"/>
        <w:rPr>
          <w:rFonts w:eastAsia="Times New Roman"/>
          <w:lang w:eastAsia="fi-FI"/>
        </w:rPr>
      </w:pPr>
    </w:p>
    <w:p w14:paraId="3F91C505"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Radioaktiivisten aineiden saastuttamat materiaalit</w:t>
      </w:r>
    </w:p>
    <w:p w14:paraId="56401DD7" w14:textId="5C3B32F3" w:rsidR="007C7BCF" w:rsidRDefault="007C7BCF" w:rsidP="00624FC6">
      <w:pPr>
        <w:tabs>
          <w:tab w:val="left" w:pos="1304"/>
        </w:tabs>
        <w:spacing w:before="120" w:after="120"/>
        <w:ind w:left="1298"/>
        <w:jc w:val="both"/>
        <w:rPr>
          <w:rFonts w:eastAsia="Times New Roman"/>
          <w:lang w:eastAsia="fi-FI"/>
        </w:rPr>
      </w:pPr>
      <w:r w:rsidRPr="00944C16">
        <w:rPr>
          <w:rFonts w:eastAsia="Times New Roman"/>
          <w:lang w:eastAsia="fi-FI"/>
        </w:rPr>
        <w:t>Tuotantojätteen ohella myös muusta toiminnan aikana syntyneestä radioaktiivisesta jätteestä on huolehdittava asianmukaisesti. Malminrikastuksen yhteydessä radioaktiivisia aineita voi kertyä esim. putkistoihin tai muihin rakenteisiin. Jos radioaktiivisten aineiden saastuttamia rakenteita, esineitä, laitteita ja materiaaleja ei voida puhdistaa</w:t>
      </w:r>
      <w:r w:rsidR="00F960D0" w:rsidRPr="00F960D0">
        <w:t xml:space="preserve"> </w:t>
      </w:r>
      <w:r w:rsidR="00F960D0" w:rsidRPr="00F960D0">
        <w:rPr>
          <w:rFonts w:eastAsia="Times New Roman"/>
          <w:lang w:eastAsia="fi-FI"/>
        </w:rPr>
        <w:t>ja vapauttaa valvonnasta ydinenergialain 27 c §:n mukaisesti</w:t>
      </w:r>
      <w:r w:rsidRPr="00944C16">
        <w:rPr>
          <w:rFonts w:eastAsia="Times New Roman"/>
          <w:lang w:eastAsia="fi-FI"/>
        </w:rPr>
        <w:t>, ne on purettava ja loppusijoitettava</w:t>
      </w:r>
      <w:r w:rsidR="00F960D0">
        <w:rPr>
          <w:rFonts w:eastAsia="Times New Roman"/>
          <w:lang w:eastAsia="fi-FI"/>
        </w:rPr>
        <w:t xml:space="preserve"> </w:t>
      </w:r>
      <w:r w:rsidR="00F960D0" w:rsidRPr="00F960D0">
        <w:rPr>
          <w:rFonts w:eastAsia="Times New Roman"/>
          <w:lang w:eastAsia="fi-FI"/>
        </w:rPr>
        <w:t>siten, että ydinenergia-asetuksen 22 § c:n pykälän vaatimukset täyttyvät</w:t>
      </w:r>
      <w:r w:rsidRPr="00944C16">
        <w:rPr>
          <w:rFonts w:eastAsia="Times New Roman"/>
          <w:lang w:eastAsia="fi-FI"/>
        </w:rPr>
        <w:t xml:space="preserve">. Mikäli kontaminaatio on puhdistuksen jälkeen vähäistä, yksi mahdollisuus on loppusijoitus tuotantojätteen kanssa.  </w:t>
      </w:r>
    </w:p>
    <w:p w14:paraId="4717EC4E" w14:textId="77777777" w:rsidR="00054A81" w:rsidRPr="00944C16" w:rsidRDefault="00054A81" w:rsidP="00624FC6">
      <w:pPr>
        <w:tabs>
          <w:tab w:val="left" w:pos="1304"/>
        </w:tabs>
        <w:spacing w:before="120" w:after="120"/>
        <w:ind w:left="1298"/>
        <w:jc w:val="both"/>
        <w:rPr>
          <w:rFonts w:eastAsia="Times New Roman"/>
          <w:lang w:eastAsia="fi-FI"/>
        </w:rPr>
      </w:pPr>
    </w:p>
    <w:p w14:paraId="6003577A"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Kirjanpito ja raportointi</w:t>
      </w:r>
    </w:p>
    <w:p w14:paraId="7B3FBE5B" w14:textId="0D65333E" w:rsidR="007C7BCF" w:rsidRDefault="007C7BCF" w:rsidP="00A6158F">
      <w:pPr>
        <w:tabs>
          <w:tab w:val="left" w:pos="1304"/>
        </w:tabs>
        <w:spacing w:before="120" w:after="120"/>
        <w:ind w:left="1298"/>
        <w:jc w:val="both"/>
        <w:rPr>
          <w:rFonts w:eastAsia="Times New Roman"/>
          <w:lang w:eastAsia="fi-FI"/>
        </w:rPr>
      </w:pPr>
      <w:r w:rsidRPr="00944C16">
        <w:rPr>
          <w:rFonts w:eastAsia="Times New Roman"/>
          <w:lang w:eastAsia="fi-FI"/>
        </w:rPr>
        <w:t xml:space="preserve">Jotta tieto alueelle loppusijoitetun radioaktiivisten aineiden määristä ja sijainnista olisi helposti löydettävissä esimerkiksi toiminnan jo päätyttyä, säädetään luvanhaltijan velvollisuudesta järjestää loppusijoitettua </w:t>
      </w:r>
      <w:r w:rsidR="00F960D0">
        <w:rPr>
          <w:rFonts w:eastAsia="Times New Roman"/>
          <w:lang w:eastAsia="fi-FI"/>
        </w:rPr>
        <w:t xml:space="preserve">radioaktiivista </w:t>
      </w:r>
      <w:r w:rsidRPr="00944C16">
        <w:rPr>
          <w:rFonts w:eastAsia="Times New Roman"/>
          <w:lang w:eastAsia="fi-FI"/>
        </w:rPr>
        <w:t>tuotantojätettä ja muuta loppusijoitettua ydinjätettä koskeva kirjanpito tiedostoksi, johon sisältyy tiedot jätealueen sijainnista, jätteiden ominaisuuksista ja radioaktiivisten aineiden määristä jätteissä. Jätteen ominaisuuksilla tarkennetaan tieto jätteen laadusta ja alkuperästä kuten sivukivestä, bioliuotuskasasta ja rikastushiekasta muodostuva jäte, rikastamon laitehuollosta tai purusta aiheutunut radioaktiivinen jäte, jota ei voi hyödyntää uudelleen jne. Tiedot on pidettävä jatkuvasti ajan tasalla niin kauan kuin malminrikastustoiminta jatkuu. Tiedot on toimitettava Säteilyturvakeskukselle säännöllisesti. Ilmaisua täsmennettiin, eli ”säännöllisesti” tarkoittaa tässä ”kerran vuodessa”. Säteilyturvakeskus voi YVL-ohjeissa tarkemmin määritellä, missä muodossa ja milloin tiedot on toimitettava.</w:t>
      </w:r>
    </w:p>
    <w:p w14:paraId="5FEB3404" w14:textId="66177BDC" w:rsidR="00054A81" w:rsidRDefault="00054A81" w:rsidP="00A6158F">
      <w:pPr>
        <w:tabs>
          <w:tab w:val="left" w:pos="1304"/>
        </w:tabs>
        <w:spacing w:before="120" w:after="120"/>
        <w:ind w:left="1298"/>
        <w:jc w:val="both"/>
        <w:rPr>
          <w:rFonts w:eastAsia="Times New Roman"/>
          <w:lang w:eastAsia="fi-FI"/>
        </w:rPr>
      </w:pPr>
    </w:p>
    <w:p w14:paraId="7C84F576"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Jälkihoito tuotantoon käytetyllä alueella</w:t>
      </w:r>
    </w:p>
    <w:p w14:paraId="13C9B864" w14:textId="77777777" w:rsidR="007C7BCF" w:rsidRPr="00944C16" w:rsidRDefault="007C7BCF" w:rsidP="00A6158F">
      <w:pPr>
        <w:tabs>
          <w:tab w:val="left" w:pos="1304"/>
        </w:tabs>
        <w:spacing w:before="120" w:after="120"/>
        <w:ind w:left="1298"/>
        <w:jc w:val="both"/>
        <w:rPr>
          <w:rFonts w:eastAsia="Times New Roman"/>
          <w:lang w:eastAsia="fi-FI"/>
        </w:rPr>
      </w:pPr>
      <w:r w:rsidRPr="00944C16">
        <w:rPr>
          <w:rFonts w:eastAsia="Times New Roman"/>
          <w:lang w:eastAsia="fi-FI"/>
        </w:rPr>
        <w:t xml:space="preserve">Kaivoslaissa on säädetty kaivosalueen jälkihoidosta. Kaivoslaissa säädetyn lisäksi uraanin ja toriumin tuotantoalueen jälkihoidossa on huolehdittava, että jälkihoito täyttää </w:t>
      </w:r>
      <w:r w:rsidRPr="00944C16">
        <w:rPr>
          <w:rFonts w:eastAsia="Times New Roman"/>
          <w:lang w:eastAsia="fi-FI"/>
        </w:rPr>
        <w:lastRenderedPageBreak/>
        <w:t>ydinenergialain ja säteilylain nojalla asetetut turvallisuusvaatimukset. Tarkemmat turvallisuusvaatimukset annetaan YVL-ohjeessa.</w:t>
      </w:r>
    </w:p>
    <w:p w14:paraId="3CB38602" w14:textId="5D376B99" w:rsidR="007C7BCF" w:rsidRDefault="007C7BCF" w:rsidP="00A6158F">
      <w:pPr>
        <w:tabs>
          <w:tab w:val="left" w:pos="1304"/>
        </w:tabs>
        <w:spacing w:before="120" w:after="120"/>
        <w:ind w:left="1298"/>
        <w:jc w:val="both"/>
        <w:rPr>
          <w:rFonts w:eastAsia="Times New Roman"/>
          <w:lang w:eastAsia="fi-FI"/>
        </w:rPr>
      </w:pPr>
      <w:r w:rsidRPr="00944C16">
        <w:rPr>
          <w:rFonts w:eastAsia="Times New Roman"/>
          <w:lang w:eastAsia="fi-FI"/>
        </w:rPr>
        <w:t>Ensimmäinen kohta on kumottu määräyksen soveltamisalan muuttamisen takia.</w:t>
      </w:r>
    </w:p>
    <w:p w14:paraId="586C5F11" w14:textId="77777777" w:rsidR="000A72D6" w:rsidRPr="00944C16" w:rsidRDefault="000A72D6" w:rsidP="00A6158F">
      <w:pPr>
        <w:tabs>
          <w:tab w:val="left" w:pos="1304"/>
        </w:tabs>
        <w:spacing w:before="120" w:after="120"/>
        <w:ind w:left="1298"/>
        <w:jc w:val="both"/>
        <w:rPr>
          <w:rFonts w:eastAsia="Times New Roman"/>
          <w:lang w:eastAsia="fi-FI"/>
        </w:rPr>
      </w:pPr>
    </w:p>
    <w:p w14:paraId="0F6A4DC3"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Voimaantulo</w:t>
      </w:r>
    </w:p>
    <w:p w14:paraId="7C35DF05" w14:textId="77777777" w:rsidR="007C7BCF" w:rsidRPr="00944C16" w:rsidRDefault="007C7BCF" w:rsidP="00A6158F">
      <w:pPr>
        <w:spacing w:after="220"/>
        <w:ind w:left="1304"/>
        <w:rPr>
          <w:rFonts w:eastAsia="Cambria"/>
        </w:rPr>
      </w:pPr>
      <w:r w:rsidRPr="00944C16">
        <w:rPr>
          <w:rFonts w:eastAsia="Cambria"/>
        </w:rPr>
        <w:t>Pykälässä säädetään määräyksen voimaantulosta. Samalla kumotaan 22.12.2015 annettu Säteilyturvakeskuksen määräys uraanin tai toriumin tuottamiseksi harjoitettavan kaivostoiminnan ja malminrikastustoiminnan turvallisuudesta.</w:t>
      </w:r>
    </w:p>
    <w:p w14:paraId="39B9B0F6" w14:textId="77777777" w:rsidR="007C7BCF" w:rsidRPr="00944C16" w:rsidRDefault="007C7BCF" w:rsidP="00A6158F">
      <w:pPr>
        <w:spacing w:after="220"/>
        <w:ind w:left="1304"/>
        <w:rPr>
          <w:rFonts w:eastAsia="Cambria"/>
        </w:rPr>
      </w:pPr>
      <w:r w:rsidRPr="00944C16">
        <w:rPr>
          <w:rFonts w:eastAsia="Cambria"/>
        </w:rPr>
        <w:t xml:space="preserve">Määräyksen on tarkoitus tulla voimaan </w:t>
      </w:r>
      <w:r w:rsidRPr="0064622E">
        <w:rPr>
          <w:rFonts w:eastAsia="Cambria"/>
        </w:rPr>
        <w:t>xx päivänä xxxkuuta</w:t>
      </w:r>
      <w:r w:rsidRPr="00944C16">
        <w:rPr>
          <w:rFonts w:eastAsia="Cambria"/>
        </w:rPr>
        <w:t xml:space="preserve"> 2020.</w:t>
      </w:r>
    </w:p>
    <w:p w14:paraId="23C6A7CF" w14:textId="77777777" w:rsidR="007C7BCF" w:rsidRPr="00944C16" w:rsidRDefault="007C7BCF" w:rsidP="00A6158F">
      <w:pPr>
        <w:spacing w:after="220"/>
        <w:ind w:left="1304"/>
        <w:rPr>
          <w:rFonts w:eastAsia="Cambria"/>
        </w:rPr>
      </w:pPr>
      <w:r w:rsidRPr="00944C16">
        <w:rPr>
          <w:rFonts w:eastAsia="Cambria"/>
        </w:rPr>
        <w:t>Määräyksen voimaan tullessa vireillä oleviin asioihin sovelletaan tätä määräystä.</w:t>
      </w:r>
    </w:p>
    <w:p w14:paraId="17206CE5" w14:textId="77777777" w:rsidR="007C7BCF" w:rsidRPr="00944C16" w:rsidRDefault="007C7BCF" w:rsidP="007C7BCF">
      <w:pPr>
        <w:spacing w:after="220"/>
        <w:ind w:left="1304"/>
        <w:jc w:val="both"/>
        <w:rPr>
          <w:rFonts w:eastAsia="Cambria"/>
        </w:rPr>
      </w:pPr>
    </w:p>
    <w:p w14:paraId="51FE459D" w14:textId="77777777" w:rsidR="007C7BCF" w:rsidRPr="00944C16" w:rsidRDefault="007C7BCF" w:rsidP="007C7BCF">
      <w:pPr>
        <w:spacing w:after="220"/>
        <w:ind w:left="1304"/>
        <w:jc w:val="both"/>
        <w:rPr>
          <w:rFonts w:eastAsia="Cambria"/>
          <w:b/>
        </w:rPr>
      </w:pPr>
      <w:r w:rsidRPr="00944C16">
        <w:rPr>
          <w:rFonts w:eastAsia="Cambria"/>
          <w:b/>
        </w:rPr>
        <w:t>Määräyksen saatavuus, ohjaus ja neuvonta:</w:t>
      </w:r>
    </w:p>
    <w:p w14:paraId="22C16942" w14:textId="77777777" w:rsidR="007C7BCF" w:rsidRPr="00944C16" w:rsidRDefault="007C7BCF" w:rsidP="007C7BCF">
      <w:pPr>
        <w:spacing w:after="220"/>
        <w:ind w:left="1304"/>
        <w:jc w:val="both"/>
        <w:rPr>
          <w:rFonts w:eastAsia="Cambria"/>
        </w:rPr>
      </w:pPr>
      <w:r w:rsidRPr="00944C16">
        <w:rPr>
          <w:rFonts w:eastAsia="Cambria"/>
        </w:rPr>
        <w:t xml:space="preserve">Määräys julkaistaan Säteilyturvakeskuksen määräyskokoelmassa, jonka osoite Finlexissä on: </w:t>
      </w:r>
      <w:hyperlink r:id="rId9" w:history="1">
        <w:r w:rsidRPr="00944C16">
          <w:rPr>
            <w:rFonts w:eastAsia="Cambria"/>
            <w:u w:val="single"/>
          </w:rPr>
          <w:t>http://www.finlex.fi/fi/viranomaiset/normi/555001/</w:t>
        </w:r>
      </w:hyperlink>
      <w:r w:rsidRPr="00944C16">
        <w:rPr>
          <w:rFonts w:eastAsia="Cambria"/>
        </w:rPr>
        <w:t>. Määräys on myös saatavilla Säteilyturvakeskuksesta.</w:t>
      </w:r>
    </w:p>
    <w:sectPr w:rsidR="007C7BCF" w:rsidRPr="00944C16" w:rsidSect="00573B89">
      <w:headerReference w:type="default" r:id="rId10"/>
      <w:pgSz w:w="11906" w:h="16838"/>
      <w:pgMar w:top="2438" w:right="1134" w:bottom="170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2B1B3" w14:textId="77777777" w:rsidR="0006271A" w:rsidRDefault="0006271A" w:rsidP="001D19F9">
      <w:r>
        <w:separator/>
      </w:r>
    </w:p>
  </w:endnote>
  <w:endnote w:type="continuationSeparator" w:id="0">
    <w:p w14:paraId="37EB76D6" w14:textId="77777777" w:rsidR="0006271A" w:rsidRDefault="0006271A" w:rsidP="001D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962C" w14:textId="77777777" w:rsidR="0006271A" w:rsidRDefault="0006271A" w:rsidP="001D19F9">
      <w:r>
        <w:separator/>
      </w:r>
    </w:p>
  </w:footnote>
  <w:footnote w:type="continuationSeparator" w:id="0">
    <w:p w14:paraId="7ED8976D" w14:textId="77777777" w:rsidR="0006271A" w:rsidRDefault="0006271A" w:rsidP="001D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unaton"/>
      <w:tblW w:w="5000" w:type="pct"/>
      <w:tblLayout w:type="fixed"/>
      <w:tblCellMar>
        <w:left w:w="0" w:type="dxa"/>
      </w:tblCellMar>
      <w:tblLook w:val="04A0" w:firstRow="1" w:lastRow="0" w:firstColumn="1" w:lastColumn="0" w:noHBand="0" w:noVBand="1"/>
    </w:tblPr>
    <w:tblGrid>
      <w:gridCol w:w="4859"/>
      <w:gridCol w:w="2431"/>
      <w:gridCol w:w="1396"/>
      <w:gridCol w:w="952"/>
    </w:tblGrid>
    <w:tr w:rsidR="000A7336" w14:paraId="5C958B74" w14:textId="77777777" w:rsidTr="00430EE3">
      <w:tc>
        <w:tcPr>
          <w:tcW w:w="2521" w:type="pct"/>
        </w:tcPr>
        <w:p w14:paraId="5593AD77" w14:textId="77777777" w:rsidR="000A7336" w:rsidRPr="004008A8" w:rsidRDefault="000A7336" w:rsidP="00B71099">
          <w:pPr>
            <w:pStyle w:val="Yltunniste"/>
            <w:rPr>
              <w:b/>
            </w:rPr>
          </w:pPr>
          <w:r w:rsidRPr="00392CF0">
            <w:rPr>
              <w:b/>
              <w:noProof/>
              <w:lang w:eastAsia="fi-FI"/>
            </w:rPr>
            <w:drawing>
              <wp:anchor distT="0" distB="0" distL="114300" distR="114300" simplePos="0" relativeHeight="251659264" behindDoc="0" locked="1" layoutInCell="1" allowOverlap="1" wp14:anchorId="51E19BB1" wp14:editId="571EBEB9">
                <wp:simplePos x="0" y="0"/>
                <wp:positionH relativeFrom="column">
                  <wp:posOffset>-67310</wp:posOffset>
                </wp:positionH>
                <wp:positionV relativeFrom="paragraph">
                  <wp:posOffset>-215900</wp:posOffset>
                </wp:positionV>
                <wp:extent cx="1562100" cy="539750"/>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K_logo.em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539750"/>
                        </a:xfrm>
                        <a:prstGeom prst="rect">
                          <a:avLst/>
                        </a:prstGeom>
                      </pic:spPr>
                    </pic:pic>
                  </a:graphicData>
                </a:graphic>
                <wp14:sizeRelH relativeFrom="margin">
                  <wp14:pctWidth>0</wp14:pctWidth>
                </wp14:sizeRelH>
                <wp14:sizeRelV relativeFrom="margin">
                  <wp14:pctHeight>0</wp14:pctHeight>
                </wp14:sizeRelV>
              </wp:anchor>
            </w:drawing>
          </w:r>
        </w:p>
      </w:tc>
      <w:sdt>
        <w:sdtPr>
          <w:rPr>
            <w:b/>
          </w:rPr>
          <w:alias w:val="Asiakirjatyyppi"/>
          <w:tag w:val="Asiakirjatyyppi"/>
          <w:id w:val="110494831"/>
          <w:comboBox>
            <w:listItem w:displayText=" " w:value=" Kirje"/>
            <w:listItem w:displayText="Esittelymuistio" w:value="Esittelymuistio"/>
            <w:listItem w:displayText="Lausunto" w:value="Lausunto"/>
            <w:listItem w:displayText="Muistio" w:value="Muistio"/>
            <w:listItem w:displayText="Perustelumuistio" w:value="Perustelumuistio"/>
            <w:listItem w:displayText="Päätös" w:value="Päätös"/>
            <w:listItem w:displayText="Tarjouspyyntö" w:value="Tarjouspyyntö"/>
            <w:listItem w:displayText="Tarkastusmuistio" w:value="Tarkastusmuistio"/>
            <w:listItem w:displayText="Tilaus" w:value="Tilaus"/>
            <w:listItem w:displayText="Yhteenveto" w:value="Yhteenveto"/>
          </w:comboBox>
        </w:sdtPr>
        <w:sdtEndPr/>
        <w:sdtContent>
          <w:tc>
            <w:tcPr>
              <w:tcW w:w="1261" w:type="pct"/>
            </w:tcPr>
            <w:p w14:paraId="1D728AD8" w14:textId="77777777" w:rsidR="000A7336" w:rsidRPr="00F83356" w:rsidRDefault="0006271A" w:rsidP="00F83356">
              <w:pPr>
                <w:pStyle w:val="Yltunniste"/>
                <w:rPr>
                  <w:b/>
                </w:rPr>
              </w:pPr>
              <w:r>
                <w:rPr>
                  <w:b/>
                </w:rPr>
                <w:t>Perustelumuistio</w:t>
              </w:r>
            </w:p>
          </w:tc>
        </w:sdtContent>
      </w:sdt>
      <w:sdt>
        <w:sdtPr>
          <w:alias w:val="Numero"/>
          <w:tag w:val="Numero"/>
          <w:id w:val="110494832"/>
          <w:dataBinding w:prefixMappings="xmlns:ns0='http://schemas.microsoft.com/office/2006/coverPageProps' " w:xpath="/ns0:CoverPageProperties[1]/ns0:CompanyFax[1]" w:storeItemID="{55AF091B-3C7A-41E3-B477-F2FDAA23CFDA}"/>
          <w:text/>
        </w:sdtPr>
        <w:sdtContent>
          <w:tc>
            <w:tcPr>
              <w:tcW w:w="724" w:type="pct"/>
            </w:tcPr>
            <w:p w14:paraId="4E45476D" w14:textId="302A62AF" w:rsidR="000A7336" w:rsidRPr="001D19F9" w:rsidRDefault="00AB5E0A" w:rsidP="00FC57CF">
              <w:pPr>
                <w:pStyle w:val="Yltunniste"/>
              </w:pPr>
              <w:r>
                <w:t>#19</w:t>
              </w:r>
              <w:r>
                <w:t>19825</w:t>
              </w:r>
            </w:p>
          </w:tc>
        </w:sdtContent>
      </w:sdt>
      <w:tc>
        <w:tcPr>
          <w:tcW w:w="494" w:type="pct"/>
        </w:tcPr>
        <w:p w14:paraId="52D1FAF6" w14:textId="77777777" w:rsidR="000A7336" w:rsidRDefault="000A7336" w:rsidP="00F83356">
          <w:pPr>
            <w:pStyle w:val="Yltunniste"/>
            <w:jc w:val="right"/>
          </w:pPr>
          <w:r>
            <w:fldChar w:fldCharType="begin"/>
          </w:r>
          <w:r>
            <w:instrText xml:space="preserve"> PAGE   \* MERGEFORMAT </w:instrText>
          </w:r>
          <w:r>
            <w:fldChar w:fldCharType="separate"/>
          </w:r>
          <w:r>
            <w:rPr>
              <w:noProof/>
            </w:rPr>
            <w:t>1</w:t>
          </w:r>
          <w:r>
            <w:rPr>
              <w:noProof/>
            </w:rP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p>
      </w:tc>
    </w:tr>
    <w:tr w:rsidR="000A7336" w14:paraId="6099C2E8" w14:textId="77777777" w:rsidTr="00430EE3">
      <w:tc>
        <w:tcPr>
          <w:tcW w:w="2521" w:type="pct"/>
        </w:tcPr>
        <w:p w14:paraId="7013C40B" w14:textId="77777777" w:rsidR="000A7336" w:rsidRPr="001D19F9" w:rsidRDefault="000A7336" w:rsidP="004008A8">
          <w:pPr>
            <w:pStyle w:val="Yltunniste"/>
          </w:pPr>
        </w:p>
      </w:tc>
      <w:sdt>
        <w:sdtPr>
          <w:alias w:val="Tarkenne"/>
          <w:tag w:val="Tarkenne"/>
          <w:id w:val="110494833"/>
          <w:dataBinding w:prefixMappings="xmlns:ns0='http://schemas.microsoft.com/office/2006/coverPageProps' " w:xpath="/ns0:CoverPageProperties[1]/ns0:Abstract[1]" w:storeItemID="{55AF091B-3C7A-41E3-B477-F2FDAA23CFDA}"/>
          <w:text/>
        </w:sdtPr>
        <w:sdtEndPr/>
        <w:sdtContent>
          <w:tc>
            <w:tcPr>
              <w:tcW w:w="1261" w:type="pct"/>
            </w:tcPr>
            <w:p w14:paraId="4154D135" w14:textId="650B5F86" w:rsidR="000A7336" w:rsidRPr="001D19F9" w:rsidRDefault="001569A0" w:rsidP="00FC57CF">
              <w:pPr>
                <w:pStyle w:val="Yltunniste"/>
              </w:pPr>
              <w:r>
                <w:t>LUONNOS 2</w:t>
              </w:r>
            </w:p>
          </w:tc>
        </w:sdtContent>
      </w:sdt>
      <w:sdt>
        <w:sdtPr>
          <w:alias w:val="Liite"/>
          <w:tag w:val="Liite"/>
          <w:id w:val="110494834"/>
          <w:showingPlcHdr/>
          <w:dataBinding w:prefixMappings="xmlns:ns0='http://schemas.microsoft.com/office/2006/coverPageProps' " w:xpath="/ns0:CoverPageProperties[1]/ns0:CompanyPhone[1]" w:storeItemID="{55AF091B-3C7A-41E3-B477-F2FDAA23CFDA}"/>
          <w:text/>
        </w:sdtPr>
        <w:sdtEndPr/>
        <w:sdtContent>
          <w:tc>
            <w:tcPr>
              <w:tcW w:w="1218" w:type="pct"/>
              <w:gridSpan w:val="2"/>
            </w:tcPr>
            <w:p w14:paraId="6DEAB7CA" w14:textId="77777777" w:rsidR="000A7336" w:rsidRPr="001D19F9" w:rsidRDefault="000A7336" w:rsidP="00B71099">
              <w:pPr>
                <w:pStyle w:val="Yltunniste"/>
              </w:pPr>
              <w:r w:rsidRPr="00925DE6">
                <w:rPr>
                  <w:rStyle w:val="Paikkamerkkiteksti"/>
                </w:rPr>
                <w:t>[Liite]</w:t>
              </w:r>
            </w:p>
          </w:tc>
        </w:sdtContent>
      </w:sdt>
    </w:tr>
    <w:tr w:rsidR="000A7336" w14:paraId="1C299801" w14:textId="77777777" w:rsidTr="00430EE3">
      <w:tc>
        <w:tcPr>
          <w:tcW w:w="2521" w:type="pct"/>
        </w:tcPr>
        <w:p w14:paraId="05D7284F" w14:textId="77777777" w:rsidR="000A7336" w:rsidRPr="001D19F9" w:rsidRDefault="000A7336" w:rsidP="004008A8">
          <w:pPr>
            <w:pStyle w:val="Yltunniste"/>
          </w:pPr>
        </w:p>
      </w:tc>
      <w:tc>
        <w:tcPr>
          <w:tcW w:w="1261" w:type="pct"/>
        </w:tcPr>
        <w:p w14:paraId="2A321300" w14:textId="77777777" w:rsidR="000A7336" w:rsidRDefault="000A7336" w:rsidP="00FC57CF">
          <w:pPr>
            <w:pStyle w:val="Yltunniste"/>
          </w:pPr>
        </w:p>
      </w:tc>
      <w:tc>
        <w:tcPr>
          <w:tcW w:w="1218" w:type="pct"/>
          <w:gridSpan w:val="2"/>
        </w:tcPr>
        <w:p w14:paraId="5E0FB898" w14:textId="77777777" w:rsidR="000A7336" w:rsidRDefault="000A7336" w:rsidP="00B71099">
          <w:pPr>
            <w:pStyle w:val="Yltunniste"/>
          </w:pPr>
        </w:p>
      </w:tc>
    </w:tr>
    <w:tr w:rsidR="000A7336" w14:paraId="10C0B758" w14:textId="77777777" w:rsidTr="00430EE3">
      <w:tc>
        <w:tcPr>
          <w:tcW w:w="2521" w:type="pct"/>
        </w:tcPr>
        <w:p w14:paraId="02B930B7" w14:textId="7BD27B32" w:rsidR="000A7336" w:rsidRPr="003A241F" w:rsidRDefault="00BF0F30" w:rsidP="00B71099">
          <w:pPr>
            <w:pStyle w:val="Yltunniste"/>
            <w:rPr>
              <w:rFonts w:ascii="Arial" w:hAnsi="Arial" w:cs="Arial"/>
            </w:rPr>
          </w:pPr>
          <w:sdt>
            <w:sdtPr>
              <w:rPr>
                <w:rFonts w:ascii="Arial" w:hAnsi="Arial" w:cs="Arial"/>
              </w:rPr>
              <w:alias w:val="Osasto"/>
              <w:tag w:val="Osasto_1035"/>
              <w:id w:val="110494835"/>
              <w:showingPlcHdr/>
              <w:dataBinding w:prefixMappings="xmlns:ns0='http://schemas.microsoft.com/office/2006/coverPageProps' " w:xpath="/ns0:CoverPageProperties[1]/ns0:CompanyAddress[1]" w:storeItemID="{55AF091B-3C7A-41E3-B477-F2FDAA23CFDA}"/>
              <w:text/>
            </w:sdtPr>
            <w:sdtEndPr/>
            <w:sdtContent>
              <w:r w:rsidR="0064622E">
                <w:rPr>
                  <w:rFonts w:ascii="Arial" w:hAnsi="Arial" w:cs="Arial"/>
                </w:rPr>
                <w:t xml:space="preserve">     </w:t>
              </w:r>
            </w:sdtContent>
          </w:sdt>
        </w:p>
      </w:tc>
      <w:sdt>
        <w:sdtPr>
          <w:rPr>
            <w:rFonts w:ascii="Arial" w:hAnsi="Arial" w:cs="Arial"/>
          </w:rPr>
          <w:alias w:val="Luonnos"/>
          <w:tag w:val="Luonnos"/>
          <w:id w:val="110494836"/>
          <w:dropDownList>
            <w:listItem w:displayText=" " w:value="Tyhjä"/>
            <w:listItem w:displayText="Luonnos" w:value="Luonnos"/>
            <w:listItem w:displayText="Väliaikainen" w:value="Väliaikainen"/>
            <w:listItem w:displayText="Sisäinen" w:value="Sisäinen"/>
            <w:listItem w:displayText="Kiireellinen" w:value="Kiireellinen"/>
          </w:dropDownList>
        </w:sdtPr>
        <w:sdtEndPr/>
        <w:sdtContent>
          <w:tc>
            <w:tcPr>
              <w:tcW w:w="1261" w:type="pct"/>
            </w:tcPr>
            <w:p w14:paraId="158E817F" w14:textId="75F9301B" w:rsidR="000A7336" w:rsidRPr="003A241F" w:rsidRDefault="001569A0" w:rsidP="00B71099">
              <w:pPr>
                <w:pStyle w:val="Yltunniste"/>
                <w:rPr>
                  <w:rFonts w:ascii="Arial" w:hAnsi="Arial" w:cs="Arial"/>
                </w:rPr>
              </w:pPr>
              <w:r>
                <w:rPr>
                  <w:rFonts w:ascii="Arial" w:hAnsi="Arial" w:cs="Arial"/>
                </w:rPr>
                <w:t xml:space="preserve"> </w:t>
              </w:r>
            </w:p>
          </w:tc>
        </w:sdtContent>
      </w:sdt>
      <w:sdt>
        <w:sdtPr>
          <w:rPr>
            <w:rFonts w:ascii="Arial" w:hAnsi="Arial" w:cs="Arial"/>
          </w:rPr>
          <w:alias w:val="Asianro"/>
          <w:tag w:val="Asianro"/>
          <w:id w:val="110494837"/>
          <w:dataBinding w:prefixMappings="xmlns:ns0='http://purl.org/dc/elements/1.1/' xmlns:ns1='http://schemas.openxmlformats.org/package/2006/metadata/core-properties' " w:xpath="/ns1:coreProperties[1]/ns1:contentStatus[1]" w:storeItemID="{6C3C8BC8-F283-45AE-878A-BAB7291924A1}"/>
          <w:text/>
        </w:sdtPr>
        <w:sdtEndPr/>
        <w:sdtContent>
          <w:tc>
            <w:tcPr>
              <w:tcW w:w="1218" w:type="pct"/>
              <w:gridSpan w:val="2"/>
            </w:tcPr>
            <w:p w14:paraId="170AB4A4" w14:textId="13B1DEB5" w:rsidR="000A7336" w:rsidRPr="003A241F" w:rsidRDefault="0064622E" w:rsidP="00FC57CF">
              <w:pPr>
                <w:pStyle w:val="Yltunniste"/>
                <w:rPr>
                  <w:rFonts w:ascii="Arial" w:hAnsi="Arial" w:cs="Arial"/>
                </w:rPr>
              </w:pPr>
              <w:r>
                <w:rPr>
                  <w:rFonts w:ascii="Arial" w:hAnsi="Arial" w:cs="Arial"/>
                </w:rPr>
                <w:t>5/0007/2017</w:t>
              </w:r>
            </w:p>
          </w:tc>
        </w:sdtContent>
      </w:sdt>
    </w:tr>
    <w:tr w:rsidR="000A7336" w14:paraId="4A3C8FA4" w14:textId="77777777" w:rsidTr="00430EE3">
      <w:tc>
        <w:tcPr>
          <w:tcW w:w="2521" w:type="pct"/>
        </w:tcPr>
        <w:p w14:paraId="4C46748C" w14:textId="399AA2B7" w:rsidR="000A7336" w:rsidRPr="003A241F" w:rsidRDefault="00BF0F30" w:rsidP="00B71099">
          <w:pPr>
            <w:pStyle w:val="Yltunniste"/>
            <w:rPr>
              <w:rFonts w:ascii="Arial" w:hAnsi="Arial" w:cs="Arial"/>
            </w:rPr>
          </w:pPr>
          <w:sdt>
            <w:sdtPr>
              <w:rPr>
                <w:rFonts w:ascii="Arial" w:hAnsi="Arial" w:cs="Arial"/>
              </w:rPr>
              <w:alias w:val="Author"/>
              <w:id w:val="110494838"/>
              <w:showingPlcHdr/>
              <w:dataBinding w:prefixMappings="xmlns:ns0='http://purl.org/dc/elements/1.1/' xmlns:ns1='http://schemas.openxmlformats.org/package/2006/metadata/core-properties' " w:xpath="/ns1:coreProperties[1]/ns0:creator[1]" w:storeItemID="{6C3C8BC8-F283-45AE-878A-BAB7291924A1}"/>
              <w:text/>
            </w:sdtPr>
            <w:sdtEndPr/>
            <w:sdtContent>
              <w:r>
                <w:rPr>
                  <w:rFonts w:ascii="Arial" w:hAnsi="Arial" w:cs="Arial"/>
                </w:rPr>
                <w:t xml:space="preserve">     </w:t>
              </w:r>
            </w:sdtContent>
          </w:sdt>
        </w:p>
      </w:tc>
      <w:sdt>
        <w:sdtPr>
          <w:rPr>
            <w:rFonts w:ascii="Arial" w:hAnsi="Arial" w:cs="Arial"/>
          </w:rPr>
          <w:alias w:val="Päivämäärä"/>
          <w:tag w:val="Päivämäärä"/>
          <w:id w:val="110494839"/>
          <w:dataBinding w:prefixMappings="xmlns:ns0='http://schemas.microsoft.com/office/2006/coverPageProps' " w:xpath="/ns0:CoverPageProperties[1]/ns0:PublishDate[1]" w:storeItemID="{55AF091B-3C7A-41E3-B477-F2FDAA23CFDA}"/>
          <w:date w:fullDate="2020-04-03T00:00:00Z">
            <w:dateFormat w:val="d.M.yyyy"/>
            <w:lid w:val="fi-FI"/>
            <w:storeMappedDataAs w:val="dateTime"/>
            <w:calendar w:val="gregorian"/>
          </w:date>
        </w:sdtPr>
        <w:sdtEndPr/>
        <w:sdtContent>
          <w:tc>
            <w:tcPr>
              <w:tcW w:w="1261" w:type="pct"/>
            </w:tcPr>
            <w:p w14:paraId="45F206EF" w14:textId="21461065" w:rsidR="000A7336" w:rsidRPr="003A241F" w:rsidRDefault="00767C36" w:rsidP="004008A8">
              <w:pPr>
                <w:pStyle w:val="Yltunniste"/>
                <w:rPr>
                  <w:rFonts w:ascii="Arial" w:hAnsi="Arial" w:cs="Arial"/>
                </w:rPr>
              </w:pPr>
              <w:r>
                <w:rPr>
                  <w:rFonts w:ascii="Arial" w:hAnsi="Arial" w:cs="Arial"/>
                </w:rPr>
                <w:t>3.4.2020</w:t>
              </w:r>
            </w:p>
          </w:tc>
        </w:sdtContent>
      </w:sdt>
      <w:sdt>
        <w:sdtPr>
          <w:rPr>
            <w:rFonts w:ascii="Arial" w:hAnsi="Arial" w:cs="Arial"/>
          </w:rPr>
          <w:alias w:val="Julkisuus"/>
          <w:tag w:val="Julkisuus"/>
          <w:id w:val="110494840"/>
          <w:showingPlcHdr/>
          <w:dataBinding w:prefixMappings="xmlns:ns0='http://schemas.microsoft.com/office/2006/coverPageProps' " w:xpath="/ns0:CoverPageProperties[1]/ns0:CompanyEmail[1]" w:storeItemID="{55AF091B-3C7A-41E3-B477-F2FDAA23CFDA}"/>
          <w:text/>
        </w:sdtPr>
        <w:sdtEndPr/>
        <w:sdtContent>
          <w:tc>
            <w:tcPr>
              <w:tcW w:w="1218" w:type="pct"/>
              <w:gridSpan w:val="2"/>
            </w:tcPr>
            <w:p w14:paraId="7100E420" w14:textId="77777777" w:rsidR="000A7336" w:rsidRPr="003A241F" w:rsidRDefault="000A7336" w:rsidP="00925DE6">
              <w:pPr>
                <w:pStyle w:val="Yltunniste"/>
                <w:rPr>
                  <w:rFonts w:ascii="Arial" w:hAnsi="Arial" w:cs="Arial"/>
                </w:rPr>
              </w:pPr>
              <w:r w:rsidRPr="003A241F">
                <w:rPr>
                  <w:rStyle w:val="Paikkamerkkiteksti"/>
                  <w:rFonts w:ascii="Arial" w:hAnsi="Arial" w:cs="Arial"/>
                </w:rPr>
                <w:t>[Julkisuus]</w:t>
              </w:r>
            </w:p>
          </w:tc>
        </w:sdtContent>
      </w:sdt>
    </w:tr>
  </w:tbl>
  <w:p w14:paraId="105F75B3" w14:textId="77777777" w:rsidR="000E0D26" w:rsidRDefault="000E0D26" w:rsidP="001D19F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020D39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C6429E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F24DA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F1ED2B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585C5F"/>
    <w:multiLevelType w:val="multilevel"/>
    <w:tmpl w:val="B08A1124"/>
    <w:numStyleLink w:val="MerkittyluetteloSTUK"/>
  </w:abstractNum>
  <w:abstractNum w:abstractNumId="5" w15:restartNumberingAfterBreak="0">
    <w:nsid w:val="0B1A0977"/>
    <w:multiLevelType w:val="multilevel"/>
    <w:tmpl w:val="A10E2FD6"/>
    <w:styleLink w:val="NumeroituluetteloSTUK"/>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Cambria" w:hAnsi="Cambria" w:hint="default"/>
      </w:rPr>
    </w:lvl>
    <w:lvl w:ilvl="2">
      <w:start w:val="1"/>
      <w:numFmt w:val="bullet"/>
      <w:lvlText w:val=""/>
      <w:lvlJc w:val="left"/>
      <w:pPr>
        <w:ind w:left="3799" w:hanging="397"/>
      </w:pPr>
      <w:rPr>
        <w:rFonts w:ascii="Wingdings" w:hAnsi="Wingdings" w:hint="default"/>
      </w:rPr>
    </w:lvl>
    <w:lvl w:ilvl="3">
      <w:start w:val="1"/>
      <w:numFmt w:val="bullet"/>
      <w:lvlText w:val="•"/>
      <w:lvlJc w:val="left"/>
      <w:pPr>
        <w:ind w:left="4196" w:hanging="397"/>
      </w:pPr>
      <w:rPr>
        <w:rFonts w:ascii="Cambria" w:hAnsi="Cambria" w:hint="default"/>
      </w:rPr>
    </w:lvl>
    <w:lvl w:ilvl="4">
      <w:start w:val="1"/>
      <w:numFmt w:val="bullet"/>
      <w:lvlText w:val="–"/>
      <w:lvlJc w:val="left"/>
      <w:pPr>
        <w:ind w:left="4593" w:hanging="397"/>
      </w:pPr>
      <w:rPr>
        <w:rFonts w:ascii="Cambria" w:hAnsi="Cambria" w:hint="default"/>
      </w:rPr>
    </w:lvl>
    <w:lvl w:ilvl="5">
      <w:start w:val="1"/>
      <w:numFmt w:val="bullet"/>
      <w:lvlText w:val=""/>
      <w:lvlJc w:val="left"/>
      <w:pPr>
        <w:ind w:left="4990" w:hanging="397"/>
      </w:pPr>
      <w:rPr>
        <w:rFonts w:ascii="Wingdings" w:hAnsi="Wingdings" w:hint="default"/>
      </w:rPr>
    </w:lvl>
    <w:lvl w:ilvl="6">
      <w:start w:val="1"/>
      <w:numFmt w:val="bullet"/>
      <w:lvlText w:val="•"/>
      <w:lvlJc w:val="left"/>
      <w:pPr>
        <w:ind w:left="5387" w:hanging="397"/>
      </w:pPr>
      <w:rPr>
        <w:rFonts w:ascii="Cambria" w:hAnsi="Cambria" w:hint="default"/>
      </w:rPr>
    </w:lvl>
    <w:lvl w:ilvl="7">
      <w:start w:val="1"/>
      <w:numFmt w:val="bullet"/>
      <w:lvlText w:val="–"/>
      <w:lvlJc w:val="left"/>
      <w:pPr>
        <w:ind w:left="5784" w:hanging="397"/>
      </w:pPr>
      <w:rPr>
        <w:rFonts w:ascii="Cambria" w:hAnsi="Cambria" w:hint="default"/>
      </w:rPr>
    </w:lvl>
    <w:lvl w:ilvl="8">
      <w:start w:val="1"/>
      <w:numFmt w:val="bullet"/>
      <w:lvlText w:val=""/>
      <w:lvlJc w:val="left"/>
      <w:pPr>
        <w:ind w:left="6181" w:hanging="397"/>
      </w:pPr>
      <w:rPr>
        <w:rFonts w:ascii="Wingdings" w:hAnsi="Wingdings" w:hint="default"/>
      </w:rPr>
    </w:lvl>
  </w:abstractNum>
  <w:abstractNum w:abstractNumId="6" w15:restartNumberingAfterBreak="0">
    <w:nsid w:val="0BE635A1"/>
    <w:multiLevelType w:val="multilevel"/>
    <w:tmpl w:val="B08A1124"/>
    <w:styleLink w:val="MerkittyluetteloSTUK"/>
    <w:lvl w:ilvl="0">
      <w:start w:val="1"/>
      <w:numFmt w:val="bullet"/>
      <w:pStyle w:val="Merkittyluettelo"/>
      <w:lvlText w:val="•"/>
      <w:lvlJc w:val="left"/>
      <w:pPr>
        <w:ind w:left="3005" w:hanging="397"/>
      </w:pPr>
      <w:rPr>
        <w:rFonts w:ascii="Cambria" w:hAnsi="Cambria" w:hint="default"/>
      </w:rPr>
    </w:lvl>
    <w:lvl w:ilvl="1">
      <w:start w:val="1"/>
      <w:numFmt w:val="bullet"/>
      <w:lvlText w:val="–"/>
      <w:lvlJc w:val="left"/>
      <w:pPr>
        <w:ind w:left="3402" w:hanging="397"/>
      </w:pPr>
      <w:rPr>
        <w:rFonts w:ascii="Cambria" w:hAnsi="Cambria" w:hint="default"/>
      </w:rPr>
    </w:lvl>
    <w:lvl w:ilvl="2">
      <w:start w:val="1"/>
      <w:numFmt w:val="bullet"/>
      <w:lvlText w:val=""/>
      <w:lvlJc w:val="left"/>
      <w:pPr>
        <w:ind w:left="3799" w:hanging="397"/>
      </w:pPr>
      <w:rPr>
        <w:rFonts w:ascii="Wingdings" w:hAnsi="Wingdings" w:hint="default"/>
      </w:rPr>
    </w:lvl>
    <w:lvl w:ilvl="3">
      <w:start w:val="1"/>
      <w:numFmt w:val="bullet"/>
      <w:lvlText w:val="•"/>
      <w:lvlJc w:val="left"/>
      <w:pPr>
        <w:ind w:left="4196" w:hanging="397"/>
      </w:pPr>
      <w:rPr>
        <w:rFonts w:ascii="Cambria" w:hAnsi="Cambria" w:hint="default"/>
      </w:rPr>
    </w:lvl>
    <w:lvl w:ilvl="4">
      <w:start w:val="1"/>
      <w:numFmt w:val="bullet"/>
      <w:lvlText w:val="–"/>
      <w:lvlJc w:val="left"/>
      <w:pPr>
        <w:ind w:left="4593" w:hanging="397"/>
      </w:pPr>
      <w:rPr>
        <w:rFonts w:ascii="Cambria" w:hAnsi="Cambria" w:hint="default"/>
      </w:rPr>
    </w:lvl>
    <w:lvl w:ilvl="5">
      <w:start w:val="1"/>
      <w:numFmt w:val="bullet"/>
      <w:lvlText w:val=""/>
      <w:lvlJc w:val="left"/>
      <w:pPr>
        <w:ind w:left="4990" w:hanging="397"/>
      </w:pPr>
      <w:rPr>
        <w:rFonts w:ascii="Wingdings" w:hAnsi="Wingdings" w:hint="default"/>
      </w:rPr>
    </w:lvl>
    <w:lvl w:ilvl="6">
      <w:start w:val="1"/>
      <w:numFmt w:val="bullet"/>
      <w:lvlText w:val="•"/>
      <w:lvlJc w:val="left"/>
      <w:pPr>
        <w:ind w:left="5387" w:hanging="397"/>
      </w:pPr>
      <w:rPr>
        <w:rFonts w:ascii="Cambria" w:hAnsi="Cambria" w:hint="default"/>
      </w:rPr>
    </w:lvl>
    <w:lvl w:ilvl="7">
      <w:start w:val="1"/>
      <w:numFmt w:val="bullet"/>
      <w:lvlText w:val="–"/>
      <w:lvlJc w:val="left"/>
      <w:pPr>
        <w:ind w:left="5784" w:hanging="397"/>
      </w:pPr>
      <w:rPr>
        <w:rFonts w:ascii="Cambria" w:hAnsi="Cambria" w:hint="default"/>
      </w:rPr>
    </w:lvl>
    <w:lvl w:ilvl="8">
      <w:start w:val="1"/>
      <w:numFmt w:val="bullet"/>
      <w:lvlText w:val=""/>
      <w:lvlJc w:val="left"/>
      <w:pPr>
        <w:ind w:left="6181" w:hanging="397"/>
      </w:pPr>
      <w:rPr>
        <w:rFonts w:ascii="Wingdings" w:hAnsi="Wingdings" w:hint="default"/>
      </w:rPr>
    </w:lvl>
  </w:abstractNum>
  <w:abstractNum w:abstractNumId="7" w15:restartNumberingAfterBreak="0">
    <w:nsid w:val="0D565A5E"/>
    <w:multiLevelType w:val="multilevel"/>
    <w:tmpl w:val="AD120668"/>
    <w:numStyleLink w:val="Stukmerkittyluettelo2"/>
  </w:abstractNum>
  <w:abstractNum w:abstractNumId="8" w15:restartNumberingAfterBreak="0">
    <w:nsid w:val="116808CF"/>
    <w:multiLevelType w:val="hybridMultilevel"/>
    <w:tmpl w:val="6470744A"/>
    <w:lvl w:ilvl="0" w:tplc="14267322">
      <w:start w:val="1"/>
      <w:numFmt w:val="decimal"/>
      <w:lvlText w:val="%1"/>
      <w:lvlJc w:val="center"/>
      <w:pPr>
        <w:ind w:left="1468" w:hanging="170"/>
      </w:pPr>
      <w:rPr>
        <w:rFonts w:hint="default"/>
        <w:i w:val="0"/>
      </w:rPr>
    </w:lvl>
    <w:lvl w:ilvl="1" w:tplc="040B0019" w:tentative="1">
      <w:start w:val="1"/>
      <w:numFmt w:val="lowerLetter"/>
      <w:lvlText w:val="%2."/>
      <w:lvlJc w:val="left"/>
      <w:pPr>
        <w:ind w:left="2738" w:hanging="360"/>
      </w:pPr>
    </w:lvl>
    <w:lvl w:ilvl="2" w:tplc="040B001B" w:tentative="1">
      <w:start w:val="1"/>
      <w:numFmt w:val="lowerRoman"/>
      <w:lvlText w:val="%3."/>
      <w:lvlJc w:val="right"/>
      <w:pPr>
        <w:ind w:left="3458" w:hanging="180"/>
      </w:pPr>
    </w:lvl>
    <w:lvl w:ilvl="3" w:tplc="040B000F" w:tentative="1">
      <w:start w:val="1"/>
      <w:numFmt w:val="decimal"/>
      <w:lvlText w:val="%4."/>
      <w:lvlJc w:val="left"/>
      <w:pPr>
        <w:ind w:left="4178" w:hanging="360"/>
      </w:pPr>
    </w:lvl>
    <w:lvl w:ilvl="4" w:tplc="040B0019" w:tentative="1">
      <w:start w:val="1"/>
      <w:numFmt w:val="lowerLetter"/>
      <w:lvlText w:val="%5."/>
      <w:lvlJc w:val="left"/>
      <w:pPr>
        <w:ind w:left="4898" w:hanging="360"/>
      </w:pPr>
    </w:lvl>
    <w:lvl w:ilvl="5" w:tplc="040B001B" w:tentative="1">
      <w:start w:val="1"/>
      <w:numFmt w:val="lowerRoman"/>
      <w:lvlText w:val="%6."/>
      <w:lvlJc w:val="right"/>
      <w:pPr>
        <w:ind w:left="5618" w:hanging="180"/>
      </w:pPr>
    </w:lvl>
    <w:lvl w:ilvl="6" w:tplc="040B000F" w:tentative="1">
      <w:start w:val="1"/>
      <w:numFmt w:val="decimal"/>
      <w:lvlText w:val="%7."/>
      <w:lvlJc w:val="left"/>
      <w:pPr>
        <w:ind w:left="6338" w:hanging="360"/>
      </w:pPr>
    </w:lvl>
    <w:lvl w:ilvl="7" w:tplc="040B0019" w:tentative="1">
      <w:start w:val="1"/>
      <w:numFmt w:val="lowerLetter"/>
      <w:lvlText w:val="%8."/>
      <w:lvlJc w:val="left"/>
      <w:pPr>
        <w:ind w:left="7058" w:hanging="360"/>
      </w:pPr>
    </w:lvl>
    <w:lvl w:ilvl="8" w:tplc="040B001B" w:tentative="1">
      <w:start w:val="1"/>
      <w:numFmt w:val="lowerRoman"/>
      <w:lvlText w:val="%9."/>
      <w:lvlJc w:val="right"/>
      <w:pPr>
        <w:ind w:left="7778" w:hanging="180"/>
      </w:pPr>
    </w:lvl>
  </w:abstractNum>
  <w:abstractNum w:abstractNumId="9" w15:restartNumberingAfterBreak="0">
    <w:nsid w:val="14442EE7"/>
    <w:multiLevelType w:val="hybridMultilevel"/>
    <w:tmpl w:val="1C2415B8"/>
    <w:lvl w:ilvl="0" w:tplc="EB221BDC">
      <w:start w:val="1"/>
      <w:numFmt w:val="decimal"/>
      <w:lvlText w:val="%1"/>
      <w:lvlJc w:val="center"/>
      <w:pPr>
        <w:ind w:left="360" w:hanging="360"/>
      </w:pPr>
      <w:rPr>
        <w:rFonts w:hint="default"/>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8996B71"/>
    <w:multiLevelType w:val="multilevel"/>
    <w:tmpl w:val="FAF8B86A"/>
    <w:styleLink w:val="Stuknumeroituluettelo2"/>
    <w:lvl w:ilvl="0">
      <w:start w:val="1"/>
      <w:numFmt w:val="decimal"/>
      <w:pStyle w:val="Numeroituluettelo2"/>
      <w:lvlText w:val="%1."/>
      <w:lvlJc w:val="left"/>
      <w:pPr>
        <w:tabs>
          <w:tab w:val="num" w:pos="2608"/>
        </w:tabs>
        <w:ind w:left="3005" w:hanging="397"/>
      </w:pPr>
      <w:rPr>
        <w:rFonts w:hint="default"/>
      </w:rPr>
    </w:lvl>
    <w:lvl w:ilvl="1">
      <w:start w:val="1"/>
      <w:numFmt w:val="decimal"/>
      <w:suff w:val="space"/>
      <w:lvlText w:val="%1.%2."/>
      <w:lvlJc w:val="left"/>
      <w:pPr>
        <w:ind w:left="3402" w:hanging="397"/>
      </w:pPr>
      <w:rPr>
        <w:rFonts w:hint="default"/>
      </w:rPr>
    </w:lvl>
    <w:lvl w:ilvl="2">
      <w:start w:val="1"/>
      <w:numFmt w:val="decimal"/>
      <w:suff w:val="space"/>
      <w:lvlText w:val="%1.%2.%3."/>
      <w:lvlJc w:val="left"/>
      <w:pPr>
        <w:ind w:left="3799" w:hanging="397"/>
      </w:pPr>
      <w:rPr>
        <w:rFonts w:hint="default"/>
      </w:rPr>
    </w:lvl>
    <w:lvl w:ilvl="3">
      <w:start w:val="1"/>
      <w:numFmt w:val="decimal"/>
      <w:suff w:val="space"/>
      <w:lvlText w:val="%1.%2.%3.%4."/>
      <w:lvlJc w:val="left"/>
      <w:pPr>
        <w:ind w:left="4196" w:hanging="397"/>
      </w:pPr>
      <w:rPr>
        <w:rFonts w:hint="default"/>
      </w:rPr>
    </w:lvl>
    <w:lvl w:ilvl="4">
      <w:start w:val="1"/>
      <w:numFmt w:val="decimal"/>
      <w:suff w:val="space"/>
      <w:lvlText w:val="%1.%2.%3.%4.%5."/>
      <w:lvlJc w:val="left"/>
      <w:pPr>
        <w:ind w:left="4593" w:hanging="397"/>
      </w:pPr>
      <w:rPr>
        <w:rFonts w:hint="default"/>
      </w:rPr>
    </w:lvl>
    <w:lvl w:ilvl="5">
      <w:start w:val="1"/>
      <w:numFmt w:val="decimal"/>
      <w:suff w:val="space"/>
      <w:lvlText w:val="%1.%2.%3.%4.%5.%6."/>
      <w:lvlJc w:val="left"/>
      <w:pPr>
        <w:ind w:left="4990" w:hanging="397"/>
      </w:pPr>
      <w:rPr>
        <w:rFonts w:hint="default"/>
      </w:rPr>
    </w:lvl>
    <w:lvl w:ilvl="6">
      <w:start w:val="1"/>
      <w:numFmt w:val="decimal"/>
      <w:suff w:val="space"/>
      <w:lvlText w:val="%1.%2.%3.%4.%5.%6.%7."/>
      <w:lvlJc w:val="left"/>
      <w:pPr>
        <w:ind w:left="5387" w:hanging="397"/>
      </w:pPr>
      <w:rPr>
        <w:rFonts w:hint="default"/>
      </w:rPr>
    </w:lvl>
    <w:lvl w:ilvl="7">
      <w:start w:val="1"/>
      <w:numFmt w:val="decimal"/>
      <w:suff w:val="space"/>
      <w:lvlText w:val="%1.%2.%3.%4.%5.%6.%7.%8."/>
      <w:lvlJc w:val="left"/>
      <w:pPr>
        <w:ind w:left="5784" w:hanging="397"/>
      </w:pPr>
      <w:rPr>
        <w:rFonts w:hint="default"/>
      </w:rPr>
    </w:lvl>
    <w:lvl w:ilvl="8">
      <w:start w:val="1"/>
      <w:numFmt w:val="decimal"/>
      <w:suff w:val="space"/>
      <w:lvlText w:val="%1.%2.%3.%4.%5.%6.%7.%8.%9"/>
      <w:lvlJc w:val="left"/>
      <w:pPr>
        <w:ind w:left="6181" w:hanging="397"/>
      </w:pPr>
      <w:rPr>
        <w:rFonts w:hint="default"/>
      </w:rPr>
    </w:lvl>
  </w:abstractNum>
  <w:abstractNum w:abstractNumId="11" w15:restartNumberingAfterBreak="0">
    <w:nsid w:val="2CC70FD9"/>
    <w:multiLevelType w:val="multilevel"/>
    <w:tmpl w:val="AD120668"/>
    <w:numStyleLink w:val="Stukmerkittyluettelo2"/>
  </w:abstractNum>
  <w:abstractNum w:abstractNumId="12" w15:restartNumberingAfterBreak="0">
    <w:nsid w:val="2DF55ED3"/>
    <w:multiLevelType w:val="multilevel"/>
    <w:tmpl w:val="FAF8B86A"/>
    <w:numStyleLink w:val="Stuknumeroituluettelo2"/>
  </w:abstractNum>
  <w:abstractNum w:abstractNumId="13" w15:restartNumberingAfterBreak="0">
    <w:nsid w:val="2E133F6A"/>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AC6CF7"/>
    <w:multiLevelType w:val="hybridMultilevel"/>
    <w:tmpl w:val="1C2415B8"/>
    <w:lvl w:ilvl="0" w:tplc="EB221BDC">
      <w:start w:val="1"/>
      <w:numFmt w:val="decimal"/>
      <w:lvlText w:val="%1"/>
      <w:lvlJc w:val="center"/>
      <w:pPr>
        <w:ind w:left="1664" w:hanging="360"/>
      </w:pPr>
      <w:rPr>
        <w:rFonts w:hint="default"/>
        <w:i w:val="0"/>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48F516DB"/>
    <w:multiLevelType w:val="multilevel"/>
    <w:tmpl w:val="B08A1124"/>
    <w:numStyleLink w:val="MerkittyluetteloSTUK"/>
  </w:abstractNum>
  <w:abstractNum w:abstractNumId="16" w15:restartNumberingAfterBreak="0">
    <w:nsid w:val="49E943BC"/>
    <w:multiLevelType w:val="multilevel"/>
    <w:tmpl w:val="CEECB684"/>
    <w:styleLink w:val="Numeroidutotsikot"/>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304" w:hanging="1304"/>
      </w:pPr>
      <w:rPr>
        <w:rFonts w:hint="default"/>
      </w:rPr>
    </w:lvl>
    <w:lvl w:ilvl="5">
      <w:start w:val="1"/>
      <w:numFmt w:val="decimal"/>
      <w:pStyle w:val="Otsikko6"/>
      <w:lvlText w:val="%1.%2.%3.%4.%5.%6"/>
      <w:lvlJc w:val="left"/>
      <w:pPr>
        <w:ind w:left="1304" w:hanging="1304"/>
      </w:pPr>
      <w:rPr>
        <w:rFonts w:hint="default"/>
      </w:rPr>
    </w:lvl>
    <w:lvl w:ilvl="6">
      <w:start w:val="1"/>
      <w:numFmt w:val="decimal"/>
      <w:pStyle w:val="Otsikko7"/>
      <w:lvlText w:val="%1.%2.%3.%4.%5.%6.%7"/>
      <w:lvlJc w:val="left"/>
      <w:pPr>
        <w:ind w:left="1304" w:hanging="1304"/>
      </w:pPr>
      <w:rPr>
        <w:rFonts w:hint="default"/>
      </w:rPr>
    </w:lvl>
    <w:lvl w:ilvl="7">
      <w:start w:val="1"/>
      <w:numFmt w:val="decimal"/>
      <w:pStyle w:val="Otsikko8"/>
      <w:lvlText w:val="%1.%2.%3.%4.%5.%6.%7.%8"/>
      <w:lvlJc w:val="left"/>
      <w:pPr>
        <w:ind w:left="1304" w:hanging="1304"/>
      </w:pPr>
      <w:rPr>
        <w:rFonts w:hint="default"/>
      </w:rPr>
    </w:lvl>
    <w:lvl w:ilvl="8">
      <w:start w:val="1"/>
      <w:numFmt w:val="decimal"/>
      <w:pStyle w:val="Otsikko9"/>
      <w:lvlText w:val="%1.%2.%3.%4.%5.%6.%7.%8.%9"/>
      <w:lvlJc w:val="left"/>
      <w:pPr>
        <w:ind w:left="1304" w:hanging="1304"/>
      </w:pPr>
      <w:rPr>
        <w:rFonts w:hint="default"/>
      </w:rPr>
    </w:lvl>
  </w:abstractNum>
  <w:abstractNum w:abstractNumId="17" w15:restartNumberingAfterBreak="0">
    <w:nsid w:val="4AA84E5A"/>
    <w:multiLevelType w:val="multilevel"/>
    <w:tmpl w:val="AD120668"/>
    <w:styleLink w:val="Stukmerkittyluettelo2"/>
    <w:lvl w:ilvl="0">
      <w:start w:val="1"/>
      <w:numFmt w:val="bullet"/>
      <w:pStyle w:val="Merkittyluettelo2"/>
      <w:lvlText w:val="–"/>
      <w:lvlJc w:val="left"/>
      <w:pPr>
        <w:ind w:left="3005" w:hanging="397"/>
      </w:pPr>
      <w:rPr>
        <w:rFonts w:ascii="Cambria" w:hAnsi="Cambria" w:hint="default"/>
      </w:rPr>
    </w:lvl>
    <w:lvl w:ilvl="1">
      <w:start w:val="1"/>
      <w:numFmt w:val="bullet"/>
      <w:lvlText w:val="–"/>
      <w:lvlJc w:val="left"/>
      <w:pPr>
        <w:ind w:left="3402" w:hanging="397"/>
      </w:pPr>
      <w:rPr>
        <w:rFonts w:ascii="Cambria" w:hAnsi="Cambria" w:hint="default"/>
      </w:rPr>
    </w:lvl>
    <w:lvl w:ilvl="2">
      <w:start w:val="1"/>
      <w:numFmt w:val="bullet"/>
      <w:lvlText w:val="–"/>
      <w:lvlJc w:val="left"/>
      <w:pPr>
        <w:ind w:left="3799" w:hanging="397"/>
      </w:pPr>
      <w:rPr>
        <w:rFonts w:ascii="Cambria" w:hAnsi="Cambria" w:hint="default"/>
      </w:rPr>
    </w:lvl>
    <w:lvl w:ilvl="3">
      <w:start w:val="1"/>
      <w:numFmt w:val="bullet"/>
      <w:lvlText w:val="–"/>
      <w:lvlJc w:val="left"/>
      <w:pPr>
        <w:ind w:left="4196" w:hanging="397"/>
      </w:pPr>
      <w:rPr>
        <w:rFonts w:ascii="Cambria" w:hAnsi="Cambria" w:hint="default"/>
      </w:rPr>
    </w:lvl>
    <w:lvl w:ilvl="4">
      <w:start w:val="1"/>
      <w:numFmt w:val="bullet"/>
      <w:lvlText w:val="–"/>
      <w:lvlJc w:val="left"/>
      <w:pPr>
        <w:ind w:left="4593" w:hanging="397"/>
      </w:pPr>
      <w:rPr>
        <w:rFonts w:ascii="Cambria" w:hAnsi="Cambria" w:hint="default"/>
      </w:rPr>
    </w:lvl>
    <w:lvl w:ilvl="5">
      <w:start w:val="1"/>
      <w:numFmt w:val="bullet"/>
      <w:lvlText w:val="–"/>
      <w:lvlJc w:val="left"/>
      <w:pPr>
        <w:ind w:left="4990" w:hanging="397"/>
      </w:pPr>
      <w:rPr>
        <w:rFonts w:ascii="Cambria" w:hAnsi="Cambria" w:hint="default"/>
      </w:rPr>
    </w:lvl>
    <w:lvl w:ilvl="6">
      <w:start w:val="1"/>
      <w:numFmt w:val="bullet"/>
      <w:lvlText w:val="–"/>
      <w:lvlJc w:val="left"/>
      <w:pPr>
        <w:ind w:left="5387" w:hanging="397"/>
      </w:pPr>
      <w:rPr>
        <w:rFonts w:ascii="Cambria" w:hAnsi="Cambria" w:hint="default"/>
      </w:rPr>
    </w:lvl>
    <w:lvl w:ilvl="7">
      <w:start w:val="1"/>
      <w:numFmt w:val="bullet"/>
      <w:lvlText w:val="–"/>
      <w:lvlJc w:val="left"/>
      <w:pPr>
        <w:ind w:left="5784" w:hanging="397"/>
      </w:pPr>
      <w:rPr>
        <w:rFonts w:ascii="Cambria" w:hAnsi="Cambria" w:hint="default"/>
      </w:rPr>
    </w:lvl>
    <w:lvl w:ilvl="8">
      <w:start w:val="1"/>
      <w:numFmt w:val="bullet"/>
      <w:lvlText w:val="–"/>
      <w:lvlJc w:val="left"/>
      <w:pPr>
        <w:ind w:left="6181" w:hanging="397"/>
      </w:pPr>
      <w:rPr>
        <w:rFonts w:ascii="Cambria" w:hAnsi="Cambria" w:hint="default"/>
      </w:rPr>
    </w:lvl>
  </w:abstractNum>
  <w:abstractNum w:abstractNumId="18" w15:restartNumberingAfterBreak="0">
    <w:nsid w:val="4F496A73"/>
    <w:multiLevelType w:val="multilevel"/>
    <w:tmpl w:val="A10E2FD6"/>
    <w:numStyleLink w:val="NumeroituluetteloSTUK"/>
  </w:abstractNum>
  <w:abstractNum w:abstractNumId="19" w15:restartNumberingAfterBreak="0">
    <w:nsid w:val="4F4F4882"/>
    <w:multiLevelType w:val="hybridMultilevel"/>
    <w:tmpl w:val="38F43550"/>
    <w:lvl w:ilvl="0" w:tplc="96D4CCE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0" w15:restartNumberingAfterBreak="0">
    <w:nsid w:val="4FB34551"/>
    <w:multiLevelType w:val="multilevel"/>
    <w:tmpl w:val="FAF8B86A"/>
    <w:numStyleLink w:val="Stuknumeroituluettelo2"/>
  </w:abstractNum>
  <w:abstractNum w:abstractNumId="21" w15:restartNumberingAfterBreak="0">
    <w:nsid w:val="62A22655"/>
    <w:multiLevelType w:val="multilevel"/>
    <w:tmpl w:val="AD120668"/>
    <w:numStyleLink w:val="Stukmerkittyluettelo2"/>
  </w:abstractNum>
  <w:abstractNum w:abstractNumId="22" w15:restartNumberingAfterBreak="0">
    <w:nsid w:val="75D405BE"/>
    <w:multiLevelType w:val="multilevel"/>
    <w:tmpl w:val="FAF8B86A"/>
    <w:numStyleLink w:val="Stuknumeroituluettelo2"/>
  </w:abstractNum>
  <w:abstractNum w:abstractNumId="23" w15:restartNumberingAfterBreak="0">
    <w:nsid w:val="7BD854F4"/>
    <w:multiLevelType w:val="multilevel"/>
    <w:tmpl w:val="A10E2FD6"/>
    <w:numStyleLink w:val="NumeroituluetteloSTUK"/>
  </w:abstractNum>
  <w:abstractNum w:abstractNumId="24" w15:restartNumberingAfterBreak="0">
    <w:nsid w:val="7C8E293B"/>
    <w:multiLevelType w:val="multilevel"/>
    <w:tmpl w:val="B08A1124"/>
    <w:numStyleLink w:val="MerkittyluetteloSTUK"/>
  </w:abstractNum>
  <w:num w:numId="1">
    <w:abstractNumId w:val="3"/>
  </w:num>
  <w:num w:numId="2">
    <w:abstractNumId w:val="2"/>
  </w:num>
  <w:num w:numId="3">
    <w:abstractNumId w:val="6"/>
  </w:num>
  <w:num w:numId="4">
    <w:abstractNumId w:val="13"/>
  </w:num>
  <w:num w:numId="5">
    <w:abstractNumId w:val="5"/>
  </w:num>
  <w:num w:numId="6">
    <w:abstractNumId w:val="4"/>
  </w:num>
  <w:num w:numId="7">
    <w:abstractNumId w:val="1"/>
  </w:num>
  <w:num w:numId="8">
    <w:abstractNumId w:val="11"/>
  </w:num>
  <w:num w:numId="9">
    <w:abstractNumId w:val="23"/>
  </w:num>
  <w:num w:numId="10">
    <w:abstractNumId w:val="0"/>
  </w:num>
  <w:num w:numId="11">
    <w:abstractNumId w:val="22"/>
  </w:num>
  <w:num w:numId="12">
    <w:abstractNumId w:val="6"/>
  </w:num>
  <w:num w:numId="13">
    <w:abstractNumId w:val="5"/>
  </w:num>
  <w:num w:numId="14">
    <w:abstractNumId w:val="17"/>
  </w:num>
  <w:num w:numId="15">
    <w:abstractNumId w:val="10"/>
  </w:num>
  <w:num w:numId="16">
    <w:abstractNumId w:val="4"/>
  </w:num>
  <w:num w:numId="17">
    <w:abstractNumId w:val="11"/>
  </w:num>
  <w:num w:numId="18">
    <w:abstractNumId w:val="23"/>
  </w:num>
  <w:num w:numId="19">
    <w:abstractNumId w:val="22"/>
  </w:num>
  <w:num w:numId="20">
    <w:abstractNumId w:val="15"/>
  </w:num>
  <w:num w:numId="21">
    <w:abstractNumId w:val="21"/>
  </w:num>
  <w:num w:numId="22">
    <w:abstractNumId w:val="5"/>
  </w:num>
  <w:num w:numId="23">
    <w:abstractNumId w:val="20"/>
  </w:num>
  <w:num w:numId="24">
    <w:abstractNumId w:val="6"/>
  </w:num>
  <w:num w:numId="25">
    <w:abstractNumId w:val="5"/>
  </w:num>
  <w:num w:numId="26">
    <w:abstractNumId w:val="17"/>
  </w:num>
  <w:num w:numId="27">
    <w:abstractNumId w:val="10"/>
  </w:num>
  <w:num w:numId="28">
    <w:abstractNumId w:val="24"/>
  </w:num>
  <w:num w:numId="29">
    <w:abstractNumId w:val="7"/>
  </w:num>
  <w:num w:numId="30">
    <w:abstractNumId w:val="6"/>
  </w:num>
  <w:num w:numId="31">
    <w:abstractNumId w:val="16"/>
  </w:num>
  <w:num w:numId="32">
    <w:abstractNumId w:val="18"/>
  </w:num>
  <w:num w:numId="33">
    <w:abstractNumId w:val="12"/>
  </w:num>
  <w:num w:numId="34">
    <w:abstractNumId w:val="5"/>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7"/>
  </w:num>
  <w:num w:numId="42">
    <w:abstractNumId w:val="10"/>
  </w:num>
  <w:num w:numId="43">
    <w:abstractNumId w:val="9"/>
  </w:num>
  <w:num w:numId="44">
    <w:abstractNumId w:val="14"/>
  </w:num>
  <w:num w:numId="45">
    <w:abstractNumId w:val="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1304"/>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1A"/>
    <w:rsid w:val="00007C9C"/>
    <w:rsid w:val="0004413F"/>
    <w:rsid w:val="00054A81"/>
    <w:rsid w:val="0006271A"/>
    <w:rsid w:val="00074532"/>
    <w:rsid w:val="000750BC"/>
    <w:rsid w:val="000A2607"/>
    <w:rsid w:val="000A4A41"/>
    <w:rsid w:val="000A70D1"/>
    <w:rsid w:val="000A72D6"/>
    <w:rsid w:val="000A7336"/>
    <w:rsid w:val="000B2382"/>
    <w:rsid w:val="000D2C4B"/>
    <w:rsid w:val="000E027B"/>
    <w:rsid w:val="000E0D26"/>
    <w:rsid w:val="000F4409"/>
    <w:rsid w:val="000F4D5B"/>
    <w:rsid w:val="00115462"/>
    <w:rsid w:val="001226C1"/>
    <w:rsid w:val="00144E9E"/>
    <w:rsid w:val="00152A39"/>
    <w:rsid w:val="001569A0"/>
    <w:rsid w:val="00160D6E"/>
    <w:rsid w:val="00177679"/>
    <w:rsid w:val="001A5492"/>
    <w:rsid w:val="001A6203"/>
    <w:rsid w:val="001B16BE"/>
    <w:rsid w:val="001B30BA"/>
    <w:rsid w:val="001C16A1"/>
    <w:rsid w:val="001D19F9"/>
    <w:rsid w:val="001D2C41"/>
    <w:rsid w:val="001D3BC9"/>
    <w:rsid w:val="001D45C0"/>
    <w:rsid w:val="001D502B"/>
    <w:rsid w:val="001D6D92"/>
    <w:rsid w:val="001E1D14"/>
    <w:rsid w:val="001F2E03"/>
    <w:rsid w:val="0022252A"/>
    <w:rsid w:val="00246D95"/>
    <w:rsid w:val="00255E57"/>
    <w:rsid w:val="002771CB"/>
    <w:rsid w:val="0028409F"/>
    <w:rsid w:val="00285F1A"/>
    <w:rsid w:val="002A5A6F"/>
    <w:rsid w:val="002C2812"/>
    <w:rsid w:val="002D1A98"/>
    <w:rsid w:val="003231E8"/>
    <w:rsid w:val="0032325B"/>
    <w:rsid w:val="00333755"/>
    <w:rsid w:val="00333875"/>
    <w:rsid w:val="003400CA"/>
    <w:rsid w:val="00344811"/>
    <w:rsid w:val="00344BDA"/>
    <w:rsid w:val="00392CF0"/>
    <w:rsid w:val="003A6F16"/>
    <w:rsid w:val="003B4CED"/>
    <w:rsid w:val="003D06F5"/>
    <w:rsid w:val="003D105A"/>
    <w:rsid w:val="003D4F34"/>
    <w:rsid w:val="003E1831"/>
    <w:rsid w:val="003E1E64"/>
    <w:rsid w:val="003F1895"/>
    <w:rsid w:val="003F52A3"/>
    <w:rsid w:val="004008A8"/>
    <w:rsid w:val="00402065"/>
    <w:rsid w:val="00431E1E"/>
    <w:rsid w:val="00444F89"/>
    <w:rsid w:val="00446CCB"/>
    <w:rsid w:val="00472916"/>
    <w:rsid w:val="00472C65"/>
    <w:rsid w:val="004A30E3"/>
    <w:rsid w:val="004A5A40"/>
    <w:rsid w:val="004A6AB0"/>
    <w:rsid w:val="004A6E41"/>
    <w:rsid w:val="004D586A"/>
    <w:rsid w:val="004E4362"/>
    <w:rsid w:val="004E5D70"/>
    <w:rsid w:val="004F228F"/>
    <w:rsid w:val="004F66FD"/>
    <w:rsid w:val="0051148C"/>
    <w:rsid w:val="005124E0"/>
    <w:rsid w:val="00573B89"/>
    <w:rsid w:val="005A021C"/>
    <w:rsid w:val="005E14A8"/>
    <w:rsid w:val="006002B9"/>
    <w:rsid w:val="00624FC6"/>
    <w:rsid w:val="0062519F"/>
    <w:rsid w:val="00633382"/>
    <w:rsid w:val="0064622E"/>
    <w:rsid w:val="00657FF1"/>
    <w:rsid w:val="00660B72"/>
    <w:rsid w:val="0069187D"/>
    <w:rsid w:val="00697640"/>
    <w:rsid w:val="006B1100"/>
    <w:rsid w:val="006E6247"/>
    <w:rsid w:val="00711F61"/>
    <w:rsid w:val="007340F4"/>
    <w:rsid w:val="00736465"/>
    <w:rsid w:val="007408F6"/>
    <w:rsid w:val="0075105B"/>
    <w:rsid w:val="00767C36"/>
    <w:rsid w:val="0077334B"/>
    <w:rsid w:val="00782377"/>
    <w:rsid w:val="0078559B"/>
    <w:rsid w:val="007C0699"/>
    <w:rsid w:val="007C7BCF"/>
    <w:rsid w:val="007D11C8"/>
    <w:rsid w:val="007D49DA"/>
    <w:rsid w:val="007E01C0"/>
    <w:rsid w:val="007E4069"/>
    <w:rsid w:val="008006F3"/>
    <w:rsid w:val="008129EB"/>
    <w:rsid w:val="00817ABB"/>
    <w:rsid w:val="0082395F"/>
    <w:rsid w:val="00835E11"/>
    <w:rsid w:val="00843D5F"/>
    <w:rsid w:val="008459D7"/>
    <w:rsid w:val="0085175D"/>
    <w:rsid w:val="008522CB"/>
    <w:rsid w:val="00852974"/>
    <w:rsid w:val="008707FC"/>
    <w:rsid w:val="00885432"/>
    <w:rsid w:val="00892FAA"/>
    <w:rsid w:val="00896CEC"/>
    <w:rsid w:val="008A7A16"/>
    <w:rsid w:val="008B3007"/>
    <w:rsid w:val="008B3CAF"/>
    <w:rsid w:val="008D33B2"/>
    <w:rsid w:val="008E1F84"/>
    <w:rsid w:val="008F054E"/>
    <w:rsid w:val="00912532"/>
    <w:rsid w:val="00925DE6"/>
    <w:rsid w:val="00944C16"/>
    <w:rsid w:val="0096045C"/>
    <w:rsid w:val="00963EBD"/>
    <w:rsid w:val="009851DE"/>
    <w:rsid w:val="00990128"/>
    <w:rsid w:val="009C1DF5"/>
    <w:rsid w:val="009D3C2B"/>
    <w:rsid w:val="00A15524"/>
    <w:rsid w:val="00A32DEE"/>
    <w:rsid w:val="00A3392A"/>
    <w:rsid w:val="00A370CD"/>
    <w:rsid w:val="00A4253D"/>
    <w:rsid w:val="00A467F7"/>
    <w:rsid w:val="00A54B20"/>
    <w:rsid w:val="00A55DF6"/>
    <w:rsid w:val="00A6158F"/>
    <w:rsid w:val="00A77748"/>
    <w:rsid w:val="00A80B6F"/>
    <w:rsid w:val="00A96012"/>
    <w:rsid w:val="00A974AA"/>
    <w:rsid w:val="00AB08CF"/>
    <w:rsid w:val="00AB5E0A"/>
    <w:rsid w:val="00AD495F"/>
    <w:rsid w:val="00AE04C4"/>
    <w:rsid w:val="00AE4A3C"/>
    <w:rsid w:val="00AF2BA4"/>
    <w:rsid w:val="00B46768"/>
    <w:rsid w:val="00B46D98"/>
    <w:rsid w:val="00B82AF9"/>
    <w:rsid w:val="00B85D56"/>
    <w:rsid w:val="00BA5959"/>
    <w:rsid w:val="00BE0D38"/>
    <w:rsid w:val="00BF0F30"/>
    <w:rsid w:val="00BF63D1"/>
    <w:rsid w:val="00C12306"/>
    <w:rsid w:val="00C1337D"/>
    <w:rsid w:val="00C2776F"/>
    <w:rsid w:val="00C30BE1"/>
    <w:rsid w:val="00C4118A"/>
    <w:rsid w:val="00C53E40"/>
    <w:rsid w:val="00C62159"/>
    <w:rsid w:val="00C932AB"/>
    <w:rsid w:val="00CB7C9B"/>
    <w:rsid w:val="00CD49C9"/>
    <w:rsid w:val="00CF4BD0"/>
    <w:rsid w:val="00D101D0"/>
    <w:rsid w:val="00D1609D"/>
    <w:rsid w:val="00D16C02"/>
    <w:rsid w:val="00D22B09"/>
    <w:rsid w:val="00D22B9E"/>
    <w:rsid w:val="00D3042D"/>
    <w:rsid w:val="00D401EA"/>
    <w:rsid w:val="00D55A9A"/>
    <w:rsid w:val="00D55C51"/>
    <w:rsid w:val="00D56595"/>
    <w:rsid w:val="00D64FBE"/>
    <w:rsid w:val="00D71584"/>
    <w:rsid w:val="00D753CC"/>
    <w:rsid w:val="00D82B8D"/>
    <w:rsid w:val="00DA7751"/>
    <w:rsid w:val="00DB223A"/>
    <w:rsid w:val="00DB4B1D"/>
    <w:rsid w:val="00DB6EC6"/>
    <w:rsid w:val="00DC06CB"/>
    <w:rsid w:val="00DC67B9"/>
    <w:rsid w:val="00E31B6B"/>
    <w:rsid w:val="00E43EE7"/>
    <w:rsid w:val="00E7650A"/>
    <w:rsid w:val="00EA67DE"/>
    <w:rsid w:val="00EE796E"/>
    <w:rsid w:val="00F056F2"/>
    <w:rsid w:val="00F12458"/>
    <w:rsid w:val="00F23C13"/>
    <w:rsid w:val="00F323CD"/>
    <w:rsid w:val="00F37C7A"/>
    <w:rsid w:val="00F547B7"/>
    <w:rsid w:val="00F64D3C"/>
    <w:rsid w:val="00F66398"/>
    <w:rsid w:val="00F805BF"/>
    <w:rsid w:val="00F83356"/>
    <w:rsid w:val="00F930F1"/>
    <w:rsid w:val="00F960D0"/>
    <w:rsid w:val="00FA10BA"/>
    <w:rsid w:val="00FA45D7"/>
    <w:rsid w:val="00FB5988"/>
    <w:rsid w:val="00FC57CF"/>
    <w:rsid w:val="00FF5FCC"/>
    <w:rsid w:val="00FF76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87AED9"/>
  <w15:docId w15:val="{5BF44C44-3C19-4FCB-8FA8-184B73ED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9851DE"/>
  </w:style>
  <w:style w:type="paragraph" w:styleId="Otsikko1">
    <w:name w:val="heading 1"/>
    <w:basedOn w:val="Normaali"/>
    <w:next w:val="Leipteksti"/>
    <w:link w:val="Otsikko1Char"/>
    <w:uiPriority w:val="9"/>
    <w:qFormat/>
    <w:rsid w:val="009851DE"/>
    <w:pPr>
      <w:keepNext/>
      <w:keepLines/>
      <w:suppressAutoHyphens/>
      <w:spacing w:after="22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unhideWhenUsed/>
    <w:qFormat/>
    <w:rsid w:val="009851DE"/>
    <w:pPr>
      <w:keepNext/>
      <w:keepLines/>
      <w:suppressAutoHyphens/>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9851DE"/>
    <w:pPr>
      <w:keepNext/>
      <w:keepLines/>
      <w:suppressAutoHyphens/>
      <w:spacing w:after="220"/>
      <w:ind w:left="2608"/>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9851DE"/>
    <w:pPr>
      <w:keepNext/>
      <w:keepLines/>
      <w:numPr>
        <w:ilvl w:val="3"/>
        <w:numId w:val="40"/>
      </w:numPr>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9851DE"/>
    <w:pPr>
      <w:keepNext/>
      <w:keepLines/>
      <w:numPr>
        <w:ilvl w:val="4"/>
        <w:numId w:val="40"/>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9851DE"/>
    <w:pPr>
      <w:keepNext/>
      <w:keepLines/>
      <w:numPr>
        <w:ilvl w:val="5"/>
        <w:numId w:val="40"/>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9851DE"/>
    <w:pPr>
      <w:keepNext/>
      <w:keepLines/>
      <w:numPr>
        <w:ilvl w:val="6"/>
        <w:numId w:val="40"/>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9851DE"/>
    <w:pPr>
      <w:keepNext/>
      <w:keepLines/>
      <w:numPr>
        <w:ilvl w:val="7"/>
        <w:numId w:val="40"/>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9851DE"/>
    <w:pPr>
      <w:keepNext/>
      <w:keepLines/>
      <w:numPr>
        <w:ilvl w:val="8"/>
        <w:numId w:val="40"/>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Otsikko1"/>
    <w:next w:val="Leipteksti"/>
    <w:link w:val="OtsikkoChar"/>
    <w:uiPriority w:val="10"/>
    <w:qFormat/>
    <w:rsid w:val="009851DE"/>
    <w:pPr>
      <w:contextualSpacing/>
    </w:pPr>
    <w:rPr>
      <w:rFonts w:ascii="Arial Black" w:hAnsi="Arial Black" w:cstheme="majorHAnsi"/>
      <w:kern w:val="28"/>
      <w:szCs w:val="52"/>
    </w:rPr>
  </w:style>
  <w:style w:type="character" w:customStyle="1" w:styleId="OtsikkoChar">
    <w:name w:val="Otsikko Char"/>
    <w:basedOn w:val="Kappaleenoletusfontti"/>
    <w:link w:val="Otsikko"/>
    <w:uiPriority w:val="10"/>
    <w:rsid w:val="009851DE"/>
    <w:rPr>
      <w:rFonts w:ascii="Arial Black" w:eastAsiaTheme="majorEastAsia" w:hAnsi="Arial Black" w:cstheme="majorHAnsi"/>
      <w:b/>
      <w:bCs/>
      <w:kern w:val="28"/>
      <w:sz w:val="24"/>
      <w:szCs w:val="52"/>
    </w:rPr>
  </w:style>
  <w:style w:type="character" w:customStyle="1" w:styleId="Otsikko1Char">
    <w:name w:val="Otsikko 1 Char"/>
    <w:basedOn w:val="Kappaleenoletusfontti"/>
    <w:link w:val="Otsikko1"/>
    <w:uiPriority w:val="9"/>
    <w:rsid w:val="009851DE"/>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851DE"/>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851DE"/>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9851DE"/>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9851DE"/>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9851DE"/>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9851DE"/>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9851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9851DE"/>
    <w:rPr>
      <w:rFonts w:asciiTheme="majorHAnsi" w:eastAsiaTheme="majorEastAsia" w:hAnsiTheme="majorHAnsi" w:cstheme="majorBidi"/>
      <w:iCs/>
      <w:szCs w:val="20"/>
    </w:rPr>
  </w:style>
  <w:style w:type="paragraph" w:styleId="Eivli">
    <w:name w:val="No Spacing"/>
    <w:link w:val="EivliChar"/>
    <w:uiPriority w:val="1"/>
    <w:qFormat/>
    <w:rsid w:val="009851DE"/>
    <w:pPr>
      <w:ind w:left="2608"/>
      <w:jc w:val="both"/>
    </w:pPr>
  </w:style>
  <w:style w:type="paragraph" w:styleId="Leipteksti">
    <w:name w:val="Body Text"/>
    <w:basedOn w:val="Normaali"/>
    <w:link w:val="LeiptekstiChar"/>
    <w:qFormat/>
    <w:rsid w:val="009851DE"/>
    <w:pPr>
      <w:spacing w:after="220"/>
      <w:ind w:left="2608"/>
    </w:pPr>
  </w:style>
  <w:style w:type="character" w:customStyle="1" w:styleId="LeiptekstiChar">
    <w:name w:val="Leipäteksti Char"/>
    <w:basedOn w:val="Kappaleenoletusfontti"/>
    <w:link w:val="Leipteksti"/>
    <w:rsid w:val="009851DE"/>
  </w:style>
  <w:style w:type="paragraph" w:styleId="Sisluet1">
    <w:name w:val="toc 1"/>
    <w:basedOn w:val="Normaali"/>
    <w:next w:val="Normaali"/>
    <w:autoRedefine/>
    <w:uiPriority w:val="39"/>
    <w:semiHidden/>
    <w:rsid w:val="009851DE"/>
    <w:pPr>
      <w:spacing w:after="100"/>
    </w:pPr>
  </w:style>
  <w:style w:type="paragraph" w:styleId="Lhdeluettelonotsikko">
    <w:name w:val="toa heading"/>
    <w:basedOn w:val="Normaali"/>
    <w:next w:val="Normaali"/>
    <w:uiPriority w:val="99"/>
    <w:semiHidden/>
    <w:rsid w:val="009851DE"/>
    <w:pPr>
      <w:spacing w:before="120"/>
    </w:pPr>
    <w:rPr>
      <w:rFonts w:asciiTheme="majorHAnsi" w:eastAsiaTheme="majorEastAsia" w:hAnsiTheme="majorHAnsi" w:cstheme="majorBidi"/>
      <w:b/>
      <w:bCs/>
      <w:sz w:val="24"/>
      <w:szCs w:val="24"/>
    </w:rPr>
  </w:style>
  <w:style w:type="paragraph" w:styleId="Alatunniste">
    <w:name w:val="footer"/>
    <w:basedOn w:val="Normaali"/>
    <w:link w:val="AlatunnisteChar"/>
    <w:uiPriority w:val="99"/>
    <w:rsid w:val="009851DE"/>
    <w:pPr>
      <w:tabs>
        <w:tab w:val="center" w:pos="4513"/>
        <w:tab w:val="right" w:pos="9026"/>
      </w:tabs>
      <w:suppressAutoHyphens/>
    </w:pPr>
    <w:rPr>
      <w:rFonts w:ascii="Calibri" w:hAnsi="Calibri"/>
      <w:sz w:val="16"/>
    </w:rPr>
  </w:style>
  <w:style w:type="character" w:customStyle="1" w:styleId="AlatunnisteChar">
    <w:name w:val="Alatunniste Char"/>
    <w:basedOn w:val="Kappaleenoletusfontti"/>
    <w:link w:val="Alatunniste"/>
    <w:uiPriority w:val="99"/>
    <w:rsid w:val="009851DE"/>
    <w:rPr>
      <w:rFonts w:ascii="Calibri" w:hAnsi="Calibri"/>
      <w:sz w:val="16"/>
    </w:rPr>
  </w:style>
  <w:style w:type="character" w:styleId="Paikkamerkkiteksti">
    <w:name w:val="Placeholder Text"/>
    <w:basedOn w:val="Kappaleenoletusfontti"/>
    <w:uiPriority w:val="99"/>
    <w:rsid w:val="009851DE"/>
    <w:rPr>
      <w:vanish/>
      <w:color w:val="auto"/>
    </w:rPr>
  </w:style>
  <w:style w:type="numbering" w:customStyle="1" w:styleId="MerkittyluetteloSTUK">
    <w:name w:val="Merkitty luettelo STUK"/>
    <w:uiPriority w:val="99"/>
    <w:rsid w:val="009851DE"/>
    <w:pPr>
      <w:numPr>
        <w:numId w:val="3"/>
      </w:numPr>
    </w:pPr>
  </w:style>
  <w:style w:type="numbering" w:customStyle="1" w:styleId="NumeroituluetteloSTUK">
    <w:name w:val="Numeroitu luettelo STUK"/>
    <w:uiPriority w:val="99"/>
    <w:rsid w:val="009851DE"/>
    <w:pPr>
      <w:numPr>
        <w:numId w:val="5"/>
      </w:numPr>
    </w:pPr>
  </w:style>
  <w:style w:type="paragraph" w:styleId="Merkittyluettelo">
    <w:name w:val="List Bullet"/>
    <w:basedOn w:val="Normaali"/>
    <w:uiPriority w:val="99"/>
    <w:qFormat/>
    <w:rsid w:val="009851DE"/>
    <w:pPr>
      <w:numPr>
        <w:numId w:val="30"/>
      </w:numPr>
      <w:spacing w:after="220"/>
      <w:contextualSpacing/>
    </w:pPr>
  </w:style>
  <w:style w:type="paragraph" w:styleId="Yltunniste">
    <w:name w:val="header"/>
    <w:basedOn w:val="Normaali"/>
    <w:link w:val="YltunnisteChar"/>
    <w:uiPriority w:val="99"/>
    <w:rsid w:val="009851DE"/>
    <w:pPr>
      <w:suppressAutoHyphens/>
    </w:pPr>
  </w:style>
  <w:style w:type="paragraph" w:styleId="Numeroituluettelo">
    <w:name w:val="List Number"/>
    <w:basedOn w:val="Normaali"/>
    <w:uiPriority w:val="99"/>
    <w:qFormat/>
    <w:rsid w:val="009851DE"/>
    <w:pPr>
      <w:numPr>
        <w:numId w:val="34"/>
      </w:numPr>
      <w:spacing w:after="220"/>
      <w:contextualSpacing/>
    </w:pPr>
  </w:style>
  <w:style w:type="character" w:customStyle="1" w:styleId="YltunnisteChar">
    <w:name w:val="Ylätunniste Char"/>
    <w:basedOn w:val="Kappaleenoletusfontti"/>
    <w:link w:val="Yltunniste"/>
    <w:uiPriority w:val="99"/>
    <w:rsid w:val="009851DE"/>
  </w:style>
  <w:style w:type="table" w:styleId="TaulukkoRuudukko">
    <w:name w:val="Table Grid"/>
    <w:basedOn w:val="Normaalitaulukko"/>
    <w:uiPriority w:val="59"/>
    <w:rsid w:val="009851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unaton">
    <w:name w:val="reunaton"/>
    <w:basedOn w:val="Normaalitaulukko"/>
    <w:uiPriority w:val="99"/>
    <w:qFormat/>
    <w:rsid w:val="009851DE"/>
    <w:tblPr/>
  </w:style>
  <w:style w:type="paragraph" w:styleId="Seliteteksti">
    <w:name w:val="Balloon Text"/>
    <w:basedOn w:val="Normaali"/>
    <w:link w:val="SelitetekstiChar"/>
    <w:uiPriority w:val="99"/>
    <w:semiHidden/>
    <w:unhideWhenUsed/>
    <w:rsid w:val="009851DE"/>
    <w:rPr>
      <w:rFonts w:ascii="Tahoma" w:hAnsi="Tahoma" w:cs="Tahoma"/>
      <w:sz w:val="16"/>
      <w:szCs w:val="16"/>
    </w:rPr>
  </w:style>
  <w:style w:type="character" w:customStyle="1" w:styleId="SelitetekstiChar">
    <w:name w:val="Seliteteksti Char"/>
    <w:basedOn w:val="Kappaleenoletusfontti"/>
    <w:link w:val="Seliteteksti"/>
    <w:uiPriority w:val="99"/>
    <w:semiHidden/>
    <w:rsid w:val="009851DE"/>
    <w:rPr>
      <w:rFonts w:ascii="Tahoma" w:hAnsi="Tahoma" w:cs="Tahoma"/>
      <w:sz w:val="16"/>
      <w:szCs w:val="16"/>
    </w:rPr>
  </w:style>
  <w:style w:type="paragraph" w:styleId="Sisllysluettelonotsikko">
    <w:name w:val="TOC Heading"/>
    <w:basedOn w:val="Otsikko1"/>
    <w:next w:val="Normaali"/>
    <w:uiPriority w:val="39"/>
    <w:semiHidden/>
    <w:rsid w:val="009851DE"/>
    <w:pPr>
      <w:spacing w:after="240"/>
      <w:outlineLvl w:val="9"/>
    </w:pPr>
  </w:style>
  <w:style w:type="paragraph" w:styleId="Merkittyluettelo2">
    <w:name w:val="List Bullet 2"/>
    <w:basedOn w:val="Normaali"/>
    <w:uiPriority w:val="99"/>
    <w:qFormat/>
    <w:rsid w:val="009851DE"/>
    <w:pPr>
      <w:numPr>
        <w:numId w:val="41"/>
      </w:numPr>
      <w:spacing w:after="220"/>
      <w:contextualSpacing/>
    </w:pPr>
  </w:style>
  <w:style w:type="paragraph" w:styleId="Numeroituluettelo2">
    <w:name w:val="List Number 2"/>
    <w:basedOn w:val="Normaali"/>
    <w:uiPriority w:val="99"/>
    <w:unhideWhenUsed/>
    <w:qFormat/>
    <w:rsid w:val="009851DE"/>
    <w:pPr>
      <w:numPr>
        <w:numId w:val="42"/>
      </w:numPr>
      <w:spacing w:after="220"/>
      <w:contextualSpacing/>
    </w:pPr>
  </w:style>
  <w:style w:type="numbering" w:customStyle="1" w:styleId="Stukmerkittyluettelo2">
    <w:name w:val="Stuk merkitty luettelo 2"/>
    <w:uiPriority w:val="99"/>
    <w:rsid w:val="009851DE"/>
    <w:pPr>
      <w:numPr>
        <w:numId w:val="14"/>
      </w:numPr>
    </w:pPr>
  </w:style>
  <w:style w:type="numbering" w:customStyle="1" w:styleId="Stuknumeroituluettelo2">
    <w:name w:val="Stuk numeroitu luettelo 2"/>
    <w:uiPriority w:val="99"/>
    <w:rsid w:val="009851DE"/>
    <w:pPr>
      <w:numPr>
        <w:numId w:val="15"/>
      </w:numPr>
    </w:pPr>
  </w:style>
  <w:style w:type="character" w:customStyle="1" w:styleId="EivliChar">
    <w:name w:val="Ei väliä Char"/>
    <w:basedOn w:val="Kappaleenoletusfontti"/>
    <w:link w:val="Eivli"/>
    <w:uiPriority w:val="1"/>
    <w:rsid w:val="009851DE"/>
  </w:style>
  <w:style w:type="paragraph" w:styleId="Luettelokappale">
    <w:name w:val="List Paragraph"/>
    <w:basedOn w:val="Normaali"/>
    <w:uiPriority w:val="34"/>
    <w:semiHidden/>
    <w:qFormat/>
    <w:rsid w:val="009851DE"/>
    <w:pPr>
      <w:ind w:left="720"/>
      <w:contextualSpacing/>
    </w:pPr>
  </w:style>
  <w:style w:type="numbering" w:customStyle="1" w:styleId="Numeroidutotsikot">
    <w:name w:val="Numeroidut otsikot"/>
    <w:uiPriority w:val="99"/>
    <w:rsid w:val="009851DE"/>
    <w:pPr>
      <w:numPr>
        <w:numId w:val="31"/>
      </w:numPr>
    </w:pPr>
  </w:style>
  <w:style w:type="character" w:styleId="Kommentinviite">
    <w:name w:val="annotation reference"/>
    <w:basedOn w:val="Kappaleenoletusfontti"/>
    <w:uiPriority w:val="99"/>
    <w:semiHidden/>
    <w:unhideWhenUsed/>
    <w:rsid w:val="007C7BCF"/>
    <w:rPr>
      <w:sz w:val="16"/>
      <w:szCs w:val="16"/>
    </w:rPr>
  </w:style>
  <w:style w:type="paragraph" w:styleId="Kommentinteksti">
    <w:name w:val="annotation text"/>
    <w:basedOn w:val="Normaali"/>
    <w:link w:val="KommentintekstiChar"/>
    <w:uiPriority w:val="99"/>
    <w:unhideWhenUsed/>
    <w:rsid w:val="007C7BCF"/>
    <w:pPr>
      <w:jc w:val="both"/>
    </w:pPr>
    <w:rPr>
      <w:sz w:val="20"/>
      <w:szCs w:val="20"/>
    </w:rPr>
  </w:style>
  <w:style w:type="character" w:customStyle="1" w:styleId="KommentintekstiChar">
    <w:name w:val="Kommentin teksti Char"/>
    <w:basedOn w:val="Kappaleenoletusfontti"/>
    <w:link w:val="Kommentinteksti"/>
    <w:uiPriority w:val="99"/>
    <w:rsid w:val="007C7BCF"/>
    <w:rPr>
      <w:sz w:val="20"/>
      <w:szCs w:val="20"/>
    </w:rPr>
  </w:style>
  <w:style w:type="paragraph" w:styleId="Kommentinotsikko">
    <w:name w:val="annotation subject"/>
    <w:basedOn w:val="Kommentinteksti"/>
    <w:next w:val="Kommentinteksti"/>
    <w:link w:val="KommentinotsikkoChar"/>
    <w:uiPriority w:val="99"/>
    <w:semiHidden/>
    <w:unhideWhenUsed/>
    <w:rsid w:val="00446CCB"/>
    <w:pPr>
      <w:jc w:val="left"/>
    </w:pPr>
    <w:rPr>
      <w:b/>
      <w:bCs/>
    </w:rPr>
  </w:style>
  <w:style w:type="character" w:customStyle="1" w:styleId="KommentinotsikkoChar">
    <w:name w:val="Kommentin otsikko Char"/>
    <w:basedOn w:val="KommentintekstiChar"/>
    <w:link w:val="Kommentinotsikko"/>
    <w:uiPriority w:val="99"/>
    <w:semiHidden/>
    <w:rsid w:val="00446C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inlex.fi/fi/viranomaiset/normi/5550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3935\AppData\Roaming\Microsoft\Templates\STUK%20suom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DAA7E3BFC4E7EB1602E2DB0BD4EE4"/>
        <w:category>
          <w:name w:val="Yleiset"/>
          <w:gallery w:val="placeholder"/>
        </w:category>
        <w:types>
          <w:type w:val="bbPlcHdr"/>
        </w:types>
        <w:behaviors>
          <w:behavior w:val="content"/>
        </w:behaviors>
        <w:guid w:val="{E57F4C02-2546-4364-96E9-0EF3D9A426CA}"/>
      </w:docPartPr>
      <w:docPartBody>
        <w:p w:rsidR="00EF48DD" w:rsidRDefault="00EF48DD">
          <w:pPr>
            <w:pStyle w:val="62DDAA7E3BFC4E7EB1602E2DB0BD4EE4"/>
          </w:pPr>
          <w:r w:rsidRPr="00DF49CA">
            <w:rPr>
              <w:rStyle w:val="Paikkamerkkiteksti"/>
            </w:rPr>
            <w:t>[</w:t>
          </w:r>
          <w:r>
            <w:rPr>
              <w:rStyle w:val="Paikkamerkkiteksti"/>
            </w:rPr>
            <w:t>Asiaotsikko</w:t>
          </w:r>
          <w:r w:rsidRPr="00DF49CA">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DD"/>
    <w:rsid w:val="00EF48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Eiluetteloa">
    <w:name w:val="No List"/>
    <w:uiPriority w:val="99"/>
    <w:semiHidden/>
    <w:unhideWhenUsed/>
  </w:style>
  <w:style w:type="character" w:styleId="Paikkamerkkiteksti">
    <w:name w:val="Placeholder Text"/>
    <w:basedOn w:val="Kappaleenoletusfontti"/>
    <w:uiPriority w:val="99"/>
    <w:rPr>
      <w:vanish/>
      <w:color w:val="auto"/>
    </w:rPr>
  </w:style>
  <w:style w:type="paragraph" w:customStyle="1" w:styleId="62DDAA7E3BFC4E7EB1602E2DB0BD4EE4">
    <w:name w:val="62DDAA7E3BFC4E7EB1602E2DB0BD4EE4"/>
  </w:style>
  <w:style w:type="paragraph" w:customStyle="1" w:styleId="13394A6F25DD49429446C0AE1907D454">
    <w:name w:val="13394A6F25DD49429446C0AE1907D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TUK">
  <a:themeElements>
    <a:clrScheme name="STUK">
      <a:dk1>
        <a:srgbClr val="000000"/>
      </a:dk1>
      <a:lt1>
        <a:sysClr val="window" lastClr="FFFFFF"/>
      </a:lt1>
      <a:dk2>
        <a:srgbClr val="0066B3"/>
      </a:dk2>
      <a:lt2>
        <a:srgbClr val="C99AC6"/>
      </a:lt2>
      <a:accent1>
        <a:srgbClr val="0066B3"/>
      </a:accent1>
      <a:accent2>
        <a:srgbClr val="50C2BF"/>
      </a:accent2>
      <a:accent3>
        <a:srgbClr val="F48480"/>
      </a:accent3>
      <a:accent4>
        <a:srgbClr val="FCBA61"/>
      </a:accent4>
      <a:accent5>
        <a:srgbClr val="6ECFF6"/>
      </a:accent5>
      <a:accent6>
        <a:srgbClr val="94CC80"/>
      </a:accent6>
      <a:hlink>
        <a:srgbClr val="50C2BF"/>
      </a:hlink>
      <a:folHlink>
        <a:srgbClr val="9999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2020-04-03T00:00:00</PublishDate>
  <Abstract>LUONNOS 2</Abstract>
  <CompanyAddress/>
  <CompanyPhone/>
  <CompanyFax>#1919825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33CBC6-3A3B-4D23-86A8-2890A561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Perusasiakirja.dotx</Template>
  <TotalTime>6</TotalTime>
  <Pages>12</Pages>
  <Words>3581</Words>
  <Characters>29011</Characters>
  <Application>Microsoft Office Word</Application>
  <DocSecurity>0</DocSecurity>
  <Lines>241</Lines>
  <Paragraphs>65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Säteilyturvakeskuksen määräys uraanin tai toriumin tuottamiseksi harjoitettavan malminrikastustoiminnan turvallisuudesta
STUK Y/5/2020</vt:lpstr>
      <vt:lpstr>Säteilyturvakeskuksen määräys uraanin tai toriumin tuottamiseksi harjoitettavan malminrikastustoiminnan turvallisuudesta
STUK Y/5/2020</vt:lpstr>
    </vt:vector>
  </TitlesOfParts>
  <Company>Säteilyturvakeskus STUK</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Säteilyturvakeskuksen määräys uraanin tai toriumin tuottamiseksi harjoitettavan malminrikastustoiminnan turvallisuudesta
STUK Y/5/2020</dc:title>
  <dc:subject/>
  <dc:creator/>
  <cp:keywords/>
  <dc:description/>
  <cp:lastModifiedBy>Suksi Seija</cp:lastModifiedBy>
  <cp:revision>4</cp:revision>
  <dcterms:created xsi:type="dcterms:W3CDTF">2020-04-05T13:49:00Z</dcterms:created>
  <dcterms:modified xsi:type="dcterms:W3CDTF">2020-04-05T13:52:00Z</dcterms:modified>
  <cp:contentStatus>5/0007/2017</cp:contentStatus>
</cp:coreProperties>
</file>