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4383B" w14:textId="77777777" w:rsidR="003C4DCC" w:rsidRDefault="003C4DCC" w:rsidP="000A06A9"/>
    <w:p w14:paraId="129E2500" w14:textId="77777777" w:rsidR="00EF3AF3" w:rsidRPr="00940745" w:rsidRDefault="00940745" w:rsidP="00940745">
      <w:pPr>
        <w:pStyle w:val="LLEsityksennimi"/>
        <w:rPr>
          <w:lang w:val="sv-SE"/>
        </w:rPr>
      </w:pPr>
      <w:r w:rsidRPr="00940745">
        <w:rPr>
          <w:lang w:val="sv-SE"/>
        </w:rPr>
        <w:t>Regeringens proposition till riksdagen</w:t>
      </w:r>
      <w:r w:rsidR="008021BF" w:rsidRPr="008021BF">
        <w:rPr>
          <w:lang w:val="sv-SE"/>
        </w:rPr>
        <w:t xml:space="preserve"> med förslag till lag om ändring av 2 och 3 § i lagen om kontroll av brottslig bakgrund hos personer som arbetar med barn</w:t>
      </w:r>
    </w:p>
    <w:bookmarkStart w:id="0" w:name="_Toc53049190" w:displacedByCustomXml="next"/>
    <w:sdt>
      <w:sdtPr>
        <w:alias w:val="Otsikko"/>
        <w:tag w:val="CCOtsikko"/>
        <w:id w:val="-717274869"/>
        <w:lock w:val="sdtLocked"/>
        <w:placeholder>
          <w:docPart w:val="5472C48348FD474C92CE1A55019AE388"/>
        </w:placeholder>
        <w15:color w:val="00CCFF"/>
      </w:sdtPr>
      <w:sdtEndPr/>
      <w:sdtContent>
        <w:p w14:paraId="57FE2453" w14:textId="77777777"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sdt>
      <w:sdtPr>
        <w:alias w:val="Pääasiallinen sisältö"/>
        <w:tag w:val="CCsisaltokappale"/>
        <w:id w:val="773754789"/>
        <w:lock w:val="sdtLocked"/>
        <w:placeholder>
          <w:docPart w:val="BAC93A864146443D85A917358962E381"/>
        </w:placeholder>
        <w15:color w:val="00CCFF"/>
      </w:sdtPr>
      <w:sdtEndPr/>
      <w:sdtContent>
        <w:p w14:paraId="4BC46E40" w14:textId="77777777" w:rsidR="008021BF" w:rsidRPr="008021BF" w:rsidRDefault="008021BF" w:rsidP="008021BF">
          <w:pPr>
            <w:pStyle w:val="LLPerustelujenkappalejako"/>
            <w:rPr>
              <w:lang w:val="sv-SE"/>
            </w:rPr>
          </w:pPr>
          <w:r w:rsidRPr="008021BF">
            <w:rPr>
              <w:lang w:val="sv-SE"/>
            </w:rPr>
            <w:t>I denna proposition föreslås det att lagen om kontroll av brottslig bakgrund hos personer som arbetar med barn ändras. Syftet med ändringarna är att förbättra arbetsgivarnas möjligheter att utreda arbetssökandes brottsliga bakgrund också i kortvariga anställnings- och tjänsteförhålland</w:t>
          </w:r>
          <w:r w:rsidR="005F30F7">
            <w:rPr>
              <w:lang w:val="sv-SE"/>
            </w:rPr>
            <w:t>en som varar högst tre månader.</w:t>
          </w:r>
        </w:p>
        <w:p w14:paraId="49C66EE2" w14:textId="7073D3D3" w:rsidR="008021BF" w:rsidRPr="003D19CB" w:rsidRDefault="008021BF" w:rsidP="008021BF">
          <w:pPr>
            <w:pStyle w:val="LLPerustelujenkappalejako"/>
            <w:rPr>
              <w:lang w:val="sv-SE"/>
            </w:rPr>
          </w:pPr>
          <w:r w:rsidRPr="008021BF">
            <w:rPr>
              <w:lang w:val="sv-SE"/>
            </w:rPr>
            <w:t>De föreslagna ändringarna gäller lagens tillämpningsområde, som föreslås bli kompletterat så att arbetsgivaren har rätt att enligt prövning utreda arbetssökandes brottsliga bakgrund också i anställningsförhållanden</w:t>
          </w:r>
          <w:r>
            <w:rPr>
              <w:lang w:val="sv-SE"/>
            </w:rPr>
            <w:t>,</w:t>
          </w:r>
          <w:r w:rsidRPr="008021BF">
            <w:rPr>
              <w:lang w:val="sv-SE"/>
            </w:rPr>
            <w:t xml:space="preserve"> som varar högst tre månader. </w:t>
          </w:r>
          <w:r w:rsidR="00223FDF" w:rsidRPr="003D19CB">
            <w:rPr>
              <w:lang w:val="sv-SE"/>
            </w:rPr>
            <w:t xml:space="preserve">Det är inte fråga om att foga en ny skyldighet till lagen. </w:t>
          </w:r>
        </w:p>
        <w:p w14:paraId="5C98A193" w14:textId="5E07BE91" w:rsidR="005A0584" w:rsidRPr="00234499" w:rsidRDefault="008021BF" w:rsidP="008021BF">
          <w:pPr>
            <w:pStyle w:val="LLPerustelujenkappalejako"/>
            <w:rPr>
              <w:lang w:val="sv-SE"/>
            </w:rPr>
          </w:pPr>
          <w:r w:rsidRPr="008021BF">
            <w:rPr>
              <w:lang w:val="sv-SE"/>
            </w:rPr>
            <w:t>Den föreslagna lagen avses träda i kraft våren 2021.</w:t>
          </w:r>
        </w:p>
      </w:sdtContent>
    </w:sdt>
    <w:p w14:paraId="667B7D8F" w14:textId="77777777" w:rsidR="005A0584" w:rsidRPr="00234499" w:rsidRDefault="0076114C" w:rsidP="00612C71">
      <w:pPr>
        <w:pStyle w:val="LLNormaali"/>
        <w:jc w:val="center"/>
        <w:rPr>
          <w:lang w:val="sv-SE"/>
        </w:rPr>
      </w:pPr>
      <w:r w:rsidRPr="00234499">
        <w:rPr>
          <w:lang w:val="sv-SE"/>
        </w:rPr>
        <w:t>—————</w:t>
      </w:r>
      <w:r w:rsidR="005A0584" w:rsidRPr="00234499">
        <w:rPr>
          <w:lang w:val="sv-SE"/>
        </w:rPr>
        <w:br w:type="page"/>
      </w:r>
    </w:p>
    <w:p w14:paraId="2A8CCC24" w14:textId="77777777" w:rsidR="005A0584" w:rsidRPr="00234499" w:rsidRDefault="00940745" w:rsidP="00612C71">
      <w:pPr>
        <w:pStyle w:val="LLSisllys"/>
        <w:rPr>
          <w:lang w:val="sv-SE"/>
        </w:rPr>
      </w:pPr>
      <w:r w:rsidRPr="00234499">
        <w:rPr>
          <w:lang w:val="sv-SE"/>
        </w:rPr>
        <w:t>INNEH</w:t>
      </w:r>
      <w:r w:rsidR="00FC143A">
        <w:rPr>
          <w:lang w:val="sv-SE"/>
        </w:rPr>
        <w:t>Å</w:t>
      </w:r>
      <w:r w:rsidRPr="00234499">
        <w:rPr>
          <w:lang w:val="sv-SE"/>
        </w:rPr>
        <w:t>LL</w:t>
      </w:r>
    </w:p>
    <w:p w14:paraId="6687FDB0" w14:textId="6BA51143" w:rsidR="003D19CB"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3049190" w:history="1">
        <w:r w:rsidR="003D19CB" w:rsidRPr="001F3E45">
          <w:rPr>
            <w:rStyle w:val="Hyperlinkki"/>
            <w:noProof/>
            <w:lang w:val="sv-SE"/>
          </w:rPr>
          <w:t>Propositionens huvudsakliga innehåll</w:t>
        </w:r>
        <w:r w:rsidR="003D19CB">
          <w:rPr>
            <w:noProof/>
            <w:webHidden/>
          </w:rPr>
          <w:tab/>
        </w:r>
        <w:r w:rsidR="003D19CB">
          <w:rPr>
            <w:noProof/>
            <w:webHidden/>
          </w:rPr>
          <w:fldChar w:fldCharType="begin"/>
        </w:r>
        <w:r w:rsidR="003D19CB">
          <w:rPr>
            <w:noProof/>
            <w:webHidden/>
          </w:rPr>
          <w:instrText xml:space="preserve"> PAGEREF _Toc53049190 \h </w:instrText>
        </w:r>
        <w:r w:rsidR="003D19CB">
          <w:rPr>
            <w:noProof/>
            <w:webHidden/>
          </w:rPr>
        </w:r>
        <w:r w:rsidR="003D19CB">
          <w:rPr>
            <w:noProof/>
            <w:webHidden/>
          </w:rPr>
          <w:fldChar w:fldCharType="separate"/>
        </w:r>
        <w:r w:rsidR="003D19CB">
          <w:rPr>
            <w:noProof/>
            <w:webHidden/>
          </w:rPr>
          <w:t>1</w:t>
        </w:r>
        <w:r w:rsidR="003D19CB">
          <w:rPr>
            <w:noProof/>
            <w:webHidden/>
          </w:rPr>
          <w:fldChar w:fldCharType="end"/>
        </w:r>
      </w:hyperlink>
    </w:p>
    <w:p w14:paraId="0A1C40AD" w14:textId="75377EED" w:rsidR="003D19CB" w:rsidRDefault="003D19CB">
      <w:pPr>
        <w:pStyle w:val="Sisluet1"/>
        <w:rPr>
          <w:rFonts w:asciiTheme="minorHAnsi" w:eastAsiaTheme="minorEastAsia" w:hAnsiTheme="minorHAnsi" w:cstheme="minorBidi"/>
          <w:bCs w:val="0"/>
          <w:caps w:val="0"/>
          <w:noProof/>
          <w:szCs w:val="22"/>
        </w:rPr>
      </w:pPr>
      <w:hyperlink w:anchor="_Toc53049191" w:history="1">
        <w:r w:rsidRPr="001F3E45">
          <w:rPr>
            <w:rStyle w:val="Hyperlinkki"/>
            <w:noProof/>
            <w:lang w:val="sv-SE"/>
          </w:rPr>
          <w:t>MOTIVERING</w:t>
        </w:r>
        <w:r>
          <w:rPr>
            <w:noProof/>
            <w:webHidden/>
          </w:rPr>
          <w:tab/>
        </w:r>
        <w:r>
          <w:rPr>
            <w:noProof/>
            <w:webHidden/>
          </w:rPr>
          <w:fldChar w:fldCharType="begin"/>
        </w:r>
        <w:r>
          <w:rPr>
            <w:noProof/>
            <w:webHidden/>
          </w:rPr>
          <w:instrText xml:space="preserve"> PAGEREF _Toc53049191 \h </w:instrText>
        </w:r>
        <w:r>
          <w:rPr>
            <w:noProof/>
            <w:webHidden/>
          </w:rPr>
        </w:r>
        <w:r>
          <w:rPr>
            <w:noProof/>
            <w:webHidden/>
          </w:rPr>
          <w:fldChar w:fldCharType="separate"/>
        </w:r>
        <w:r>
          <w:rPr>
            <w:noProof/>
            <w:webHidden/>
          </w:rPr>
          <w:t>3</w:t>
        </w:r>
        <w:r>
          <w:rPr>
            <w:noProof/>
            <w:webHidden/>
          </w:rPr>
          <w:fldChar w:fldCharType="end"/>
        </w:r>
      </w:hyperlink>
    </w:p>
    <w:p w14:paraId="78E9EA5C" w14:textId="20D1C39B" w:rsidR="003D19CB" w:rsidRDefault="003D19CB">
      <w:pPr>
        <w:pStyle w:val="Sisluet2"/>
        <w:rPr>
          <w:rFonts w:asciiTheme="minorHAnsi" w:eastAsiaTheme="minorEastAsia" w:hAnsiTheme="minorHAnsi" w:cstheme="minorBidi"/>
          <w:szCs w:val="22"/>
        </w:rPr>
      </w:pPr>
      <w:hyperlink w:anchor="_Toc53049192" w:history="1">
        <w:r w:rsidRPr="001F3E45">
          <w:rPr>
            <w:rStyle w:val="Hyperlinkki"/>
            <w:lang w:val="sv-SE"/>
          </w:rPr>
          <w:t>1 Bakgrund och beredning</w:t>
        </w:r>
        <w:r>
          <w:rPr>
            <w:webHidden/>
          </w:rPr>
          <w:tab/>
        </w:r>
        <w:r>
          <w:rPr>
            <w:webHidden/>
          </w:rPr>
          <w:fldChar w:fldCharType="begin"/>
        </w:r>
        <w:r>
          <w:rPr>
            <w:webHidden/>
          </w:rPr>
          <w:instrText xml:space="preserve"> PAGEREF _Toc53049192 \h </w:instrText>
        </w:r>
        <w:r>
          <w:rPr>
            <w:webHidden/>
          </w:rPr>
        </w:r>
        <w:r>
          <w:rPr>
            <w:webHidden/>
          </w:rPr>
          <w:fldChar w:fldCharType="separate"/>
        </w:r>
        <w:r>
          <w:rPr>
            <w:webHidden/>
          </w:rPr>
          <w:t>3</w:t>
        </w:r>
        <w:r>
          <w:rPr>
            <w:webHidden/>
          </w:rPr>
          <w:fldChar w:fldCharType="end"/>
        </w:r>
      </w:hyperlink>
    </w:p>
    <w:p w14:paraId="40D0D07F" w14:textId="00F69100" w:rsidR="003D19CB" w:rsidRDefault="003D19CB">
      <w:pPr>
        <w:pStyle w:val="Sisluet3"/>
        <w:rPr>
          <w:rFonts w:asciiTheme="minorHAnsi" w:eastAsiaTheme="minorEastAsia" w:hAnsiTheme="minorHAnsi" w:cstheme="minorBidi"/>
          <w:noProof/>
          <w:szCs w:val="22"/>
        </w:rPr>
      </w:pPr>
      <w:hyperlink w:anchor="_Toc53049193" w:history="1">
        <w:r w:rsidRPr="001F3E45">
          <w:rPr>
            <w:rStyle w:val="Hyperlinkki"/>
            <w:noProof/>
            <w:lang w:val="sv-SE"/>
          </w:rPr>
          <w:t>1.1 Bakgrund</w:t>
        </w:r>
        <w:r>
          <w:rPr>
            <w:noProof/>
            <w:webHidden/>
          </w:rPr>
          <w:tab/>
        </w:r>
        <w:r>
          <w:rPr>
            <w:noProof/>
            <w:webHidden/>
          </w:rPr>
          <w:fldChar w:fldCharType="begin"/>
        </w:r>
        <w:r>
          <w:rPr>
            <w:noProof/>
            <w:webHidden/>
          </w:rPr>
          <w:instrText xml:space="preserve"> PAGEREF _Toc53049193 \h </w:instrText>
        </w:r>
        <w:r>
          <w:rPr>
            <w:noProof/>
            <w:webHidden/>
          </w:rPr>
        </w:r>
        <w:r>
          <w:rPr>
            <w:noProof/>
            <w:webHidden/>
          </w:rPr>
          <w:fldChar w:fldCharType="separate"/>
        </w:r>
        <w:r>
          <w:rPr>
            <w:noProof/>
            <w:webHidden/>
          </w:rPr>
          <w:t>3</w:t>
        </w:r>
        <w:r>
          <w:rPr>
            <w:noProof/>
            <w:webHidden/>
          </w:rPr>
          <w:fldChar w:fldCharType="end"/>
        </w:r>
      </w:hyperlink>
    </w:p>
    <w:p w14:paraId="25DB6265" w14:textId="7E8D66DF" w:rsidR="003D19CB" w:rsidRDefault="003D19CB">
      <w:pPr>
        <w:pStyle w:val="Sisluet3"/>
        <w:rPr>
          <w:rFonts w:asciiTheme="minorHAnsi" w:eastAsiaTheme="minorEastAsia" w:hAnsiTheme="minorHAnsi" w:cstheme="minorBidi"/>
          <w:noProof/>
          <w:szCs w:val="22"/>
        </w:rPr>
      </w:pPr>
      <w:hyperlink w:anchor="_Toc53049194" w:history="1">
        <w:r w:rsidRPr="001F3E45">
          <w:rPr>
            <w:rStyle w:val="Hyperlinkki"/>
            <w:noProof/>
            <w:lang w:val="sv-SE"/>
          </w:rPr>
          <w:t>1.2 Beredning</w:t>
        </w:r>
        <w:r>
          <w:rPr>
            <w:noProof/>
            <w:webHidden/>
          </w:rPr>
          <w:tab/>
        </w:r>
        <w:r>
          <w:rPr>
            <w:noProof/>
            <w:webHidden/>
          </w:rPr>
          <w:fldChar w:fldCharType="begin"/>
        </w:r>
        <w:r>
          <w:rPr>
            <w:noProof/>
            <w:webHidden/>
          </w:rPr>
          <w:instrText xml:space="preserve"> PAGEREF _Toc53049194 \h </w:instrText>
        </w:r>
        <w:r>
          <w:rPr>
            <w:noProof/>
            <w:webHidden/>
          </w:rPr>
        </w:r>
        <w:r>
          <w:rPr>
            <w:noProof/>
            <w:webHidden/>
          </w:rPr>
          <w:fldChar w:fldCharType="separate"/>
        </w:r>
        <w:r>
          <w:rPr>
            <w:noProof/>
            <w:webHidden/>
          </w:rPr>
          <w:t>3</w:t>
        </w:r>
        <w:r>
          <w:rPr>
            <w:noProof/>
            <w:webHidden/>
          </w:rPr>
          <w:fldChar w:fldCharType="end"/>
        </w:r>
      </w:hyperlink>
    </w:p>
    <w:p w14:paraId="6C5A7064" w14:textId="7525B57B" w:rsidR="003D19CB" w:rsidRDefault="003D19CB">
      <w:pPr>
        <w:pStyle w:val="Sisluet2"/>
        <w:rPr>
          <w:rFonts w:asciiTheme="minorHAnsi" w:eastAsiaTheme="minorEastAsia" w:hAnsiTheme="minorHAnsi" w:cstheme="minorBidi"/>
          <w:szCs w:val="22"/>
        </w:rPr>
      </w:pPr>
      <w:hyperlink w:anchor="_Toc53049195" w:history="1">
        <w:r w:rsidRPr="001F3E45">
          <w:rPr>
            <w:rStyle w:val="Hyperlinkki"/>
            <w:lang w:val="sv-SE"/>
          </w:rPr>
          <w:t>2 Nuläge och bedömning av nuläget</w:t>
        </w:r>
        <w:r>
          <w:rPr>
            <w:webHidden/>
          </w:rPr>
          <w:tab/>
        </w:r>
        <w:r>
          <w:rPr>
            <w:webHidden/>
          </w:rPr>
          <w:fldChar w:fldCharType="begin"/>
        </w:r>
        <w:r>
          <w:rPr>
            <w:webHidden/>
          </w:rPr>
          <w:instrText xml:space="preserve"> PAGEREF _Toc53049195 \h </w:instrText>
        </w:r>
        <w:r>
          <w:rPr>
            <w:webHidden/>
          </w:rPr>
        </w:r>
        <w:r>
          <w:rPr>
            <w:webHidden/>
          </w:rPr>
          <w:fldChar w:fldCharType="separate"/>
        </w:r>
        <w:r>
          <w:rPr>
            <w:webHidden/>
          </w:rPr>
          <w:t>3</w:t>
        </w:r>
        <w:r>
          <w:rPr>
            <w:webHidden/>
          </w:rPr>
          <w:fldChar w:fldCharType="end"/>
        </w:r>
      </w:hyperlink>
    </w:p>
    <w:p w14:paraId="649692E7" w14:textId="6BE896DF" w:rsidR="003D19CB" w:rsidRDefault="003D19CB">
      <w:pPr>
        <w:pStyle w:val="Sisluet2"/>
        <w:rPr>
          <w:rFonts w:asciiTheme="minorHAnsi" w:eastAsiaTheme="minorEastAsia" w:hAnsiTheme="minorHAnsi" w:cstheme="minorBidi"/>
          <w:szCs w:val="22"/>
        </w:rPr>
      </w:pPr>
      <w:hyperlink w:anchor="_Toc53049196" w:history="1">
        <w:r w:rsidRPr="001F3E45">
          <w:rPr>
            <w:rStyle w:val="Hyperlinkki"/>
            <w:lang w:val="sv-SE"/>
          </w:rPr>
          <w:t>3 Målsättning</w:t>
        </w:r>
        <w:r>
          <w:rPr>
            <w:webHidden/>
          </w:rPr>
          <w:tab/>
        </w:r>
        <w:r>
          <w:rPr>
            <w:webHidden/>
          </w:rPr>
          <w:fldChar w:fldCharType="begin"/>
        </w:r>
        <w:r>
          <w:rPr>
            <w:webHidden/>
          </w:rPr>
          <w:instrText xml:space="preserve"> PAGEREF _Toc53049196 \h </w:instrText>
        </w:r>
        <w:r>
          <w:rPr>
            <w:webHidden/>
          </w:rPr>
        </w:r>
        <w:r>
          <w:rPr>
            <w:webHidden/>
          </w:rPr>
          <w:fldChar w:fldCharType="separate"/>
        </w:r>
        <w:r>
          <w:rPr>
            <w:webHidden/>
          </w:rPr>
          <w:t>10</w:t>
        </w:r>
        <w:r>
          <w:rPr>
            <w:webHidden/>
          </w:rPr>
          <w:fldChar w:fldCharType="end"/>
        </w:r>
      </w:hyperlink>
    </w:p>
    <w:p w14:paraId="7F8E9B61" w14:textId="7747934F" w:rsidR="003D19CB" w:rsidRDefault="003D19CB">
      <w:pPr>
        <w:pStyle w:val="Sisluet2"/>
        <w:rPr>
          <w:rFonts w:asciiTheme="minorHAnsi" w:eastAsiaTheme="minorEastAsia" w:hAnsiTheme="minorHAnsi" w:cstheme="minorBidi"/>
          <w:szCs w:val="22"/>
        </w:rPr>
      </w:pPr>
      <w:hyperlink w:anchor="_Toc53049197" w:history="1">
        <w:r w:rsidRPr="001F3E45">
          <w:rPr>
            <w:rStyle w:val="Hyperlinkki"/>
            <w:lang w:val="sv-SE"/>
          </w:rPr>
          <w:t>4 Förslagen och deras konsekvenser</w:t>
        </w:r>
        <w:r>
          <w:rPr>
            <w:webHidden/>
          </w:rPr>
          <w:tab/>
        </w:r>
        <w:r>
          <w:rPr>
            <w:webHidden/>
          </w:rPr>
          <w:fldChar w:fldCharType="begin"/>
        </w:r>
        <w:r>
          <w:rPr>
            <w:webHidden/>
          </w:rPr>
          <w:instrText xml:space="preserve"> PAGEREF _Toc53049197 \h </w:instrText>
        </w:r>
        <w:r>
          <w:rPr>
            <w:webHidden/>
          </w:rPr>
        </w:r>
        <w:r>
          <w:rPr>
            <w:webHidden/>
          </w:rPr>
          <w:fldChar w:fldCharType="separate"/>
        </w:r>
        <w:r>
          <w:rPr>
            <w:webHidden/>
          </w:rPr>
          <w:t>10</w:t>
        </w:r>
        <w:r>
          <w:rPr>
            <w:webHidden/>
          </w:rPr>
          <w:fldChar w:fldCharType="end"/>
        </w:r>
      </w:hyperlink>
    </w:p>
    <w:p w14:paraId="1CEBD4EC" w14:textId="22980189" w:rsidR="003D19CB" w:rsidRDefault="003D19CB">
      <w:pPr>
        <w:pStyle w:val="Sisluet3"/>
        <w:rPr>
          <w:rFonts w:asciiTheme="minorHAnsi" w:eastAsiaTheme="minorEastAsia" w:hAnsiTheme="minorHAnsi" w:cstheme="minorBidi"/>
          <w:noProof/>
          <w:szCs w:val="22"/>
        </w:rPr>
      </w:pPr>
      <w:hyperlink w:anchor="_Toc53049198" w:history="1">
        <w:r w:rsidRPr="001F3E45">
          <w:rPr>
            <w:rStyle w:val="Hyperlinkki"/>
            <w:noProof/>
            <w:lang w:val="sv-SE"/>
          </w:rPr>
          <w:t>4.1 De viktigaste förslagen</w:t>
        </w:r>
        <w:r>
          <w:rPr>
            <w:noProof/>
            <w:webHidden/>
          </w:rPr>
          <w:tab/>
        </w:r>
        <w:r>
          <w:rPr>
            <w:noProof/>
            <w:webHidden/>
          </w:rPr>
          <w:fldChar w:fldCharType="begin"/>
        </w:r>
        <w:r>
          <w:rPr>
            <w:noProof/>
            <w:webHidden/>
          </w:rPr>
          <w:instrText xml:space="preserve"> PAGEREF _Toc53049198 \h </w:instrText>
        </w:r>
        <w:r>
          <w:rPr>
            <w:noProof/>
            <w:webHidden/>
          </w:rPr>
        </w:r>
        <w:r>
          <w:rPr>
            <w:noProof/>
            <w:webHidden/>
          </w:rPr>
          <w:fldChar w:fldCharType="separate"/>
        </w:r>
        <w:r>
          <w:rPr>
            <w:noProof/>
            <w:webHidden/>
          </w:rPr>
          <w:t>13</w:t>
        </w:r>
        <w:r>
          <w:rPr>
            <w:noProof/>
            <w:webHidden/>
          </w:rPr>
          <w:fldChar w:fldCharType="end"/>
        </w:r>
      </w:hyperlink>
    </w:p>
    <w:p w14:paraId="1E541ECE" w14:textId="441F1486" w:rsidR="003D19CB" w:rsidRDefault="003D19CB">
      <w:pPr>
        <w:pStyle w:val="Sisluet3"/>
        <w:rPr>
          <w:rFonts w:asciiTheme="minorHAnsi" w:eastAsiaTheme="minorEastAsia" w:hAnsiTheme="minorHAnsi" w:cstheme="minorBidi"/>
          <w:noProof/>
          <w:szCs w:val="22"/>
        </w:rPr>
      </w:pPr>
      <w:hyperlink w:anchor="_Toc53049199" w:history="1">
        <w:r w:rsidRPr="001F3E45">
          <w:rPr>
            <w:rStyle w:val="Hyperlinkki"/>
            <w:noProof/>
            <w:lang w:val="sv-SE"/>
          </w:rPr>
          <w:t>4.2 De huvudsakliga konsekvenserna</w:t>
        </w:r>
        <w:r>
          <w:rPr>
            <w:noProof/>
            <w:webHidden/>
          </w:rPr>
          <w:tab/>
        </w:r>
        <w:r>
          <w:rPr>
            <w:noProof/>
            <w:webHidden/>
          </w:rPr>
          <w:fldChar w:fldCharType="begin"/>
        </w:r>
        <w:r>
          <w:rPr>
            <w:noProof/>
            <w:webHidden/>
          </w:rPr>
          <w:instrText xml:space="preserve"> PAGEREF _Toc53049199 \h </w:instrText>
        </w:r>
        <w:r>
          <w:rPr>
            <w:noProof/>
            <w:webHidden/>
          </w:rPr>
        </w:r>
        <w:r>
          <w:rPr>
            <w:noProof/>
            <w:webHidden/>
          </w:rPr>
          <w:fldChar w:fldCharType="separate"/>
        </w:r>
        <w:r>
          <w:rPr>
            <w:noProof/>
            <w:webHidden/>
          </w:rPr>
          <w:t>13</w:t>
        </w:r>
        <w:r>
          <w:rPr>
            <w:noProof/>
            <w:webHidden/>
          </w:rPr>
          <w:fldChar w:fldCharType="end"/>
        </w:r>
      </w:hyperlink>
    </w:p>
    <w:p w14:paraId="1C2E79BD" w14:textId="521700C5" w:rsidR="003D19CB" w:rsidRDefault="003D19CB">
      <w:pPr>
        <w:pStyle w:val="Sisluet2"/>
        <w:rPr>
          <w:rFonts w:asciiTheme="minorHAnsi" w:eastAsiaTheme="minorEastAsia" w:hAnsiTheme="minorHAnsi" w:cstheme="minorBidi"/>
          <w:szCs w:val="22"/>
        </w:rPr>
      </w:pPr>
      <w:hyperlink w:anchor="_Toc53049200" w:history="1">
        <w:r w:rsidRPr="001F3E45">
          <w:rPr>
            <w:rStyle w:val="Hyperlinkki"/>
            <w:lang w:val="sv-SE"/>
          </w:rPr>
          <w:t>5 Alternativa handlingsvägar</w:t>
        </w:r>
        <w:r>
          <w:rPr>
            <w:webHidden/>
          </w:rPr>
          <w:tab/>
        </w:r>
        <w:r>
          <w:rPr>
            <w:webHidden/>
          </w:rPr>
          <w:fldChar w:fldCharType="begin"/>
        </w:r>
        <w:r>
          <w:rPr>
            <w:webHidden/>
          </w:rPr>
          <w:instrText xml:space="preserve"> PAGEREF _Toc53049200 \h </w:instrText>
        </w:r>
        <w:r>
          <w:rPr>
            <w:webHidden/>
          </w:rPr>
        </w:r>
        <w:r>
          <w:rPr>
            <w:webHidden/>
          </w:rPr>
          <w:fldChar w:fldCharType="separate"/>
        </w:r>
        <w:r>
          <w:rPr>
            <w:webHidden/>
          </w:rPr>
          <w:t>14</w:t>
        </w:r>
        <w:r>
          <w:rPr>
            <w:webHidden/>
          </w:rPr>
          <w:fldChar w:fldCharType="end"/>
        </w:r>
      </w:hyperlink>
    </w:p>
    <w:p w14:paraId="3E010447" w14:textId="68D5ADF1" w:rsidR="003D19CB" w:rsidRDefault="003D19CB">
      <w:pPr>
        <w:pStyle w:val="Sisluet3"/>
        <w:rPr>
          <w:rFonts w:asciiTheme="minorHAnsi" w:eastAsiaTheme="minorEastAsia" w:hAnsiTheme="minorHAnsi" w:cstheme="minorBidi"/>
          <w:noProof/>
          <w:szCs w:val="22"/>
        </w:rPr>
      </w:pPr>
      <w:hyperlink w:anchor="_Toc53049201" w:history="1">
        <w:r w:rsidRPr="001F3E45">
          <w:rPr>
            <w:rStyle w:val="Hyperlinkki"/>
            <w:noProof/>
            <w:lang w:val="sv-SE"/>
          </w:rPr>
          <w:t>5.1 Handlingsalternativen och deras konsekvenser</w:t>
        </w:r>
        <w:r>
          <w:rPr>
            <w:noProof/>
            <w:webHidden/>
          </w:rPr>
          <w:tab/>
        </w:r>
        <w:r>
          <w:rPr>
            <w:noProof/>
            <w:webHidden/>
          </w:rPr>
          <w:fldChar w:fldCharType="begin"/>
        </w:r>
        <w:r>
          <w:rPr>
            <w:noProof/>
            <w:webHidden/>
          </w:rPr>
          <w:instrText xml:space="preserve"> PAGEREF _Toc53049201 \h </w:instrText>
        </w:r>
        <w:r>
          <w:rPr>
            <w:noProof/>
            <w:webHidden/>
          </w:rPr>
        </w:r>
        <w:r>
          <w:rPr>
            <w:noProof/>
            <w:webHidden/>
          </w:rPr>
          <w:fldChar w:fldCharType="separate"/>
        </w:r>
        <w:r>
          <w:rPr>
            <w:noProof/>
            <w:webHidden/>
          </w:rPr>
          <w:t>14</w:t>
        </w:r>
        <w:r>
          <w:rPr>
            <w:noProof/>
            <w:webHidden/>
          </w:rPr>
          <w:fldChar w:fldCharType="end"/>
        </w:r>
      </w:hyperlink>
    </w:p>
    <w:p w14:paraId="480DEF9C" w14:textId="1C98B151" w:rsidR="003D19CB" w:rsidRDefault="003D19CB">
      <w:pPr>
        <w:pStyle w:val="Sisluet3"/>
        <w:rPr>
          <w:rFonts w:asciiTheme="minorHAnsi" w:eastAsiaTheme="minorEastAsia" w:hAnsiTheme="minorHAnsi" w:cstheme="minorBidi"/>
          <w:noProof/>
          <w:szCs w:val="22"/>
        </w:rPr>
      </w:pPr>
      <w:hyperlink w:anchor="_Toc53049202" w:history="1">
        <w:r w:rsidRPr="001F3E45">
          <w:rPr>
            <w:rStyle w:val="Hyperlinkki"/>
            <w:noProof/>
            <w:lang w:val="sv-SE"/>
          </w:rPr>
          <w:t>5.2 Lagstiftning och andra handlingsmodeller i utlandet</w:t>
        </w:r>
        <w:r>
          <w:rPr>
            <w:noProof/>
            <w:webHidden/>
          </w:rPr>
          <w:tab/>
        </w:r>
        <w:r>
          <w:rPr>
            <w:noProof/>
            <w:webHidden/>
          </w:rPr>
          <w:fldChar w:fldCharType="begin"/>
        </w:r>
        <w:r>
          <w:rPr>
            <w:noProof/>
            <w:webHidden/>
          </w:rPr>
          <w:instrText xml:space="preserve"> PAGEREF _Toc53049202 \h </w:instrText>
        </w:r>
        <w:r>
          <w:rPr>
            <w:noProof/>
            <w:webHidden/>
          </w:rPr>
        </w:r>
        <w:r>
          <w:rPr>
            <w:noProof/>
            <w:webHidden/>
          </w:rPr>
          <w:fldChar w:fldCharType="separate"/>
        </w:r>
        <w:r>
          <w:rPr>
            <w:noProof/>
            <w:webHidden/>
          </w:rPr>
          <w:t>14</w:t>
        </w:r>
        <w:r>
          <w:rPr>
            <w:noProof/>
            <w:webHidden/>
          </w:rPr>
          <w:fldChar w:fldCharType="end"/>
        </w:r>
      </w:hyperlink>
    </w:p>
    <w:p w14:paraId="59AE0904" w14:textId="261E9047" w:rsidR="003D19CB" w:rsidRDefault="003D19CB">
      <w:pPr>
        <w:pStyle w:val="Sisluet2"/>
        <w:rPr>
          <w:rFonts w:asciiTheme="minorHAnsi" w:eastAsiaTheme="minorEastAsia" w:hAnsiTheme="minorHAnsi" w:cstheme="minorBidi"/>
          <w:szCs w:val="22"/>
        </w:rPr>
      </w:pPr>
      <w:hyperlink w:anchor="_Toc53049203" w:history="1">
        <w:r w:rsidRPr="001F3E45">
          <w:rPr>
            <w:rStyle w:val="Hyperlinkki"/>
            <w:lang w:val="sv-SE"/>
          </w:rPr>
          <w:t>6 Remissvar</w:t>
        </w:r>
        <w:r>
          <w:rPr>
            <w:webHidden/>
          </w:rPr>
          <w:tab/>
        </w:r>
        <w:r>
          <w:rPr>
            <w:webHidden/>
          </w:rPr>
          <w:fldChar w:fldCharType="begin"/>
        </w:r>
        <w:r>
          <w:rPr>
            <w:webHidden/>
          </w:rPr>
          <w:instrText xml:space="preserve"> PAGEREF _Toc53049203 \h </w:instrText>
        </w:r>
        <w:r>
          <w:rPr>
            <w:webHidden/>
          </w:rPr>
        </w:r>
        <w:r>
          <w:rPr>
            <w:webHidden/>
          </w:rPr>
          <w:fldChar w:fldCharType="separate"/>
        </w:r>
        <w:r>
          <w:rPr>
            <w:webHidden/>
          </w:rPr>
          <w:t>14</w:t>
        </w:r>
        <w:r>
          <w:rPr>
            <w:webHidden/>
          </w:rPr>
          <w:fldChar w:fldCharType="end"/>
        </w:r>
      </w:hyperlink>
    </w:p>
    <w:p w14:paraId="049CB406" w14:textId="7E4CB629" w:rsidR="003D19CB" w:rsidRDefault="003D19CB">
      <w:pPr>
        <w:pStyle w:val="Sisluet2"/>
        <w:rPr>
          <w:rFonts w:asciiTheme="minorHAnsi" w:eastAsiaTheme="minorEastAsia" w:hAnsiTheme="minorHAnsi" w:cstheme="minorBidi"/>
          <w:szCs w:val="22"/>
        </w:rPr>
      </w:pPr>
      <w:hyperlink w:anchor="_Toc53049204" w:history="1">
        <w:r w:rsidRPr="001F3E45">
          <w:rPr>
            <w:rStyle w:val="Hyperlinkki"/>
            <w:lang w:val="sv-SE"/>
          </w:rPr>
          <w:t>7 Specialmotivering</w:t>
        </w:r>
        <w:r>
          <w:rPr>
            <w:webHidden/>
          </w:rPr>
          <w:tab/>
        </w:r>
        <w:r>
          <w:rPr>
            <w:webHidden/>
          </w:rPr>
          <w:fldChar w:fldCharType="begin"/>
        </w:r>
        <w:r>
          <w:rPr>
            <w:webHidden/>
          </w:rPr>
          <w:instrText xml:space="preserve"> PAGEREF _Toc53049204 \h </w:instrText>
        </w:r>
        <w:r>
          <w:rPr>
            <w:webHidden/>
          </w:rPr>
        </w:r>
        <w:r>
          <w:rPr>
            <w:webHidden/>
          </w:rPr>
          <w:fldChar w:fldCharType="separate"/>
        </w:r>
        <w:r>
          <w:rPr>
            <w:webHidden/>
          </w:rPr>
          <w:t>14</w:t>
        </w:r>
        <w:r>
          <w:rPr>
            <w:webHidden/>
          </w:rPr>
          <w:fldChar w:fldCharType="end"/>
        </w:r>
      </w:hyperlink>
    </w:p>
    <w:p w14:paraId="0AB30E4B" w14:textId="6323B094" w:rsidR="003D19CB" w:rsidRDefault="003D19CB">
      <w:pPr>
        <w:pStyle w:val="Sisluet2"/>
        <w:rPr>
          <w:rFonts w:asciiTheme="minorHAnsi" w:eastAsiaTheme="minorEastAsia" w:hAnsiTheme="minorHAnsi" w:cstheme="minorBidi"/>
          <w:szCs w:val="22"/>
        </w:rPr>
      </w:pPr>
      <w:hyperlink w:anchor="_Toc53049205" w:history="1">
        <w:r w:rsidRPr="001F3E45">
          <w:rPr>
            <w:rStyle w:val="Hyperlinkki"/>
            <w:lang w:val="sv-SE"/>
          </w:rPr>
          <w:t>8 Bestämmelser på lägre nivå än lag</w:t>
        </w:r>
        <w:r>
          <w:rPr>
            <w:webHidden/>
          </w:rPr>
          <w:tab/>
        </w:r>
        <w:r>
          <w:rPr>
            <w:webHidden/>
          </w:rPr>
          <w:fldChar w:fldCharType="begin"/>
        </w:r>
        <w:r>
          <w:rPr>
            <w:webHidden/>
          </w:rPr>
          <w:instrText xml:space="preserve"> PAGEREF _Toc53049205 \h </w:instrText>
        </w:r>
        <w:r>
          <w:rPr>
            <w:webHidden/>
          </w:rPr>
        </w:r>
        <w:r>
          <w:rPr>
            <w:webHidden/>
          </w:rPr>
          <w:fldChar w:fldCharType="separate"/>
        </w:r>
        <w:r>
          <w:rPr>
            <w:webHidden/>
          </w:rPr>
          <w:t>15</w:t>
        </w:r>
        <w:r>
          <w:rPr>
            <w:webHidden/>
          </w:rPr>
          <w:fldChar w:fldCharType="end"/>
        </w:r>
      </w:hyperlink>
    </w:p>
    <w:p w14:paraId="12380AFF" w14:textId="7E04289E" w:rsidR="003D19CB" w:rsidRDefault="003D19CB">
      <w:pPr>
        <w:pStyle w:val="Sisluet2"/>
        <w:rPr>
          <w:rFonts w:asciiTheme="minorHAnsi" w:eastAsiaTheme="minorEastAsia" w:hAnsiTheme="minorHAnsi" w:cstheme="minorBidi"/>
          <w:szCs w:val="22"/>
        </w:rPr>
      </w:pPr>
      <w:hyperlink w:anchor="_Toc53049206" w:history="1">
        <w:r w:rsidRPr="001F3E45">
          <w:rPr>
            <w:rStyle w:val="Hyperlinkki"/>
            <w:lang w:val="sv-SE"/>
          </w:rPr>
          <w:t>9 Ikraftträdande</w:t>
        </w:r>
        <w:r>
          <w:rPr>
            <w:webHidden/>
          </w:rPr>
          <w:tab/>
        </w:r>
        <w:r>
          <w:rPr>
            <w:webHidden/>
          </w:rPr>
          <w:fldChar w:fldCharType="begin"/>
        </w:r>
        <w:r>
          <w:rPr>
            <w:webHidden/>
          </w:rPr>
          <w:instrText xml:space="preserve"> PAGEREF _Toc53049206 \h </w:instrText>
        </w:r>
        <w:r>
          <w:rPr>
            <w:webHidden/>
          </w:rPr>
        </w:r>
        <w:r>
          <w:rPr>
            <w:webHidden/>
          </w:rPr>
          <w:fldChar w:fldCharType="separate"/>
        </w:r>
        <w:r>
          <w:rPr>
            <w:webHidden/>
          </w:rPr>
          <w:t>15</w:t>
        </w:r>
        <w:r>
          <w:rPr>
            <w:webHidden/>
          </w:rPr>
          <w:fldChar w:fldCharType="end"/>
        </w:r>
      </w:hyperlink>
    </w:p>
    <w:p w14:paraId="0B0A9183" w14:textId="6E9FE795" w:rsidR="003D19CB" w:rsidRDefault="003D19CB">
      <w:pPr>
        <w:pStyle w:val="Sisluet2"/>
        <w:rPr>
          <w:rFonts w:asciiTheme="minorHAnsi" w:eastAsiaTheme="minorEastAsia" w:hAnsiTheme="minorHAnsi" w:cstheme="minorBidi"/>
          <w:szCs w:val="22"/>
        </w:rPr>
      </w:pPr>
      <w:hyperlink w:anchor="_Toc53049207" w:history="1">
        <w:r w:rsidRPr="001F3E45">
          <w:rPr>
            <w:rStyle w:val="Hyperlinkki"/>
            <w:lang w:val="sv-SE"/>
          </w:rPr>
          <w:t>10 Verkställighet och uppföljning</w:t>
        </w:r>
        <w:r>
          <w:rPr>
            <w:webHidden/>
          </w:rPr>
          <w:tab/>
        </w:r>
        <w:r>
          <w:rPr>
            <w:webHidden/>
          </w:rPr>
          <w:fldChar w:fldCharType="begin"/>
        </w:r>
        <w:r>
          <w:rPr>
            <w:webHidden/>
          </w:rPr>
          <w:instrText xml:space="preserve"> PAGEREF _Toc53049207 \h </w:instrText>
        </w:r>
        <w:r>
          <w:rPr>
            <w:webHidden/>
          </w:rPr>
        </w:r>
        <w:r>
          <w:rPr>
            <w:webHidden/>
          </w:rPr>
          <w:fldChar w:fldCharType="separate"/>
        </w:r>
        <w:r>
          <w:rPr>
            <w:webHidden/>
          </w:rPr>
          <w:t>15</w:t>
        </w:r>
        <w:r>
          <w:rPr>
            <w:webHidden/>
          </w:rPr>
          <w:fldChar w:fldCharType="end"/>
        </w:r>
      </w:hyperlink>
    </w:p>
    <w:p w14:paraId="2F7CFCE6" w14:textId="41EF3D91" w:rsidR="003D19CB" w:rsidRDefault="003D19CB">
      <w:pPr>
        <w:pStyle w:val="Sisluet2"/>
        <w:rPr>
          <w:rFonts w:asciiTheme="minorHAnsi" w:eastAsiaTheme="minorEastAsia" w:hAnsiTheme="minorHAnsi" w:cstheme="minorBidi"/>
          <w:szCs w:val="22"/>
        </w:rPr>
      </w:pPr>
      <w:hyperlink w:anchor="_Toc53049208" w:history="1">
        <w:r w:rsidRPr="001F3E45">
          <w:rPr>
            <w:rStyle w:val="Hyperlinkki"/>
            <w:lang w:val="sv-SE"/>
          </w:rPr>
          <w:t>11 Förhållande till andra propositioner</w:t>
        </w:r>
        <w:r>
          <w:rPr>
            <w:webHidden/>
          </w:rPr>
          <w:tab/>
        </w:r>
        <w:r>
          <w:rPr>
            <w:webHidden/>
          </w:rPr>
          <w:fldChar w:fldCharType="begin"/>
        </w:r>
        <w:r>
          <w:rPr>
            <w:webHidden/>
          </w:rPr>
          <w:instrText xml:space="preserve"> PAGEREF _Toc53049208 \h </w:instrText>
        </w:r>
        <w:r>
          <w:rPr>
            <w:webHidden/>
          </w:rPr>
        </w:r>
        <w:r>
          <w:rPr>
            <w:webHidden/>
          </w:rPr>
          <w:fldChar w:fldCharType="separate"/>
        </w:r>
        <w:r>
          <w:rPr>
            <w:webHidden/>
          </w:rPr>
          <w:t>15</w:t>
        </w:r>
        <w:r>
          <w:rPr>
            <w:webHidden/>
          </w:rPr>
          <w:fldChar w:fldCharType="end"/>
        </w:r>
      </w:hyperlink>
    </w:p>
    <w:p w14:paraId="68FEC0C5" w14:textId="3FADB552" w:rsidR="003D19CB" w:rsidRDefault="003D19CB">
      <w:pPr>
        <w:pStyle w:val="Sisluet3"/>
        <w:rPr>
          <w:rFonts w:asciiTheme="minorHAnsi" w:eastAsiaTheme="minorEastAsia" w:hAnsiTheme="minorHAnsi" w:cstheme="minorBidi"/>
          <w:noProof/>
          <w:szCs w:val="22"/>
        </w:rPr>
      </w:pPr>
      <w:hyperlink w:anchor="_Toc53049209" w:history="1">
        <w:r w:rsidRPr="001F3E45">
          <w:rPr>
            <w:rStyle w:val="Hyperlinkki"/>
            <w:noProof/>
            <w:lang w:val="sv-SE"/>
          </w:rPr>
          <w:t>11.1 Samband med andra propositioner</w:t>
        </w:r>
        <w:r>
          <w:rPr>
            <w:noProof/>
            <w:webHidden/>
          </w:rPr>
          <w:tab/>
        </w:r>
        <w:r>
          <w:rPr>
            <w:noProof/>
            <w:webHidden/>
          </w:rPr>
          <w:fldChar w:fldCharType="begin"/>
        </w:r>
        <w:r>
          <w:rPr>
            <w:noProof/>
            <w:webHidden/>
          </w:rPr>
          <w:instrText xml:space="preserve"> PAGEREF _Toc53049209 \h </w:instrText>
        </w:r>
        <w:r>
          <w:rPr>
            <w:noProof/>
            <w:webHidden/>
          </w:rPr>
        </w:r>
        <w:r>
          <w:rPr>
            <w:noProof/>
            <w:webHidden/>
          </w:rPr>
          <w:fldChar w:fldCharType="separate"/>
        </w:r>
        <w:r>
          <w:rPr>
            <w:noProof/>
            <w:webHidden/>
          </w:rPr>
          <w:t>15</w:t>
        </w:r>
        <w:r>
          <w:rPr>
            <w:noProof/>
            <w:webHidden/>
          </w:rPr>
          <w:fldChar w:fldCharType="end"/>
        </w:r>
      </w:hyperlink>
    </w:p>
    <w:p w14:paraId="10362EC5" w14:textId="191B5439" w:rsidR="003D19CB" w:rsidRDefault="003D19CB">
      <w:pPr>
        <w:pStyle w:val="Sisluet3"/>
        <w:rPr>
          <w:rFonts w:asciiTheme="minorHAnsi" w:eastAsiaTheme="minorEastAsia" w:hAnsiTheme="minorHAnsi" w:cstheme="minorBidi"/>
          <w:noProof/>
          <w:szCs w:val="22"/>
        </w:rPr>
      </w:pPr>
      <w:hyperlink w:anchor="_Toc53049210" w:history="1">
        <w:r w:rsidRPr="001F3E45">
          <w:rPr>
            <w:rStyle w:val="Hyperlinkki"/>
            <w:noProof/>
            <w:lang w:val="sv-SE"/>
          </w:rPr>
          <w:t>11.2 Förhållande till budgetpropositionen</w:t>
        </w:r>
        <w:r>
          <w:rPr>
            <w:noProof/>
            <w:webHidden/>
          </w:rPr>
          <w:tab/>
        </w:r>
        <w:r>
          <w:rPr>
            <w:noProof/>
            <w:webHidden/>
          </w:rPr>
          <w:fldChar w:fldCharType="begin"/>
        </w:r>
        <w:r>
          <w:rPr>
            <w:noProof/>
            <w:webHidden/>
          </w:rPr>
          <w:instrText xml:space="preserve"> PAGEREF _Toc53049210 \h </w:instrText>
        </w:r>
        <w:r>
          <w:rPr>
            <w:noProof/>
            <w:webHidden/>
          </w:rPr>
        </w:r>
        <w:r>
          <w:rPr>
            <w:noProof/>
            <w:webHidden/>
          </w:rPr>
          <w:fldChar w:fldCharType="separate"/>
        </w:r>
        <w:r>
          <w:rPr>
            <w:noProof/>
            <w:webHidden/>
          </w:rPr>
          <w:t>15</w:t>
        </w:r>
        <w:r>
          <w:rPr>
            <w:noProof/>
            <w:webHidden/>
          </w:rPr>
          <w:fldChar w:fldCharType="end"/>
        </w:r>
      </w:hyperlink>
    </w:p>
    <w:p w14:paraId="09ACEFF2" w14:textId="7FA0323A" w:rsidR="003D19CB" w:rsidRDefault="003D19CB">
      <w:pPr>
        <w:pStyle w:val="Sisluet2"/>
        <w:rPr>
          <w:rFonts w:asciiTheme="minorHAnsi" w:eastAsiaTheme="minorEastAsia" w:hAnsiTheme="minorHAnsi" w:cstheme="minorBidi"/>
          <w:szCs w:val="22"/>
        </w:rPr>
      </w:pPr>
      <w:hyperlink w:anchor="_Toc53049211" w:history="1">
        <w:r w:rsidRPr="001F3E45">
          <w:rPr>
            <w:rStyle w:val="Hyperlinkki"/>
            <w:lang w:val="sv-SE"/>
          </w:rPr>
          <w:t>12 Förhållande till grundlagen samt lagstiftningsordning</w:t>
        </w:r>
        <w:r>
          <w:rPr>
            <w:webHidden/>
          </w:rPr>
          <w:tab/>
        </w:r>
        <w:r>
          <w:rPr>
            <w:webHidden/>
          </w:rPr>
          <w:fldChar w:fldCharType="begin"/>
        </w:r>
        <w:r>
          <w:rPr>
            <w:webHidden/>
          </w:rPr>
          <w:instrText xml:space="preserve"> PAGEREF _Toc53049211 \h </w:instrText>
        </w:r>
        <w:r>
          <w:rPr>
            <w:webHidden/>
          </w:rPr>
        </w:r>
        <w:r>
          <w:rPr>
            <w:webHidden/>
          </w:rPr>
          <w:fldChar w:fldCharType="separate"/>
        </w:r>
        <w:r>
          <w:rPr>
            <w:webHidden/>
          </w:rPr>
          <w:t>16</w:t>
        </w:r>
        <w:r>
          <w:rPr>
            <w:webHidden/>
          </w:rPr>
          <w:fldChar w:fldCharType="end"/>
        </w:r>
      </w:hyperlink>
    </w:p>
    <w:p w14:paraId="4A7DC91E" w14:textId="21CA13F5" w:rsidR="003D19CB" w:rsidRDefault="003D19CB">
      <w:pPr>
        <w:pStyle w:val="Sisluet1"/>
        <w:rPr>
          <w:rFonts w:asciiTheme="minorHAnsi" w:eastAsiaTheme="minorEastAsia" w:hAnsiTheme="minorHAnsi" w:cstheme="minorBidi"/>
          <w:bCs w:val="0"/>
          <w:caps w:val="0"/>
          <w:noProof/>
          <w:szCs w:val="22"/>
        </w:rPr>
      </w:pPr>
      <w:hyperlink w:anchor="_Toc53049212" w:history="1">
        <w:r w:rsidRPr="001F3E45">
          <w:rPr>
            <w:rStyle w:val="Hyperlinkki"/>
            <w:noProof/>
            <w:lang w:val="sv-SE"/>
          </w:rPr>
          <w:t>Lagförslag</w:t>
        </w:r>
        <w:r>
          <w:rPr>
            <w:noProof/>
            <w:webHidden/>
          </w:rPr>
          <w:tab/>
        </w:r>
        <w:r>
          <w:rPr>
            <w:noProof/>
            <w:webHidden/>
          </w:rPr>
          <w:fldChar w:fldCharType="begin"/>
        </w:r>
        <w:r>
          <w:rPr>
            <w:noProof/>
            <w:webHidden/>
          </w:rPr>
          <w:instrText xml:space="preserve"> PAGEREF _Toc53049212 \h </w:instrText>
        </w:r>
        <w:r>
          <w:rPr>
            <w:noProof/>
            <w:webHidden/>
          </w:rPr>
        </w:r>
        <w:r>
          <w:rPr>
            <w:noProof/>
            <w:webHidden/>
          </w:rPr>
          <w:fldChar w:fldCharType="separate"/>
        </w:r>
        <w:r>
          <w:rPr>
            <w:noProof/>
            <w:webHidden/>
          </w:rPr>
          <w:t>18</w:t>
        </w:r>
        <w:r>
          <w:rPr>
            <w:noProof/>
            <w:webHidden/>
          </w:rPr>
          <w:fldChar w:fldCharType="end"/>
        </w:r>
      </w:hyperlink>
    </w:p>
    <w:p w14:paraId="56995233" w14:textId="22803761" w:rsidR="003D19CB" w:rsidRDefault="003D19CB">
      <w:pPr>
        <w:pStyle w:val="Sisluet3"/>
        <w:rPr>
          <w:rFonts w:asciiTheme="minorHAnsi" w:eastAsiaTheme="minorEastAsia" w:hAnsiTheme="minorHAnsi" w:cstheme="minorBidi"/>
          <w:noProof/>
          <w:szCs w:val="22"/>
        </w:rPr>
      </w:pPr>
      <w:hyperlink w:anchor="_Toc53049213" w:history="1">
        <w:r>
          <w:rPr>
            <w:rStyle w:val="Hyperlinkki"/>
            <w:noProof/>
            <w:lang w:val="sv-SE"/>
          </w:rPr>
          <w:t>Lag o</w:t>
        </w:r>
        <w:r w:rsidRPr="001F3E45">
          <w:rPr>
            <w:rStyle w:val="Hyperlinkki"/>
            <w:noProof/>
            <w:lang w:val="sv-SE"/>
          </w:rPr>
          <w:t>m ändring av 2 och 3 § i lagen om kontroll av brottslig bakgrund hos personer som arbetar med barn</w:t>
        </w:r>
        <w:r>
          <w:rPr>
            <w:noProof/>
            <w:webHidden/>
          </w:rPr>
          <w:tab/>
        </w:r>
        <w:r>
          <w:rPr>
            <w:noProof/>
            <w:webHidden/>
          </w:rPr>
          <w:fldChar w:fldCharType="begin"/>
        </w:r>
        <w:r>
          <w:rPr>
            <w:noProof/>
            <w:webHidden/>
          </w:rPr>
          <w:instrText xml:space="preserve"> PAGEREF _Toc53049213 \h </w:instrText>
        </w:r>
        <w:r>
          <w:rPr>
            <w:noProof/>
            <w:webHidden/>
          </w:rPr>
        </w:r>
        <w:r>
          <w:rPr>
            <w:noProof/>
            <w:webHidden/>
          </w:rPr>
          <w:fldChar w:fldCharType="separate"/>
        </w:r>
        <w:r>
          <w:rPr>
            <w:noProof/>
            <w:webHidden/>
          </w:rPr>
          <w:t>18</w:t>
        </w:r>
        <w:r>
          <w:rPr>
            <w:noProof/>
            <w:webHidden/>
          </w:rPr>
          <w:fldChar w:fldCharType="end"/>
        </w:r>
      </w:hyperlink>
    </w:p>
    <w:p w14:paraId="52F3413F" w14:textId="2AB8C593" w:rsidR="003D19CB" w:rsidRDefault="003D19CB">
      <w:pPr>
        <w:pStyle w:val="Sisluet1"/>
        <w:rPr>
          <w:rFonts w:asciiTheme="minorHAnsi" w:eastAsiaTheme="minorEastAsia" w:hAnsiTheme="minorHAnsi" w:cstheme="minorBidi"/>
          <w:bCs w:val="0"/>
          <w:caps w:val="0"/>
          <w:noProof/>
          <w:szCs w:val="22"/>
        </w:rPr>
      </w:pPr>
      <w:hyperlink w:anchor="_Toc53049214" w:history="1">
        <w:r w:rsidRPr="001F3E45">
          <w:rPr>
            <w:rStyle w:val="Hyperlinkki"/>
            <w:noProof/>
            <w:lang w:val="sv-SE"/>
          </w:rPr>
          <w:t>Bilaga</w:t>
        </w:r>
        <w:r>
          <w:rPr>
            <w:noProof/>
            <w:webHidden/>
          </w:rPr>
          <w:tab/>
        </w:r>
        <w:r>
          <w:rPr>
            <w:noProof/>
            <w:webHidden/>
          </w:rPr>
          <w:fldChar w:fldCharType="begin"/>
        </w:r>
        <w:r>
          <w:rPr>
            <w:noProof/>
            <w:webHidden/>
          </w:rPr>
          <w:instrText xml:space="preserve"> PAGEREF _Toc53049214 \h </w:instrText>
        </w:r>
        <w:r>
          <w:rPr>
            <w:noProof/>
            <w:webHidden/>
          </w:rPr>
        </w:r>
        <w:r>
          <w:rPr>
            <w:noProof/>
            <w:webHidden/>
          </w:rPr>
          <w:fldChar w:fldCharType="separate"/>
        </w:r>
        <w:r>
          <w:rPr>
            <w:noProof/>
            <w:webHidden/>
          </w:rPr>
          <w:t>20</w:t>
        </w:r>
        <w:r>
          <w:rPr>
            <w:noProof/>
            <w:webHidden/>
          </w:rPr>
          <w:fldChar w:fldCharType="end"/>
        </w:r>
      </w:hyperlink>
    </w:p>
    <w:p w14:paraId="591AFC1B" w14:textId="3C68E50E" w:rsidR="003D19CB" w:rsidRDefault="003D19CB">
      <w:pPr>
        <w:pStyle w:val="Sisluet1"/>
        <w:rPr>
          <w:rFonts w:asciiTheme="minorHAnsi" w:eastAsiaTheme="minorEastAsia" w:hAnsiTheme="minorHAnsi" w:cstheme="minorBidi"/>
          <w:bCs w:val="0"/>
          <w:caps w:val="0"/>
          <w:noProof/>
          <w:szCs w:val="22"/>
        </w:rPr>
      </w:pPr>
      <w:hyperlink w:anchor="_Toc53049215" w:history="1">
        <w:r w:rsidRPr="001F3E45">
          <w:rPr>
            <w:rStyle w:val="Hyperlinkki"/>
            <w:noProof/>
            <w:lang w:val="sv-SE"/>
          </w:rPr>
          <w:t>Parallelltext</w:t>
        </w:r>
        <w:r>
          <w:rPr>
            <w:noProof/>
            <w:webHidden/>
          </w:rPr>
          <w:tab/>
        </w:r>
        <w:r>
          <w:rPr>
            <w:noProof/>
            <w:webHidden/>
          </w:rPr>
          <w:fldChar w:fldCharType="begin"/>
        </w:r>
        <w:r>
          <w:rPr>
            <w:noProof/>
            <w:webHidden/>
          </w:rPr>
          <w:instrText xml:space="preserve"> PAGEREF _Toc53049215 \h </w:instrText>
        </w:r>
        <w:r>
          <w:rPr>
            <w:noProof/>
            <w:webHidden/>
          </w:rPr>
        </w:r>
        <w:r>
          <w:rPr>
            <w:noProof/>
            <w:webHidden/>
          </w:rPr>
          <w:fldChar w:fldCharType="separate"/>
        </w:r>
        <w:r>
          <w:rPr>
            <w:noProof/>
            <w:webHidden/>
          </w:rPr>
          <w:t>20</w:t>
        </w:r>
        <w:r>
          <w:rPr>
            <w:noProof/>
            <w:webHidden/>
          </w:rPr>
          <w:fldChar w:fldCharType="end"/>
        </w:r>
      </w:hyperlink>
    </w:p>
    <w:p w14:paraId="7B467910" w14:textId="5B714565" w:rsidR="003D19CB" w:rsidRDefault="003D19CB">
      <w:pPr>
        <w:pStyle w:val="Sisluet3"/>
        <w:rPr>
          <w:rFonts w:asciiTheme="minorHAnsi" w:eastAsiaTheme="minorEastAsia" w:hAnsiTheme="minorHAnsi" w:cstheme="minorBidi"/>
          <w:noProof/>
          <w:szCs w:val="22"/>
        </w:rPr>
      </w:pPr>
      <w:hyperlink w:anchor="_Toc53049216" w:history="1">
        <w:r>
          <w:rPr>
            <w:rStyle w:val="Hyperlinkki"/>
            <w:noProof/>
            <w:lang w:val="sv-SE"/>
          </w:rPr>
          <w:t>Lag o</w:t>
        </w:r>
        <w:r w:rsidRPr="001F3E45">
          <w:rPr>
            <w:rStyle w:val="Hyperlinkki"/>
            <w:noProof/>
            <w:lang w:val="sv-SE"/>
          </w:rPr>
          <w:t>m ändring av 2 och 3 § i lagen om kontroll av brottslig bakgrund hos personer som arbetar med barn</w:t>
        </w:r>
        <w:r>
          <w:rPr>
            <w:noProof/>
            <w:webHidden/>
          </w:rPr>
          <w:tab/>
        </w:r>
        <w:r>
          <w:rPr>
            <w:noProof/>
            <w:webHidden/>
          </w:rPr>
          <w:fldChar w:fldCharType="begin"/>
        </w:r>
        <w:r>
          <w:rPr>
            <w:noProof/>
            <w:webHidden/>
          </w:rPr>
          <w:instrText xml:space="preserve"> PAGEREF _Toc53049216 \h </w:instrText>
        </w:r>
        <w:r>
          <w:rPr>
            <w:noProof/>
            <w:webHidden/>
          </w:rPr>
        </w:r>
        <w:r>
          <w:rPr>
            <w:noProof/>
            <w:webHidden/>
          </w:rPr>
          <w:fldChar w:fldCharType="separate"/>
        </w:r>
        <w:r>
          <w:rPr>
            <w:noProof/>
            <w:webHidden/>
          </w:rPr>
          <w:t>20</w:t>
        </w:r>
        <w:r>
          <w:rPr>
            <w:noProof/>
            <w:webHidden/>
          </w:rPr>
          <w:fldChar w:fldCharType="end"/>
        </w:r>
      </w:hyperlink>
    </w:p>
    <w:p w14:paraId="3C14684E" w14:textId="2EBEBDE6" w:rsidR="00A17195" w:rsidRPr="00A17195" w:rsidRDefault="00CD5667" w:rsidP="00A17195">
      <w:r>
        <w:rPr>
          <w:rFonts w:eastAsia="Times New Roman"/>
          <w:bCs/>
          <w:caps/>
          <w:szCs w:val="20"/>
          <w:lang w:eastAsia="fi-FI"/>
        </w:rPr>
        <w:fldChar w:fldCharType="end"/>
      </w:r>
    </w:p>
    <w:p w14:paraId="75F2431D" w14:textId="77777777" w:rsidR="006E6F46" w:rsidRDefault="005A0584" w:rsidP="00EB0A9A">
      <w:pPr>
        <w:pStyle w:val="LLNormaali"/>
      </w:pPr>
      <w:r>
        <w:br w:type="page"/>
      </w:r>
    </w:p>
    <w:bookmarkStart w:id="1" w:name="_Toc53049191" w:displacedByCustomXml="next"/>
    <w:sdt>
      <w:sdtPr>
        <w:rPr>
          <w:rFonts w:eastAsia="Calibri"/>
          <w:b w:val="0"/>
          <w:caps w:val="0"/>
          <w:sz w:val="22"/>
          <w:szCs w:val="22"/>
          <w:lang w:eastAsia="en-US"/>
        </w:rPr>
        <w:alias w:val="Perustelut"/>
        <w:tag w:val="CCPerustelut"/>
        <w:id w:val="2058971695"/>
        <w:lock w:val="sdtLocked"/>
        <w:placeholder>
          <w:docPart w:val="EBE8DD5E51E94068BA1174EB5653BEC3"/>
        </w:placeholder>
        <w15:color w:val="33CCCC"/>
      </w:sdtPr>
      <w:sdtEndPr>
        <w:rPr>
          <w:rFonts w:eastAsia="Times New Roman"/>
          <w:szCs w:val="24"/>
          <w:lang w:eastAsia="fi-FI"/>
        </w:rPr>
      </w:sdtEndPr>
      <w:sdtContent>
        <w:p w14:paraId="6A059403" w14:textId="77777777" w:rsidR="008414FE" w:rsidRPr="00FC143A" w:rsidRDefault="00940745" w:rsidP="008414FE">
          <w:pPr>
            <w:pStyle w:val="LLperustelut"/>
            <w:rPr>
              <w:lang w:val="sv-SE"/>
            </w:rPr>
          </w:pPr>
          <w:r w:rsidRPr="00FC143A">
            <w:rPr>
              <w:lang w:val="sv-SE"/>
            </w:rPr>
            <w:t>MOTIVERING</w:t>
          </w:r>
          <w:bookmarkEnd w:id="1"/>
        </w:p>
        <w:p w14:paraId="730C2741" w14:textId="77777777" w:rsidR="004020E4" w:rsidRPr="004020E4" w:rsidRDefault="00FC143A" w:rsidP="004020E4">
          <w:pPr>
            <w:pStyle w:val="LLP1Otsikkotaso"/>
            <w:rPr>
              <w:lang w:val="sv-SE"/>
            </w:rPr>
          </w:pPr>
          <w:bookmarkStart w:id="2" w:name="_Toc53049192"/>
          <w:r w:rsidRPr="00FC143A">
            <w:rPr>
              <w:lang w:val="sv-SE"/>
            </w:rPr>
            <w:t>Bakgrund och beredning</w:t>
          </w:r>
          <w:bookmarkEnd w:id="2"/>
        </w:p>
        <w:p w14:paraId="344AE598" w14:textId="77777777" w:rsidR="00FC143A" w:rsidRDefault="00FC143A" w:rsidP="00FC143A">
          <w:pPr>
            <w:pStyle w:val="LLP2Otsikkotaso"/>
            <w:rPr>
              <w:lang w:val="sv-SE"/>
            </w:rPr>
          </w:pPr>
          <w:bookmarkStart w:id="3" w:name="_Toc53049193"/>
          <w:r w:rsidRPr="00FC143A">
            <w:rPr>
              <w:lang w:val="sv-SE"/>
            </w:rPr>
            <w:t>Bakgrund</w:t>
          </w:r>
          <w:bookmarkEnd w:id="3"/>
        </w:p>
        <w:p w14:paraId="3856D129" w14:textId="77777777" w:rsidR="008021BF" w:rsidRPr="008021BF" w:rsidRDefault="008021BF" w:rsidP="008021BF">
          <w:pPr>
            <w:pStyle w:val="LLPerustelujenkappalejako"/>
            <w:rPr>
              <w:lang w:val="sv-SE"/>
            </w:rPr>
          </w:pPr>
          <w:r w:rsidRPr="008021BF">
            <w:rPr>
              <w:lang w:val="sv-SE"/>
            </w:rPr>
            <w:t>Lagen om kontroll av brottslig bakgrund hos personer som arbetar med barn (504/2002) förpliktar personer som arbetar med minderåriga att vid anställningen eller ut</w:t>
          </w:r>
          <w:r>
            <w:rPr>
              <w:lang w:val="sv-SE"/>
            </w:rPr>
            <w:t>nämningen till ett anställnings</w:t>
          </w:r>
          <w:r w:rsidRPr="008021BF">
            <w:rPr>
              <w:lang w:val="sv-SE"/>
            </w:rPr>
            <w:t>- eller tjänsteförhållande för arbetsgivaren visa upp ett straffregisterutdrag varav framgår vissa brott som har betydelse vid bedömningen av personens lämplighet att arbeta med barn. Lagen tillämpas dock inte i nuläget på uppgifter där arbetet med barn varar högst tre månader under en ettårsperiod. Lagen har varit i kraft sedan början av 2003. Den tidsgräns på tre månader som föreskrivs i lagen har väckt frågor med tanke på skyddet av barn. Under de senaste åren har det framförts att en lagändring behövs för att säkerställa att alla vikarier lämpar sig för de uppgifter som avses i lagen, särskilt med tanke på de stora städernas behov av vikariepooler.</w:t>
          </w:r>
        </w:p>
        <w:p w14:paraId="75A2DCAC" w14:textId="77777777" w:rsidR="00FC143A" w:rsidRPr="008021BF" w:rsidRDefault="008021BF" w:rsidP="008021BF">
          <w:pPr>
            <w:pStyle w:val="LLPerustelujenkappalejako"/>
            <w:rPr>
              <w:lang w:val="sv-SE"/>
            </w:rPr>
          </w:pPr>
          <w:r w:rsidRPr="008021BF">
            <w:rPr>
              <w:lang w:val="sv-SE"/>
            </w:rPr>
            <w:t>Det har ställts ett skriftligt spörsmål i riksdagen (SS 370/2018 rd) där det frågas vilka lagstiftningsåtgärder regeringen ämnar vidta för att säkerställa att den brottsliga bakgrunden hos personer som även kortvarigt arbetar med barn och unga utreds när anställningsförhållandet börjar. I praktiken finns det i huvudstadsregionen ett stort antal kortvariga vikarier vars eventuella brottsliga bakgrund inte kan utredas med stöd av lagen. Det ursprungliga syftet med tidsgränsen på tre månader när lagen stiftades var att erbjuda arbetsgivarna flexibla vikariearrangemang och underlätta den administrativa bördan. Arbetsmarknaden har emellertid undergått förändringar och behovet av vikariearrangemang har ökat.</w:t>
          </w:r>
        </w:p>
        <w:p w14:paraId="03F896F8" w14:textId="77777777" w:rsidR="00FC143A" w:rsidRDefault="00FC143A" w:rsidP="00FC143A">
          <w:pPr>
            <w:pStyle w:val="LLP2Otsikkotaso"/>
            <w:rPr>
              <w:lang w:val="sv-SE"/>
            </w:rPr>
          </w:pPr>
          <w:bookmarkStart w:id="4" w:name="_Toc53049194"/>
          <w:r w:rsidRPr="00FC143A">
            <w:rPr>
              <w:lang w:val="sv-SE"/>
            </w:rPr>
            <w:t>Beredning</w:t>
          </w:r>
          <w:bookmarkEnd w:id="4"/>
        </w:p>
        <w:p w14:paraId="72C44B88" w14:textId="77777777" w:rsidR="00FC143A" w:rsidRPr="00FC143A" w:rsidRDefault="008021BF" w:rsidP="00FC143A">
          <w:pPr>
            <w:pStyle w:val="LLPerustelujenkappalejako"/>
            <w:rPr>
              <w:lang w:val="sv-SE"/>
            </w:rPr>
          </w:pPr>
          <w:r w:rsidRPr="008021BF">
            <w:rPr>
              <w:lang w:val="sv-SE"/>
            </w:rPr>
            <w:t>För att bemöta farhågorna inledde arbets- och näringsministeriet en tjänstemannaberedning i ärendet för att utreda om det också i anställningar som varar kortare tid än tre månader skulle vara möjligt för arbetsgivare att vid behov utan tung administration och så smidigt som möjligt utreda arbetssökandes brottsliga bakgrund.</w:t>
          </w:r>
        </w:p>
        <w:p w14:paraId="6F929D62" w14:textId="77777777" w:rsidR="00FC143A" w:rsidRDefault="00FC143A" w:rsidP="00FC143A">
          <w:pPr>
            <w:pStyle w:val="LLP1Otsikkotaso"/>
            <w:rPr>
              <w:lang w:val="sv-SE"/>
            </w:rPr>
          </w:pPr>
          <w:bookmarkStart w:id="5" w:name="_Toc53049195"/>
          <w:r w:rsidRPr="00FC143A">
            <w:rPr>
              <w:lang w:val="sv-SE"/>
            </w:rPr>
            <w:t>Nuläge och bedömning av nuläget</w:t>
          </w:r>
          <w:bookmarkEnd w:id="5"/>
        </w:p>
        <w:p w14:paraId="66ACB7E7" w14:textId="77777777" w:rsidR="008021BF" w:rsidRPr="008021BF" w:rsidRDefault="008021BF" w:rsidP="008021BF">
          <w:pPr>
            <w:pStyle w:val="LLPValiotsikko"/>
          </w:pPr>
          <w:r w:rsidRPr="008021BF">
            <w:t>Lagstiftning</w:t>
          </w:r>
        </w:p>
        <w:p w14:paraId="0B180A23" w14:textId="77777777" w:rsidR="008021BF" w:rsidRPr="008021BF" w:rsidRDefault="008021BF" w:rsidP="008021BF">
          <w:pPr>
            <w:pStyle w:val="LLPerustelujenkappalejako"/>
            <w:rPr>
              <w:lang w:val="sv-SE"/>
            </w:rPr>
          </w:pPr>
          <w:r w:rsidRPr="008021BF">
            <w:rPr>
              <w:lang w:val="sv-SE"/>
            </w:rPr>
            <w:t>Vid behandling av personuppgifter i anställningsförhållande ska Europaparlamentets och rådets förordning (EU) 2016/679 om skydd för fysiska personer med avseende på behandling av personuppgifter och om det fria flödet av sådana uppgifter (allmän dataskyddsförordning), nedan dataskyddsförordningen, och parallellt med förordningen dataskyddslagen (1050/2018) samt speciallagen om integritetsskydd i arbetslivet (759/2004). Dessutom finns det speciallagstiftning om utredning av arbetstagares tillförlitlighet. I säkerhetsutredningslagen (726/2014) finns bestämmelser om ansökan om säkerhetsutredning. I lagen om kontroll av brottslig bakgrund hos personer som arbetar med barn (504/2002) föreskrivs det om vilket förfarande som ska iakttas för att utreda eventuell brottslig bakgrund hos personer som väljs att arbeta med minderåriga. Bestämmelser om rätt att få uppgifter ur straffregistret finns i straffregisterlagen (770/1993). Den 1 av maj 2014 trädde en lag om kontroll av brottslig bakgrund hos frivillig</w:t>
          </w:r>
          <w:r w:rsidR="005F30F7">
            <w:rPr>
              <w:lang w:val="sv-SE"/>
            </w:rPr>
            <w:t>a som arbetar med barn i kraft.</w:t>
          </w:r>
        </w:p>
        <w:p w14:paraId="3449A5CD" w14:textId="77777777" w:rsidR="008021BF" w:rsidRPr="008021BF" w:rsidRDefault="008021BF" w:rsidP="008021BF">
          <w:pPr>
            <w:pStyle w:val="LLPerustelujenkappalejako"/>
            <w:rPr>
              <w:lang w:val="sv-SE"/>
            </w:rPr>
          </w:pPr>
          <w:r w:rsidRPr="008021BF">
            <w:rPr>
              <w:lang w:val="sv-SE"/>
            </w:rPr>
            <w:t>Lagen om kontroll av brottslig bakgrund hos personer som arbetar med barn trädde i kraft den 1 januari 2003. Enligt lagen är arbetsgivaren skyldig att utreda den brottsliga bakgrunden hos personer som ska arbeta med barn innan de anställs eller utnämns till ett anställnings- eller tjänsteförhållande. Lagens syfte är att minska risken för att barn ska bli sexuellt utnyttjade, falla offer för våld eller lockas att använda droger. Lagen bidrar till att förverkliga barnens rätt till en säker uppväxt- och studiem</w:t>
          </w:r>
          <w:r>
            <w:rPr>
              <w:lang w:val="sv-SE"/>
            </w:rPr>
            <w:t>iljö.</w:t>
          </w:r>
        </w:p>
        <w:p w14:paraId="086A6F16" w14:textId="77777777" w:rsidR="008021BF" w:rsidRPr="008021BF" w:rsidRDefault="008021BF" w:rsidP="008021BF">
          <w:pPr>
            <w:pStyle w:val="LLPerustelujenkappalejako"/>
            <w:rPr>
              <w:lang w:val="sv-SE"/>
            </w:rPr>
          </w:pPr>
          <w:r w:rsidRPr="008021BF">
            <w:rPr>
              <w:lang w:val="sv-SE"/>
            </w:rPr>
            <w:t>Enligt 1 § i lagen om kontroll av brottslig bakgrund hos personer som arbetar med barn är lagens syfte att skydda minderårigas personliga integritet och främja deras personliga säkerhet. I lagen föreskrivs om det förfarande som ska iakttas vid kontroll av de personers brottsliga bakgrund som vä</w:t>
          </w:r>
          <w:r>
            <w:rPr>
              <w:lang w:val="sv-SE"/>
            </w:rPr>
            <w:t>ljs för arbete med minderåriga.</w:t>
          </w:r>
        </w:p>
        <w:p w14:paraId="763448A6" w14:textId="77777777" w:rsidR="008021BF" w:rsidRPr="008021BF" w:rsidRDefault="008021BF" w:rsidP="008021BF">
          <w:pPr>
            <w:pStyle w:val="LLPerustelujenkappalejako"/>
            <w:rPr>
              <w:lang w:val="sv-SE"/>
            </w:rPr>
          </w:pPr>
          <w:r w:rsidRPr="008021BF">
            <w:rPr>
              <w:lang w:val="sv-SE"/>
            </w:rPr>
            <w:t>Enligt 2 § 1 mom. tillämpas lagen på arbete som utförs i anställnings- eller tjänsteförhållande och som varaktigt och i väsentlig grad består i att utan vårdnadshavarens närvaro fostra, undervisa, sköta eller annars ta hand om minderåriga eller annars arbeta i personlig kontakt med minderåriga. Av paragrafens 2 mom. framgår att lagen inte tillämpas på uppgifter som avses i 1 och 2 mom. och som sammanlagt varar högst tre månader u</w:t>
          </w:r>
          <w:r>
            <w:rPr>
              <w:lang w:val="sv-SE"/>
            </w:rPr>
            <w:t>nder en ettårsperiod.</w:t>
          </w:r>
        </w:p>
        <w:p w14:paraId="4ED40835" w14:textId="77777777" w:rsidR="008021BF" w:rsidRPr="008021BF" w:rsidRDefault="008021BF" w:rsidP="008021BF">
          <w:pPr>
            <w:pStyle w:val="LLPerustelujenkappalejako"/>
            <w:rPr>
              <w:lang w:val="sv-SE"/>
            </w:rPr>
          </w:pPr>
          <w:r w:rsidRPr="008021BF">
            <w:rPr>
              <w:lang w:val="sv-SE"/>
            </w:rPr>
            <w:t>Enligt lagens 3 § ska arbetsgivaren kräva att en person visar upp ett straffregisterutdrag enligt 6 § 2 mom. i straffregisterlagen när personen första gången anställs i eller utnämns till ett anställnings- eller tjänsteförhållande som omfattar uppgifter som avses i 2 § eller första gången tilldelas sådana uppgifter. Enligt 6 § 2 mom. i straffregisterlagen har en enskild person rätt att få ett straffregisterutdrag beträffande sig själv för en uppgift som avses i 2 § i lagen om kontroll av brottslig bakgrund hos</w:t>
          </w:r>
          <w:r>
            <w:rPr>
              <w:lang w:val="sv-SE"/>
            </w:rPr>
            <w:t xml:space="preserve"> personer som arbetar med barn.</w:t>
          </w:r>
        </w:p>
        <w:p w14:paraId="374BB57E" w14:textId="77777777" w:rsidR="008021BF" w:rsidRPr="008021BF" w:rsidRDefault="008021BF" w:rsidP="008021BF">
          <w:pPr>
            <w:pStyle w:val="LLPerustelujenkappalejako"/>
            <w:rPr>
              <w:lang w:val="sv-SE"/>
            </w:rPr>
          </w:pPr>
          <w:r w:rsidRPr="008021BF">
            <w:rPr>
              <w:lang w:val="sv-SE"/>
            </w:rPr>
            <w:t>Utöver anställnings- och tjänsteförhållanden tillämpas lagen också på vissa tjänsteproducenter och i fråga om andra uppgifter. Arbetsgivare, aktörer som kan jämställas med arbetsgivare och vissa tillsynsmyndigheter är, om lagens tillämpningsförutsättningar uppfylls, skyldiga att kräva att den som utnämns till ett anställnings- eller tjänsteförhållande uppvisar en utredn</w:t>
          </w:r>
          <w:r>
            <w:rPr>
              <w:lang w:val="sv-SE"/>
            </w:rPr>
            <w:t>ing om sin brottsliga bakgrund.</w:t>
          </w:r>
        </w:p>
        <w:p w14:paraId="6E7E6D40" w14:textId="77777777" w:rsidR="008021BF" w:rsidRPr="008021BF" w:rsidRDefault="008021BF" w:rsidP="008021BF">
          <w:pPr>
            <w:pStyle w:val="LLPerustelujenkappalejako"/>
            <w:rPr>
              <w:lang w:val="sv-SE"/>
            </w:rPr>
          </w:pPr>
          <w:r w:rsidRPr="008021BF">
            <w:rPr>
              <w:lang w:val="sv-SE"/>
            </w:rPr>
            <w:t xml:space="preserve">Förfarandet för kontroll av brottslig bakgrund gör det möjligt att utreda en persons brottsliga bakgrund i följande situationer: när någon anställs (anställnings- eller tjänsteförhållande), i samband med ansökan om tillstånd eller fullgörande av anmälningsplikt, för produktion av privat socialservice eller privata hälso- och sjukvårdstjänster, vid beredning av uppdragsavtal om familjevård som gäller minderåriga, vid förordnande till civiltjänst, vid avtal om arbetspraktik samt vid upphandling av sådan morgon- och eftermiddagsverksamhet som avses i lagen </w:t>
          </w:r>
          <w:r>
            <w:rPr>
              <w:lang w:val="sv-SE"/>
            </w:rPr>
            <w:t>om grundläggande utbildning.</w:t>
          </w:r>
        </w:p>
        <w:p w14:paraId="03321F39" w14:textId="77777777" w:rsidR="008021BF" w:rsidRPr="008021BF" w:rsidRDefault="008021BF" w:rsidP="008021BF">
          <w:pPr>
            <w:pStyle w:val="LLPerustelujenkappalejako"/>
            <w:rPr>
              <w:lang w:val="sv-SE"/>
            </w:rPr>
          </w:pPr>
          <w:r w:rsidRPr="008021BF">
            <w:rPr>
              <w:lang w:val="sv-SE"/>
            </w:rPr>
            <w:t>Inom de branscher där lagen ska tillämpas är arbetsgivaren skyldig att redan innan uppgiften ledigförklaras bedöma om en uppgift, ett arbete eller en tjänst omfattas av förfarandet för kontroll av brottslig bakgrund. Det är arbetsgivaren som bestämmer innehållet i uppgifterna. I lagen räknas inte särskilt upp yrkesbeteckningar eller andra entydiga grunder för avgränsning av den personkre</w:t>
          </w:r>
          <w:r>
            <w:rPr>
              <w:lang w:val="sv-SE"/>
            </w:rPr>
            <w:t>ts som omfattas av förfarandet.</w:t>
          </w:r>
        </w:p>
        <w:p w14:paraId="34E481A2" w14:textId="77777777" w:rsidR="008021BF" w:rsidRPr="008021BF" w:rsidRDefault="008021BF" w:rsidP="008021BF">
          <w:pPr>
            <w:pStyle w:val="LLPerustelujenkappalejako"/>
            <w:rPr>
              <w:lang w:val="sv-SE"/>
            </w:rPr>
          </w:pPr>
          <w:r w:rsidRPr="008021BF">
            <w:rPr>
              <w:lang w:val="sv-SE"/>
            </w:rPr>
            <w:t xml:space="preserve">I den allmänna motiveringen till lagen om kontroll av brottslig bakgrund hos personer som arbetar med barn (RP 3/2002 rd) konstateras i fråga om bestämmelsernas tillämpningsområde att kortvariga anställningar, som ofta är vikariearrangemang, faller utanför förfarandet. Detsamma gäller den som i anställning hos samma arbetsgivare övergår till andra uppgifter, om de redan en gång har lämnat ett registerutdrag. I sådana situationer kan det anses onödigt att </w:t>
          </w:r>
          <w:r w:rsidR="000017A9">
            <w:rPr>
              <w:lang w:val="sv-SE"/>
            </w:rPr>
            <w:t>lämna in ett nytt utdrag (s. 30</w:t>
          </w:r>
          <w:r w:rsidR="000017A9">
            <w:rPr>
              <w:lang w:val="sv-SE"/>
            </w:rPr>
            <w:sym w:font="Symbol" w:char="F02D"/>
          </w:r>
          <w:r w:rsidRPr="008021BF">
            <w:rPr>
              <w:lang w:val="sv-SE"/>
            </w:rPr>
            <w:t>31). I detaljmotiveringen sägs det i fråga om nämnda 2 § 3 mom. bland annat följande: ”I 3 mom. föreslås att lagens tillämpningsområde skall begränsas på basis av servicens, uppgiftens eller uppdragets längd. Arbetsgivare, tillsynsmyndigheter eller andra som skall utreda brottslig bakgrund skall inte ha skyldighet och inte heller rätt att kräva ett straffregisterutdrag om ett anställnings- eller tjänsteförhållande, ett tjänstgörings- eller praktikförhållande, ett uppdragsavtal eller tillhandahållandet av service varar högst tre månader under en ettårsperiod. Kortvariga anställningar är i allmänhet vikariat. Kortvariga vikariearrangemang måste ofta ordnas snabbt, och inom den tid som står till förfogande är det inte ens möjligt att skaffa ett registerutdrag. Om en person har flera under tre månader långa anställnings- eller tjänsteförhållanden för viss tid hos samma arbetsgivare, skall ett utdrag begäras när anställnings- eller tjänsteförhållandena sammanlagt överskrider tre månader under en ettårsperiod. Förfarandet behöver inte heller tillämpas om ett uppdragsavtal ingås så att det sammanlagt gäller i högst tre månader under en ettårsperiod. Med ett år avses inte ett kalenderår, utan tiden räknas från det att det första anställnings- eller tjänsteförhållandet inleds. När en arbetsgivare anställer en person på nytt skall han eller hon enligt förslaget således kontrollera hur länge arbetstagaren under det år som föregår det nya anställnings- eller tjänsteförhållandet har varit anställd hos arbetsgivaren i sådana uppgifter som omfattas av det aktuella förfarandet. Om tre månader fylls när den nya anställningen börjar eller medan den varar, skall arbetstagaren på begäran av arbetsgivaren förete ett straffregisterutdrag innan anställnings- eller tjänsteförhållandet börjar.”</w:t>
          </w:r>
        </w:p>
        <w:p w14:paraId="3D4DF8F9" w14:textId="77777777" w:rsidR="008021BF" w:rsidRPr="008021BF" w:rsidRDefault="008021BF" w:rsidP="008021BF">
          <w:pPr>
            <w:pStyle w:val="LLPerustelujenkappalejako"/>
            <w:rPr>
              <w:lang w:val="sv-SE"/>
            </w:rPr>
          </w:pPr>
          <w:r w:rsidRPr="008021BF">
            <w:rPr>
              <w:lang w:val="sv-SE"/>
            </w:rPr>
            <w:t xml:space="preserve">I 6 § </w:t>
          </w:r>
          <w:commentRangeStart w:id="6"/>
          <w:r w:rsidRPr="008021BF">
            <w:rPr>
              <w:lang w:val="sv-SE"/>
            </w:rPr>
            <w:t>föreskrivs</w:t>
          </w:r>
          <w:commentRangeEnd w:id="6"/>
          <w:r w:rsidR="005F30F7">
            <w:rPr>
              <w:rStyle w:val="Kommentinviite"/>
            </w:rPr>
            <w:commentReference w:id="6"/>
          </w:r>
          <w:r w:rsidRPr="008021BF">
            <w:rPr>
              <w:lang w:val="sv-SE"/>
            </w:rPr>
            <w:t xml:space="preserve"> om straffr</w:t>
          </w:r>
          <w:r w:rsidR="005F30F7">
            <w:rPr>
              <w:lang w:val="sv-SE"/>
            </w:rPr>
            <w:t>egisterutdragets giltighetstid.</w:t>
          </w:r>
          <w:r w:rsidRPr="008021BF">
            <w:rPr>
              <w:lang w:val="sv-SE"/>
            </w:rPr>
            <w:t xml:space="preserve"> Ett straffregisterutdrag för kontroll av brottslig bakgrund får inte vara äldre än sex månader.</w:t>
          </w:r>
        </w:p>
        <w:p w14:paraId="7355401F" w14:textId="77777777" w:rsidR="008021BF" w:rsidRPr="008021BF" w:rsidRDefault="008021BF" w:rsidP="008021BF">
          <w:pPr>
            <w:pStyle w:val="LLPerustelujenkappalejako"/>
            <w:rPr>
              <w:lang w:val="sv-SE"/>
            </w:rPr>
          </w:pPr>
          <w:r w:rsidRPr="008021BF">
            <w:rPr>
              <w:lang w:val="sv-SE"/>
            </w:rPr>
            <w:t>I 7 § föreskrivs det att i personuppgifterna om den som visat upp ett straffregisterutdrag får endast antecknas att utdraget har visats upp samt utdragets identifikationsuppgifter. Arbetsgivaren eller någon annan som enligt denna lag har fått se straffregisterutdraget får inte kopiera det. Straffregisterutdraget ska utan dröjsmål återläm</w:t>
          </w:r>
          <w:r w:rsidR="000017A9">
            <w:rPr>
              <w:lang w:val="sv-SE"/>
            </w:rPr>
            <w:t>nas till den som visat upp det.</w:t>
          </w:r>
        </w:p>
        <w:p w14:paraId="2889D309" w14:textId="77777777" w:rsidR="008021BF" w:rsidRPr="008021BF" w:rsidRDefault="008021BF" w:rsidP="008021BF">
          <w:pPr>
            <w:pStyle w:val="LLPerustelujenkappalejako"/>
            <w:rPr>
              <w:lang w:val="sv-SE"/>
            </w:rPr>
          </w:pPr>
          <w:r w:rsidRPr="008021BF">
            <w:rPr>
              <w:lang w:val="sv-SE"/>
            </w:rPr>
            <w:t>I lagens 8 § föreskrivs det som tystnadsplikt. Uppgifter i straffregisterutdraget får inte röjas för andra än de som nödvändigtvis behöver dem för att besluta om en person ska tilldelas arbetsuppgifter som ingår i tillämpningsområdet för lagen. Uppgifter som är skyddade av tystnadsplikten får inte röjas för utomstående ens efter det att personen inte längre sköter det uppdrag där ha</w:t>
          </w:r>
          <w:r w:rsidR="000017A9">
            <w:rPr>
              <w:lang w:val="sv-SE"/>
            </w:rPr>
            <w:t>n eller hon fick informationen.</w:t>
          </w:r>
        </w:p>
        <w:p w14:paraId="4A71B7CB" w14:textId="77777777" w:rsidR="008021BF" w:rsidRPr="008021BF" w:rsidRDefault="008021BF" w:rsidP="008021BF">
          <w:pPr>
            <w:pStyle w:val="LLPerustelujenkappalejako"/>
            <w:rPr>
              <w:lang w:val="sv-SE"/>
            </w:rPr>
          </w:pPr>
          <w:r w:rsidRPr="008021BF">
            <w:rPr>
              <w:lang w:val="sv-SE"/>
            </w:rPr>
            <w:t>I lagens 10 § finns bestämmelser om straff för förseelse mot bestämmelserna om kontroll av brottslig bakgrund. I strafflagens 38 kap. 9 § föreskrivs det</w:t>
          </w:r>
          <w:r w:rsidR="000017A9">
            <w:rPr>
              <w:lang w:val="sv-SE"/>
            </w:rPr>
            <w:t xml:space="preserve"> om straff för dataskyddsbrott.</w:t>
          </w:r>
        </w:p>
        <w:p w14:paraId="07A4B114" w14:textId="77777777" w:rsidR="008021BF" w:rsidRPr="008021BF" w:rsidRDefault="008021BF" w:rsidP="000017A9">
          <w:pPr>
            <w:pStyle w:val="LLPValiotsikko"/>
          </w:pPr>
          <w:r w:rsidRPr="008021BF">
            <w:t>Tillämpningspraxis</w:t>
          </w:r>
        </w:p>
        <w:p w14:paraId="542A06EF" w14:textId="77777777" w:rsidR="008021BF" w:rsidRPr="008021BF" w:rsidRDefault="008021BF" w:rsidP="008021BF">
          <w:pPr>
            <w:pStyle w:val="LLPerustelujenkappalejako"/>
            <w:rPr>
              <w:lang w:val="sv-SE"/>
            </w:rPr>
          </w:pPr>
          <w:r w:rsidRPr="008021BF">
            <w:rPr>
              <w:lang w:val="sv-SE"/>
            </w:rPr>
            <w:t>En viktig fråga med tanke på tillämpningen av lagen är den i lagen angivna tidsgränsen på tre månader för anställningsförhållandets längd, som en förutsättning för tillämpning av lagen. Enligt lagen har den som är skyldig att utreda brottslig bakgrund inte rätt att för ett kort anställningsförhållande begära att ett straffregisterutdrag visas upp. I kortvariga anställningsförhållanden bedöms hur tidsgränsen på tre månader uppnås under en tidsperiod av ett år. Vid flera på varandra följande visstidsanställningar inträder skyldigheten att kräva straffregisterutdrag om den i lagen angivna tidsgränsen på tre månader uppfylls när längden på en tidigare visstidsanställning och varaktig</w:t>
          </w:r>
          <w:r w:rsidR="000017A9">
            <w:rPr>
              <w:lang w:val="sv-SE"/>
            </w:rPr>
            <w:t>heten av den nya räknas samman.</w:t>
          </w:r>
        </w:p>
        <w:p w14:paraId="6B58E147" w14:textId="77777777" w:rsidR="005F30F7" w:rsidRDefault="008021BF" w:rsidP="008021BF">
          <w:pPr>
            <w:pStyle w:val="LLPerustelujenkappalejako"/>
            <w:rPr>
              <w:lang w:val="sv-SE"/>
            </w:rPr>
          </w:pPr>
          <w:r w:rsidRPr="008021BF">
            <w:rPr>
              <w:lang w:val="sv-SE"/>
            </w:rPr>
            <w:t>Biträdande justitieombudsmannens har fattat ett avgörande i fråga om avgränsningen av tillämpningsområdet och med anledning av ett klagomål konstaterat att utredning om brottslig bakgrund inte kan krävas i anställnings- eller tjänsteförhållanden som varar kortare tid än tre månader (31.3.2015 Dnr 2513/4/14). I sitt avgörande åberopade biträdande justitieombudsmannen de ovan nämnda rättsnormerna. Biträdande justitieombudsmannen anförde också att Rättsregistercentralen kontrollerar om det är fråga om ett anställningsförfarande som varar över tre månader på det sätt som lagen förutsätter samt, utifrån de uppgifter som framgår av ansökningsblanketten om arbetsgivaren och arbetsuppgiften, om det är fråga om en sådan uppgift för vilken utdrag kan lämnas ut. Rättsregistercentralen kan vägra att utfärda ett utdrag om de förutsättningar som nämns i lagstiftningen om kontroll av br</w:t>
          </w:r>
          <w:r w:rsidR="005F30F7">
            <w:rPr>
              <w:lang w:val="sv-SE"/>
            </w:rPr>
            <w:t>ottslig bakgrund inte uppfylls.</w:t>
          </w:r>
        </w:p>
        <w:p w14:paraId="4BC7548F" w14:textId="77777777" w:rsidR="008021BF" w:rsidRPr="008021BF" w:rsidRDefault="008021BF" w:rsidP="008021BF">
          <w:pPr>
            <w:pStyle w:val="LLPerustelujenkappalejako"/>
            <w:rPr>
              <w:lang w:val="sv-SE"/>
            </w:rPr>
          </w:pPr>
          <w:r w:rsidRPr="008021BF">
            <w:rPr>
              <w:lang w:val="sv-SE"/>
            </w:rPr>
            <w:t>Se BJO:s avgörande:</w:t>
          </w:r>
        </w:p>
        <w:p w14:paraId="3903BDDA" w14:textId="77777777" w:rsidR="008021BF" w:rsidRDefault="003D19CB" w:rsidP="008021BF">
          <w:pPr>
            <w:pStyle w:val="LLPerustelujenkappalejako"/>
            <w:rPr>
              <w:lang w:val="sv-SE"/>
            </w:rPr>
          </w:pPr>
          <w:hyperlink r:id="rId10" w:history="1">
            <w:r w:rsidR="005F30F7" w:rsidRPr="006D3A4A">
              <w:rPr>
                <w:rStyle w:val="Hyperlinkki"/>
                <w:lang w:val="sv-SE"/>
              </w:rPr>
              <w:t>http://www.eduskunta.fi/eoaratkaisut/eoak+2513/2014</w:t>
            </w:r>
          </w:hyperlink>
        </w:p>
        <w:p w14:paraId="5F972E1C" w14:textId="77777777" w:rsidR="008021BF" w:rsidRDefault="003D19CB" w:rsidP="008021BF">
          <w:pPr>
            <w:pStyle w:val="LLPerustelujenkappalejako"/>
            <w:rPr>
              <w:lang w:val="sv-SE"/>
            </w:rPr>
          </w:pPr>
          <w:hyperlink r:id="rId11" w:history="1">
            <w:r w:rsidR="005F30F7" w:rsidRPr="006D3A4A">
              <w:rPr>
                <w:rStyle w:val="Hyperlinkki"/>
                <w:lang w:val="sv-SE"/>
              </w:rPr>
              <w:t>http://www.eduskunta.fi/eoaratkaisut/eoak+3158/2013</w:t>
            </w:r>
          </w:hyperlink>
        </w:p>
        <w:p w14:paraId="45D0C0D0" w14:textId="77777777" w:rsidR="008021BF" w:rsidRPr="008021BF" w:rsidRDefault="008021BF" w:rsidP="005F30F7">
          <w:pPr>
            <w:pStyle w:val="LLPValiotsikko"/>
          </w:pPr>
          <w:r w:rsidRPr="008021BF">
            <w:t>Undersökningar om tillämpningen av lagen och dess funktion</w:t>
          </w:r>
        </w:p>
        <w:p w14:paraId="7481C0D4" w14:textId="77777777" w:rsidR="008021BF" w:rsidRPr="008021BF" w:rsidRDefault="008021BF" w:rsidP="008021BF">
          <w:pPr>
            <w:pStyle w:val="LLPerustelujenkappalejako"/>
            <w:rPr>
              <w:lang w:val="sv-SE"/>
            </w:rPr>
          </w:pPr>
          <w:r w:rsidRPr="008021BF">
            <w:rPr>
              <w:lang w:val="sv-SE"/>
            </w:rPr>
            <w:t>År 2004 publicerades en undersökning om tillämpningen av lagen (Niskanen, Hannu &amp; Laitinen, Ahti: Tutkimus rikostaustan selvittämislain soveltamisesta. 2004. Työpoliittinen tutkimus nro 258. Turun yliopisto. Arbetsministeriet. Helsingfors). Undersökningen syftade i huvudsak till att med hjälp av en enkät utreda 1) hur de arbetsgivare som tillämpar lagen i sin verksamhet uppfattar att lagen fungerar, 2) praxis vid tillämpningen av lagen och 3) uppfattningar om hur informationen om lagens ikraftträdande fungerade.</w:t>
          </w:r>
        </w:p>
        <w:p w14:paraId="30CF79FB" w14:textId="77777777" w:rsidR="008021BF" w:rsidRPr="008021BF" w:rsidRDefault="008021BF" w:rsidP="008021BF">
          <w:pPr>
            <w:pStyle w:val="LLPerustelujenkappalejako"/>
            <w:rPr>
              <w:lang w:val="sv-SE"/>
            </w:rPr>
          </w:pPr>
          <w:r w:rsidRPr="008021BF">
            <w:rPr>
              <w:lang w:val="sv-SE"/>
            </w:rPr>
            <w:t>Utifrån undersökningen kan det sammanfattningsvis konstateras att arbetsgivarens attityd till lagen var rätt positiv. Cirka hälften av dem som svarade på enkäten ansåg att man med hjälp av lagen kunnat hindra olämpliga personer från att arbeta med barn eller att man åtminstone lyckats rätt väl. Endast 10 procent av arbetsgivarna ansåg att lagen inte hade haft någon effekt alls. Mer än hälften av respondenterna ansåg att det nya förfarandet inte har haft några konsekvenser för anställningsprocessens längd. Den viktigaste informationskanalen när det gällde den nya lagstiftningen ansågs vara massmedier och mini</w:t>
          </w:r>
          <w:r w:rsidR="000017A9">
            <w:rPr>
              <w:lang w:val="sv-SE"/>
            </w:rPr>
            <w:t>steriernas direkta meddelanden.</w:t>
          </w:r>
        </w:p>
        <w:p w14:paraId="22875A7E" w14:textId="77777777" w:rsidR="008021BF" w:rsidRPr="008021BF" w:rsidRDefault="008021BF" w:rsidP="008021BF">
          <w:pPr>
            <w:pStyle w:val="LLPerustelujenkappalejako"/>
            <w:rPr>
              <w:lang w:val="sv-SE"/>
            </w:rPr>
          </w:pPr>
          <w:r w:rsidRPr="008021BF">
            <w:rPr>
              <w:lang w:val="sv-SE"/>
            </w:rPr>
            <w:t>I forskningsrapporten presenteras resultaten av erfarenheterna under det första tillämpningsåret bland de aktörer som varit skyldiga att utreda brottslig bakgrund enligt det nya förfarandet, lagens funktionsduglighet och tillämpningspraxis samt information och anvisningar i anslutning till att den nya lagstiftningen trädde i kraft. I undersökningen utreddes inte erfarenheterna av det nya förfarandet för kontroll av brottslig bakgrund bland de som sökt en anställning eller en tjänst, de som producerar privat socialservice eller privat hälso- och sjukvård, den som fullgör civiltjänst eller deltar i arbetskraftspolitiska åtgärder eller arbetar inom familjevården och som</w:t>
          </w:r>
          <w:r w:rsidR="000017A9">
            <w:rPr>
              <w:lang w:val="sv-SE"/>
            </w:rPr>
            <w:t xml:space="preserve"> varit föremål för förfarandet.</w:t>
          </w:r>
        </w:p>
        <w:p w14:paraId="3DA7521D" w14:textId="77777777" w:rsidR="008021BF" w:rsidRPr="008021BF" w:rsidRDefault="008021BF" w:rsidP="008021BF">
          <w:pPr>
            <w:pStyle w:val="LLPerustelujenkappalejako"/>
            <w:rPr>
              <w:lang w:val="sv-SE"/>
            </w:rPr>
          </w:pPr>
          <w:r w:rsidRPr="008021BF">
            <w:rPr>
              <w:lang w:val="sv-SE"/>
            </w:rPr>
            <w:t>I undersökningen ställdes fyra öppna frågor om vilka fördelar och nackdelar respondenterna anser vara förknippade med lagens innehåll och tillämpningspraxis. Inställningen till lagens innehåll var synnerligen positiv. Inemot två tredjedelar av alla respondenter uppgav minst en positiv aspekt på innehållet. Oftast handlade det om allmänna konstateranden att lagen är bra. En annan faktor som ofta fördes fram var lagens förebyggande effekt och många ansåg att den hindrar personer som gjort sig skyldiga till brott från att söka sig till uppg</w:t>
          </w:r>
          <w:r w:rsidR="000017A9">
            <w:rPr>
              <w:lang w:val="sv-SE"/>
            </w:rPr>
            <w:t>ifter där man arbetar med barn.</w:t>
          </w:r>
        </w:p>
        <w:p w14:paraId="5706012B" w14:textId="77777777" w:rsidR="008021BF" w:rsidRPr="008021BF" w:rsidRDefault="008021BF" w:rsidP="008021BF">
          <w:pPr>
            <w:pStyle w:val="LLPerustelujenkappalejako"/>
            <w:rPr>
              <w:lang w:val="sv-SE"/>
            </w:rPr>
          </w:pPr>
          <w:r w:rsidRPr="008021BF">
            <w:rPr>
              <w:lang w:val="sv-SE"/>
            </w:rPr>
            <w:t>Åsikterna om bristerna i fråga om lagens innehåll gick i två riktningar. Direkt negativ kritik mot innehållet (t.ex. ”lagen är onödig”, ”lagen borde inte finnas”) framfördes av 11,6 procent av alla respondenter, medan 17,2 procent av respondenterna förde fram så kallad konstruktiv kritik. I dessa fall handlade det om att lagen i nuläget inte fullt ut garanterar barnens säkerhet. I svaren hänvisades det i regel till att alla omständigheter som har samband med sökandes säkerhet inte nödvändigtvis framgår av straffregisterutdraget och att tremånadersregeln fortfarande gör det möjligt för den som gjort sig skyldig till brott att komma i konta</w:t>
          </w:r>
          <w:r w:rsidR="000017A9">
            <w:rPr>
              <w:lang w:val="sv-SE"/>
            </w:rPr>
            <w:t>kt med barn.</w:t>
          </w:r>
        </w:p>
        <w:p w14:paraId="1C67B846" w14:textId="77777777" w:rsidR="008021BF" w:rsidRPr="008021BF" w:rsidRDefault="008021BF" w:rsidP="008021BF">
          <w:pPr>
            <w:pStyle w:val="LLPerustelujenkappalejako"/>
            <w:rPr>
              <w:lang w:val="sv-SE"/>
            </w:rPr>
          </w:pPr>
          <w:r w:rsidRPr="008021BF">
            <w:rPr>
              <w:lang w:val="sv-SE"/>
            </w:rPr>
            <w:t>Det framfördes klart färre åsikter om lagens tillämpningspraxis än om dess innehåll och skillnaden i relativa andelar mellan positiva och negativa åsikter är klart mindre. Åsikterna om förfarandet gick kraftigt isär. De flesta positiva åsikterna gällde förfarandets lätthet och snabbhet medan största delen av de negativa åsikterna handlade om den arbetsinsats som krä</w:t>
          </w:r>
          <w:r w:rsidR="000017A9">
            <w:rPr>
              <w:lang w:val="sv-SE"/>
            </w:rPr>
            <w:t>vs och förfarandets långsamhet.</w:t>
          </w:r>
        </w:p>
        <w:p w14:paraId="52150D40" w14:textId="77777777" w:rsidR="008021BF" w:rsidRPr="008021BF" w:rsidRDefault="008021BF" w:rsidP="008021BF">
          <w:pPr>
            <w:pStyle w:val="LLPerustelujenkappalejako"/>
            <w:rPr>
              <w:lang w:val="sv-SE"/>
            </w:rPr>
          </w:pPr>
          <w:r w:rsidRPr="008021BF">
            <w:rPr>
              <w:lang w:val="sv-SE"/>
            </w:rPr>
            <w:t>Arbetsgivarna tillfrågades också om sin inställning till begränsningen i 2 § 3 mom., enligt vilken lagen inte tillämpas på arbetsuppgifter som varar sammanlagt högst tre månader under en ettårsperiod. Här fördelade sig svaren tämligen jämnt mellan positiva, neutrala och negativa åsikter. Avgränsningen ansågs av 33,3 procent av respondenterna effektiv, eftersom ansökningsförfarandet i samband med kortvariga anställnings- och tjänsteförhållanden är enklare. Hela 37,2 procent av respondenterna ansåg att begränsningen inte medför några problem medan 29,2 procent ansåg att avgränsningen kan leda till att personer som är farliga för</w:t>
          </w:r>
          <w:r w:rsidR="000017A9">
            <w:rPr>
              <w:lang w:val="sv-SE"/>
            </w:rPr>
            <w:t xml:space="preserve"> barn kommer i kontakt med dem.</w:t>
          </w:r>
        </w:p>
        <w:p w14:paraId="0CAA3675" w14:textId="37FED02C" w:rsidR="008021BF" w:rsidRPr="008021BF" w:rsidRDefault="008021BF" w:rsidP="008021BF">
          <w:pPr>
            <w:pStyle w:val="LLPerustelujenkappalejako"/>
            <w:rPr>
              <w:lang w:val="sv-SE"/>
            </w:rPr>
          </w:pPr>
          <w:r w:rsidRPr="008021BF">
            <w:rPr>
              <w:lang w:val="sv-SE"/>
            </w:rPr>
            <w:t>Arbets- och näringsministeriet lät 2013 göra en undersökning om hur lagstiftningen om förfarandet för kontroll av brottslig bakgrund hos personer som arbetar med barn fungerar och om utvecklingsbehoven. Undersökningen har publicerats i serien Arbets- och näringsministeriets publikationer, Arbete och företagsamhet 28/2013. Syftet med den uppföljande undersökningen var att få information om i vilka avseenden man har upplevt att den gällande lagstiftningen fungerar och i vilka avseenden det finns reformbehov. Informationen ska beaktas när behovet att utveckla lagstiftningen bedöms. Granskningen fokuserade på hur förfarandet för kontroll av brottslig bakgrund fungerar ur olika parters synvinkel. Dessutom utreddes frågor i anslutning till tolkningen av lagen. I undersökningen dryftades också åsikterna om förslaget till utveckling av lagstiftningen. Undersökningen genomfördes som en intervjuundersökning och man intervjuade arbetstagare, med arbetsgivare jämförbara aktörer samt tillståndsmyndigheter, Valvira och Regionförvaltningsverket samt Rättsregistercentralen, som utfärdar straffregisterutdrag. En viktig målgrupp för undersökningen var också de arbetstagare vars arbetsuppgifter lagen tillämpas på. På organisationsnivå intervjuades arbetsgivar- och arbetstag</w:t>
          </w:r>
          <w:r w:rsidR="00AE18E9">
            <w:rPr>
              <w:lang w:val="sv-SE"/>
            </w:rPr>
            <w:t>arorganisationer samt barnskyddsorganisationer.</w:t>
          </w:r>
        </w:p>
        <w:p w14:paraId="78F7D0AF" w14:textId="77777777" w:rsidR="008021BF" w:rsidRPr="008021BF" w:rsidRDefault="008021BF" w:rsidP="008021BF">
          <w:pPr>
            <w:pStyle w:val="LLPerustelujenkappalejako"/>
            <w:rPr>
              <w:lang w:val="sv-SE"/>
            </w:rPr>
          </w:pPr>
          <w:r w:rsidRPr="008021BF">
            <w:rPr>
              <w:lang w:val="sv-SE"/>
            </w:rPr>
            <w:t>Av utredningen framgår att attityderna till lagen om kontroll av brottslig bakgrund är synnerligen positiv. Över 80 procent av respondenterna upplevde att lagen åtminstone i viss utsträckning har hindrat olämpliga personer från att arbeta med barn och unga. Mindre än fyra procent ansåg att lagen inte har haft någon betydelse i detta avseende. Ungefär en tredjedel av dem som förhöll sig positivt till lagen ansåg att lagens verkningar i första hand har varit preventiva. Personer som dömts för sådana brott som hör till lagens tillämpningsområde söker sig inte till branschen, med vetskap om att deras brottslig</w:t>
          </w:r>
          <w:r w:rsidR="000017A9">
            <w:rPr>
              <w:lang w:val="sv-SE"/>
            </w:rPr>
            <w:t>a</w:t>
          </w:r>
          <w:r w:rsidRPr="008021BF">
            <w:rPr>
              <w:lang w:val="sv-SE"/>
            </w:rPr>
            <w:t xml:space="preserve"> bakgrund i vilket fall som helst skulle kontrolleras. Alla ansåg dock inte att lagen är helt fullständig eftersom den till exempel inte täcker in anställnings- och tjänsteförhållanden som varar en kortare tid än tre månader och inte heller förpliktar eller berättigar till att kontrollera brottslig bakgrund hos personer i anställnings- eller tjänsteförhållande un</w:t>
          </w:r>
          <w:r w:rsidR="000017A9">
            <w:rPr>
              <w:lang w:val="sv-SE"/>
            </w:rPr>
            <w:t>der den tid förhållandet varar.</w:t>
          </w:r>
        </w:p>
        <w:p w14:paraId="560DD3E4" w14:textId="77777777" w:rsidR="008021BF" w:rsidRPr="008021BF" w:rsidRDefault="008021BF" w:rsidP="008021BF">
          <w:pPr>
            <w:pStyle w:val="LLPerustelujenkappalejako"/>
            <w:rPr>
              <w:lang w:val="sv-SE"/>
            </w:rPr>
          </w:pPr>
          <w:r w:rsidRPr="008021BF">
            <w:rPr>
              <w:lang w:val="sv-SE"/>
            </w:rPr>
            <w:t>De intervjuade tillfrågades också om de ansåg att brottslig bakgrund bör utredas i anställnings- och tjänsteförhållanden som är kortare än tre månader. Cirka 65 procent var beredda att utreda brottslig bakgrund också i dessa fall. Denna åsikt motiverades med att man också på kort tid hinner skapa vänskapsband till ett barn och åstadkomma mycket ont. Knappt 25 procent ansåg att den nuvarande gränsen på tre månader är bra och motiverade svaret bland annat med att ingenting ännu hinner hända under tre månader och att en åtstramning av tidsgränsen skulle öka arbetsmängden oskäligt mycket. Kritik framfördes också mot att straffregi</w:t>
          </w:r>
          <w:r w:rsidR="000017A9">
            <w:rPr>
              <w:lang w:val="sv-SE"/>
            </w:rPr>
            <w:t>sterutdragen är avgiftsbelagda.</w:t>
          </w:r>
        </w:p>
        <w:p w14:paraId="6B86B7A7" w14:textId="77777777" w:rsidR="00FC143A" w:rsidRDefault="003D19CB" w:rsidP="008021BF">
          <w:pPr>
            <w:pStyle w:val="LLPerustelujenkappalejako"/>
            <w:rPr>
              <w:lang w:val="sv-SE"/>
            </w:rPr>
          </w:pPr>
          <w:hyperlink r:id="rId12" w:history="1">
            <w:r w:rsidR="000017A9" w:rsidRPr="006D3A4A">
              <w:rPr>
                <w:rStyle w:val="Hyperlinkki"/>
                <w:lang w:val="sv-SE"/>
              </w:rPr>
              <w:t>https://tem.fi/documents/1410877/2864661/Tutkimus+lasten+kanssa+ty%C3%B6skentelevien+rikostaustan+selvitt%C3%A4mist%C3%A4+koskevasta+lains%C3%A4%C3%A4d%C3%A4nn%C3%B6sta+10102013.pdf</w:t>
            </w:r>
          </w:hyperlink>
        </w:p>
        <w:p w14:paraId="2A407C1A" w14:textId="77777777" w:rsidR="000017A9" w:rsidRPr="000017A9" w:rsidRDefault="000017A9" w:rsidP="00317C1D">
          <w:pPr>
            <w:pStyle w:val="LLPValiotsikko"/>
          </w:pPr>
          <w:r w:rsidRPr="000017A9">
            <w:t>EUROPARÅDETS KONVENTION OM SKYDD FÖR BARN MOT SEXUELL EXPLOATERING OCH SEXUELLA ÖVERGREPP</w:t>
          </w:r>
        </w:p>
        <w:p w14:paraId="06E5C3CC" w14:textId="77777777" w:rsidR="000017A9" w:rsidRPr="000017A9" w:rsidRDefault="000017A9" w:rsidP="000017A9">
          <w:pPr>
            <w:pStyle w:val="LLPerustelujenkappalejako"/>
            <w:rPr>
              <w:lang w:val="sv-SE"/>
            </w:rPr>
          </w:pPr>
          <w:r w:rsidRPr="000017A9">
            <w:rPr>
              <w:lang w:val="sv-SE"/>
            </w:rPr>
            <w:t xml:space="preserve">Europarådets konvention om skydd för barn motsexuell exploatering och sexuella övergrepp ingicks den 25 oktober 2007 i Lanzarote och trädde i kraft den 1 oktober 2011 (nedan </w:t>
          </w:r>
          <w:r w:rsidRPr="00317C1D">
            <w:rPr>
              <w:i/>
              <w:lang w:val="sv-SE"/>
            </w:rPr>
            <w:t>Lanzarotekonventionen</w:t>
          </w:r>
          <w:r w:rsidRPr="000017A9">
            <w:rPr>
              <w:lang w:val="sv-SE"/>
            </w:rPr>
            <w:t>). Konventionen godkändes av riksdagen den 15 mars 2011 och av republikens president den 20 maj 2011. Godkännandeinstrumentet har deponerats hos Europarådets gene</w:t>
          </w:r>
          <w:r w:rsidR="00317C1D">
            <w:rPr>
              <w:lang w:val="sv-SE"/>
            </w:rPr>
            <w:t>ralsekreterare den 9 juni 2011.</w:t>
          </w:r>
        </w:p>
        <w:p w14:paraId="37950E20" w14:textId="77777777" w:rsidR="000017A9" w:rsidRPr="000017A9" w:rsidRDefault="000017A9" w:rsidP="000017A9">
          <w:pPr>
            <w:pStyle w:val="LLPerustelujenkappalejako"/>
            <w:rPr>
              <w:lang w:val="sv-SE"/>
            </w:rPr>
          </w:pPr>
          <w:r w:rsidRPr="000017A9">
            <w:rPr>
              <w:lang w:val="sv-SE"/>
            </w:rPr>
            <w:t>Syftet med konventionen är enligt artikel 1 a att förebygga och bekämpa sexuell exploatering av och sexuella övergrepp mot barn, 1 b att tillvarata rättigheterna hos barn som utsatts för sexuell exploatering och sexuella övergrepp och 1 c att främja nationellt och internationellt samarbete mot sexuell exploatering av o</w:t>
          </w:r>
          <w:r w:rsidR="00317C1D">
            <w:rPr>
              <w:lang w:val="sv-SE"/>
            </w:rPr>
            <w:t>ch sexuella övergrepp mot barn.</w:t>
          </w:r>
        </w:p>
        <w:p w14:paraId="6C4BB11F" w14:textId="77777777" w:rsidR="000017A9" w:rsidRPr="000017A9" w:rsidRDefault="000017A9" w:rsidP="000017A9">
          <w:pPr>
            <w:pStyle w:val="LLPerustelujenkappalejako"/>
            <w:rPr>
              <w:lang w:val="sv-SE"/>
            </w:rPr>
          </w:pPr>
          <w:r w:rsidRPr="000017A9">
            <w:rPr>
              <w:lang w:val="sv-SE"/>
            </w:rPr>
            <w:t>För att säkerställa det praktiska genomförandet av konventionens bestämmelser inrättades det en särskild övervakningsmekanism.</w:t>
          </w:r>
        </w:p>
        <w:p w14:paraId="2ED6E7C0" w14:textId="149748C4" w:rsidR="000017A9" w:rsidRPr="000017A9" w:rsidRDefault="000017A9" w:rsidP="000017A9">
          <w:pPr>
            <w:pStyle w:val="LLPerustelujenkappalejako"/>
            <w:rPr>
              <w:lang w:val="sv-SE"/>
            </w:rPr>
          </w:pPr>
          <w:r w:rsidRPr="000017A9">
            <w:rPr>
              <w:lang w:val="sv-SE"/>
            </w:rPr>
            <w:t>I konventionens kapitel II föreskrivs det om förebyggande åtgärder. I artikel 5 finns bestämmelser om rekrytering, utbildning och ökande av medvetenhet hos personer som har kontakt med barn i sitt arbete. Enligt artikel 5.1 ska varje part vidta nödvändiga lagstiftningsåtgärder eller andra åtgärder för att uppmuntra medvetenheten om skydd av barn och barns rättigheter hos personer som har regelbundna kontakter med barn inom skolan, hälsovården, det sociala skyddet, de rättsliga och polisiära sektorerna samt inom områden som hör ihop med idrott, kultur och fritidsaktiviteter. Enligt artikel 5.2 ska varje part vidta nödvändiga lagstiftningsåtgärder eller andra åtgärder för att säkerställa att de personer som avses i punkt 1 har tillräckliga kunskaper om sexuell exploatering av och sexuella övergrepp mot barn, om medlen för att identifiera dem och om möjligheten som nämns i artikel 12.1. Enligt artikel 5.3 ska varje part vidta nödvändiga lagstiftningsåtgärder eller andra åtgärder, i överensstämmelse med den nationella rätten, för att säkerställa att villkoren för att få tillträde till sådana yrken vars utövande innebär regelbundna kontakter med barn, säkerställa att sökande till dessa yrkesgrupper inte har dömts för sexuell exploatering av ell</w:t>
          </w:r>
          <w:r w:rsidR="00317C1D">
            <w:rPr>
              <w:lang w:val="sv-SE"/>
            </w:rPr>
            <w:t>er sexuellt övergrepp mot barn.</w:t>
          </w:r>
        </w:p>
        <w:p w14:paraId="05858366" w14:textId="77777777" w:rsidR="000017A9" w:rsidRPr="000017A9" w:rsidRDefault="000017A9" w:rsidP="000017A9">
          <w:pPr>
            <w:pStyle w:val="LLPerustelujenkappalejako"/>
            <w:rPr>
              <w:lang w:val="sv-SE"/>
            </w:rPr>
          </w:pPr>
          <w:r w:rsidRPr="000017A9">
            <w:rPr>
              <w:lang w:val="sv-SE"/>
            </w:rPr>
            <w:t>När Finlands tillträdde konventionen ansåg det att lagen om kontroll av brottslig bakgrund hos personer som arbetar med barn uppfyller de skyldigheter som förutsätts i artikel 5.3. En expertkommitté. den s.k. Lanzarote-kommittén, övervakar att konventionen följs. Övervakningen sker tematiskt i ett förfarande som fördelats mellan olika utvärderingsomgångar. Kommittén bestämmer omgångarnas teman och godkänner formulären för respektive omgång. Utifrån den information som erhållits på detta sätt ger kommittén en rapport som bland annat innehåller rekommendationer för avtalsparterna. Kommittén kan också lämna särskilda rapporter.</w:t>
          </w:r>
        </w:p>
        <w:p w14:paraId="6E0EA0F1" w14:textId="77777777" w:rsidR="000017A9" w:rsidRPr="000017A9" w:rsidRDefault="000017A9" w:rsidP="000017A9">
          <w:pPr>
            <w:pStyle w:val="LLPerustelujenkappalejako"/>
            <w:rPr>
              <w:lang w:val="sv-SE"/>
            </w:rPr>
          </w:pPr>
          <w:r w:rsidRPr="000017A9">
            <w:rPr>
              <w:lang w:val="sv-SE"/>
            </w:rPr>
            <w:t>Lanzarotekommittén godkände den 3 mars 2017 en särskild rapport om skydd för barn mot sexuell exploatering och sexuella övergrepp vid flyktingkriser. Rapporten innehåller rekommendationer för avtalsparterna. Kommittén ansåg i fråga om fem rekommendationer att det krävs omedelbara åtgärder av avtalsparterna för att förpliktelserna enligt konventionen ska anses uppfyllda. Bland annat rekommenderas avtalsparterna att i överensstämmelse med konventionens artikel 5 effektivt utreda om personer som i sitt arbete har regelbundna kontakter med barn som blivit påverkade av flyktingkrisen möjligen har dömts för sexuell exploatering av barn eller sexuellt övergrepp mot barn enligt den ifrågavarande avtalspartens nationella lagstiftning (S 18).</w:t>
          </w:r>
        </w:p>
        <w:p w14:paraId="424122EE" w14:textId="44BFA9F8" w:rsidR="000017A9" w:rsidRPr="000017A9" w:rsidRDefault="000017A9" w:rsidP="000017A9">
          <w:pPr>
            <w:pStyle w:val="LLPerustelujenkappalejako"/>
            <w:rPr>
              <w:lang w:val="sv-SE"/>
            </w:rPr>
          </w:pPr>
          <w:r w:rsidRPr="000017A9">
            <w:rPr>
              <w:lang w:val="sv-SE"/>
            </w:rPr>
            <w:t xml:space="preserve">I sin utvärderingsrapport (T-ES(2019)14 en final) som </w:t>
          </w:r>
          <w:r w:rsidR="00CC4117">
            <w:rPr>
              <w:lang w:val="sv-SE"/>
            </w:rPr>
            <w:t>Lanzarote</w:t>
          </w:r>
          <w:r w:rsidRPr="000017A9">
            <w:rPr>
              <w:lang w:val="sv-SE"/>
            </w:rPr>
            <w:t>kommittén godkände den 6 juni 2019 och som gällde förverkligandet av de fem rekommendationerna i avtalsstaterna ansåg den att situationen i Finland inte motsvarade rekommendationerna, med motiveringen att de endast delvis hade följts.</w:t>
          </w:r>
        </w:p>
        <w:p w14:paraId="57E5D528" w14:textId="77777777" w:rsidR="000017A9" w:rsidRPr="000017A9" w:rsidRDefault="000017A9" w:rsidP="000017A9">
          <w:pPr>
            <w:pStyle w:val="LLPerustelujenkappalejako"/>
            <w:rPr>
              <w:lang w:val="sv-SE"/>
            </w:rPr>
          </w:pPr>
          <w:r w:rsidRPr="000017A9">
            <w:rPr>
              <w:lang w:val="sv-SE"/>
            </w:rPr>
            <w:t>I sitt svar i juni 2018 till Lanzarotekommittén konstaterade Finland att vår lagstiftning uppfyller de centrala förpliktelserna i konventionen och kontroll av brottslig bakgrund i fråga om personer som arbetar med minderåriga. Syftet med lagen om kontroll av brottslig bakgrund hos personer som arbetar med barn (504/2002) är att skydda minderårigas personliga integritet och främja deras personliga säkerhet (1 §). I lagen föreskrivs om det förfarande som ska iakttas när den brottsliga bakgrunden hos personer som väljs för att arbeta i uppgiften med minderåriga barn. Lagen tillämpas på arbete som utförs i anställnings- och tjänsteförhållanden och som varaktigt och i väsentlig grad består i att utan vårdnadshavarens närvaro fostra, undervisa, sköta eller annars ta hand om minderåriga eller annars arbeta i personlig växelverkan med minderåriga. Uppfyllandet av det kriterium som anges i lagen gällande tillämpningen av förfarandet vid utredande av brottslig bakgrund på grund av arbetets natur, dvs. varaktigt och relevant arbete med barn, harmonierar med Lanzarotekonventionens förpliktelser. Konventionen förutsätter att man utreder bakgrunden när det gäller yrken som är förknippade med regelbunden kontakt med barn (r</w:t>
          </w:r>
          <w:r w:rsidR="00317C1D">
            <w:rPr>
              <w:lang w:val="sv-SE"/>
            </w:rPr>
            <w:t>egular contacts with children).</w:t>
          </w:r>
        </w:p>
        <w:p w14:paraId="272F516D" w14:textId="77777777" w:rsidR="000017A9" w:rsidRPr="000017A9" w:rsidRDefault="000017A9" w:rsidP="000017A9">
          <w:pPr>
            <w:pStyle w:val="LLPerustelujenkappalejako"/>
            <w:rPr>
              <w:lang w:val="sv-SE"/>
            </w:rPr>
          </w:pPr>
          <w:r w:rsidRPr="000017A9">
            <w:rPr>
              <w:lang w:val="sv-SE"/>
            </w:rPr>
            <w:t>I lagen begränsas förfarandets tillämpningsområde med avseende på tjänstgöringens, uppgiftens eller uppdragets varaktighet. Arbetsgivaren, tillsynsmyndigheten eller någon annan som är skyldig att utreda brottslig bakgrund har varken skyldighet eller rätt att kräva att ett straffregisterutdrag uppvisas när personens anställnings- eller tjänsteförhållande, tjänstgörings- eller praktikförhållande, uppdrag eller tillhandahållande av service varar sammanlagt högst tre månader. Kortvariga anställningsförhållanden är i allmänhet vikariat. Arrangemangen kring sådana kortvariga vikariat sker ofta enligt en stram tidtabell, vilket innebär att det inte ens är möjligt att skaffa fram straffregisterutdrag inom den tid som står till förfogande. Om en person har flera anställnings- eller tjänsteförhållanden för viss tid hos samma arbetsgivare som är kortare än tre månader, ska straffregisterutdrag krävas i det skede då anställnings- eller tjänsteförhållandets sammanlagda längd under en tid av ett år överstiger tre månader. Förfarandet ska inte heller tillämpas på uppdragsavtal som ingås för sammanlagt högst tre månader under ett år. Med ett år avses inte ett kalenderår utan tiden räknas från det att det första anställnings- eller tjänsteförhållandet inleddes. När en person anställs på nytt ska arbetsgivaren således kontrollera hur länge personen under det år som föregår det år då det nya anställnings- eller tjänsteförhållandet inleddes har arbetat hos arbetsgivaren i sådana uppgifter som förfarandet i fråga gäller. Om tidsgränsen på tre månader överskrids när det nya anställningsförhållandet börjar eller under den tid det varar, ska personen på yrkande av arbetsgivaren visa upp ett utdrag ur straffregistret innan anställnings- el</w:t>
          </w:r>
          <w:r w:rsidR="00317C1D">
            <w:rPr>
              <w:lang w:val="sv-SE"/>
            </w:rPr>
            <w:t>ler tjänsteförhållandet inleds.</w:t>
          </w:r>
        </w:p>
        <w:p w14:paraId="5D5379AB" w14:textId="77777777" w:rsidR="000017A9" w:rsidRPr="000017A9" w:rsidRDefault="000017A9" w:rsidP="000017A9">
          <w:pPr>
            <w:pStyle w:val="LLPerustelujenkappalejako"/>
            <w:rPr>
              <w:lang w:val="sv-SE"/>
            </w:rPr>
          </w:pPr>
          <w:r w:rsidRPr="000017A9">
            <w:rPr>
              <w:lang w:val="sv-SE"/>
            </w:rPr>
            <w:t>Inom de branscher där skyldighet att utreda brottslig bakgrund föreligger, såsom i skolor och daghem tryggas barnens säkerhet också genom krav på personaldimensionering och arbetsarrangemang. Det finns dessutom annan lagstiftning och arbetsgivarpraxis som syftar till att främja barnens säkerhet. I säkerhetsutredningslagen föreskrivs det om ett förfarande som ska tillämpas på personalen vid Migrationsverkets förläggningar när personalen arbetar med minderåriga. Arbetsgivaren beslutar om säkerhetsutredni</w:t>
          </w:r>
          <w:r w:rsidR="00317C1D">
            <w:rPr>
              <w:lang w:val="sv-SE"/>
            </w:rPr>
            <w:t>ngar vid privata förläggningar.</w:t>
          </w:r>
        </w:p>
        <w:p w14:paraId="666F825D" w14:textId="77777777" w:rsidR="000017A9" w:rsidRPr="000017A9" w:rsidRDefault="000017A9" w:rsidP="000017A9">
          <w:pPr>
            <w:pStyle w:val="LLPerustelujenkappalejako"/>
            <w:rPr>
              <w:lang w:val="sv-SE"/>
            </w:rPr>
          </w:pPr>
          <w:r w:rsidRPr="000017A9">
            <w:rPr>
              <w:lang w:val="sv-SE"/>
            </w:rPr>
            <w:t>Den avvikelse som påtalas i rekommendationen är för Finlands vidkommande i praktiken mycket liten när man beaktar vår lagstiftning som en helhet. Syftet med den nu föreslagna lagändringen är att farhågorna i fråga om avvikelsen ska beaktas och att vår lagstiftning bättre ska överensstämma med förpliktelserna i konventionen. Avsikten med lagändringen är att ytterligare utveckla åtgärder som gör det möjligt att i samband med anställning i större utsträckning än för närvarande utreda bakgrunden också i kortvariga anställ</w:t>
          </w:r>
          <w:r w:rsidR="00317C1D">
            <w:rPr>
              <w:lang w:val="sv-SE"/>
            </w:rPr>
            <w:t>nings- och tjänsteförhållanden.</w:t>
          </w:r>
        </w:p>
        <w:p w14:paraId="5EE9238B" w14:textId="5832751E" w:rsidR="000017A9" w:rsidRDefault="00A96AB4" w:rsidP="000017A9">
          <w:pPr>
            <w:pStyle w:val="LLPerustelujenkappalejako"/>
            <w:rPr>
              <w:lang w:val="sv-SE"/>
            </w:rPr>
          </w:pPr>
          <w:hyperlink r:id="rId13" w:history="1">
            <w:r w:rsidRPr="00D07364">
              <w:rPr>
                <w:rStyle w:val="Hyperlinkki"/>
                <w:lang w:val="sv-SE"/>
              </w:rPr>
              <w:t>https://www.finlex.fi/fi/sopimukset/sopsteksti/2011/20110088</w:t>
            </w:r>
          </w:hyperlink>
        </w:p>
        <w:p w14:paraId="31056BB5" w14:textId="77777777" w:rsidR="00FC143A" w:rsidRDefault="00FC143A" w:rsidP="00FC143A">
          <w:pPr>
            <w:pStyle w:val="LLP1Otsikkotaso"/>
            <w:rPr>
              <w:lang w:val="sv-SE"/>
            </w:rPr>
          </w:pPr>
          <w:bookmarkStart w:id="7" w:name="_Toc53049196"/>
          <w:r w:rsidRPr="00FC143A">
            <w:rPr>
              <w:lang w:val="sv-SE"/>
            </w:rPr>
            <w:t>Målsättning</w:t>
          </w:r>
          <w:bookmarkEnd w:id="7"/>
        </w:p>
        <w:p w14:paraId="3801BAEC" w14:textId="4CAA2618" w:rsidR="00FC143A" w:rsidRPr="00FC143A" w:rsidRDefault="00317C1D" w:rsidP="00FC143A">
          <w:pPr>
            <w:pStyle w:val="LLPerustelujenkappalejako"/>
            <w:rPr>
              <w:lang w:val="sv-SE"/>
            </w:rPr>
          </w:pPr>
          <w:r w:rsidRPr="00317C1D">
            <w:rPr>
              <w:lang w:val="sv-SE"/>
            </w:rPr>
            <w:t>Syftet med förslagen är att främja skyddet för minderåriga genom att göra det möjligt att utreda brottslig bakgrund också i kortvariga anställningsförhållanden, det vill säga sådana som varar högst tre månader. Arbetsgivaren föreslås ha prövningsrätt och kontrollen av brottslig bakgrund vid kortvariga vikariearrangemang ska</w:t>
          </w:r>
          <w:r w:rsidR="00223FDF" w:rsidRPr="00223FDF">
            <w:rPr>
              <w:lang w:val="sv-SE"/>
            </w:rPr>
            <w:t xml:space="preserve">göra det möjligt </w:t>
          </w:r>
          <w:r w:rsidRPr="00317C1D">
            <w:rPr>
              <w:lang w:val="sv-SE"/>
            </w:rPr>
            <w:t>. Förslaget syftar också till att Finlands</w:t>
          </w:r>
          <w:r w:rsidR="00223FDF" w:rsidRPr="00EA594A">
            <w:rPr>
              <w:lang w:val="sv-SE"/>
            </w:rPr>
            <w:t xml:space="preserve"> </w:t>
          </w:r>
          <w:r w:rsidR="00223FDF" w:rsidRPr="00223FDF">
            <w:rPr>
              <w:lang w:val="sv-SE"/>
            </w:rPr>
            <w:t>internationella</w:t>
          </w:r>
          <w:r w:rsidRPr="00317C1D">
            <w:rPr>
              <w:lang w:val="sv-SE"/>
            </w:rPr>
            <w:t xml:space="preserve"> förpliktelser i fråga om Europarådets konvention för skydda av barn mot sexuell exploatering och sexuellt utnyttjande fullgörs i större utsträckning.</w:t>
          </w:r>
        </w:p>
        <w:p w14:paraId="356CC41B" w14:textId="77777777" w:rsidR="00FC143A" w:rsidRDefault="00FC143A" w:rsidP="00FC143A">
          <w:pPr>
            <w:pStyle w:val="LLP1Otsikkotaso"/>
            <w:rPr>
              <w:lang w:val="sv-SE"/>
            </w:rPr>
          </w:pPr>
          <w:bookmarkStart w:id="8" w:name="_Toc53049197"/>
          <w:r w:rsidRPr="00FC143A">
            <w:rPr>
              <w:lang w:val="sv-SE"/>
            </w:rPr>
            <w:t>Förslagen och deras konsekvenser</w:t>
          </w:r>
          <w:bookmarkEnd w:id="8"/>
        </w:p>
        <w:p w14:paraId="28AC0784" w14:textId="77777777" w:rsidR="00317C1D" w:rsidRPr="00317C1D" w:rsidRDefault="00317C1D" w:rsidP="00317C1D">
          <w:pPr>
            <w:pStyle w:val="LLPValiotsikko"/>
          </w:pPr>
          <w:r w:rsidRPr="00317C1D">
            <w:t>Kunskapsunderlaget för konsekvensbedömningen av lagändringen</w:t>
          </w:r>
        </w:p>
        <w:p w14:paraId="6AA92645" w14:textId="77777777" w:rsidR="00317C1D" w:rsidRPr="00317C1D" w:rsidRDefault="00317C1D" w:rsidP="00317C1D">
          <w:pPr>
            <w:pStyle w:val="LLPerustelujenkappalejako"/>
            <w:rPr>
              <w:lang w:val="sv-SE"/>
            </w:rPr>
          </w:pPr>
          <w:r w:rsidRPr="00317C1D">
            <w:rPr>
              <w:lang w:val="sv-SE"/>
            </w:rPr>
            <w:t>Arbets- och näringsministeriet bad att få behövliga statististiska och bakgrundsuppgifter för en konsekvensbedömning av lagändringen. Begäran riktades till Rättsregistercentralen, Helsingfors stad, Seure Oy, KT Kommunarbetsgivarna, Kyrkans arbetsmarknadsverk. Också de statistiska uppgifterna från den ovan nämnda arbetslivsundersökningen utnyttjades. Arbets- och näringsministeriet har dessutom bett om statistisk information av Statistikcentralen om hur länge korta visstidsanställningar varar. Informationen gällde uppgifter som är av betydelse med tanke på lagens tillämpningsområde och som finns inom undervisningssektorn (grundskolor, yrkesskolor, gymnasier) och barndagvården (barnträdgårdar, barnträdgårdslärare och ba</w:t>
          </w:r>
          <w:r>
            <w:rPr>
              <w:lang w:val="sv-SE"/>
            </w:rPr>
            <w:t>rnskötare) samt övrig personal.</w:t>
          </w:r>
        </w:p>
        <w:p w14:paraId="762E24AB" w14:textId="77777777" w:rsidR="00317C1D" w:rsidRPr="00317C1D" w:rsidRDefault="00317C1D" w:rsidP="00317C1D">
          <w:pPr>
            <w:pStyle w:val="LLPValiotsikko"/>
          </w:pPr>
          <w:r w:rsidRPr="00317C1D">
            <w:t>Antalet visstidsanställningar under 3 månader inom undervisningssektorn och vårdsektorn</w:t>
          </w:r>
        </w:p>
        <w:p w14:paraId="63419AC5" w14:textId="77777777" w:rsidR="00317C1D" w:rsidRPr="00317C1D" w:rsidRDefault="00317C1D" w:rsidP="00317C1D">
          <w:pPr>
            <w:pStyle w:val="LLPerustelujenkappalejako"/>
            <w:rPr>
              <w:lang w:val="sv-SE"/>
            </w:rPr>
          </w:pPr>
          <w:r w:rsidRPr="00317C1D">
            <w:rPr>
              <w:lang w:val="sv-SE"/>
            </w:rPr>
            <w:t xml:space="preserve">Statistikcentralen ombads lämna uppgifter ur sin arbetskraftsundersökning om längden på sådana korta vikariat som är relevanta med tanke på lagens tillämpningsområde. De aktuella områdena är undervisningssektorn (grundskolor, yrkesskolor, gymnasier) och barndagvården (barnträdgårdar, barnträdgårdslärare och barnskötare) samt övrig personal. Uppgifter begärdes i </w:t>
          </w:r>
          <w:r>
            <w:rPr>
              <w:lang w:val="sv-SE"/>
            </w:rPr>
            <w:t>fråga om följande yrkesklasser:</w:t>
          </w:r>
        </w:p>
        <w:p w14:paraId="66DB7212" w14:textId="3B56123A" w:rsidR="00317C1D" w:rsidRPr="00317C1D" w:rsidRDefault="00CC4117" w:rsidP="00317C1D">
          <w:pPr>
            <w:pStyle w:val="LLPerustelujenkappalejako"/>
            <w:rPr>
              <w:lang w:val="sv-SE"/>
            </w:rPr>
          </w:pPr>
          <w:r>
            <w:rPr>
              <w:lang w:val="sv-SE"/>
            </w:rPr>
            <w:t xml:space="preserve">1. </w:t>
          </w:r>
          <w:r w:rsidR="00317C1D" w:rsidRPr="00317C1D">
            <w:rPr>
              <w:lang w:val="sv-SE"/>
            </w:rPr>
            <w:t>Lär</w:t>
          </w:r>
          <w:r>
            <w:rPr>
              <w:lang w:val="sv-SE"/>
            </w:rPr>
            <w:t>are i årskurserna 1</w:t>
          </w:r>
          <w:r>
            <w:rPr>
              <w:lang w:val="sv-SE"/>
            </w:rPr>
            <w:sym w:font="Symbol" w:char="F02D"/>
          </w:r>
          <w:r>
            <w:rPr>
              <w:lang w:val="sv-SE"/>
            </w:rPr>
            <w:t>6 respektive 7</w:t>
          </w:r>
          <w:r>
            <w:rPr>
              <w:lang w:val="sv-SE"/>
            </w:rPr>
            <w:sym w:font="Symbol" w:char="F02D"/>
          </w:r>
          <w:r w:rsidR="00317C1D" w:rsidRPr="00317C1D">
            <w:rPr>
              <w:lang w:val="sv-SE"/>
            </w:rPr>
            <w:t>9 samt i gymnasier, speciallärare och skolgångsbiträden: yrkesklasserna 232, 233, 2341, 2352 och 5312</w:t>
          </w:r>
        </w:p>
        <w:p w14:paraId="0BB41C12" w14:textId="0C9BEAD7" w:rsidR="00317C1D" w:rsidRPr="00317C1D" w:rsidRDefault="00CC4117" w:rsidP="00317C1D">
          <w:pPr>
            <w:pStyle w:val="LLPerustelujenkappalejako"/>
            <w:rPr>
              <w:lang w:val="sv-SE"/>
            </w:rPr>
          </w:pPr>
          <w:r>
            <w:rPr>
              <w:lang w:val="sv-SE"/>
            </w:rPr>
            <w:t xml:space="preserve">2. </w:t>
          </w:r>
          <w:r w:rsidR="00317C1D" w:rsidRPr="00317C1D">
            <w:rPr>
              <w:lang w:val="sv-SE"/>
            </w:rPr>
            <w:t>Barnträdgårdslärare, ungdomsledare (ej församlingar), övriga församlingsarbetare och barnskötare: yrkesklasserna 2342, 34122, 34139 och 5311</w:t>
          </w:r>
        </w:p>
        <w:p w14:paraId="17A597DD" w14:textId="77777777" w:rsidR="00317C1D" w:rsidRPr="00317C1D" w:rsidRDefault="00317C1D" w:rsidP="00317C1D">
          <w:pPr>
            <w:pStyle w:val="LLPerustelujenkappalejako"/>
            <w:rPr>
              <w:lang w:val="sv-SE"/>
            </w:rPr>
          </w:pPr>
          <w:r w:rsidRPr="00317C1D">
            <w:rPr>
              <w:lang w:val="sv-SE"/>
            </w:rPr>
            <w:t>Enligt arbetskraftsundersökningen är cirka 3 procent av löntagarna i grupp 1 och cirka 4 procent av löntagarna i grupp 2 visstidsanställda i kortare tid än tre månader. I genomsnitt innebär det sammanlagt cirka 7 000 löntagare i båda grupperna vid varje enskild tidpunkt. Under ett år arbetar alltså uppskattningsvis över 2 000 personer inom undervisningsbranschen med tidsbestämda arbetsavtal</w:t>
          </w:r>
          <w:r>
            <w:rPr>
              <w:lang w:val="sv-SE"/>
            </w:rPr>
            <w:t xml:space="preserve"> som är kortare än tre månader.</w:t>
          </w:r>
        </w:p>
        <w:p w14:paraId="46BFAB0A" w14:textId="77777777" w:rsidR="00317C1D" w:rsidRPr="00317C1D" w:rsidRDefault="00317C1D" w:rsidP="00317C1D">
          <w:pPr>
            <w:pStyle w:val="LLPValiotsikko"/>
          </w:pPr>
          <w:r w:rsidRPr="00317C1D">
            <w:t>Rättsregistercentralen</w:t>
          </w:r>
        </w:p>
        <w:p w14:paraId="4211697D" w14:textId="77777777" w:rsidR="00317C1D" w:rsidRPr="00317C1D" w:rsidRDefault="00317C1D" w:rsidP="00317C1D">
          <w:pPr>
            <w:pStyle w:val="LLPerustelujenkappalejako"/>
            <w:rPr>
              <w:lang w:val="sv-SE"/>
            </w:rPr>
          </w:pPr>
          <w:r w:rsidRPr="00317C1D">
            <w:rPr>
              <w:lang w:val="sv-SE"/>
            </w:rPr>
            <w:t>Till Rättsregistercentralen inkommer 80 procent av ansökningarna om straffregisterutdrag via e-tjänster. Av de begärda utdragen levererar R</w:t>
          </w:r>
          <w:r>
            <w:rPr>
              <w:lang w:val="sv-SE"/>
            </w:rPr>
            <w:t>ättsregistercentralen cirka 5</w:t>
          </w:r>
          <w:r>
            <w:rPr>
              <w:lang w:val="sv-SE"/>
            </w:rPr>
            <w:sym w:font="Symbol" w:char="F02D"/>
          </w:r>
          <w:r w:rsidRPr="00317C1D">
            <w:rPr>
              <w:lang w:val="sv-SE"/>
            </w:rPr>
            <w:t>10 procent elektroniskt som Suomi.fi-meddelanden och cirka 90 – 95 procent manuellt som e-brev. Rättsregistercentralen för ingen statistik över vilka branscher de personer som ber om utdrag tillhör. Om antalet begärda utdrag ökar bedömer Rättsregistercentralen att dess arbetsinsats och ärendehanteringspraxis (tekniska, systemutveckling och personella resurser, information och eventuella andra ändringar) påverkas på följande sätt:</w:t>
          </w:r>
        </w:p>
        <w:p w14:paraId="3108A57F" w14:textId="77777777" w:rsidR="00317C1D" w:rsidRPr="00317C1D" w:rsidRDefault="00317C1D" w:rsidP="00317C1D">
          <w:pPr>
            <w:pStyle w:val="LLPerustelujenkappalejako"/>
            <w:rPr>
              <w:lang w:val="sv-SE"/>
            </w:rPr>
          </w:pPr>
          <w:r w:rsidRPr="00317C1D">
            <w:rPr>
              <w:lang w:val="sv-SE"/>
            </w:rPr>
            <w:t>Om granskningsförfarandet utvidgas till att gälla anställnings- eller tjänsteförhållanden som varar i tre månader eller en kortare tid krävs det smärre ändringar i Rättsregistercentralens elektroniska ärendehanteringstjänst och i ansökningsblanketterna. Om antalet utdrag som lämnas ut stiger till exempelvis 20 000 per år och den elektroniska kommunikationens procentandel ligger på samma nivå, krävs det enligt uppskattning tilläggsresurser på cirka 0,5 årsverken. Om antalet utdrag uppgår till 25 000 per år ligger det ökade resurs</w:t>
          </w:r>
          <w:r>
            <w:rPr>
              <w:lang w:val="sv-SE"/>
            </w:rPr>
            <w:t>behovet på cirka 0,7 årsverken.</w:t>
          </w:r>
        </w:p>
        <w:p w14:paraId="33C1BEBF" w14:textId="77777777" w:rsidR="00317C1D" w:rsidRPr="00317C1D" w:rsidRDefault="00317C1D" w:rsidP="00317C1D">
          <w:pPr>
            <w:pStyle w:val="LLPerustelujenkappalejako"/>
            <w:rPr>
              <w:lang w:val="sv-SE"/>
            </w:rPr>
          </w:pPr>
          <w:r w:rsidRPr="00317C1D">
            <w:rPr>
              <w:lang w:val="sv-SE"/>
            </w:rPr>
            <w:t>Rättsregistercentralen har bedömt konsekvenserna av förslaget utifrån sina erfarenheter av lagstiftningen inom undervisningsområdet (den s.k. SORA-lagstiftningen) och tillämpningen av den. I lagstiftningen om undervisningsområdet föreskrivs det om läroinrättningarnas möjligheter att kontrollera brottslig bakgrund innan den studerande inleder arbetspraktik eller inlärningsperiod i arbetet som inbegriper verksamhet med barn. Inom undervisningsområdet har kontroll av brottslig bakgrund blivit en huvudregel, även om läroinrättningarna inte är skyld</w:t>
          </w:r>
          <w:r>
            <w:rPr>
              <w:lang w:val="sv-SE"/>
            </w:rPr>
            <w:t>iga att göra en sådan kontroll.</w:t>
          </w:r>
        </w:p>
        <w:p w14:paraId="2ABF7569" w14:textId="77777777" w:rsidR="00317C1D" w:rsidRPr="00317C1D" w:rsidRDefault="00317C1D" w:rsidP="00317C1D">
          <w:pPr>
            <w:pStyle w:val="LLPerustelujenkappalejako"/>
            <w:rPr>
              <w:lang w:val="sv-SE"/>
            </w:rPr>
          </w:pPr>
          <w:r w:rsidRPr="00317C1D">
            <w:rPr>
              <w:lang w:val="sv-SE"/>
            </w:rPr>
            <w:t xml:space="preserve">Rättsregistercentralen anser att de föreslagna ändringarna förenhetligar bestämmelserna om kontroll av brottslig bakgrund. I SORA-bestämmelserna om studerande finns ingen tidsgräns och inte heller i lagen om kontroll av brottslig bakgrund hos frivilliga som deltar i </w:t>
          </w:r>
          <w:r>
            <w:rPr>
              <w:lang w:val="sv-SE"/>
            </w:rPr>
            <w:t>verksamhet med barn (148/2014).</w:t>
          </w:r>
        </w:p>
        <w:p w14:paraId="0E0816B0" w14:textId="77777777" w:rsidR="00317C1D" w:rsidRPr="00317C1D" w:rsidRDefault="00317C1D" w:rsidP="00317C1D">
          <w:pPr>
            <w:pStyle w:val="LLPerustelujenkappalejako"/>
            <w:rPr>
              <w:lang w:val="sv-SE"/>
            </w:rPr>
          </w:pPr>
          <w:r w:rsidRPr="00317C1D">
            <w:rPr>
              <w:lang w:val="sv-SE"/>
            </w:rPr>
            <w:t>År 2018 lämnade Rättsregistercentralen sammanlagt 36 017 utdrag om brottslig bakgrund till studerande. Se:</w:t>
          </w:r>
        </w:p>
        <w:p w14:paraId="675B13BC" w14:textId="77777777" w:rsidR="00317C1D" w:rsidRPr="00223FDF" w:rsidRDefault="003D19CB" w:rsidP="00317C1D">
          <w:pPr>
            <w:pStyle w:val="LLPerustelujenkappalejako"/>
            <w:rPr>
              <w:lang w:val="sv-SE"/>
            </w:rPr>
          </w:pPr>
          <w:hyperlink r:id="rId14" w:history="1">
            <w:r w:rsidR="00317C1D" w:rsidRPr="00317C1D">
              <w:rPr>
                <w:rStyle w:val="Hyperlinkki"/>
                <w:lang w:val="sv-SE"/>
              </w:rPr>
              <w:t>https://www.oph.fi/download/170668_koulutuksen_jarjestajille_keinoja_puuttua_opiskeluun_soveltumattomuuteen.pdf</w:t>
            </w:r>
          </w:hyperlink>
        </w:p>
        <w:tbl>
          <w:tblPr>
            <w:tblStyle w:val="TaulukkoRuudukko"/>
            <w:tblW w:w="8359" w:type="dxa"/>
            <w:tblLook w:val="04A0" w:firstRow="1" w:lastRow="0" w:firstColumn="1" w:lastColumn="0" w:noHBand="0" w:noVBand="1"/>
          </w:tblPr>
          <w:tblGrid>
            <w:gridCol w:w="2263"/>
            <w:gridCol w:w="993"/>
            <w:gridCol w:w="992"/>
            <w:gridCol w:w="1134"/>
            <w:gridCol w:w="992"/>
            <w:gridCol w:w="992"/>
            <w:gridCol w:w="993"/>
          </w:tblGrid>
          <w:tr w:rsidR="00317C1D" w:rsidRPr="00EA594A" w14:paraId="392B18F5" w14:textId="77777777" w:rsidTr="00AE18E9">
            <w:trPr>
              <w:trHeight w:val="727"/>
            </w:trPr>
            <w:tc>
              <w:tcPr>
                <w:tcW w:w="2263" w:type="dxa"/>
                <w:tcBorders>
                  <w:top w:val="single" w:sz="4" w:space="0" w:color="auto"/>
                  <w:bottom w:val="single" w:sz="4" w:space="0" w:color="auto"/>
                  <w:right w:val="nil"/>
                </w:tcBorders>
              </w:tcPr>
              <w:p w14:paraId="2C10FD2C" w14:textId="77777777" w:rsidR="00317C1D" w:rsidRPr="00910E2C" w:rsidRDefault="00317C1D" w:rsidP="00AE18E9">
                <w:pPr>
                  <w:pStyle w:val="LLNormaali"/>
                </w:pPr>
                <w:r w:rsidRPr="00501B4A">
                  <w:t>Tabell</w:t>
                </w:r>
              </w:p>
            </w:tc>
            <w:tc>
              <w:tcPr>
                <w:tcW w:w="6096" w:type="dxa"/>
                <w:gridSpan w:val="6"/>
                <w:tcBorders>
                  <w:top w:val="single" w:sz="4" w:space="0" w:color="auto"/>
                  <w:left w:val="nil"/>
                  <w:bottom w:val="single" w:sz="4" w:space="0" w:color="auto"/>
                </w:tcBorders>
              </w:tcPr>
              <w:p w14:paraId="22CD4DB7" w14:textId="77777777" w:rsidR="00317C1D" w:rsidRPr="00C5003F" w:rsidRDefault="00317C1D" w:rsidP="00AE18E9">
                <w:pPr>
                  <w:pStyle w:val="LLNormaali"/>
                  <w:rPr>
                    <w:lang w:val="sv-SE"/>
                  </w:rPr>
                </w:pPr>
                <w:r w:rsidRPr="00C5003F">
                  <w:rPr>
                    <w:i/>
                    <w:lang w:val="sv-SE"/>
                  </w:rPr>
                  <w:t xml:space="preserve">Antalet utdrag och utdrag med </w:t>
                </w:r>
                <w:r>
                  <w:rPr>
                    <w:i/>
                    <w:lang w:val="sv-SE"/>
                  </w:rPr>
                  <w:t>anteckningar som utfärdats 2014–</w:t>
                </w:r>
                <w:r w:rsidRPr="00C5003F">
                  <w:rPr>
                    <w:i/>
                    <w:lang w:val="sv-SE"/>
                  </w:rPr>
                  <w:t>2019 f</w:t>
                </w:r>
                <w:r>
                  <w:rPr>
                    <w:i/>
                    <w:lang w:val="sv-SE"/>
                  </w:rPr>
                  <w:t>ör kontroll av brottslig bakgrund hos personer som arbetar med barn</w:t>
                </w:r>
              </w:p>
            </w:tc>
          </w:tr>
          <w:tr w:rsidR="00317C1D" w:rsidRPr="00910E2C" w14:paraId="17612E82" w14:textId="77777777" w:rsidTr="00AE18E9">
            <w:tc>
              <w:tcPr>
                <w:tcW w:w="2263" w:type="dxa"/>
                <w:tcBorders>
                  <w:top w:val="single" w:sz="4" w:space="0" w:color="auto"/>
                  <w:bottom w:val="single" w:sz="4" w:space="0" w:color="auto"/>
                </w:tcBorders>
              </w:tcPr>
              <w:p w14:paraId="456940AD" w14:textId="77777777" w:rsidR="00317C1D" w:rsidRPr="00C5003F" w:rsidRDefault="00317C1D" w:rsidP="00AE18E9">
                <w:pPr>
                  <w:pStyle w:val="LLNormaali"/>
                  <w:rPr>
                    <w:lang w:val="sv-SE"/>
                  </w:rPr>
                </w:pPr>
              </w:p>
            </w:tc>
            <w:tc>
              <w:tcPr>
                <w:tcW w:w="993" w:type="dxa"/>
                <w:tcBorders>
                  <w:top w:val="single" w:sz="4" w:space="0" w:color="auto"/>
                  <w:bottom w:val="single" w:sz="4" w:space="0" w:color="auto"/>
                </w:tcBorders>
              </w:tcPr>
              <w:p w14:paraId="71E3063C" w14:textId="77777777" w:rsidR="00317C1D" w:rsidRPr="00910E2C" w:rsidRDefault="00317C1D" w:rsidP="00AE18E9">
                <w:pPr>
                  <w:pStyle w:val="LLNormaali"/>
                  <w:jc w:val="right"/>
                </w:pPr>
                <w:r w:rsidRPr="00910E2C">
                  <w:t>2014</w:t>
                </w:r>
              </w:p>
            </w:tc>
            <w:tc>
              <w:tcPr>
                <w:tcW w:w="992" w:type="dxa"/>
                <w:tcBorders>
                  <w:top w:val="single" w:sz="4" w:space="0" w:color="auto"/>
                  <w:bottom w:val="single" w:sz="4" w:space="0" w:color="auto"/>
                </w:tcBorders>
              </w:tcPr>
              <w:p w14:paraId="2D732063" w14:textId="77777777" w:rsidR="00317C1D" w:rsidRPr="00910E2C" w:rsidRDefault="00317C1D" w:rsidP="00AE18E9">
                <w:pPr>
                  <w:pStyle w:val="LLNormaali"/>
                  <w:jc w:val="right"/>
                </w:pPr>
                <w:r w:rsidRPr="00910E2C">
                  <w:t>2015</w:t>
                </w:r>
              </w:p>
            </w:tc>
            <w:tc>
              <w:tcPr>
                <w:tcW w:w="1134" w:type="dxa"/>
                <w:tcBorders>
                  <w:top w:val="single" w:sz="4" w:space="0" w:color="auto"/>
                  <w:bottom w:val="single" w:sz="4" w:space="0" w:color="auto"/>
                </w:tcBorders>
              </w:tcPr>
              <w:p w14:paraId="34AE41B8" w14:textId="77777777" w:rsidR="00317C1D" w:rsidRPr="00910E2C" w:rsidRDefault="00317C1D" w:rsidP="00AE18E9">
                <w:pPr>
                  <w:pStyle w:val="LLNormaali"/>
                  <w:jc w:val="right"/>
                </w:pPr>
                <w:r w:rsidRPr="00910E2C">
                  <w:t>2016</w:t>
                </w:r>
              </w:p>
            </w:tc>
            <w:tc>
              <w:tcPr>
                <w:tcW w:w="992" w:type="dxa"/>
                <w:tcBorders>
                  <w:top w:val="single" w:sz="4" w:space="0" w:color="auto"/>
                  <w:bottom w:val="single" w:sz="4" w:space="0" w:color="auto"/>
                </w:tcBorders>
              </w:tcPr>
              <w:p w14:paraId="1C1BFBD3" w14:textId="77777777" w:rsidR="00317C1D" w:rsidRPr="00910E2C" w:rsidRDefault="00317C1D" w:rsidP="00AE18E9">
                <w:pPr>
                  <w:pStyle w:val="LLNormaali"/>
                  <w:jc w:val="right"/>
                </w:pPr>
                <w:r w:rsidRPr="00910E2C">
                  <w:t>2017</w:t>
                </w:r>
              </w:p>
            </w:tc>
            <w:tc>
              <w:tcPr>
                <w:tcW w:w="992" w:type="dxa"/>
                <w:tcBorders>
                  <w:top w:val="single" w:sz="4" w:space="0" w:color="auto"/>
                  <w:bottom w:val="single" w:sz="4" w:space="0" w:color="auto"/>
                </w:tcBorders>
              </w:tcPr>
              <w:p w14:paraId="7898882B" w14:textId="77777777" w:rsidR="00317C1D" w:rsidRPr="00910E2C" w:rsidRDefault="00317C1D" w:rsidP="00AE18E9">
                <w:pPr>
                  <w:pStyle w:val="LLNormaali"/>
                  <w:jc w:val="right"/>
                </w:pPr>
                <w:r w:rsidRPr="00910E2C">
                  <w:t>2018</w:t>
                </w:r>
              </w:p>
            </w:tc>
            <w:tc>
              <w:tcPr>
                <w:tcW w:w="993" w:type="dxa"/>
                <w:tcBorders>
                  <w:top w:val="single" w:sz="4" w:space="0" w:color="auto"/>
                  <w:bottom w:val="single" w:sz="4" w:space="0" w:color="auto"/>
                </w:tcBorders>
              </w:tcPr>
              <w:p w14:paraId="0EACD482" w14:textId="77777777" w:rsidR="00317C1D" w:rsidRPr="00910E2C" w:rsidRDefault="00317C1D" w:rsidP="00AE18E9">
                <w:pPr>
                  <w:pStyle w:val="LLNormaali"/>
                  <w:jc w:val="right"/>
                </w:pPr>
                <w:r w:rsidRPr="00910E2C">
                  <w:t>2019</w:t>
                </w:r>
              </w:p>
            </w:tc>
          </w:tr>
          <w:tr w:rsidR="00317C1D" w:rsidRPr="00910E2C" w14:paraId="2C791654" w14:textId="77777777" w:rsidTr="00AE18E9">
            <w:trPr>
              <w:trHeight w:val="161"/>
            </w:trPr>
            <w:tc>
              <w:tcPr>
                <w:tcW w:w="8359" w:type="dxa"/>
                <w:gridSpan w:val="7"/>
                <w:tcBorders>
                  <w:top w:val="single" w:sz="4" w:space="0" w:color="auto"/>
                  <w:left w:val="single" w:sz="4" w:space="0" w:color="auto"/>
                  <w:bottom w:val="single" w:sz="4" w:space="0" w:color="auto"/>
                  <w:right w:val="single" w:sz="4" w:space="0" w:color="auto"/>
                </w:tcBorders>
              </w:tcPr>
              <w:p w14:paraId="0641FC4F" w14:textId="77777777" w:rsidR="00317C1D" w:rsidRPr="00910E2C" w:rsidRDefault="00317C1D" w:rsidP="00AE18E9">
                <w:pPr>
                  <w:pStyle w:val="LLNormaali"/>
                  <w:jc w:val="right"/>
                </w:pPr>
              </w:p>
            </w:tc>
          </w:tr>
          <w:tr w:rsidR="00317C1D" w:rsidRPr="00910E2C" w14:paraId="61105D58" w14:textId="77777777" w:rsidTr="00AE18E9">
            <w:tc>
              <w:tcPr>
                <w:tcW w:w="2263" w:type="dxa"/>
                <w:tcBorders>
                  <w:top w:val="single" w:sz="4" w:space="0" w:color="auto"/>
                </w:tcBorders>
              </w:tcPr>
              <w:p w14:paraId="3C5A4DC3" w14:textId="77777777" w:rsidR="00317C1D" w:rsidRPr="00910E2C" w:rsidRDefault="00317C1D" w:rsidP="00AE18E9">
                <w:pPr>
                  <w:pStyle w:val="LLNormaali"/>
                  <w:rPr>
                    <w:sz w:val="23"/>
                    <w:szCs w:val="23"/>
                  </w:rPr>
                </w:pPr>
                <w:r>
                  <w:rPr>
                    <w:sz w:val="23"/>
                    <w:szCs w:val="23"/>
                  </w:rPr>
                  <w:t>Antal utdrag, totalt</w:t>
                </w:r>
              </w:p>
            </w:tc>
            <w:tc>
              <w:tcPr>
                <w:tcW w:w="993" w:type="dxa"/>
                <w:tcBorders>
                  <w:top w:val="single" w:sz="4" w:space="0" w:color="auto"/>
                </w:tcBorders>
              </w:tcPr>
              <w:p w14:paraId="6F6602FC" w14:textId="77777777" w:rsidR="00317C1D" w:rsidRPr="00910E2C" w:rsidRDefault="00317C1D" w:rsidP="00AE18E9">
                <w:pPr>
                  <w:pStyle w:val="LLNormaali"/>
                  <w:jc w:val="right"/>
                </w:pPr>
              </w:p>
              <w:p w14:paraId="378D72E3" w14:textId="77777777" w:rsidR="00317C1D" w:rsidRPr="00910E2C" w:rsidRDefault="00317C1D" w:rsidP="00AE18E9">
                <w:pPr>
                  <w:pStyle w:val="LLNormaali"/>
                  <w:jc w:val="right"/>
                </w:pPr>
                <w:r>
                  <w:t xml:space="preserve">58 </w:t>
                </w:r>
                <w:r w:rsidRPr="00910E2C">
                  <w:t>210</w:t>
                </w:r>
              </w:p>
            </w:tc>
            <w:tc>
              <w:tcPr>
                <w:tcW w:w="992" w:type="dxa"/>
                <w:tcBorders>
                  <w:top w:val="single" w:sz="4" w:space="0" w:color="auto"/>
                </w:tcBorders>
              </w:tcPr>
              <w:p w14:paraId="487D3353" w14:textId="77777777" w:rsidR="00317C1D" w:rsidRPr="00910E2C" w:rsidRDefault="00317C1D" w:rsidP="00AE18E9">
                <w:pPr>
                  <w:pStyle w:val="LLNormaali"/>
                  <w:jc w:val="right"/>
                </w:pPr>
              </w:p>
              <w:p w14:paraId="0626CE39" w14:textId="77777777" w:rsidR="00317C1D" w:rsidRPr="00910E2C" w:rsidRDefault="00317C1D" w:rsidP="00AE18E9">
                <w:pPr>
                  <w:pStyle w:val="LLNormaali"/>
                  <w:jc w:val="right"/>
                </w:pPr>
                <w:r>
                  <w:t xml:space="preserve">56 </w:t>
                </w:r>
                <w:r w:rsidRPr="00910E2C">
                  <w:t>310</w:t>
                </w:r>
              </w:p>
            </w:tc>
            <w:tc>
              <w:tcPr>
                <w:tcW w:w="1134" w:type="dxa"/>
                <w:tcBorders>
                  <w:top w:val="single" w:sz="4" w:space="0" w:color="auto"/>
                </w:tcBorders>
              </w:tcPr>
              <w:p w14:paraId="19C216BC" w14:textId="77777777" w:rsidR="00317C1D" w:rsidRPr="00910E2C" w:rsidRDefault="00317C1D" w:rsidP="00AE18E9">
                <w:pPr>
                  <w:pStyle w:val="LLNormaali"/>
                  <w:jc w:val="right"/>
                </w:pPr>
              </w:p>
              <w:p w14:paraId="45EEDC59" w14:textId="77777777" w:rsidR="00317C1D" w:rsidRPr="00910E2C" w:rsidRDefault="00317C1D" w:rsidP="00AE18E9">
                <w:pPr>
                  <w:pStyle w:val="LLNormaali"/>
                  <w:jc w:val="right"/>
                </w:pPr>
                <w:r w:rsidRPr="00910E2C">
                  <w:t>59 250</w:t>
                </w:r>
              </w:p>
            </w:tc>
            <w:tc>
              <w:tcPr>
                <w:tcW w:w="992" w:type="dxa"/>
                <w:tcBorders>
                  <w:top w:val="single" w:sz="4" w:space="0" w:color="auto"/>
                </w:tcBorders>
              </w:tcPr>
              <w:p w14:paraId="7788290E" w14:textId="77777777" w:rsidR="00317C1D" w:rsidRPr="00910E2C" w:rsidRDefault="00317C1D" w:rsidP="00AE18E9">
                <w:pPr>
                  <w:pStyle w:val="LLNormaali"/>
                  <w:jc w:val="right"/>
                </w:pPr>
              </w:p>
              <w:p w14:paraId="3D9BFF6A" w14:textId="77777777" w:rsidR="00317C1D" w:rsidRPr="00910E2C" w:rsidRDefault="00317C1D" w:rsidP="00AE18E9">
                <w:pPr>
                  <w:pStyle w:val="LLNormaali"/>
                  <w:jc w:val="right"/>
                </w:pPr>
                <w:r w:rsidRPr="00910E2C">
                  <w:t>61 660</w:t>
                </w:r>
              </w:p>
            </w:tc>
            <w:tc>
              <w:tcPr>
                <w:tcW w:w="992" w:type="dxa"/>
                <w:tcBorders>
                  <w:top w:val="single" w:sz="4" w:space="0" w:color="auto"/>
                </w:tcBorders>
              </w:tcPr>
              <w:p w14:paraId="24A24CC4" w14:textId="77777777" w:rsidR="00317C1D" w:rsidRPr="00910E2C" w:rsidRDefault="00317C1D" w:rsidP="00AE18E9">
                <w:pPr>
                  <w:pStyle w:val="LLNormaali"/>
                  <w:jc w:val="right"/>
                </w:pPr>
              </w:p>
              <w:p w14:paraId="0167CB15" w14:textId="77777777" w:rsidR="00317C1D" w:rsidRPr="00910E2C" w:rsidRDefault="00317C1D" w:rsidP="00AE18E9">
                <w:pPr>
                  <w:pStyle w:val="LLNormaali"/>
                  <w:jc w:val="right"/>
                </w:pPr>
                <w:r w:rsidRPr="00910E2C">
                  <w:t>69 390</w:t>
                </w:r>
              </w:p>
            </w:tc>
            <w:tc>
              <w:tcPr>
                <w:tcW w:w="993" w:type="dxa"/>
                <w:tcBorders>
                  <w:top w:val="single" w:sz="4" w:space="0" w:color="auto"/>
                </w:tcBorders>
              </w:tcPr>
              <w:p w14:paraId="05E689DF" w14:textId="77777777" w:rsidR="00317C1D" w:rsidRPr="00910E2C" w:rsidRDefault="00317C1D" w:rsidP="00AE18E9">
                <w:pPr>
                  <w:pStyle w:val="LLNormaali"/>
                  <w:jc w:val="right"/>
                </w:pPr>
              </w:p>
              <w:p w14:paraId="7843EE0D" w14:textId="77777777" w:rsidR="00317C1D" w:rsidRPr="00910E2C" w:rsidRDefault="00317C1D" w:rsidP="00AE18E9">
                <w:pPr>
                  <w:pStyle w:val="LLNormaali"/>
                  <w:jc w:val="right"/>
                </w:pPr>
                <w:r w:rsidRPr="00910E2C">
                  <w:t>74 857</w:t>
                </w:r>
              </w:p>
            </w:tc>
          </w:tr>
          <w:tr w:rsidR="00317C1D" w:rsidRPr="00910E2C" w14:paraId="73DC1678" w14:textId="77777777" w:rsidTr="00AE18E9">
            <w:tc>
              <w:tcPr>
                <w:tcW w:w="2263" w:type="dxa"/>
              </w:tcPr>
              <w:p w14:paraId="4BD9D3DB" w14:textId="77777777" w:rsidR="00317C1D" w:rsidRPr="00C5003F" w:rsidRDefault="00317C1D" w:rsidP="00AE18E9">
                <w:pPr>
                  <w:pStyle w:val="LLNormaali"/>
                  <w:rPr>
                    <w:sz w:val="23"/>
                    <w:szCs w:val="23"/>
                    <w:lang w:val="sv-SE"/>
                  </w:rPr>
                </w:pPr>
                <w:r w:rsidRPr="00C5003F">
                  <w:rPr>
                    <w:sz w:val="23"/>
                    <w:szCs w:val="23"/>
                    <w:lang w:val="sv-SE"/>
                  </w:rPr>
                  <w:t>Antal utdrag med anteckningar, t</w:t>
                </w:r>
                <w:r>
                  <w:rPr>
                    <w:sz w:val="23"/>
                    <w:szCs w:val="23"/>
                    <w:lang w:val="sv-SE"/>
                  </w:rPr>
                  <w:t>otalt*</w:t>
                </w:r>
              </w:p>
            </w:tc>
            <w:tc>
              <w:tcPr>
                <w:tcW w:w="993" w:type="dxa"/>
              </w:tcPr>
              <w:p w14:paraId="7EA15F0F" w14:textId="77777777" w:rsidR="00317C1D" w:rsidRPr="00C5003F" w:rsidRDefault="00317C1D" w:rsidP="00AE18E9">
                <w:pPr>
                  <w:pStyle w:val="LLNormaali"/>
                  <w:jc w:val="right"/>
                  <w:rPr>
                    <w:lang w:val="sv-SE"/>
                  </w:rPr>
                </w:pPr>
              </w:p>
              <w:p w14:paraId="0FC8AEE0" w14:textId="77777777" w:rsidR="00317C1D" w:rsidRPr="00910E2C" w:rsidRDefault="00317C1D" w:rsidP="00AE18E9">
                <w:pPr>
                  <w:pStyle w:val="LLNormaali"/>
                  <w:jc w:val="right"/>
                </w:pPr>
                <w:r w:rsidRPr="00910E2C">
                  <w:t>75</w:t>
                </w:r>
              </w:p>
            </w:tc>
            <w:tc>
              <w:tcPr>
                <w:tcW w:w="992" w:type="dxa"/>
              </w:tcPr>
              <w:p w14:paraId="20E9748F" w14:textId="77777777" w:rsidR="00317C1D" w:rsidRPr="00910E2C" w:rsidRDefault="00317C1D" w:rsidP="00AE18E9">
                <w:pPr>
                  <w:pStyle w:val="LLNormaali"/>
                  <w:jc w:val="right"/>
                </w:pPr>
              </w:p>
              <w:p w14:paraId="372959BB" w14:textId="77777777" w:rsidR="00317C1D" w:rsidRPr="00910E2C" w:rsidRDefault="00317C1D" w:rsidP="00AE18E9">
                <w:pPr>
                  <w:pStyle w:val="LLNormaali"/>
                  <w:jc w:val="right"/>
                </w:pPr>
                <w:r w:rsidRPr="00910E2C">
                  <w:t>75</w:t>
                </w:r>
              </w:p>
            </w:tc>
            <w:tc>
              <w:tcPr>
                <w:tcW w:w="1134" w:type="dxa"/>
              </w:tcPr>
              <w:p w14:paraId="48643539" w14:textId="77777777" w:rsidR="00317C1D" w:rsidRPr="00910E2C" w:rsidRDefault="00317C1D" w:rsidP="00AE18E9">
                <w:pPr>
                  <w:pStyle w:val="LLNormaali"/>
                  <w:jc w:val="right"/>
                </w:pPr>
              </w:p>
              <w:p w14:paraId="475AA0D3" w14:textId="77777777" w:rsidR="00317C1D" w:rsidRPr="00910E2C" w:rsidRDefault="00317C1D" w:rsidP="00AE18E9">
                <w:pPr>
                  <w:pStyle w:val="LLNormaali"/>
                  <w:jc w:val="right"/>
                </w:pPr>
                <w:r w:rsidRPr="00910E2C">
                  <w:t>80</w:t>
                </w:r>
              </w:p>
            </w:tc>
            <w:tc>
              <w:tcPr>
                <w:tcW w:w="992" w:type="dxa"/>
              </w:tcPr>
              <w:p w14:paraId="7AD8A5AD" w14:textId="77777777" w:rsidR="00317C1D" w:rsidRPr="00910E2C" w:rsidRDefault="00317C1D" w:rsidP="00AE18E9">
                <w:pPr>
                  <w:pStyle w:val="LLNormaali"/>
                  <w:jc w:val="right"/>
                </w:pPr>
              </w:p>
              <w:p w14:paraId="6458D4AF" w14:textId="77777777" w:rsidR="00317C1D" w:rsidRPr="00910E2C" w:rsidRDefault="00317C1D" w:rsidP="00AE18E9">
                <w:pPr>
                  <w:pStyle w:val="LLNormaali"/>
                  <w:jc w:val="right"/>
                </w:pPr>
                <w:r w:rsidRPr="00910E2C">
                  <w:t>82</w:t>
                </w:r>
              </w:p>
            </w:tc>
            <w:tc>
              <w:tcPr>
                <w:tcW w:w="992" w:type="dxa"/>
              </w:tcPr>
              <w:p w14:paraId="3EE41AB6" w14:textId="77777777" w:rsidR="00317C1D" w:rsidRPr="00910E2C" w:rsidRDefault="00317C1D" w:rsidP="00AE18E9">
                <w:pPr>
                  <w:pStyle w:val="LLNormaali"/>
                  <w:jc w:val="right"/>
                </w:pPr>
              </w:p>
              <w:p w14:paraId="4FE1897D" w14:textId="77777777" w:rsidR="00317C1D" w:rsidRPr="00910E2C" w:rsidRDefault="00317C1D" w:rsidP="00AE18E9">
                <w:pPr>
                  <w:pStyle w:val="LLNormaali"/>
                  <w:jc w:val="right"/>
                </w:pPr>
                <w:r w:rsidRPr="00910E2C">
                  <w:t>78</w:t>
                </w:r>
              </w:p>
            </w:tc>
            <w:tc>
              <w:tcPr>
                <w:tcW w:w="993" w:type="dxa"/>
              </w:tcPr>
              <w:p w14:paraId="1A64644B" w14:textId="77777777" w:rsidR="00317C1D" w:rsidRPr="00910E2C" w:rsidRDefault="00317C1D" w:rsidP="00AE18E9">
                <w:pPr>
                  <w:pStyle w:val="LLNormaali"/>
                  <w:jc w:val="right"/>
                </w:pPr>
              </w:p>
              <w:p w14:paraId="18684998" w14:textId="77777777" w:rsidR="00317C1D" w:rsidRPr="00910E2C" w:rsidRDefault="00317C1D" w:rsidP="00AE18E9">
                <w:pPr>
                  <w:pStyle w:val="LLNormaali"/>
                  <w:jc w:val="right"/>
                </w:pPr>
                <w:r w:rsidRPr="00910E2C">
                  <w:t>71</w:t>
                </w:r>
              </w:p>
            </w:tc>
          </w:tr>
          <w:tr w:rsidR="00317C1D" w:rsidRPr="00910E2C" w14:paraId="41558F33" w14:textId="77777777" w:rsidTr="00AE18E9">
            <w:tc>
              <w:tcPr>
                <w:tcW w:w="2263" w:type="dxa"/>
              </w:tcPr>
              <w:p w14:paraId="5D56FA05" w14:textId="77777777" w:rsidR="00317C1D" w:rsidRPr="00910E2C" w:rsidRDefault="00317C1D" w:rsidP="00AE18E9">
                <w:pPr>
                  <w:pStyle w:val="LLNormaali"/>
                  <w:rPr>
                    <w:sz w:val="23"/>
                    <w:szCs w:val="23"/>
                  </w:rPr>
                </w:pPr>
                <w:r>
                  <w:rPr>
                    <w:sz w:val="23"/>
                    <w:szCs w:val="23"/>
                  </w:rPr>
                  <w:t>Narkotikabrott</w:t>
                </w:r>
              </w:p>
            </w:tc>
            <w:tc>
              <w:tcPr>
                <w:tcW w:w="993" w:type="dxa"/>
              </w:tcPr>
              <w:p w14:paraId="6CC2788A" w14:textId="77777777" w:rsidR="00317C1D" w:rsidRPr="00910E2C" w:rsidRDefault="00317C1D" w:rsidP="00AE18E9">
                <w:pPr>
                  <w:pStyle w:val="LLNormaali"/>
                  <w:jc w:val="right"/>
                </w:pPr>
                <w:r w:rsidRPr="00910E2C">
                  <w:t>47</w:t>
                </w:r>
              </w:p>
            </w:tc>
            <w:tc>
              <w:tcPr>
                <w:tcW w:w="992" w:type="dxa"/>
              </w:tcPr>
              <w:p w14:paraId="7B974775" w14:textId="77777777" w:rsidR="00317C1D" w:rsidRPr="00910E2C" w:rsidRDefault="00317C1D" w:rsidP="00AE18E9">
                <w:pPr>
                  <w:pStyle w:val="LLNormaali"/>
                  <w:jc w:val="right"/>
                </w:pPr>
                <w:r w:rsidRPr="00910E2C">
                  <w:t>46</w:t>
                </w:r>
              </w:p>
            </w:tc>
            <w:tc>
              <w:tcPr>
                <w:tcW w:w="1134" w:type="dxa"/>
              </w:tcPr>
              <w:p w14:paraId="759D411F" w14:textId="77777777" w:rsidR="00317C1D" w:rsidRPr="00910E2C" w:rsidRDefault="00317C1D" w:rsidP="00AE18E9">
                <w:pPr>
                  <w:pStyle w:val="LLNormaali"/>
                  <w:jc w:val="right"/>
                </w:pPr>
                <w:r w:rsidRPr="00910E2C">
                  <w:t>48</w:t>
                </w:r>
              </w:p>
            </w:tc>
            <w:tc>
              <w:tcPr>
                <w:tcW w:w="992" w:type="dxa"/>
              </w:tcPr>
              <w:p w14:paraId="2CD83893" w14:textId="77777777" w:rsidR="00317C1D" w:rsidRPr="00910E2C" w:rsidRDefault="00317C1D" w:rsidP="00AE18E9">
                <w:pPr>
                  <w:pStyle w:val="LLNormaali"/>
                  <w:jc w:val="right"/>
                </w:pPr>
                <w:r w:rsidRPr="00910E2C">
                  <w:t>55</w:t>
                </w:r>
              </w:p>
            </w:tc>
            <w:tc>
              <w:tcPr>
                <w:tcW w:w="992" w:type="dxa"/>
              </w:tcPr>
              <w:p w14:paraId="7DFF320B" w14:textId="77777777" w:rsidR="00317C1D" w:rsidRPr="00910E2C" w:rsidRDefault="00317C1D" w:rsidP="00AE18E9">
                <w:pPr>
                  <w:pStyle w:val="LLNormaali"/>
                  <w:jc w:val="right"/>
                </w:pPr>
                <w:r w:rsidRPr="00910E2C">
                  <w:t>53</w:t>
                </w:r>
              </w:p>
            </w:tc>
            <w:tc>
              <w:tcPr>
                <w:tcW w:w="993" w:type="dxa"/>
              </w:tcPr>
              <w:p w14:paraId="422FDD9C" w14:textId="77777777" w:rsidR="00317C1D" w:rsidRPr="00910E2C" w:rsidRDefault="00317C1D" w:rsidP="00AE18E9">
                <w:pPr>
                  <w:pStyle w:val="LLNormaali"/>
                  <w:jc w:val="right"/>
                </w:pPr>
                <w:r w:rsidRPr="00910E2C">
                  <w:t>49</w:t>
                </w:r>
              </w:p>
            </w:tc>
          </w:tr>
          <w:tr w:rsidR="00317C1D" w:rsidRPr="00910E2C" w14:paraId="1D3C5A7A" w14:textId="77777777" w:rsidTr="00AE18E9">
            <w:tc>
              <w:tcPr>
                <w:tcW w:w="2263" w:type="dxa"/>
              </w:tcPr>
              <w:p w14:paraId="0A637617" w14:textId="77777777" w:rsidR="00317C1D" w:rsidRPr="00910E2C" w:rsidRDefault="00317C1D" w:rsidP="00AE18E9">
                <w:pPr>
                  <w:pStyle w:val="LLNormaali"/>
                  <w:rPr>
                    <w:sz w:val="23"/>
                    <w:szCs w:val="23"/>
                  </w:rPr>
                </w:pPr>
                <w:r>
                  <w:rPr>
                    <w:sz w:val="23"/>
                    <w:szCs w:val="23"/>
                  </w:rPr>
                  <w:t>Våldsbrott</w:t>
                </w:r>
              </w:p>
            </w:tc>
            <w:tc>
              <w:tcPr>
                <w:tcW w:w="993" w:type="dxa"/>
              </w:tcPr>
              <w:p w14:paraId="24B60CAD" w14:textId="77777777" w:rsidR="00317C1D" w:rsidRPr="00910E2C" w:rsidRDefault="00317C1D" w:rsidP="00AE18E9">
                <w:pPr>
                  <w:pStyle w:val="LLNormaali"/>
                  <w:jc w:val="right"/>
                </w:pPr>
                <w:r w:rsidRPr="00910E2C">
                  <w:t>22</w:t>
                </w:r>
              </w:p>
            </w:tc>
            <w:tc>
              <w:tcPr>
                <w:tcW w:w="992" w:type="dxa"/>
              </w:tcPr>
              <w:p w14:paraId="771104CA" w14:textId="77777777" w:rsidR="00317C1D" w:rsidRPr="00910E2C" w:rsidRDefault="00317C1D" w:rsidP="00AE18E9">
                <w:pPr>
                  <w:pStyle w:val="LLNormaali"/>
                  <w:jc w:val="right"/>
                </w:pPr>
                <w:r w:rsidRPr="00910E2C">
                  <w:t>24</w:t>
                </w:r>
              </w:p>
            </w:tc>
            <w:tc>
              <w:tcPr>
                <w:tcW w:w="1134" w:type="dxa"/>
              </w:tcPr>
              <w:p w14:paraId="62F19F35" w14:textId="77777777" w:rsidR="00317C1D" w:rsidRPr="00910E2C" w:rsidRDefault="00317C1D" w:rsidP="00AE18E9">
                <w:pPr>
                  <w:pStyle w:val="LLNormaali"/>
                  <w:jc w:val="right"/>
                </w:pPr>
                <w:r w:rsidRPr="00910E2C">
                  <w:t>23</w:t>
                </w:r>
              </w:p>
            </w:tc>
            <w:tc>
              <w:tcPr>
                <w:tcW w:w="992" w:type="dxa"/>
              </w:tcPr>
              <w:p w14:paraId="6A75AEC2" w14:textId="77777777" w:rsidR="00317C1D" w:rsidRPr="00910E2C" w:rsidRDefault="00317C1D" w:rsidP="00AE18E9">
                <w:pPr>
                  <w:pStyle w:val="LLNormaali"/>
                  <w:jc w:val="right"/>
                </w:pPr>
                <w:r w:rsidRPr="00910E2C">
                  <w:t>19</w:t>
                </w:r>
              </w:p>
            </w:tc>
            <w:tc>
              <w:tcPr>
                <w:tcW w:w="992" w:type="dxa"/>
              </w:tcPr>
              <w:p w14:paraId="3FBE4801" w14:textId="77777777" w:rsidR="00317C1D" w:rsidRPr="00910E2C" w:rsidRDefault="00317C1D" w:rsidP="00AE18E9">
                <w:pPr>
                  <w:pStyle w:val="LLNormaali"/>
                  <w:jc w:val="right"/>
                </w:pPr>
                <w:r w:rsidRPr="00910E2C">
                  <w:t>22</w:t>
                </w:r>
              </w:p>
            </w:tc>
            <w:tc>
              <w:tcPr>
                <w:tcW w:w="993" w:type="dxa"/>
              </w:tcPr>
              <w:p w14:paraId="01DD2E0D" w14:textId="77777777" w:rsidR="00317C1D" w:rsidRPr="00910E2C" w:rsidRDefault="00317C1D" w:rsidP="00AE18E9">
                <w:pPr>
                  <w:pStyle w:val="LLNormaali"/>
                  <w:jc w:val="right"/>
                </w:pPr>
                <w:r w:rsidRPr="00910E2C">
                  <w:t>17</w:t>
                </w:r>
              </w:p>
            </w:tc>
          </w:tr>
          <w:tr w:rsidR="00317C1D" w:rsidRPr="00910E2C" w14:paraId="63109291" w14:textId="77777777" w:rsidTr="00AE18E9">
            <w:tc>
              <w:tcPr>
                <w:tcW w:w="2263" w:type="dxa"/>
              </w:tcPr>
              <w:p w14:paraId="2F67C52D" w14:textId="77777777" w:rsidR="00317C1D" w:rsidRPr="00910E2C" w:rsidRDefault="00317C1D" w:rsidP="00AE18E9">
                <w:pPr>
                  <w:pStyle w:val="LLNormaali"/>
                  <w:rPr>
                    <w:sz w:val="23"/>
                    <w:szCs w:val="23"/>
                  </w:rPr>
                </w:pPr>
                <w:r>
                  <w:rPr>
                    <w:sz w:val="23"/>
                    <w:szCs w:val="23"/>
                  </w:rPr>
                  <w:t>Sexualbrott</w:t>
                </w:r>
              </w:p>
            </w:tc>
            <w:tc>
              <w:tcPr>
                <w:tcW w:w="993" w:type="dxa"/>
              </w:tcPr>
              <w:p w14:paraId="3B042B6F" w14:textId="77777777" w:rsidR="00317C1D" w:rsidRPr="00910E2C" w:rsidRDefault="00317C1D" w:rsidP="00AE18E9">
                <w:pPr>
                  <w:pStyle w:val="LLNormaali"/>
                  <w:jc w:val="right"/>
                </w:pPr>
                <w:r w:rsidRPr="00910E2C">
                  <w:t>11</w:t>
                </w:r>
              </w:p>
            </w:tc>
            <w:tc>
              <w:tcPr>
                <w:tcW w:w="992" w:type="dxa"/>
              </w:tcPr>
              <w:p w14:paraId="2A03243B" w14:textId="77777777" w:rsidR="00317C1D" w:rsidRPr="00910E2C" w:rsidRDefault="00317C1D" w:rsidP="00AE18E9">
                <w:pPr>
                  <w:pStyle w:val="LLNormaali"/>
                  <w:jc w:val="right"/>
                </w:pPr>
                <w:r w:rsidRPr="00910E2C">
                  <w:t>7</w:t>
                </w:r>
              </w:p>
            </w:tc>
            <w:tc>
              <w:tcPr>
                <w:tcW w:w="1134" w:type="dxa"/>
              </w:tcPr>
              <w:p w14:paraId="5591BC48" w14:textId="77777777" w:rsidR="00317C1D" w:rsidRPr="00910E2C" w:rsidRDefault="00317C1D" w:rsidP="00AE18E9">
                <w:pPr>
                  <w:pStyle w:val="LLNormaali"/>
                  <w:jc w:val="right"/>
                </w:pPr>
                <w:r w:rsidRPr="00910E2C">
                  <w:t>8</w:t>
                </w:r>
              </w:p>
            </w:tc>
            <w:tc>
              <w:tcPr>
                <w:tcW w:w="992" w:type="dxa"/>
              </w:tcPr>
              <w:p w14:paraId="52F0EF9F" w14:textId="77777777" w:rsidR="00317C1D" w:rsidRPr="00910E2C" w:rsidRDefault="00317C1D" w:rsidP="00AE18E9">
                <w:pPr>
                  <w:pStyle w:val="LLNormaali"/>
                  <w:jc w:val="right"/>
                </w:pPr>
                <w:r w:rsidRPr="00910E2C">
                  <w:t>13</w:t>
                </w:r>
              </w:p>
            </w:tc>
            <w:tc>
              <w:tcPr>
                <w:tcW w:w="992" w:type="dxa"/>
              </w:tcPr>
              <w:p w14:paraId="00257BF6" w14:textId="77777777" w:rsidR="00317C1D" w:rsidRPr="00910E2C" w:rsidRDefault="00317C1D" w:rsidP="00AE18E9">
                <w:pPr>
                  <w:pStyle w:val="LLNormaali"/>
                  <w:jc w:val="right"/>
                </w:pPr>
                <w:r w:rsidRPr="00910E2C">
                  <w:t>12</w:t>
                </w:r>
              </w:p>
            </w:tc>
            <w:tc>
              <w:tcPr>
                <w:tcW w:w="993" w:type="dxa"/>
              </w:tcPr>
              <w:p w14:paraId="39112DA3" w14:textId="77777777" w:rsidR="00317C1D" w:rsidRPr="00910E2C" w:rsidRDefault="00317C1D" w:rsidP="00AE18E9">
                <w:pPr>
                  <w:pStyle w:val="LLNormaali"/>
                  <w:jc w:val="right"/>
                </w:pPr>
                <w:r w:rsidRPr="00910E2C">
                  <w:t>7</w:t>
                </w:r>
              </w:p>
            </w:tc>
          </w:tr>
          <w:tr w:rsidR="00317C1D" w:rsidRPr="00910E2C" w14:paraId="43D95ADB" w14:textId="77777777" w:rsidTr="00AE18E9">
            <w:tc>
              <w:tcPr>
                <w:tcW w:w="2263" w:type="dxa"/>
              </w:tcPr>
              <w:p w14:paraId="0DD3B06D" w14:textId="77777777" w:rsidR="00317C1D" w:rsidRPr="00910E2C" w:rsidRDefault="00317C1D" w:rsidP="00AE18E9">
                <w:pPr>
                  <w:pStyle w:val="LLNormaali"/>
                  <w:rPr>
                    <w:sz w:val="23"/>
                    <w:szCs w:val="23"/>
                  </w:rPr>
                </w:pPr>
                <w:r>
                  <w:rPr>
                    <w:sz w:val="23"/>
                    <w:szCs w:val="23"/>
                  </w:rPr>
                  <w:t>Människohandelsbrott</w:t>
                </w:r>
                <w:r w:rsidRPr="00910E2C">
                  <w:rPr>
                    <w:sz w:val="23"/>
                    <w:szCs w:val="23"/>
                  </w:rPr>
                  <w:t>**</w:t>
                </w:r>
              </w:p>
            </w:tc>
            <w:tc>
              <w:tcPr>
                <w:tcW w:w="993" w:type="dxa"/>
              </w:tcPr>
              <w:p w14:paraId="0D2400B8" w14:textId="77777777" w:rsidR="00317C1D" w:rsidRPr="00910E2C" w:rsidRDefault="00317C1D" w:rsidP="00AE18E9">
                <w:pPr>
                  <w:pStyle w:val="LLNormaali"/>
                  <w:jc w:val="right"/>
                </w:pPr>
              </w:p>
            </w:tc>
            <w:tc>
              <w:tcPr>
                <w:tcW w:w="992" w:type="dxa"/>
              </w:tcPr>
              <w:p w14:paraId="393C5262" w14:textId="77777777" w:rsidR="00317C1D" w:rsidRPr="00910E2C" w:rsidRDefault="00317C1D" w:rsidP="00AE18E9">
                <w:pPr>
                  <w:pStyle w:val="LLNormaali"/>
                  <w:jc w:val="right"/>
                </w:pPr>
              </w:p>
            </w:tc>
            <w:tc>
              <w:tcPr>
                <w:tcW w:w="1134" w:type="dxa"/>
              </w:tcPr>
              <w:p w14:paraId="5A3154A3" w14:textId="77777777" w:rsidR="00317C1D" w:rsidRPr="00910E2C" w:rsidRDefault="00317C1D" w:rsidP="00AE18E9">
                <w:pPr>
                  <w:pStyle w:val="LLNormaali"/>
                  <w:jc w:val="right"/>
                </w:pPr>
                <w:r w:rsidRPr="00910E2C">
                  <w:t>0</w:t>
                </w:r>
              </w:p>
            </w:tc>
            <w:tc>
              <w:tcPr>
                <w:tcW w:w="992" w:type="dxa"/>
              </w:tcPr>
              <w:p w14:paraId="3188E5A8" w14:textId="77777777" w:rsidR="00317C1D" w:rsidRPr="00910E2C" w:rsidRDefault="00317C1D" w:rsidP="00AE18E9">
                <w:pPr>
                  <w:pStyle w:val="LLNormaali"/>
                  <w:jc w:val="right"/>
                </w:pPr>
                <w:r w:rsidRPr="00910E2C">
                  <w:t>0</w:t>
                </w:r>
              </w:p>
            </w:tc>
            <w:tc>
              <w:tcPr>
                <w:tcW w:w="992" w:type="dxa"/>
              </w:tcPr>
              <w:p w14:paraId="6BDF1BD8" w14:textId="77777777" w:rsidR="00317C1D" w:rsidRPr="00910E2C" w:rsidRDefault="00317C1D" w:rsidP="00AE18E9">
                <w:pPr>
                  <w:pStyle w:val="LLNormaali"/>
                  <w:jc w:val="right"/>
                </w:pPr>
                <w:r w:rsidRPr="00910E2C">
                  <w:t>0</w:t>
                </w:r>
              </w:p>
            </w:tc>
            <w:tc>
              <w:tcPr>
                <w:tcW w:w="993" w:type="dxa"/>
              </w:tcPr>
              <w:p w14:paraId="693C280D" w14:textId="77777777" w:rsidR="00317C1D" w:rsidRPr="00910E2C" w:rsidRDefault="00317C1D" w:rsidP="00AE18E9">
                <w:pPr>
                  <w:pStyle w:val="LLNormaali"/>
                  <w:jc w:val="right"/>
                </w:pPr>
                <w:r w:rsidRPr="00910E2C">
                  <w:t>0</w:t>
                </w:r>
              </w:p>
            </w:tc>
          </w:tr>
        </w:tbl>
        <w:p w14:paraId="257100C1" w14:textId="77777777" w:rsidR="00317C1D" w:rsidRPr="00317C1D" w:rsidRDefault="00317C1D" w:rsidP="00317C1D">
          <w:pPr>
            <w:pStyle w:val="LLPerustelujenkappalejako"/>
            <w:rPr>
              <w:lang w:val="sv-SE"/>
            </w:rPr>
          </w:pPr>
          <w:r w:rsidRPr="00317C1D">
            <w:rPr>
              <w:lang w:val="sv-SE"/>
            </w:rPr>
            <w:t>* Olika brottstyper kan ha antecknats i ett och samma utdrag</w:t>
          </w:r>
        </w:p>
        <w:p w14:paraId="7B36B371" w14:textId="77777777" w:rsidR="00317C1D" w:rsidRPr="00317C1D" w:rsidRDefault="00317C1D" w:rsidP="00317C1D">
          <w:pPr>
            <w:pStyle w:val="LLPerustelujenkappalejako"/>
            <w:rPr>
              <w:lang w:val="sv-SE"/>
            </w:rPr>
          </w:pPr>
          <w:r w:rsidRPr="00317C1D">
            <w:rPr>
              <w:lang w:val="sv-SE"/>
            </w:rPr>
            <w:t>** Har kunnat plockas ut/extraheras sedan 2016</w:t>
          </w:r>
        </w:p>
        <w:p w14:paraId="7C8EF341" w14:textId="77777777" w:rsidR="00317C1D" w:rsidRPr="00317C1D" w:rsidRDefault="00317C1D" w:rsidP="00317C1D">
          <w:pPr>
            <w:pStyle w:val="LLPValiotsikko"/>
          </w:pPr>
          <w:r w:rsidRPr="00317C1D">
            <w:t xml:space="preserve">Helsingfors stad </w:t>
          </w:r>
        </w:p>
        <w:p w14:paraId="1316F289" w14:textId="77777777" w:rsidR="00317C1D" w:rsidRPr="00317C1D" w:rsidRDefault="00317C1D" w:rsidP="00317C1D">
          <w:pPr>
            <w:pStyle w:val="LLPerustelujenkappalejako"/>
            <w:rPr>
              <w:lang w:val="sv-SE"/>
            </w:rPr>
          </w:pPr>
          <w:r w:rsidRPr="00317C1D">
            <w:rPr>
              <w:lang w:val="sv-SE"/>
            </w:rPr>
            <w:t>År 2018 hade Helsingfors stad 235 sommararbetare i kortare anställningsförhållanden än tre månader, av vilka 113 i uppgifter som barnskötare och 99 i uppgifter som lärare inom småbarnspedagogik. Dessutom fanns det cirka 160</w:t>
          </w:r>
          <w:r>
            <w:rPr>
              <w:lang w:val="sv-SE"/>
            </w:rPr>
            <w:t xml:space="preserve"> unga som hade sommarjobb (16</w:t>
          </w:r>
          <w:r>
            <w:rPr>
              <w:lang w:val="sv-SE"/>
            </w:rPr>
            <w:sym w:font="Symbol" w:char="F02D"/>
          </w:r>
          <w:r w:rsidRPr="00317C1D">
            <w:rPr>
              <w:lang w:val="sv-SE"/>
            </w:rPr>
            <w:t>17 år, utan vakanser) i uppgifter som varade en månad. Sommararbetarna arbetade på daghem och i lekparker (med titeln praktikant inom småbarnspedagogiken). Under sommaren f</w:t>
          </w:r>
          <w:r>
            <w:rPr>
              <w:lang w:val="sv-SE"/>
            </w:rPr>
            <w:t>anns det sammanlagt cirka 300</w:t>
          </w:r>
          <w:r>
            <w:rPr>
              <w:lang w:val="sv-SE"/>
            </w:rPr>
            <w:sym w:font="Symbol" w:char="F02D"/>
          </w:r>
          <w:r w:rsidRPr="00317C1D">
            <w:rPr>
              <w:lang w:val="sv-SE"/>
            </w:rPr>
            <w:t>400 personer i anställningsförhållanden som v</w:t>
          </w:r>
          <w:r>
            <w:rPr>
              <w:lang w:val="sv-SE"/>
            </w:rPr>
            <w:t>arade kortare tid än 3 månader.</w:t>
          </w:r>
        </w:p>
        <w:p w14:paraId="7263373A" w14:textId="77777777" w:rsidR="00317C1D" w:rsidRPr="00317C1D" w:rsidRDefault="00317C1D" w:rsidP="00317C1D">
          <w:pPr>
            <w:pStyle w:val="LLPValiotsikko"/>
          </w:pPr>
          <w:r w:rsidRPr="00317C1D">
            <w:t>KT Kommunarbetsgivarna</w:t>
          </w:r>
        </w:p>
        <w:p w14:paraId="634A9485" w14:textId="77777777" w:rsidR="00317C1D" w:rsidRPr="00317C1D" w:rsidRDefault="00317C1D" w:rsidP="00317C1D">
          <w:pPr>
            <w:pStyle w:val="LLPerustelujenkappalejako"/>
            <w:rPr>
              <w:lang w:val="sv-SE"/>
            </w:rPr>
          </w:pPr>
          <w:r w:rsidRPr="00317C1D">
            <w:rPr>
              <w:lang w:val="sv-SE"/>
            </w:rPr>
            <w:t>KT Kommunarbetsgivarna har inte information om visstidsanställningar som varar kortare tid än tre månader och som skulle kunna utgöra kunskapsunderlag för propositionen. KT lämnade däremot lönestatististiska uppgifter för kommunsektorn för oktober 2017 i fråga om småbarnspedagogiken och undervisningsområdet. Uppgifterna gäller anställningsförhållandets natur och förhållandet mellan fastanställda och vikarier. Uppgifterna omfattar bilaga 5 till det allmänna kommunala tjänste- och arbetskollektivavtalet AKTA, och av dem framgår information om personalen inom småbarnspedagogiken samt vissa yrkes- och basserviceuppgifter i skolan, samt bilaga 12 till samma avtal gällande familjedagvårdare. Informationen om undervisningsom</w:t>
          </w:r>
          <w:r>
            <w:rPr>
              <w:lang w:val="sv-SE"/>
            </w:rPr>
            <w:t>rådet omfattar hela personalen.</w:t>
          </w:r>
        </w:p>
        <w:p w14:paraId="3F309440" w14:textId="77777777" w:rsidR="00317C1D" w:rsidRPr="00317C1D" w:rsidRDefault="00317C1D" w:rsidP="00317C1D">
          <w:pPr>
            <w:pStyle w:val="LLPerustelujenkappalejako"/>
            <w:rPr>
              <w:lang w:val="sv-SE"/>
            </w:rPr>
          </w:pPr>
          <w:r w:rsidRPr="00317C1D">
            <w:rPr>
              <w:lang w:val="sv-SE"/>
            </w:rPr>
            <w:t>Inom småbarnspedagogiken finns det sammanlagt 25 procent visstidsanställda och inom undervisningsområdet 20 procent. KT gjorde också en jämförelse mellan 2016 och 2017 års uppgifter för att se hur stor del av de visstidsanställda (inklusive sysselsatta, elever och läroavtalsanställda) som 2017 var helt nya visstidsanställda inom kommunsektorn, med andra ord hur många visstidsanställda 2017 som inte hade varit anställda inom kommunsektorn 2016. Inom pedagogiken fann det 15 187 visstidsanställda, varav 6 600 var helt nya visstidsanställda, dvs. 43 procent. Inom undervisningsområdet fanns det 12 034 visstidsanställda och av dem var 3926, dvs. 33 procent, nya. Det är fråga om tvärsnittsdata från oktober och det saknas uppgifter om läng</w:t>
          </w:r>
          <w:r>
            <w:rPr>
              <w:lang w:val="sv-SE"/>
            </w:rPr>
            <w:t>den på visstidsanställningarna.</w:t>
          </w:r>
        </w:p>
        <w:p w14:paraId="45B41E3C" w14:textId="77777777" w:rsidR="00317C1D" w:rsidRPr="00317C1D" w:rsidRDefault="00317C1D" w:rsidP="00317C1D">
          <w:pPr>
            <w:pStyle w:val="LLPerustelujenkappalejako"/>
            <w:rPr>
              <w:lang w:val="sv-SE"/>
            </w:rPr>
          </w:pPr>
          <w:r w:rsidRPr="00317C1D">
            <w:rPr>
              <w:lang w:val="sv-SE"/>
            </w:rPr>
            <w:t>KT konstaterade att det behövs ett stort antal vikarier inom både småbarnspedagogiken och undervisningsområdet på grund av den ordinarie personalens frånvaro. Enligt vad KT erfar är cirka hälften av alla visstidsanställda vikarier som är nödvändiga för verksamheten. Inte heller när det gällde längden på dessa vi</w:t>
          </w:r>
          <w:r>
            <w:rPr>
              <w:lang w:val="sv-SE"/>
            </w:rPr>
            <w:t>kariat hade KT några uppgifter.</w:t>
          </w:r>
        </w:p>
        <w:p w14:paraId="29F8CC79" w14:textId="77777777" w:rsidR="00317C1D" w:rsidRPr="00317C1D" w:rsidRDefault="00317C1D" w:rsidP="00317C1D">
          <w:pPr>
            <w:pStyle w:val="LLPValiotsikko"/>
          </w:pPr>
          <w:r w:rsidRPr="00317C1D">
            <w:t>Kyrkans arbetsmarknadsverk</w:t>
          </w:r>
        </w:p>
        <w:p w14:paraId="48C90E48" w14:textId="77777777" w:rsidR="00317C1D" w:rsidRPr="00317C1D" w:rsidRDefault="00317C1D" w:rsidP="00317C1D">
          <w:pPr>
            <w:pStyle w:val="LLPerustelujenkappalejako"/>
            <w:rPr>
              <w:lang w:val="sv-SE"/>
            </w:rPr>
          </w:pPr>
          <w:r w:rsidRPr="00317C1D">
            <w:rPr>
              <w:lang w:val="sv-SE"/>
            </w:rPr>
            <w:t>Enligt Kyrkans arbetsmarknadsverk är kyrkans barnverksamhet och kyrkans ungdomsarbete de viktigaste uppgiftskategorierna där kontroll av brottslig bakgrund blir aktuellt. De yrkesbeteckningar som kommer i fråga är barnledare och ungdomsarbetsledare. Alltid när en ny person rekryteras för ett anställningsförhållande som varar längre än tre månader görs det en kontroll av personens brottsliga bakgrund. Också kantorer som leder barnkörer eller orkestrar omfattas av förfarandet för kontroll av brottslig bakgrund. Det finns uppskattningsvis 200 kantorer som hör till denna kategori i sammanlagt knappt 400 församlingar. Alla församlingar har inte barnkörer eller motsvarande verksamhet. År 2019 fanns det sammanlagt 45 visstidsanställningar under tre månader inom kyrkans ungdomsarbete och 603 inom kyrkans barnverksamhet. Dessutom kan det i andra uppgiftskategorier finnas enskilda uppgifter där arbetsgivarens skyldighet att kräva uppvisande av straffregisterutdrag blir aktuell. Som exempel på sådana kan nämnas ”ungdomspräst”, vars officiella tjänstebenämning i allmänhet är ”församlingspastor”. Ungdomspräster finns i större församlingar. Dessutom kan någon som hör till fastighets- och kyrkobetjäningskategorin, t.ex. vaktmästaren, någon enstaka gång ha en sådan ställning att han eller hon har kontinuerlig kontakt med unga/barn. Uppskattningsvis finns det tiotals ungdomspräster och några enst</w:t>
          </w:r>
          <w:r>
            <w:rPr>
              <w:lang w:val="sv-SE"/>
            </w:rPr>
            <w:t>aka uppgifter av vaktmästartyp.</w:t>
          </w:r>
        </w:p>
        <w:p w14:paraId="6435AF34" w14:textId="77777777" w:rsidR="00317C1D" w:rsidRPr="00317C1D" w:rsidRDefault="00317C1D" w:rsidP="00317C1D">
          <w:pPr>
            <w:pStyle w:val="LLPerustelujenkappalejako"/>
            <w:rPr>
              <w:lang w:val="sv-SE"/>
            </w:rPr>
          </w:pPr>
          <w:r w:rsidRPr="00317C1D">
            <w:rPr>
              <w:lang w:val="sv-SE"/>
            </w:rPr>
            <w:t>Kyrkans arbetsmarknadsverk anser att det är viktigt att lagen fungerar och är ändamålsenlig i relation till dess mål. Kravet på skärpta lagar och extra byråkrati för arbetsgivarna måste grunda sig på utredningar enligt vilka de nuvarande bestämmelserna inte är tillräckliga för att motverka att sexualförbrytare kan arbeta i sådana uppgifter som avses i lagen. Alla sexualförbrytare har inte nödvändigtvis någon anteckning i straffregistret och därför uppfyller inte enbart krav på straffregisterutdrag fullt ut syftet att säkerställa skyddet för barnen. Alla arbetsplatser är olika och detta bör beaktas i lagberedningen. Inom småbarnspedagogiken kommer de anställda varje dag i kontakt med barnen under långa perioder. I församlingarna förekommer knappast några kontakter på daglig basis och sällan ens flera dagar i veckan. Under korta anställningsförhållanden hinner det inte uppstå farliga situationer eftersom man i allmänhet inte arbetar e</w:t>
          </w:r>
          <w:r>
            <w:rPr>
              <w:lang w:val="sv-SE"/>
            </w:rPr>
            <w:t>nsam med barn i församlingarna.</w:t>
          </w:r>
        </w:p>
        <w:p w14:paraId="7A8F4FEE" w14:textId="77777777" w:rsidR="00FC143A" w:rsidRDefault="003D19CB" w:rsidP="00317C1D">
          <w:pPr>
            <w:pStyle w:val="LLPerustelujenkappalejako"/>
            <w:rPr>
              <w:lang w:val="sv-SE"/>
            </w:rPr>
          </w:pPr>
          <w:hyperlink r:id="rId15" w:history="1">
            <w:r w:rsidR="00317C1D" w:rsidRPr="006D3A4A">
              <w:rPr>
                <w:rStyle w:val="Hyperlinkki"/>
                <w:lang w:val="sv-SE"/>
              </w:rPr>
              <w:t>https://www.eduskunta.fi/SV/vaski/HallituksenEsitys/Sidor/RP_284+2018.aspx</w:t>
            </w:r>
          </w:hyperlink>
        </w:p>
        <w:p w14:paraId="66FA48D5" w14:textId="77777777" w:rsidR="00FC143A" w:rsidRDefault="00FC143A" w:rsidP="00FC143A">
          <w:pPr>
            <w:pStyle w:val="LLP2Otsikkotaso"/>
            <w:rPr>
              <w:lang w:val="sv-SE"/>
            </w:rPr>
          </w:pPr>
          <w:bookmarkStart w:id="9" w:name="_Toc53049198"/>
          <w:r w:rsidRPr="00FC143A">
            <w:rPr>
              <w:lang w:val="sv-SE"/>
            </w:rPr>
            <w:t>De viktigaste förslagen</w:t>
          </w:r>
          <w:bookmarkEnd w:id="9"/>
        </w:p>
        <w:p w14:paraId="2AC8F875" w14:textId="77777777" w:rsidR="00FC143A" w:rsidRPr="00FC143A" w:rsidRDefault="00317C1D" w:rsidP="00FC143A">
          <w:pPr>
            <w:pStyle w:val="LLPerustelujenkappalejako"/>
            <w:rPr>
              <w:lang w:val="sv-SE"/>
            </w:rPr>
          </w:pPr>
          <w:r w:rsidRPr="00317C1D">
            <w:rPr>
              <w:lang w:val="sv-SE"/>
            </w:rPr>
            <w:t>I propositionen föreslås det att tillämpningsområdet för lagen ska vidgas så att arbetsgivaren ges möjlighet (rätt) att kontrollera arbetssökandes brottsliga bakgrund också när det gäller anställningsförhållanden som varar högst tre månader. Det är inte fråga om en skyldighet utan om en möjlighet att utreda brottslig bakgrund och utredningen ska basera sig på arbetsgivarens prövning.</w:t>
          </w:r>
        </w:p>
        <w:p w14:paraId="7AF07B9D" w14:textId="77777777" w:rsidR="00FC143A" w:rsidRDefault="00FC143A" w:rsidP="00FC143A">
          <w:pPr>
            <w:pStyle w:val="LLP2Otsikkotaso"/>
            <w:rPr>
              <w:lang w:val="sv-SE"/>
            </w:rPr>
          </w:pPr>
          <w:bookmarkStart w:id="10" w:name="_Toc53049199"/>
          <w:r w:rsidRPr="00FC143A">
            <w:rPr>
              <w:lang w:val="sv-SE"/>
            </w:rPr>
            <w:t>De huvudsakliga konsekvenserna</w:t>
          </w:r>
          <w:bookmarkEnd w:id="10"/>
        </w:p>
        <w:p w14:paraId="76C33170" w14:textId="77777777" w:rsidR="00317C1D" w:rsidRPr="00317C1D" w:rsidRDefault="00317C1D" w:rsidP="00317C1D">
          <w:pPr>
            <w:pStyle w:val="LLPerustelujenkappalejako"/>
            <w:rPr>
              <w:lang w:val="sv-SE"/>
            </w:rPr>
          </w:pPr>
          <w:r w:rsidRPr="00317C1D">
            <w:rPr>
              <w:lang w:val="sv-SE"/>
            </w:rPr>
            <w:t>Förslaget främjar för sin del skyddet av minderåriga barn mot utnyttjande genom att ge arbetsgivarna möjlighet att utreda brottslig bakgrund hos den som söker en anställning eller tjänst också i uppgifter som varar högst tre månader, när arbetsgivarna b</w:t>
          </w:r>
          <w:r>
            <w:rPr>
              <w:lang w:val="sv-SE"/>
            </w:rPr>
            <w:t>edömer att detta är nödvändigt.</w:t>
          </w:r>
        </w:p>
        <w:p w14:paraId="394C9C2F" w14:textId="77777777" w:rsidR="00317C1D" w:rsidRPr="00317C1D" w:rsidRDefault="00317C1D" w:rsidP="00317C1D">
          <w:pPr>
            <w:pStyle w:val="LLPerustelujenkappalejako"/>
            <w:rPr>
              <w:lang w:val="sv-SE"/>
            </w:rPr>
          </w:pPr>
          <w:r w:rsidRPr="00317C1D">
            <w:rPr>
              <w:lang w:val="sv-SE"/>
            </w:rPr>
            <w:t>Om granskningsförfarandet utvidgas till att gälla anställnings- eller tjänsteförhållanden som varar tre månader eller en kortare tid krävs det smärre ändringar i Rättsregistercentralens elektroniska ärendehanteringstjänst och i ansökningsblanketterna. Om antalet utdrag som lämnas ut stiger till t.ex. 20 000 per år och den elektroniska kommunikationens procentandel ligger på samma nivå, krävs det enligt uppskattning tilläggsresurser på cirka 0,5 årsverken. Om antalet utdrag uppgår till 25 000 per år ligger det ökade resurs</w:t>
          </w:r>
          <w:r>
            <w:rPr>
              <w:lang w:val="sv-SE"/>
            </w:rPr>
            <w:t>behovet på cirka 0,7 årsverken.</w:t>
          </w:r>
        </w:p>
        <w:p w14:paraId="4B1092B6" w14:textId="77777777" w:rsidR="00FC143A" w:rsidRPr="00FC143A" w:rsidRDefault="00317C1D" w:rsidP="00317C1D">
          <w:pPr>
            <w:pStyle w:val="LLPerustelujenkappalejako"/>
            <w:rPr>
              <w:lang w:val="sv-SE"/>
            </w:rPr>
          </w:pPr>
          <w:r w:rsidRPr="00317C1D">
            <w:rPr>
              <w:lang w:val="sv-SE"/>
            </w:rPr>
            <w:t>Rättsregistercentralen har bedömt konsekvenserna av förslaget utifrån sina erfarenheter av lagstiftningen inom undervisningsområdet (den s.k. SORA-lagstiftningen) och tillämpningen av den. I lagstiftningen om undervisningsområdet föreskrivs det om läroinrättningarnas möjligheter att kontrollera brottslig bakgrund innan den studerande inleder sådan arbetspraktik eller inlärningsperiod i arbetet som inbegriper verksamhet med barn. Inom undervisningsområdet har kontroll av brottslig bakgrund blivit en huvudregel, även om läroinrättningarna inte är skyldiga att göra sådan kontroll.</w:t>
          </w:r>
        </w:p>
        <w:p w14:paraId="55D92F93" w14:textId="77777777" w:rsidR="00FC143A" w:rsidRDefault="00FC143A" w:rsidP="00FC143A">
          <w:pPr>
            <w:pStyle w:val="LLP1Otsikkotaso"/>
            <w:rPr>
              <w:lang w:val="sv-SE"/>
            </w:rPr>
          </w:pPr>
          <w:bookmarkStart w:id="11" w:name="_Toc53049200"/>
          <w:r w:rsidRPr="00FC143A">
            <w:rPr>
              <w:lang w:val="sv-SE"/>
            </w:rPr>
            <w:t>Alternativa handlingsvägar</w:t>
          </w:r>
          <w:bookmarkEnd w:id="11"/>
        </w:p>
        <w:p w14:paraId="080303FB" w14:textId="77777777" w:rsidR="00FC143A" w:rsidRPr="00FC143A" w:rsidRDefault="00FC143A" w:rsidP="00FC143A">
          <w:pPr>
            <w:pStyle w:val="LLPerustelujenkappalejako"/>
            <w:rPr>
              <w:lang w:val="sv-SE"/>
            </w:rPr>
          </w:pPr>
        </w:p>
        <w:p w14:paraId="76BC6509" w14:textId="77777777" w:rsidR="00FC143A" w:rsidRDefault="00FC143A" w:rsidP="00FC143A">
          <w:pPr>
            <w:pStyle w:val="LLP2Otsikkotaso"/>
            <w:rPr>
              <w:lang w:val="sv-SE"/>
            </w:rPr>
          </w:pPr>
          <w:bookmarkStart w:id="12" w:name="_Toc53049201"/>
          <w:r w:rsidRPr="00FC143A">
            <w:rPr>
              <w:lang w:val="sv-SE"/>
            </w:rPr>
            <w:t>Handlingsalternativen och deras konsekvenser</w:t>
          </w:r>
          <w:bookmarkEnd w:id="12"/>
        </w:p>
        <w:p w14:paraId="347CF498" w14:textId="77777777" w:rsidR="00317C1D" w:rsidRPr="00317C1D" w:rsidRDefault="00317C1D" w:rsidP="00317C1D">
          <w:pPr>
            <w:pStyle w:val="LLPerustelujenkappalejako"/>
            <w:rPr>
              <w:lang w:val="sv-SE"/>
            </w:rPr>
          </w:pPr>
          <w:r w:rsidRPr="00317C1D">
            <w:rPr>
              <w:lang w:val="sv-SE"/>
            </w:rPr>
            <w:t>Ett handlingsalternativ skulle vara att stryka kravet på en tidsfrist på en tre månaders tidsfrist för tillämpning av förfarandet. Då skulle en eventuell brottslig bakgrund utredas i alla de uppgifter som avses i lagen innan ett anställnings- eller tjänsteförhållande ingås eller arbetet inleds. Rättsregistercentralen utfärdade 2019 sammanlagt 74 857 sådana straffregisterutdrag som lagen förutsätter. I 71 av dessa utdrag fanns anteckning om brottslig bakgrund. En sådan anteckning finns således endast i 0,09 procent av alla utdrag. Syftet med lagen är att förhindra att personer med brottslig bakgrund söker sig till uppgifter som innebär relevant och kontinuerligt arbete med barn. Utdragen</w:t>
          </w:r>
          <w:r>
            <w:rPr>
              <w:lang w:val="sv-SE"/>
            </w:rPr>
            <w:t>s giltighetstid är sex månader.</w:t>
          </w:r>
        </w:p>
        <w:p w14:paraId="38C03B78" w14:textId="77777777" w:rsidR="00317C1D" w:rsidRPr="00317C1D" w:rsidRDefault="00317C1D" w:rsidP="00317C1D">
          <w:pPr>
            <w:pStyle w:val="LLPerustelujenkappalejako"/>
            <w:rPr>
              <w:lang w:val="sv-SE"/>
            </w:rPr>
          </w:pPr>
          <w:r w:rsidRPr="00317C1D">
            <w:rPr>
              <w:lang w:val="sv-SE"/>
            </w:rPr>
            <w:t>De kommunala arbetsgivarna är de som främst berörs av propositionens konsekvenser. Inom kommunsektorn fanns det 2018 flest visstidsanställningar som omfattades av förfarandet för kontroll av brottslig bakgrund. År 2017 fanns det inom den kommunala sektorn 15 187 visstidsanställda inom pedagogiken, av vilka 6 600 var helt nya visstidsanställda, dvs. 43 procent. Inom undervisningen fann det 12 034 visstidsanställda och av dem var 3 926, dvs. 33 procent, helt nya visstidsanställda. Utöver kommunsektorn har staten, kyrkan och den privata sektorn uppgifter där förfarandet för kontroll av brottslig bakgrund tillämpas. En ändring av processen för kontroll av brottslig bakgrund i samband med anställning skulle leda till att förfarande ska inledas i fråga o</w:t>
          </w:r>
          <w:r>
            <w:rPr>
              <w:lang w:val="sv-SE"/>
            </w:rPr>
            <w:t>m cirka 10 000–15 000 personer.</w:t>
          </w:r>
        </w:p>
        <w:p w14:paraId="41B632AD" w14:textId="77777777" w:rsidR="00FC143A" w:rsidRPr="00FC143A" w:rsidRDefault="00317C1D" w:rsidP="00317C1D">
          <w:pPr>
            <w:pStyle w:val="LLPerustelujenkappalejako"/>
            <w:rPr>
              <w:lang w:val="sv-SE"/>
            </w:rPr>
          </w:pPr>
          <w:r w:rsidRPr="00317C1D">
            <w:rPr>
              <w:lang w:val="sv-SE"/>
            </w:rPr>
            <w:t>Med stöd av den gällande lagen har man kunnat förhindra att olämpliga personer söker sig till arbeten med minderåriga. Därför har man inte heller velat slopa tidsgränsen på tre månader med beaktande av det stora antalet nya straffregisterutdrag som i annat fall skulle krävas och även med tanke på arbetsgivarnas uppfattning om hur den nuvarande lagen fungerar. De föreslagna ändringarna bemöter de farhågor som framförts utan att medföra ytterligare administrativa uppgifter. Det bör också påpekas att minderåriga inte helt kan skyddas enbart genom ett utredningsförfarande enligt denna lag. Av betydelse är också organiseringen av arbetet och kravet på personaldimensionering.</w:t>
          </w:r>
        </w:p>
        <w:p w14:paraId="05C2E6A6" w14:textId="77777777" w:rsidR="00480ACC" w:rsidRDefault="00480ACC" w:rsidP="00FC143A">
          <w:pPr>
            <w:pStyle w:val="LLP2Otsikkotaso"/>
            <w:rPr>
              <w:lang w:val="sv-SE"/>
            </w:rPr>
          </w:pPr>
          <w:bookmarkStart w:id="13" w:name="_Toc53049202"/>
          <w:r w:rsidRPr="00FC143A">
            <w:rPr>
              <w:lang w:val="sv-SE"/>
            </w:rPr>
            <w:t>Lagstiftning och andra handlingsmodeller i utlandet</w:t>
          </w:r>
          <w:bookmarkEnd w:id="13"/>
        </w:p>
        <w:p w14:paraId="211732F1" w14:textId="77777777" w:rsidR="00FC143A" w:rsidRPr="00FC143A" w:rsidRDefault="00FC143A" w:rsidP="00FC143A">
          <w:pPr>
            <w:pStyle w:val="LLPerustelujenkappalejako"/>
            <w:rPr>
              <w:lang w:val="sv-SE"/>
            </w:rPr>
          </w:pPr>
        </w:p>
        <w:p w14:paraId="120A09B7" w14:textId="77777777" w:rsidR="00FC143A" w:rsidRDefault="00FC143A" w:rsidP="00FC143A">
          <w:pPr>
            <w:pStyle w:val="LLP1Otsikkotaso"/>
            <w:rPr>
              <w:lang w:val="sv-SE"/>
            </w:rPr>
          </w:pPr>
          <w:bookmarkStart w:id="14" w:name="_Toc53049203"/>
          <w:r w:rsidRPr="00FC143A">
            <w:rPr>
              <w:lang w:val="sv-SE"/>
            </w:rPr>
            <w:t>Remissvar</w:t>
          </w:r>
          <w:bookmarkEnd w:id="14"/>
        </w:p>
        <w:p w14:paraId="262373DE" w14:textId="77777777" w:rsidR="00FC143A" w:rsidRPr="00FC143A" w:rsidRDefault="00FC143A" w:rsidP="00FC143A">
          <w:pPr>
            <w:pStyle w:val="LLPerustelujenkappalejako"/>
            <w:rPr>
              <w:lang w:val="sv-SE"/>
            </w:rPr>
          </w:pPr>
        </w:p>
        <w:p w14:paraId="3920E2F1" w14:textId="77777777" w:rsidR="00FC143A" w:rsidRDefault="00FC143A" w:rsidP="00FC143A">
          <w:pPr>
            <w:pStyle w:val="LLP1Otsikkotaso"/>
            <w:rPr>
              <w:lang w:val="sv-SE"/>
            </w:rPr>
          </w:pPr>
          <w:bookmarkStart w:id="15" w:name="_Toc53049204"/>
          <w:r w:rsidRPr="00FC143A">
            <w:rPr>
              <w:lang w:val="sv-SE"/>
            </w:rPr>
            <w:t>Specialmotivering</w:t>
          </w:r>
          <w:bookmarkEnd w:id="15"/>
        </w:p>
        <w:p w14:paraId="3DAF027B" w14:textId="77777777" w:rsidR="00317C1D" w:rsidRPr="00317C1D" w:rsidRDefault="00317C1D" w:rsidP="00317C1D">
          <w:pPr>
            <w:pStyle w:val="LLPerustelujenkappalejako"/>
            <w:rPr>
              <w:lang w:val="sv-SE"/>
            </w:rPr>
          </w:pPr>
          <w:r w:rsidRPr="00CC4117">
            <w:rPr>
              <w:b/>
              <w:lang w:val="sv-SE"/>
            </w:rPr>
            <w:t>2 §.</w:t>
          </w:r>
          <w:r w:rsidRPr="00317C1D">
            <w:rPr>
              <w:lang w:val="sv-SE"/>
            </w:rPr>
            <w:t xml:space="preserve"> </w:t>
          </w:r>
          <w:r w:rsidRPr="00CC4117">
            <w:rPr>
              <w:i/>
              <w:lang w:val="sv-SE"/>
            </w:rPr>
            <w:t>Tillämpningsområde.</w:t>
          </w:r>
          <w:r w:rsidRPr="00317C1D">
            <w:rPr>
              <w:lang w:val="sv-SE"/>
            </w:rPr>
            <w:t xml:space="preserve"> Det föreslås att till paragrafen fogas ett nytt 4 mom. där det föreskrivs om arbetsgivarens rätt, dvs. möjlighet att enligt prövning kräva att ett straffregisterutdrag visas upp även i anställnings- och tjänsteförhållanden som varar högst tre månader. Det är fråga om arbetsgivarens rätt, men inte skyldighet att kräva att straffregisterutdraget visas upp redan när anställnings- eller tjänsteförhållandet inleds. Denna rätt ger arbetsgivaren möjlighet att enligt egen prövning utreda brottslig bakgrund hos den som anställs också i kortvariga vikariat. Syftet med förslaget är att göra det administrativt lättare att utreda brottslig bakgrund, särskilt vid kortvariga vikariearrangemang. Enligt förslaget ska brottslig bakgrund kunna utredas genast när ett anställningsförhållande inleds. Frivillig kontroll av brottslig bakgrund i kortvariga anställningar som varar högst tre månader ska ske utifrån arbetsgivarens prövning och en riskanalys, där behovet av skydd för barn anses förutsätta kontroll av eventuell brottslig bakgrund. Vid exempelvis kortvariga vikariearrangemang i stora kommuner finns det många personer vars brottsliga bakgrund inte ska utredas enligt de nuvarande bestämmelserna. Hos den aktör som förmedlar vikarier för kortvariga uppgifter verkar i huvudstadsregionen upp till 1 800 vikarier, vilkas eventuella brottsliga bakgrund inte har kunnat utredas. Antalet sådana vikarier är betydande jämfört med antalet barnskötare. Det finns sammanlagt 12 000 barnskötare i huvudstadsregionen.</w:t>
          </w:r>
        </w:p>
        <w:p w14:paraId="7DFEF4BB" w14:textId="2E5DBECB" w:rsidR="00FC143A" w:rsidRPr="00FC143A" w:rsidRDefault="00317C1D" w:rsidP="00317C1D">
          <w:pPr>
            <w:pStyle w:val="LLPerustelujenkappalejako"/>
            <w:rPr>
              <w:lang w:val="sv-SE"/>
            </w:rPr>
          </w:pPr>
          <w:r w:rsidRPr="00CC4117">
            <w:rPr>
              <w:b/>
              <w:lang w:val="sv-SE"/>
            </w:rPr>
            <w:t>3 §.</w:t>
          </w:r>
          <w:r w:rsidRPr="00317C1D">
            <w:rPr>
              <w:lang w:val="sv-SE"/>
            </w:rPr>
            <w:t xml:space="preserve"> </w:t>
          </w:r>
          <w:r w:rsidR="003D19CB" w:rsidRPr="003D19CB">
            <w:rPr>
              <w:i/>
              <w:lang w:val="sv-SE"/>
            </w:rPr>
            <w:t>Arbetsgivarens skyldighet och rätt att kräva uppvisande av straffregisterutdrag</w:t>
          </w:r>
          <w:r w:rsidR="003D19CB">
            <w:rPr>
              <w:i/>
              <w:lang w:val="sv-SE"/>
            </w:rPr>
            <w:t xml:space="preserve">. </w:t>
          </w:r>
          <w:bookmarkStart w:id="16" w:name="_GoBack"/>
          <w:bookmarkEnd w:id="16"/>
          <w:r w:rsidRPr="00317C1D">
            <w:rPr>
              <w:lang w:val="sv-SE"/>
            </w:rPr>
            <w:t>Till paragrafens rubrik fogas ett omnämnande av rätten att kräva att ett straffregisterutdrag visas upp. Tillägget motsvarar innehållet i det föreslagna nya fjärde momentet. Det föreslås att till paragrafen fogas ett nytt 4 mom., där det föreskrivs om arbetsgivarens möjlighet att enligt egen prövning kräva att ett straffregisterutdrag ska visas upp också i uppgifter som varar högst eller mindre än tre månader. Arbetsgivaren ska ha rätt att begära ett sådant utdrag ur straffregistret som avses i 6 § 2 mom. i straffregisterlagen visas upp också i uppgifter som sammanlagt varar högst tre månader under en ettårsperiod. Om en arbetsgivare utnyttjar denna rätt, ska den iaktta det lagstadgade förfarandet för begäran om straffregisterutdrag och behandling av utdrag.</w:t>
          </w:r>
        </w:p>
        <w:p w14:paraId="38FFB826" w14:textId="77777777" w:rsidR="00FC143A" w:rsidRDefault="00FC143A" w:rsidP="00FC143A">
          <w:pPr>
            <w:pStyle w:val="LLP1Otsikkotaso"/>
            <w:rPr>
              <w:lang w:val="sv-SE"/>
            </w:rPr>
          </w:pPr>
          <w:bookmarkStart w:id="17" w:name="_Toc53049205"/>
          <w:r w:rsidRPr="00FC143A">
            <w:rPr>
              <w:lang w:val="sv-SE"/>
            </w:rPr>
            <w:t xml:space="preserve">Bestämmelser på lägre nivå </w:t>
          </w:r>
          <w:r w:rsidR="002E6FA0">
            <w:rPr>
              <w:lang w:val="sv-SE"/>
            </w:rPr>
            <w:t>än</w:t>
          </w:r>
          <w:r w:rsidRPr="00FC143A">
            <w:rPr>
              <w:lang w:val="sv-SE"/>
            </w:rPr>
            <w:t xml:space="preserve"> lag</w:t>
          </w:r>
          <w:bookmarkEnd w:id="17"/>
        </w:p>
        <w:p w14:paraId="45485A5A" w14:textId="77777777" w:rsidR="00FC143A" w:rsidRPr="00FC143A" w:rsidRDefault="00FC143A" w:rsidP="00FC143A">
          <w:pPr>
            <w:pStyle w:val="LLPerustelujenkappalejako"/>
            <w:rPr>
              <w:lang w:val="sv-SE"/>
            </w:rPr>
          </w:pPr>
        </w:p>
        <w:p w14:paraId="03BF12A7" w14:textId="77777777" w:rsidR="005A26EB" w:rsidRDefault="005A26EB" w:rsidP="00FC143A">
          <w:pPr>
            <w:pStyle w:val="LLP1Otsikkotaso"/>
            <w:rPr>
              <w:lang w:val="sv-SE"/>
            </w:rPr>
          </w:pPr>
          <w:bookmarkStart w:id="18" w:name="_Toc53049206"/>
          <w:r w:rsidRPr="00FC143A">
            <w:rPr>
              <w:lang w:val="sv-SE"/>
            </w:rPr>
            <w:t>Ikraftträdande</w:t>
          </w:r>
          <w:bookmarkEnd w:id="18"/>
        </w:p>
        <w:p w14:paraId="543B4FFB" w14:textId="77777777" w:rsidR="00FC143A" w:rsidRPr="00FC143A" w:rsidRDefault="00317C1D" w:rsidP="00FC143A">
          <w:pPr>
            <w:pStyle w:val="LLPerustelujenkappalejako"/>
            <w:rPr>
              <w:lang w:val="sv-SE"/>
            </w:rPr>
          </w:pPr>
          <w:r w:rsidRPr="00317C1D">
            <w:rPr>
              <w:lang w:val="sv-SE"/>
            </w:rPr>
            <w:t>Det föreslås att lagen träder i kraft våren 2021.</w:t>
          </w:r>
        </w:p>
        <w:p w14:paraId="02783CAF" w14:textId="77777777" w:rsidR="00FC143A" w:rsidRDefault="00FC143A" w:rsidP="00FC143A">
          <w:pPr>
            <w:pStyle w:val="LLP1Otsikkotaso"/>
            <w:rPr>
              <w:lang w:val="sv-SE"/>
            </w:rPr>
          </w:pPr>
          <w:bookmarkStart w:id="19" w:name="_Toc53049207"/>
          <w:r w:rsidRPr="00FC143A">
            <w:rPr>
              <w:lang w:val="sv-SE"/>
            </w:rPr>
            <w:t>Verkställighet och uppföljning</w:t>
          </w:r>
          <w:bookmarkEnd w:id="19"/>
        </w:p>
        <w:p w14:paraId="59BCB9A6" w14:textId="77777777" w:rsidR="00FC143A" w:rsidRPr="00FC143A" w:rsidRDefault="00FC143A" w:rsidP="00FC143A">
          <w:pPr>
            <w:pStyle w:val="LLPerustelujenkappalejako"/>
            <w:rPr>
              <w:lang w:val="sv-SE"/>
            </w:rPr>
          </w:pPr>
        </w:p>
        <w:p w14:paraId="382AF85D" w14:textId="77777777" w:rsidR="00FC143A" w:rsidRDefault="00FC143A" w:rsidP="00FC143A">
          <w:pPr>
            <w:pStyle w:val="LLP1Otsikkotaso"/>
            <w:rPr>
              <w:lang w:val="sv-SE"/>
            </w:rPr>
          </w:pPr>
          <w:bookmarkStart w:id="20" w:name="_Toc53049208"/>
          <w:r w:rsidRPr="00FC143A">
            <w:rPr>
              <w:lang w:val="sv-SE"/>
            </w:rPr>
            <w:t>Förhållande till andra propositioner</w:t>
          </w:r>
          <w:bookmarkEnd w:id="20"/>
        </w:p>
        <w:p w14:paraId="6386D735" w14:textId="77777777" w:rsidR="00FC143A" w:rsidRPr="00FC143A" w:rsidRDefault="00317C1D" w:rsidP="00FC143A">
          <w:pPr>
            <w:pStyle w:val="LLPerustelujenkappalejako"/>
            <w:rPr>
              <w:lang w:val="sv-SE"/>
            </w:rPr>
          </w:pPr>
          <w:r w:rsidRPr="00317C1D">
            <w:rPr>
              <w:lang w:val="sv-SE"/>
            </w:rPr>
            <w:t>Det föreligger inget förhållande till andra propositioner.</w:t>
          </w:r>
        </w:p>
        <w:p w14:paraId="46FAFAC6" w14:textId="77777777" w:rsidR="00FC143A" w:rsidRDefault="00FC143A" w:rsidP="00FC143A">
          <w:pPr>
            <w:pStyle w:val="LLP2Otsikkotaso"/>
            <w:rPr>
              <w:lang w:val="sv-SE"/>
            </w:rPr>
          </w:pPr>
          <w:bookmarkStart w:id="21" w:name="_Toc53049209"/>
          <w:r w:rsidRPr="00FC143A">
            <w:rPr>
              <w:lang w:val="sv-SE"/>
            </w:rPr>
            <w:t>Samband med andra propositioner</w:t>
          </w:r>
          <w:bookmarkEnd w:id="21"/>
        </w:p>
        <w:p w14:paraId="257354B3" w14:textId="77777777" w:rsidR="00FC143A" w:rsidRPr="00FC143A" w:rsidRDefault="00FC143A" w:rsidP="00FC143A">
          <w:pPr>
            <w:pStyle w:val="LLPerustelujenkappalejako"/>
            <w:rPr>
              <w:lang w:val="sv-SE"/>
            </w:rPr>
          </w:pPr>
        </w:p>
        <w:p w14:paraId="5485178A" w14:textId="77777777" w:rsidR="00FC143A" w:rsidRDefault="002C60F2" w:rsidP="002C60F2">
          <w:pPr>
            <w:pStyle w:val="LLP2Otsikkotaso"/>
            <w:rPr>
              <w:lang w:val="sv-SE"/>
            </w:rPr>
          </w:pPr>
          <w:bookmarkStart w:id="22" w:name="_Toc53049210"/>
          <w:r w:rsidRPr="002C60F2">
            <w:rPr>
              <w:lang w:val="sv-SE"/>
            </w:rPr>
            <w:t>Förhållande till budgetpropositionen</w:t>
          </w:r>
          <w:bookmarkEnd w:id="22"/>
        </w:p>
        <w:p w14:paraId="10E4F209" w14:textId="77777777" w:rsidR="00FC143A" w:rsidRPr="00FC143A" w:rsidRDefault="00FC143A" w:rsidP="00FC143A">
          <w:pPr>
            <w:pStyle w:val="LLPerustelujenkappalejako"/>
            <w:rPr>
              <w:lang w:val="sv-SE"/>
            </w:rPr>
          </w:pPr>
        </w:p>
        <w:p w14:paraId="3A260223" w14:textId="77777777" w:rsidR="00FC143A" w:rsidRDefault="00FC143A" w:rsidP="00FC143A">
          <w:pPr>
            <w:pStyle w:val="LLP1Otsikkotaso"/>
            <w:rPr>
              <w:lang w:val="sv-SE"/>
            </w:rPr>
          </w:pPr>
          <w:bookmarkStart w:id="23" w:name="_Toc53049211"/>
          <w:r w:rsidRPr="00FC143A">
            <w:rPr>
              <w:lang w:val="sv-SE"/>
            </w:rPr>
            <w:t>Förhållande till grundlagen samt lagstiftningsordning</w:t>
          </w:r>
          <w:bookmarkEnd w:id="23"/>
        </w:p>
        <w:p w14:paraId="5F2CBB66" w14:textId="77777777" w:rsidR="007A3C6F" w:rsidRPr="007A3C6F" w:rsidRDefault="007A3C6F" w:rsidP="007A3C6F">
          <w:pPr>
            <w:pStyle w:val="LLPerustelujenkappalejako"/>
            <w:rPr>
              <w:lang w:val="sv-SE"/>
            </w:rPr>
          </w:pPr>
          <w:r w:rsidRPr="007A3C6F">
            <w:rPr>
              <w:lang w:val="sv-SE"/>
            </w:rPr>
            <w:t>Syftet med förfarandet med kontroll av brottslig bakgrund är att skydda minderårigas personliga integritet och främja deras personliga säkerhet. Med stöd av lagen om kontroll av brottslig bakgrund hos personer som arbetar med barn har man ingripit i arbetssökandes integritetsskydd endast i den utsträckning som varit nödvändigt med tanke på målet. Genom de föreslagna lagändringarna ändras inte i väsentlig utsträckning utgångspunkterna och de basala principerna för krav på uppvisande av straffregisterutdrag eller förfarandet vid behandlingen av straffregisterutdrag. Den föreslagna ändringen ger arbetsgivare endast rätt att kräva att få se ett registerutdrag enligt 6 § 2 mom. i straffregisterlagen, också när det är fråga om uppgifter som varar högst eller mindre än tre månader. Arbetsgivarna är inte skyldiga att ställa ett sådant krav. Varje arbetsgivare ska avgöra om den vill utöva rättigheten med beaktande bland annat av behovet att skydda minderårigas personliga integritet i samband med vikariearrangemang. Lagändringen innebär flexibilitet för arbetsgivarna att själva pröva behovet att kontrollera brottslig bakgrund också i kortvariga anställni</w:t>
          </w:r>
          <w:r>
            <w:rPr>
              <w:lang w:val="sv-SE"/>
            </w:rPr>
            <w:t>ngs- eller tjänsteförhållanden.</w:t>
          </w:r>
        </w:p>
        <w:p w14:paraId="521E2B38" w14:textId="77777777" w:rsidR="007A3C6F" w:rsidRPr="007A3C6F" w:rsidRDefault="007A3C6F" w:rsidP="007A3C6F">
          <w:pPr>
            <w:pStyle w:val="LLPerustelujenkappalejako"/>
            <w:rPr>
              <w:lang w:val="sv-SE"/>
            </w:rPr>
          </w:pPr>
          <w:r w:rsidRPr="007A3C6F">
            <w:rPr>
              <w:lang w:val="sv-SE"/>
            </w:rPr>
            <w:t>Viktiga frågor som måste regleras med hänsyn till det konstitutionella skyddet för personuppgifter är åtminstone syftet med registreringen, de registrerade uppgifternas innehåll, ändamålen för vilka uppgifter får användas inbegripet uppgifternas tillförlitlighet och deras förvaringstider samt den registrerades rättsskydd. Detsamma gäller i vilken utsträckning dessa omständigheter ska regleras och hur ingående på lagnivå (GrUU 14 och 25/1998 rd). Den gällande regleringen av dessa frågor ska som sådan tillämpas också i situationer där arbetsgivaren utnyttjar den föreslagna rätten att kontrollera brottslig bakgrund hos personer som arbetar med barn i uppgifter</w:t>
          </w:r>
          <w:r>
            <w:rPr>
              <w:lang w:val="sv-SE"/>
            </w:rPr>
            <w:t xml:space="preserve"> som varar i högst tre månader.</w:t>
          </w:r>
        </w:p>
        <w:p w14:paraId="6A6CE426" w14:textId="77777777" w:rsidR="007A3C6F" w:rsidRPr="007A3C6F" w:rsidRDefault="007A3C6F" w:rsidP="007A3C6F">
          <w:pPr>
            <w:pStyle w:val="LLPerustelujenkappalejako"/>
            <w:rPr>
              <w:lang w:val="sv-SE"/>
            </w:rPr>
          </w:pPr>
          <w:r w:rsidRPr="007A3C6F">
            <w:rPr>
              <w:lang w:val="sv-SE"/>
            </w:rPr>
            <w:t>Grundlagsutskottet har i sitt utlåtande GrUU 9/2002 rd bedömt regleringen mot bakgrunden av de grundläggande fri och rättigheterna. Syftet med lagen är att minska risken för att barn utnyttjas sexuellt, utsätts för våld eller lockas att använda droger. Målen är förankrade i 7 § 1 mom. i grundlagen, som föreskriver att alla har rätt till personlig integritet och trygghet. Också bestämmelsen om det allmännas skyldighet enligt 19 § 3 mom. i grundlagen att stödja de som svarar för omsorgen om barn för att de ska kunna trygga barnets välfärd och uppväxt spelar en framträdande roll. Dessutom har Finland tillträtt konventionen om barnets rättigheter och därmed åtagit sig att skydda barnen mot alla former av våld, användning av narkotika och alla former av sexuellt utnyttjande och sexuella övergrepp. Med avseende på de grundläggande fri- och rättigheterna finns det således godtagbara och vägande s</w:t>
          </w:r>
          <w:r>
            <w:rPr>
              <w:lang w:val="sv-SE"/>
            </w:rPr>
            <w:t>käl för bestämmelserna i lagen.</w:t>
          </w:r>
        </w:p>
        <w:p w14:paraId="6E7979B7" w14:textId="77777777" w:rsidR="007A3C6F" w:rsidRPr="007A3C6F" w:rsidRDefault="007A3C6F" w:rsidP="007A3C6F">
          <w:pPr>
            <w:pStyle w:val="LLPerustelujenkappalejako"/>
            <w:rPr>
              <w:lang w:val="sv-SE"/>
            </w:rPr>
          </w:pPr>
          <w:r w:rsidRPr="007A3C6F">
            <w:rPr>
              <w:lang w:val="sv-SE"/>
            </w:rPr>
            <w:t>I lagförslaget utreds uppgifter om brott bara när ett anställnings- eller tjänsteförhållande innefattar arbetsuppgifter där den anställda varaktigt och i väsentlig grad umgås med barn. Dessutom gäller förfarandet bara personer som får ett anställnings- eller tjänsteförhållande och personer som första gången tilldelas arbetsuppgifter som omfattas av de föreslagna lagbestämmelserna. Det är de anställda själva som skall skaffa fram ett utdrag ur straffregistret. Utdraget blir inte hos arbetsgivaren utan denne ska utan dröjsmål lämna tillbaka det till den anställda. Utdraget ur straffregistret ska innehålla de straff som nämns i 6 § 2 mom. straffregisterlagen om de är av betydelse för lagens syften. I sina personuppgifter får arbetsgivaren bara anteckna att den anställda har visat upp ett registerutdrag och ange identifieringsuppgifter för utdraget. Utskottet har ingenting att anmärka med anledning av proportionaliteten.</w:t>
          </w:r>
        </w:p>
        <w:p w14:paraId="453F619C" w14:textId="77777777" w:rsidR="007A3C6F" w:rsidRPr="007A3C6F" w:rsidRDefault="007A3C6F" w:rsidP="007A3C6F">
          <w:pPr>
            <w:pStyle w:val="LLPerustelujenkappalejako"/>
            <w:rPr>
              <w:lang w:val="sv-SE"/>
            </w:rPr>
          </w:pPr>
          <w:r w:rsidRPr="007A3C6F">
            <w:rPr>
              <w:lang w:val="sv-SE"/>
            </w:rPr>
            <w:t>Grundlagsutskottet ansåg i utlåtandet GrUU 9/2002 rd att lagförslagen kan behandlas i vanlig lagstiftningsordning. Denna konstitutionella bedömning påverkas inte av om det första lagförslaget har en bestämmelse i likhet med den första meningen i 2 § 3 mom. eller inte. I lagförslaget föreskriver 2 § 3 mom. att lagen inte tillämpas på arbetsuppgifter som sammanlagt varar högst tre månader under en ettårsperiod. De föreslagna bestämmelserna om kontroll av brottslig bakgrund medför inga problem med avseende på 18 § 1 mom., som skyddar vars och ens rätt att fritt välja arbete och yrke.</w:t>
          </w:r>
        </w:p>
        <w:p w14:paraId="5E06C820" w14:textId="69626A26" w:rsidR="008414FE" w:rsidRPr="00FC143A" w:rsidRDefault="007A3C6F" w:rsidP="00FC143A">
          <w:pPr>
            <w:pStyle w:val="LLPerustelujenkappalejako"/>
            <w:rPr>
              <w:lang w:val="sv-SE"/>
            </w:rPr>
          </w:pPr>
          <w:r w:rsidRPr="007A3C6F">
            <w:rPr>
              <w:lang w:val="sv-SE"/>
            </w:rPr>
            <w:t>Enligt regeringens uppfattning kränker de föreslagna lagändringarna om kontroll av brottslig bakgrund inte de grundläggande fri- och rättigheterna enligt grundlagen eller de riktlinjer som framgår av de ovannämnda utlåtandena från grundlagsutskottet. Ändringsförslagen kan således behandlas</w:t>
          </w:r>
          <w:r w:rsidR="00CC4117">
            <w:rPr>
              <w:lang w:val="sv-SE"/>
            </w:rPr>
            <w:t xml:space="preserve"> i vanlig lagstiftningsordning.</w:t>
          </w:r>
        </w:p>
      </w:sdtContent>
    </w:sdt>
    <w:p w14:paraId="45385F99" w14:textId="77777777" w:rsidR="004A648F" w:rsidRPr="00FC143A" w:rsidRDefault="004A648F" w:rsidP="004A648F">
      <w:pPr>
        <w:pStyle w:val="LLNormaali"/>
        <w:rPr>
          <w:lang w:val="sv-SE"/>
        </w:rPr>
      </w:pPr>
    </w:p>
    <w:p w14:paraId="1EB8409C" w14:textId="77777777" w:rsidR="00013966" w:rsidRPr="009F073B" w:rsidRDefault="00013966" w:rsidP="009F073B">
      <w:pPr>
        <w:pStyle w:val="LLPonsi"/>
        <w:rPr>
          <w:i/>
          <w:lang w:val="sv-SE"/>
        </w:rPr>
      </w:pPr>
      <w:r w:rsidRPr="009F073B">
        <w:rPr>
          <w:i/>
          <w:lang w:val="sv-SE"/>
        </w:rPr>
        <w:t>Kläm</w:t>
      </w:r>
    </w:p>
    <w:p w14:paraId="1D9353DA" w14:textId="77777777" w:rsidR="00370114" w:rsidRPr="00940745" w:rsidRDefault="00940745" w:rsidP="009C4545">
      <w:pPr>
        <w:pStyle w:val="LLPonsi"/>
        <w:rPr>
          <w:lang w:val="sv-SE"/>
        </w:rPr>
      </w:pPr>
      <w:r w:rsidRPr="00940745">
        <w:rPr>
          <w:lang w:val="sv-SE"/>
        </w:rPr>
        <w:t>Med stöd av vad som anförts ovan föreläggs riksdagen följande lagförslag:</w:t>
      </w:r>
    </w:p>
    <w:p w14:paraId="380487FF" w14:textId="77777777" w:rsidR="004A648F" w:rsidRPr="00940745" w:rsidRDefault="004A648F" w:rsidP="00370114">
      <w:pPr>
        <w:pStyle w:val="LLNormaali"/>
        <w:rPr>
          <w:lang w:val="sv-SE"/>
        </w:rPr>
      </w:pPr>
    </w:p>
    <w:p w14:paraId="20E20526" w14:textId="77777777" w:rsidR="00393B53" w:rsidRPr="00940745" w:rsidRDefault="00EA5FF7" w:rsidP="00370114">
      <w:pPr>
        <w:pStyle w:val="LLNormaali"/>
        <w:rPr>
          <w:lang w:val="sv-SE"/>
        </w:rPr>
      </w:pPr>
      <w:r w:rsidRPr="00940745">
        <w:rPr>
          <w:lang w:val="sv-SE"/>
        </w:rPr>
        <w:br w:type="page"/>
      </w:r>
    </w:p>
    <w:bookmarkStart w:id="24" w:name="_Toc53049212" w:displacedByCustomXml="next"/>
    <w:sdt>
      <w:sdtPr>
        <w:alias w:val="Lakiehdotukset"/>
        <w:tag w:val="CCLakiehdotukset"/>
        <w:id w:val="963541248"/>
        <w:placeholder>
          <w:docPart w:val="5472C48348FD474C92CE1A55019AE388"/>
        </w:placeholder>
        <w15:color w:val="00FFFF"/>
      </w:sdtPr>
      <w:sdtEndPr/>
      <w:sdtContent>
        <w:p w14:paraId="19EC4F89" w14:textId="6FF82026"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24" w:displacedByCustomXml="prev"/>
    <w:sdt>
      <w:sdtPr>
        <w:alias w:val="Lakiehdotus"/>
        <w:tag w:val="CCLakiehdotukset"/>
        <w:id w:val="1695884352"/>
        <w:placeholder>
          <w:docPart w:val="35567166B5E0431DAF5E75BCBEBA84E6"/>
        </w:placeholder>
        <w15:color w:val="00FFFF"/>
      </w:sdtPr>
      <w:sdtEndPr/>
      <w:sdtContent>
        <w:p w14:paraId="19B3EE3F" w14:textId="77777777" w:rsidR="009167E1" w:rsidRPr="00C05DCD" w:rsidRDefault="009167E1" w:rsidP="00C13B96">
          <w:pPr>
            <w:pStyle w:val="LLNormaali"/>
            <w:rPr>
              <w:lang w:val="sv-SE"/>
            </w:rPr>
          </w:pPr>
        </w:p>
        <w:p w14:paraId="26C7B88F" w14:textId="77777777" w:rsidR="009167E1" w:rsidRPr="00F55843" w:rsidRDefault="00F55843" w:rsidP="009732F5">
          <w:pPr>
            <w:pStyle w:val="LLLaki"/>
            <w:rPr>
              <w:lang w:val="sv-SE"/>
            </w:rPr>
          </w:pPr>
          <w:r w:rsidRPr="00F55843">
            <w:rPr>
              <w:lang w:val="sv-SE"/>
            </w:rPr>
            <w:t>Lag</w:t>
          </w:r>
        </w:p>
        <w:p w14:paraId="57001F56" w14:textId="77777777" w:rsidR="009167E1" w:rsidRPr="00F55843" w:rsidRDefault="00F55843" w:rsidP="0082264A">
          <w:pPr>
            <w:pStyle w:val="LLSaadoksenNimi"/>
            <w:rPr>
              <w:lang w:val="sv-SE"/>
            </w:rPr>
          </w:pPr>
          <w:bookmarkStart w:id="25" w:name="_Toc53049213"/>
          <w:r w:rsidRPr="00F55843">
            <w:rPr>
              <w:lang w:val="sv-SE"/>
            </w:rPr>
            <w:t>om ändring av</w:t>
          </w:r>
          <w:r w:rsidR="007A3C6F" w:rsidRPr="007A3C6F">
            <w:rPr>
              <w:lang w:val="sv-SE"/>
            </w:rPr>
            <w:t xml:space="preserve"> 2 och 3 § i lagen om kontroll av brottslig bakgrund hos personer som arbetar med barn</w:t>
          </w:r>
          <w:bookmarkEnd w:id="25"/>
        </w:p>
        <w:p w14:paraId="3ABF1AD5" w14:textId="77777777" w:rsidR="009167E1" w:rsidRPr="00F55843" w:rsidRDefault="00F55843" w:rsidP="009167E1">
          <w:pPr>
            <w:pStyle w:val="LLJohtolauseKappaleet"/>
            <w:rPr>
              <w:lang w:val="sv-SE"/>
            </w:rPr>
          </w:pPr>
          <w:r w:rsidRPr="00F55843">
            <w:rPr>
              <w:lang w:val="sv-SE"/>
            </w:rPr>
            <w:t>I enlighet med ri</w:t>
          </w:r>
          <w:r>
            <w:rPr>
              <w:lang w:val="sv-SE"/>
            </w:rPr>
            <w:t>ksdagens beslut</w:t>
          </w:r>
        </w:p>
        <w:p w14:paraId="50752921" w14:textId="77777777" w:rsidR="007A3C6F" w:rsidRPr="007A3C6F" w:rsidRDefault="00F55843" w:rsidP="007A3C6F">
          <w:pPr>
            <w:pStyle w:val="LLJohtolauseKappaleet"/>
            <w:rPr>
              <w:i/>
              <w:lang w:val="sv-SE"/>
            </w:rPr>
          </w:pPr>
          <w:r w:rsidRPr="00F55843">
            <w:rPr>
              <w:i/>
              <w:lang w:val="sv-SE"/>
            </w:rPr>
            <w:t>ändras</w:t>
          </w:r>
          <w:r w:rsidR="007A3C6F" w:rsidRPr="007A3C6F">
            <w:rPr>
              <w:lang w:val="sv-SE"/>
            </w:rPr>
            <w:t xml:space="preserve"> i lagen om kontroll av brottslig bakgrund hos personer som arbetar med barn (504/2002) rubriken för 3 §, samt</w:t>
          </w:r>
        </w:p>
        <w:p w14:paraId="39B7C954" w14:textId="77777777" w:rsidR="00DD46C1" w:rsidRPr="007B2B39" w:rsidRDefault="007A3C6F" w:rsidP="007A3C6F">
          <w:pPr>
            <w:pStyle w:val="LLJohtolauseKappaleet"/>
            <w:rPr>
              <w:lang w:val="sv-SE"/>
            </w:rPr>
          </w:pPr>
          <w:r w:rsidRPr="007A3C6F">
            <w:rPr>
              <w:i/>
              <w:lang w:val="sv-SE"/>
            </w:rPr>
            <w:t xml:space="preserve">fogas </w:t>
          </w:r>
          <w:r w:rsidRPr="007A3C6F">
            <w:rPr>
              <w:lang w:val="sv-SE"/>
            </w:rPr>
            <w:t>till 2 § ett nytt 4 mom. och till 3 § ett nytt 4 mom. som följer:</w:t>
          </w:r>
        </w:p>
        <w:p w14:paraId="5AB37C66" w14:textId="77777777" w:rsidR="0000497A" w:rsidRPr="007B2B39" w:rsidRDefault="0000497A" w:rsidP="00426EAE">
          <w:pPr>
            <w:pStyle w:val="LLNormaali"/>
            <w:rPr>
              <w:lang w:val="sv-SE"/>
            </w:rPr>
          </w:pPr>
        </w:p>
        <w:p w14:paraId="32B82993" w14:textId="77777777" w:rsidR="009167E1" w:rsidRDefault="007A3C6F" w:rsidP="00BA71BD">
          <w:pPr>
            <w:pStyle w:val="LLPykala"/>
            <w:rPr>
              <w:lang w:val="sv-SE"/>
            </w:rPr>
          </w:pPr>
          <w:r>
            <w:rPr>
              <w:lang w:val="sv-SE"/>
            </w:rPr>
            <w:t>2</w:t>
          </w:r>
          <w:r w:rsidR="009167E1" w:rsidRPr="007B2B39">
            <w:rPr>
              <w:lang w:val="sv-SE"/>
            </w:rPr>
            <w:t xml:space="preserve"> §</w:t>
          </w:r>
        </w:p>
        <w:p w14:paraId="5E1FC20B" w14:textId="2C755B3E" w:rsidR="007A3C6F" w:rsidRDefault="007A3C6F" w:rsidP="007A3C6F">
          <w:pPr>
            <w:pStyle w:val="LLPykalanOtsikko"/>
            <w:rPr>
              <w:lang w:val="sv-SE"/>
            </w:rPr>
          </w:pPr>
          <w:r w:rsidRPr="00AD5D80">
            <w:rPr>
              <w:lang w:val="sv-SE"/>
            </w:rPr>
            <w:t>Tillämpningsområde</w:t>
          </w:r>
        </w:p>
        <w:p w14:paraId="2BF4D266" w14:textId="77777777" w:rsidR="00C75C54" w:rsidRPr="00C75C54" w:rsidRDefault="00C75C54" w:rsidP="00BA71BD">
          <w:pPr>
            <w:pStyle w:val="LLNormaali"/>
            <w:rPr>
              <w:lang w:val="sv-SE"/>
            </w:rPr>
          </w:pPr>
          <w:r w:rsidRPr="00C75C54">
            <w:rPr>
              <w:lang w:val="sv-SE"/>
            </w:rPr>
            <w:t>— — — — — — — — — — — — — — — — — — — — — — — — — — — — — —</w:t>
          </w:r>
        </w:p>
        <w:p w14:paraId="03641171" w14:textId="77777777" w:rsidR="007A3C6F" w:rsidRPr="007A3C6F" w:rsidRDefault="007A3C6F" w:rsidP="007A3C6F">
          <w:pPr>
            <w:pStyle w:val="LLKappalejako"/>
            <w:rPr>
              <w:lang w:val="sv-SE"/>
            </w:rPr>
          </w:pPr>
          <w:r w:rsidRPr="007A3C6F">
            <w:rPr>
              <w:lang w:val="sv-SE"/>
            </w:rPr>
            <w:t>Om arbetsgivaren utnyttjar den möjlighet som avses i 3 § 4 mom. att kräva uppvisande av straffregisterutdrag i uppgifter som sammanlagt varar högst tre månader, ska denna lag tillämpas.</w:t>
          </w:r>
        </w:p>
        <w:p w14:paraId="30FDCFAD" w14:textId="77777777" w:rsidR="007A3C6F" w:rsidRPr="007A3C6F" w:rsidRDefault="007A3C6F" w:rsidP="007A3C6F">
          <w:pPr>
            <w:pStyle w:val="LLPykala"/>
            <w:rPr>
              <w:lang w:val="sv-SE"/>
            </w:rPr>
          </w:pPr>
          <w:r w:rsidRPr="007A3C6F">
            <w:rPr>
              <w:lang w:val="sv-SE"/>
            </w:rPr>
            <w:t>3 §</w:t>
          </w:r>
        </w:p>
        <w:p w14:paraId="1414FF76" w14:textId="3638C138" w:rsidR="00CF085F" w:rsidRDefault="007A3C6F" w:rsidP="007A3C6F">
          <w:pPr>
            <w:pStyle w:val="LLPykalanOtsikko"/>
            <w:rPr>
              <w:lang w:val="sv-SE"/>
            </w:rPr>
          </w:pPr>
          <w:r w:rsidRPr="007A3C6F">
            <w:rPr>
              <w:lang w:val="sv-SE"/>
            </w:rPr>
            <w:t>Arbetsgivarens skyldighet och rätt att kräva uppvisande av straffregisterutdrag</w:t>
          </w:r>
        </w:p>
        <w:p w14:paraId="3C903516" w14:textId="77777777" w:rsidR="00C75C54" w:rsidRPr="00C75C54" w:rsidRDefault="00C75C54" w:rsidP="00BA71BD">
          <w:pPr>
            <w:pStyle w:val="LLNormaali"/>
            <w:rPr>
              <w:lang w:val="sv-SE"/>
            </w:rPr>
          </w:pPr>
          <w:r w:rsidRPr="00C75C54">
            <w:rPr>
              <w:lang w:val="sv-SE"/>
            </w:rPr>
            <w:t>— — — — — — — — — — — — — — — — — — — — — — — — — — — — — —</w:t>
          </w:r>
        </w:p>
        <w:p w14:paraId="0498FCA8" w14:textId="77777777" w:rsidR="009167E1" w:rsidRPr="00C17224" w:rsidRDefault="007A3C6F" w:rsidP="00F06DEC">
          <w:pPr>
            <w:pStyle w:val="LLKappalejako"/>
            <w:rPr>
              <w:lang w:val="sv-SE"/>
            </w:rPr>
          </w:pPr>
          <w:r w:rsidRPr="007A3C6F">
            <w:rPr>
              <w:lang w:val="sv-SE"/>
            </w:rPr>
            <w:t>Arbetsgivaren har rätt att kräva att en person visar upp ett straffregisterutdrag enligt 6 § 2 mom. i straffregisterlagen, i uppgifter som sammanlagt varar högst tre månader under en ettårsperiod.</w:t>
          </w:r>
        </w:p>
        <w:p w14:paraId="7C2161A4" w14:textId="77777777" w:rsidR="00BA71BD" w:rsidRPr="007B2B39" w:rsidRDefault="00BA71BD" w:rsidP="00BA71BD">
          <w:pPr>
            <w:pStyle w:val="LLNormaali"/>
            <w:jc w:val="center"/>
            <w:rPr>
              <w:lang w:val="sv-SE"/>
            </w:rPr>
          </w:pPr>
          <w:r w:rsidRPr="007B2B39">
            <w:rPr>
              <w:lang w:val="sv-SE"/>
            </w:rPr>
            <w:t>———</w:t>
          </w:r>
        </w:p>
        <w:p w14:paraId="27ABBBA7" w14:textId="77777777" w:rsidR="00BA71BD" w:rsidRPr="00F55843" w:rsidRDefault="00F55843" w:rsidP="00BA71BD">
          <w:pPr>
            <w:pStyle w:val="LLVoimaantulokappale"/>
            <w:rPr>
              <w:lang w:val="sv-SE"/>
            </w:rPr>
          </w:pPr>
          <w:r w:rsidRPr="00F55843">
            <w:rPr>
              <w:lang w:val="sv-SE"/>
            </w:rPr>
            <w:t>Denna lag träder i kraft den   20  .</w:t>
          </w:r>
        </w:p>
        <w:p w14:paraId="024ABEE1" w14:textId="77777777" w:rsidR="004A648F" w:rsidRDefault="00BA71BD" w:rsidP="00BA71BD">
          <w:pPr>
            <w:pStyle w:val="LLNormaali"/>
            <w:jc w:val="center"/>
          </w:pPr>
          <w:r>
            <w:t>—————</w:t>
          </w:r>
        </w:p>
        <w:p w14:paraId="08895C9D" w14:textId="16A4871E" w:rsidR="00BF4087" w:rsidRDefault="003D19CB" w:rsidP="00BF4087">
          <w:pPr>
            <w:pStyle w:val="LLNormaali"/>
          </w:pPr>
        </w:p>
      </w:sdtContent>
    </w:sdt>
    <w:p w14:paraId="18B2A039" w14:textId="77777777" w:rsidR="004A648F" w:rsidRDefault="004A648F" w:rsidP="00BC74A6">
      <w:pPr>
        <w:pStyle w:val="LLNormaali"/>
        <w:rPr>
          <w:rFonts w:eastAsia="Times New Roman"/>
          <w:i/>
          <w:szCs w:val="24"/>
          <w:lang w:val="sv-SE" w:eastAsia="fi-FI"/>
        </w:rPr>
      </w:pPr>
    </w:p>
    <w:p w14:paraId="17B9631F" w14:textId="77777777" w:rsidR="00BC74A6" w:rsidRPr="000D7B48" w:rsidRDefault="00BC74A6" w:rsidP="00BC74A6">
      <w:pPr>
        <w:pStyle w:val="LLNormaali"/>
      </w:pPr>
    </w:p>
    <w:p w14:paraId="3E1C5E3D" w14:textId="77777777" w:rsidR="00137260" w:rsidRPr="000D7B48" w:rsidRDefault="00137260" w:rsidP="00BC74A6">
      <w:pPr>
        <w:pStyle w:val="LLNormaali"/>
      </w:pPr>
    </w:p>
    <w:sdt>
      <w:sdtPr>
        <w:rPr>
          <w:lang w:val="sv-SE"/>
        </w:rPr>
        <w:alias w:val="Päiväys"/>
        <w:tag w:val="CCPaivays"/>
        <w:id w:val="-857742363"/>
        <w:lock w:val="sdtLocked"/>
        <w:placeholder>
          <w:docPart w:val="5472C48348FD474C92CE1A55019AE388"/>
        </w:placeholder>
        <w15:color w:val="33CCCC"/>
        <w:text/>
      </w:sdtPr>
      <w:sdtEndPr/>
      <w:sdtContent>
        <w:p w14:paraId="61580E4E" w14:textId="14067BD0" w:rsidR="005F6E65" w:rsidRPr="00F55843" w:rsidRDefault="002C60F2" w:rsidP="005F6E65">
          <w:pPr>
            <w:pStyle w:val="LLPaivays"/>
            <w:rPr>
              <w:lang w:val="sv-SE"/>
            </w:rPr>
          </w:pPr>
          <w:r w:rsidRPr="002C60F2">
            <w:rPr>
              <w:lang w:val="sv-SE"/>
            </w:rPr>
            <w:t>Helsingfors den    20xx</w:t>
          </w:r>
        </w:p>
      </w:sdtContent>
    </w:sdt>
    <w:p w14:paraId="0A29BB14" w14:textId="77777777" w:rsidR="005F6E65" w:rsidRPr="00F55843" w:rsidRDefault="005F6E65" w:rsidP="00267E16">
      <w:pPr>
        <w:pStyle w:val="LLNormaali"/>
        <w:rPr>
          <w:lang w:val="sv-SE"/>
        </w:rPr>
      </w:pPr>
    </w:p>
    <w:sdt>
      <w:sdtPr>
        <w:alias w:val="Allekirjoittajan asema"/>
        <w:tag w:val="CCAllekirjoitus"/>
        <w:id w:val="1565067034"/>
        <w:lock w:val="sdtLocked"/>
        <w:placeholder>
          <w:docPart w:val="5472C48348FD474C92CE1A55019AE388"/>
        </w:placeholder>
        <w15:color w:val="00FFFF"/>
      </w:sdtPr>
      <w:sdtEndPr/>
      <w:sdtContent>
        <w:p w14:paraId="7DFAA197" w14:textId="1BF415CE" w:rsidR="005F6E65" w:rsidRPr="007B2B39" w:rsidRDefault="00F55843" w:rsidP="005F6E65">
          <w:pPr>
            <w:pStyle w:val="LLAllekirjoitus"/>
            <w:rPr>
              <w:lang w:val="sv-SE"/>
            </w:rPr>
          </w:pPr>
          <w:r w:rsidRPr="007B2B39">
            <w:rPr>
              <w:lang w:val="sv-SE"/>
            </w:rPr>
            <w:t>Statsminister</w:t>
          </w:r>
        </w:p>
      </w:sdtContent>
    </w:sdt>
    <w:p w14:paraId="131607F5" w14:textId="77777777" w:rsidR="005F6E65" w:rsidRPr="00F55843" w:rsidRDefault="002C60F2" w:rsidP="00385A06">
      <w:pPr>
        <w:pStyle w:val="LLNimenselvennys"/>
        <w:rPr>
          <w:lang w:val="sv-SE"/>
        </w:rPr>
      </w:pPr>
      <w:r>
        <w:rPr>
          <w:lang w:val="sv-SE"/>
        </w:rPr>
        <w:t>Sanna Marin</w:t>
      </w:r>
    </w:p>
    <w:p w14:paraId="4F3BFD46" w14:textId="77777777" w:rsidR="005F6E65" w:rsidRPr="00F55843" w:rsidRDefault="005F6E65" w:rsidP="00267E16">
      <w:pPr>
        <w:pStyle w:val="LLNormaali"/>
        <w:rPr>
          <w:lang w:val="sv-SE"/>
        </w:rPr>
      </w:pPr>
    </w:p>
    <w:p w14:paraId="4B7033E8" w14:textId="77777777" w:rsidR="005F6E65" w:rsidRPr="00F55843" w:rsidRDefault="005F6E65" w:rsidP="00267E16">
      <w:pPr>
        <w:pStyle w:val="LLNormaali"/>
        <w:rPr>
          <w:lang w:val="sv-SE"/>
        </w:rPr>
      </w:pPr>
    </w:p>
    <w:p w14:paraId="2A841E14" w14:textId="77777777" w:rsidR="005F6E65" w:rsidRPr="00F55843" w:rsidRDefault="005F6E65" w:rsidP="00267E16">
      <w:pPr>
        <w:pStyle w:val="LLNormaali"/>
        <w:rPr>
          <w:lang w:val="sv-SE"/>
        </w:rPr>
      </w:pPr>
    </w:p>
    <w:p w14:paraId="2982B418" w14:textId="77777777" w:rsidR="005F6E65" w:rsidRPr="00F55843" w:rsidRDefault="005F6E65" w:rsidP="00267E16">
      <w:pPr>
        <w:pStyle w:val="LLNormaali"/>
        <w:rPr>
          <w:lang w:val="sv-SE"/>
        </w:rPr>
      </w:pPr>
    </w:p>
    <w:p w14:paraId="1643B37F" w14:textId="77777777" w:rsidR="005F6E65" w:rsidRPr="00F55843" w:rsidRDefault="001D08D7" w:rsidP="005F6E65">
      <w:pPr>
        <w:pStyle w:val="LLVarmennus"/>
        <w:rPr>
          <w:lang w:val="sv-SE"/>
        </w:rPr>
      </w:pPr>
      <w:r>
        <w:rPr>
          <w:lang w:val="sv-SE"/>
        </w:rPr>
        <w:t>Arbetsminister Tuula Haatainen</w:t>
      </w:r>
    </w:p>
    <w:p w14:paraId="3E49BA25" w14:textId="77777777" w:rsidR="004B1827" w:rsidRPr="00F55843" w:rsidRDefault="000A334A" w:rsidP="003920F1">
      <w:pPr>
        <w:pStyle w:val="LLNormaali"/>
        <w:rPr>
          <w:lang w:val="sv-SE"/>
        </w:rPr>
        <w:sectPr w:rsidR="004B1827" w:rsidRPr="00F55843" w:rsidSect="00C85EB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780" w:bottom="2155" w:left="1780" w:header="1701" w:footer="1911" w:gutter="0"/>
          <w:cols w:space="720"/>
          <w:formProt w:val="0"/>
          <w:titlePg/>
          <w:docGrid w:linePitch="360"/>
        </w:sectPr>
      </w:pPr>
      <w:r w:rsidRPr="00F55843">
        <w:rPr>
          <w:lang w:val="sv-SE"/>
        </w:rPr>
        <w:br w:type="page"/>
      </w:r>
    </w:p>
    <w:bookmarkStart w:id="26" w:name="_Toc53049214" w:displacedByCustomXml="next"/>
    <w:sdt>
      <w:sdtPr>
        <w:rPr>
          <w:lang w:val="sv-SE"/>
        </w:rPr>
        <w:alias w:val="Liitteet"/>
        <w:tag w:val="CCLiitteet"/>
        <w:id w:val="-100575990"/>
        <w:placeholder>
          <w:docPart w:val="DDF828FAB6C84CD7BF7D5A78673B8C8F"/>
        </w:placeholder>
        <w15:color w:val="33CCCC"/>
        <w:comboBox>
          <w:listItem w:value="Valitse kohde."/>
          <w:listItem w:displayText="Bilaga" w:value="Bilaga"/>
          <w:listItem w:displayText="Bilagor" w:value="Bilagor"/>
        </w:comboBox>
      </w:sdtPr>
      <w:sdtEndPr/>
      <w:sdtContent>
        <w:p w14:paraId="2D770153" w14:textId="320BBBD5" w:rsidR="000A334A" w:rsidRPr="008021BF" w:rsidRDefault="00C75C54" w:rsidP="004B1827">
          <w:pPr>
            <w:pStyle w:val="LLLiite"/>
            <w:rPr>
              <w:lang w:val="sv-SE"/>
            </w:rPr>
          </w:pPr>
          <w:r>
            <w:rPr>
              <w:lang w:val="sv-SE"/>
            </w:rPr>
            <w:t>Bilaga</w:t>
          </w:r>
        </w:p>
      </w:sdtContent>
    </w:sdt>
    <w:bookmarkEnd w:id="26" w:displacedByCustomXml="prev"/>
    <w:bookmarkStart w:id="27" w:name="_Toc53049215" w:displacedByCustomXml="next"/>
    <w:sdt>
      <w:sdtPr>
        <w:rPr>
          <w:lang w:val="sv-SE"/>
        </w:rPr>
        <w:alias w:val="Rinnakkaistekstit"/>
        <w:tag w:val="CCRinnakkaistekstit"/>
        <w:id w:val="351308721"/>
        <w:placeholder>
          <w:docPart w:val="BAF874973082439D901F2A01044BB7C2"/>
        </w:placeholder>
        <w15:color w:val="00FFFF"/>
        <w:comboBox>
          <w:listItem w:displayText="Parallelltext" w:value="Parallelltext"/>
          <w:listItem w:displayText="Parallelltexter" w:value="Parallelltexter"/>
        </w:comboBox>
      </w:sdtPr>
      <w:sdtEndPr/>
      <w:sdtContent>
        <w:p w14:paraId="497A8580" w14:textId="466CD120" w:rsidR="00B34684" w:rsidRPr="00223FDF" w:rsidRDefault="00CB0A42" w:rsidP="00B34684">
          <w:pPr>
            <w:pStyle w:val="LLRinnakkaistekstit"/>
            <w:rPr>
              <w:lang w:val="sv-SE"/>
            </w:rPr>
          </w:pPr>
          <w:r w:rsidRPr="00223FDF">
            <w:rPr>
              <w:lang w:val="sv-SE"/>
            </w:rPr>
            <w:t>Parallelltext</w:t>
          </w:r>
        </w:p>
      </w:sdtContent>
    </w:sdt>
    <w:bookmarkEnd w:id="27" w:displacedByCustomXml="prev"/>
    <w:p w14:paraId="7C6049C0" w14:textId="77777777" w:rsidR="00B34684" w:rsidRPr="00223FDF" w:rsidRDefault="00B34684" w:rsidP="00B34684">
      <w:pPr>
        <w:pStyle w:val="LLNormaali"/>
        <w:rPr>
          <w:lang w:val="sv-SE" w:eastAsia="fi-FI"/>
        </w:rPr>
      </w:pPr>
    </w:p>
    <w:sdt>
      <w:sdtPr>
        <w:rPr>
          <w:lang w:val="sv-SE"/>
        </w:rPr>
        <w:alias w:val="Rinnakkaisteksti"/>
        <w:tag w:val="CCRinnakkaisteksti"/>
        <w:id w:val="699436702"/>
        <w:placeholder>
          <w:docPart w:val="5472C48348FD474C92CE1A55019AE388"/>
        </w:placeholder>
        <w15:color w:val="33CCCC"/>
      </w:sdtPr>
      <w:sdtEndPr/>
      <w:sdtContent>
        <w:p w14:paraId="14FA4B2E" w14:textId="77777777" w:rsidR="008A3DB3" w:rsidRPr="004903C3" w:rsidRDefault="008A3DB3" w:rsidP="00B34684">
          <w:pPr>
            <w:pStyle w:val="LLNormaali"/>
            <w:rPr>
              <w:rFonts w:eastAsia="Times New Roman"/>
              <w:szCs w:val="24"/>
              <w:lang w:val="sv-SE" w:eastAsia="fi-FI"/>
            </w:rPr>
          </w:pPr>
        </w:p>
        <w:p w14:paraId="6122E413" w14:textId="77777777" w:rsidR="001B2357" w:rsidRPr="004903C3" w:rsidRDefault="00600C5E" w:rsidP="001B2357">
          <w:pPr>
            <w:pStyle w:val="LLLaki"/>
            <w:rPr>
              <w:lang w:val="sv-SE"/>
            </w:rPr>
          </w:pPr>
          <w:r w:rsidRPr="004903C3">
            <w:rPr>
              <w:lang w:val="sv-SE"/>
            </w:rPr>
            <w:t>Lag</w:t>
          </w:r>
        </w:p>
        <w:p w14:paraId="0733114E" w14:textId="2AEBA950" w:rsidR="00C75C54" w:rsidRPr="00F55843" w:rsidRDefault="00C75C54" w:rsidP="00C75C54">
          <w:pPr>
            <w:pStyle w:val="LLSaadoksenNimi"/>
            <w:rPr>
              <w:lang w:val="sv-SE"/>
            </w:rPr>
          </w:pPr>
          <w:bookmarkStart w:id="28" w:name="_Toc53049216"/>
          <w:r w:rsidRPr="00F55843">
            <w:rPr>
              <w:lang w:val="sv-SE"/>
            </w:rPr>
            <w:t>om ändring av</w:t>
          </w:r>
          <w:r w:rsidRPr="007A3C6F">
            <w:rPr>
              <w:lang w:val="sv-SE"/>
            </w:rPr>
            <w:t xml:space="preserve"> 2 och 3 § i lagen om kontroll av brottslig bakgrund hos personer som arbetar med barn</w:t>
          </w:r>
          <w:bookmarkEnd w:id="28"/>
        </w:p>
        <w:p w14:paraId="7105B93A" w14:textId="77777777" w:rsidR="00C75C54" w:rsidRPr="00F55843" w:rsidRDefault="00C75C54" w:rsidP="00C75C54">
          <w:pPr>
            <w:pStyle w:val="LLJohtolauseKappaleet"/>
            <w:rPr>
              <w:lang w:val="sv-SE"/>
            </w:rPr>
          </w:pPr>
          <w:r w:rsidRPr="00F55843">
            <w:rPr>
              <w:lang w:val="sv-SE"/>
            </w:rPr>
            <w:t>I enlighet med ri</w:t>
          </w:r>
          <w:r>
            <w:rPr>
              <w:lang w:val="sv-SE"/>
            </w:rPr>
            <w:t>ksdagens beslut</w:t>
          </w:r>
        </w:p>
        <w:p w14:paraId="039FDC03" w14:textId="77777777" w:rsidR="00C75C54" w:rsidRPr="007A3C6F" w:rsidRDefault="00C75C54" w:rsidP="00C75C54">
          <w:pPr>
            <w:pStyle w:val="LLJohtolauseKappaleet"/>
            <w:rPr>
              <w:i/>
              <w:lang w:val="sv-SE"/>
            </w:rPr>
          </w:pPr>
          <w:r w:rsidRPr="00F55843">
            <w:rPr>
              <w:i/>
              <w:lang w:val="sv-SE"/>
            </w:rPr>
            <w:t>ändras</w:t>
          </w:r>
          <w:r w:rsidRPr="007A3C6F">
            <w:rPr>
              <w:lang w:val="sv-SE"/>
            </w:rPr>
            <w:t xml:space="preserve"> i lagen om kontroll av brottslig bakgrund hos personer som arbetar med barn (504/2002) rubriken för 3 §, samt</w:t>
          </w:r>
        </w:p>
        <w:p w14:paraId="26C80EF9" w14:textId="77777777" w:rsidR="00C75C54" w:rsidRPr="007B2B39" w:rsidRDefault="00C75C54" w:rsidP="00C75C54">
          <w:pPr>
            <w:pStyle w:val="LLJohtolauseKappaleet"/>
            <w:rPr>
              <w:lang w:val="sv-SE"/>
            </w:rPr>
          </w:pPr>
          <w:r w:rsidRPr="007A3C6F">
            <w:rPr>
              <w:i/>
              <w:lang w:val="sv-SE"/>
            </w:rPr>
            <w:t xml:space="preserve">fogas </w:t>
          </w:r>
          <w:r w:rsidRPr="007A3C6F">
            <w:rPr>
              <w:lang w:val="sv-SE"/>
            </w:rPr>
            <w:t>till 2 § ett nytt 4 mom. och till 3 § ett nytt 4 mom. som följer:</w:t>
          </w:r>
        </w:p>
        <w:p w14:paraId="47CED26A" w14:textId="77777777" w:rsidR="001B2357" w:rsidRPr="004903C3" w:rsidRDefault="001B2357" w:rsidP="001B2357">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14:paraId="34F22680" w14:textId="77777777" w:rsidTr="00B14DA5">
            <w:trPr>
              <w:tblHeader/>
            </w:trPr>
            <w:tc>
              <w:tcPr>
                <w:tcW w:w="4243" w:type="dxa"/>
                <w:shd w:val="clear" w:color="auto" w:fill="auto"/>
              </w:tcPr>
              <w:p w14:paraId="0EDEAAB1" w14:textId="77777777" w:rsidR="008A3DB3" w:rsidRDefault="004903C3" w:rsidP="00AE18E9">
                <w:pPr>
                  <w:spacing w:line="220" w:lineRule="exact"/>
                  <w:rPr>
                    <w:i/>
                    <w:lang w:val="sv-SE" w:eastAsia="fi-FI"/>
                  </w:rPr>
                </w:pPr>
                <w:r w:rsidRPr="004903C3">
                  <w:rPr>
                    <w:i/>
                    <w:lang w:val="sv-SE" w:eastAsia="fi-FI"/>
                  </w:rPr>
                  <w:t>Gällande lydelse</w:t>
                </w:r>
              </w:p>
              <w:p w14:paraId="646B005A" w14:textId="0C936D8E" w:rsidR="009624C9" w:rsidRPr="004903C3" w:rsidRDefault="009624C9" w:rsidP="00AE18E9">
                <w:pPr>
                  <w:spacing w:line="220" w:lineRule="exact"/>
                  <w:rPr>
                    <w:rFonts w:eastAsia="Times New Roman"/>
                    <w:i/>
                    <w:szCs w:val="24"/>
                    <w:lang w:val="sv-SE" w:eastAsia="fi-FI"/>
                  </w:rPr>
                </w:pPr>
              </w:p>
            </w:tc>
            <w:tc>
              <w:tcPr>
                <w:tcW w:w="4243" w:type="dxa"/>
                <w:shd w:val="clear" w:color="auto" w:fill="auto"/>
              </w:tcPr>
              <w:p w14:paraId="77F96059" w14:textId="77777777" w:rsidR="008A3DB3" w:rsidRPr="004903C3" w:rsidRDefault="00600C5E" w:rsidP="00AE18E9">
                <w:pPr>
                  <w:rPr>
                    <w:lang w:val="sv-SE" w:eastAsia="fi-FI"/>
                  </w:rPr>
                </w:pPr>
                <w:r w:rsidRPr="004903C3">
                  <w:rPr>
                    <w:i/>
                    <w:lang w:val="sv-SE" w:eastAsia="fi-FI"/>
                  </w:rPr>
                  <w:t xml:space="preserve">Föreslagen lydelse </w:t>
                </w:r>
              </w:p>
            </w:tc>
          </w:tr>
          <w:tr w:rsidR="00B14DA5" w:rsidRPr="00EA594A" w14:paraId="621D2041" w14:textId="77777777" w:rsidTr="00B14DA5">
            <w:tblPrEx>
              <w:tblLook w:val="05E0" w:firstRow="1" w:lastRow="1" w:firstColumn="1" w:lastColumn="1" w:noHBand="0" w:noVBand="1"/>
            </w:tblPrEx>
            <w:trPr>
              <w:trHeight w:val="900"/>
            </w:trPr>
            <w:tc>
              <w:tcPr>
                <w:tcW w:w="4243" w:type="dxa"/>
                <w:shd w:val="clear" w:color="auto" w:fill="auto"/>
              </w:tcPr>
              <w:p w14:paraId="48BBD331" w14:textId="66CB1BC3" w:rsidR="00B14DA5" w:rsidRPr="004903C3" w:rsidRDefault="00077F92" w:rsidP="00E721F4">
                <w:pPr>
                  <w:pStyle w:val="LLPykala"/>
                  <w:rPr>
                    <w:lang w:val="sv-SE"/>
                  </w:rPr>
                </w:pPr>
                <w:r>
                  <w:rPr>
                    <w:lang w:val="sv-SE"/>
                  </w:rPr>
                  <w:t>2</w:t>
                </w:r>
                <w:r w:rsidR="00B14DA5" w:rsidRPr="004903C3">
                  <w:rPr>
                    <w:lang w:val="sv-SE"/>
                  </w:rPr>
                  <w:t xml:space="preserve"> §</w:t>
                </w:r>
              </w:p>
              <w:p w14:paraId="218C65B2" w14:textId="725D0FF7" w:rsidR="00077F92" w:rsidRDefault="00077F92" w:rsidP="00077F92">
                <w:pPr>
                  <w:pStyle w:val="LLPykalanOtsikko"/>
                  <w:rPr>
                    <w:lang w:val="sv-SE"/>
                  </w:rPr>
                </w:pPr>
                <w:r w:rsidRPr="00AD5D80">
                  <w:rPr>
                    <w:lang w:val="sv-SE"/>
                  </w:rPr>
                  <w:t>Tillämpningsområde</w:t>
                </w:r>
              </w:p>
              <w:p w14:paraId="68A1DEB5" w14:textId="77777777" w:rsidR="00B14DA5" w:rsidRPr="004903C3" w:rsidRDefault="00B14DA5" w:rsidP="00E721F4">
                <w:pPr>
                  <w:pStyle w:val="LLKappalejako"/>
                  <w:rPr>
                    <w:lang w:val="sv-SE"/>
                  </w:rPr>
                </w:pPr>
              </w:p>
            </w:tc>
            <w:tc>
              <w:tcPr>
                <w:tcW w:w="4243" w:type="dxa"/>
                <w:shd w:val="clear" w:color="auto" w:fill="auto"/>
              </w:tcPr>
              <w:p w14:paraId="3FA1BF6C" w14:textId="77777777" w:rsidR="00077F92" w:rsidRDefault="00077F92" w:rsidP="00077F92">
                <w:pPr>
                  <w:pStyle w:val="LLPykala"/>
                  <w:rPr>
                    <w:lang w:val="sv-SE"/>
                  </w:rPr>
                </w:pPr>
                <w:r>
                  <w:rPr>
                    <w:lang w:val="sv-SE"/>
                  </w:rPr>
                  <w:t>2</w:t>
                </w:r>
                <w:r w:rsidR="00B14DA5" w:rsidRPr="004903C3">
                  <w:rPr>
                    <w:lang w:val="sv-SE"/>
                  </w:rPr>
                  <w:t xml:space="preserve"> §</w:t>
                </w:r>
              </w:p>
              <w:p w14:paraId="358BF330" w14:textId="5C0ED22C" w:rsidR="00077F92" w:rsidRDefault="00077F92" w:rsidP="00077F92">
                <w:pPr>
                  <w:pStyle w:val="LLPykalanOtsikko"/>
                  <w:rPr>
                    <w:lang w:val="sv-SE"/>
                  </w:rPr>
                </w:pPr>
                <w:r w:rsidRPr="00AD5D80">
                  <w:rPr>
                    <w:lang w:val="sv-SE"/>
                  </w:rPr>
                  <w:t>Tillämpningsområde</w:t>
                </w:r>
              </w:p>
              <w:p w14:paraId="33E2D275" w14:textId="77777777" w:rsidR="00485BB6" w:rsidRPr="00485BB6" w:rsidRDefault="00485BB6" w:rsidP="003F1C96">
                <w:pPr>
                  <w:pStyle w:val="LLNormaali"/>
                  <w:rPr>
                    <w:lang w:val="sv-SE"/>
                  </w:rPr>
                </w:pPr>
                <w:r w:rsidRPr="00485BB6">
                  <w:rPr>
                    <w:lang w:val="sv-SE" w:eastAsia="fi-FI"/>
                  </w:rPr>
                  <w:t>— — — — — — — — — — — — — —</w:t>
                </w:r>
              </w:p>
              <w:p w14:paraId="0A044D7B" w14:textId="2253046E" w:rsidR="00B14DA5" w:rsidRPr="00485BB6" w:rsidRDefault="00485BB6" w:rsidP="00485BB6">
                <w:pPr>
                  <w:pStyle w:val="LLNormaali"/>
                  <w:rPr>
                    <w:i/>
                    <w:lang w:val="sv-SE"/>
                  </w:rPr>
                </w:pPr>
                <w:r w:rsidRPr="00485BB6">
                  <w:rPr>
                    <w:i/>
                    <w:lang w:val="sv-SE"/>
                  </w:rPr>
                  <w:t>Om arbetsgivaren utnyttjar den möjlighet som avses i 3 § 4 mom. att kräva uppvisande av straffregisterutdrag i uppgifter som sammanlagt varar högst tre månader, ska denna lag tillämpas.</w:t>
                </w:r>
              </w:p>
            </w:tc>
          </w:tr>
          <w:tr w:rsidR="00485BB6" w:rsidRPr="008021BF" w14:paraId="04385631" w14:textId="77777777" w:rsidTr="00B14DA5">
            <w:tblPrEx>
              <w:tblLook w:val="05E0" w:firstRow="1" w:lastRow="1" w:firstColumn="1" w:lastColumn="1" w:noHBand="0" w:noVBand="1"/>
            </w:tblPrEx>
            <w:trPr>
              <w:trHeight w:val="900"/>
            </w:trPr>
            <w:tc>
              <w:tcPr>
                <w:tcW w:w="4243" w:type="dxa"/>
                <w:shd w:val="clear" w:color="auto" w:fill="auto"/>
              </w:tcPr>
              <w:p w14:paraId="15A838D1" w14:textId="77777777" w:rsidR="00485BB6" w:rsidRPr="00485BB6" w:rsidRDefault="00485BB6" w:rsidP="00485BB6">
                <w:pPr>
                  <w:pStyle w:val="LLPykala"/>
                  <w:rPr>
                    <w:lang w:val="sv-SE"/>
                  </w:rPr>
                </w:pPr>
                <w:r w:rsidRPr="00485BB6">
                  <w:rPr>
                    <w:lang w:val="sv-SE"/>
                  </w:rPr>
                  <w:t>3 §</w:t>
                </w:r>
              </w:p>
              <w:p w14:paraId="2B3808E3" w14:textId="43BE1BEC" w:rsidR="00485BB6" w:rsidRPr="00485BB6" w:rsidRDefault="00485BB6" w:rsidP="00485BB6">
                <w:pPr>
                  <w:pStyle w:val="LLPykalanOtsikko"/>
                  <w:rPr>
                    <w:lang w:val="sv-SE"/>
                  </w:rPr>
                </w:pPr>
                <w:r w:rsidRPr="00485BB6">
                  <w:rPr>
                    <w:lang w:val="sv-SE"/>
                  </w:rPr>
                  <w:t>Ar</w:t>
                </w:r>
                <w:r>
                  <w:rPr>
                    <w:lang w:val="sv-SE"/>
                  </w:rPr>
                  <w:t>betsgivarens skyldighet</w:t>
                </w:r>
                <w:r w:rsidRPr="00485BB6">
                  <w:rPr>
                    <w:lang w:val="sv-SE"/>
                  </w:rPr>
                  <w:t xml:space="preserve"> att kräva uppvisande av straffregisterutdrag</w:t>
                </w:r>
              </w:p>
              <w:p w14:paraId="558ABF19" w14:textId="77777777" w:rsidR="00485BB6" w:rsidRDefault="00485BB6" w:rsidP="00485BB6">
                <w:pPr>
                  <w:pStyle w:val="LLNormaali"/>
                  <w:rPr>
                    <w:lang w:val="sv-SE"/>
                  </w:rPr>
                </w:pPr>
              </w:p>
            </w:tc>
            <w:tc>
              <w:tcPr>
                <w:tcW w:w="4243" w:type="dxa"/>
                <w:shd w:val="clear" w:color="auto" w:fill="auto"/>
              </w:tcPr>
              <w:p w14:paraId="1F9287A1" w14:textId="77777777" w:rsidR="00485BB6" w:rsidRPr="00485BB6" w:rsidRDefault="00485BB6" w:rsidP="00485BB6">
                <w:pPr>
                  <w:pStyle w:val="LLPykala"/>
                  <w:rPr>
                    <w:lang w:val="sv-SE"/>
                  </w:rPr>
                </w:pPr>
                <w:r w:rsidRPr="00485BB6">
                  <w:rPr>
                    <w:lang w:val="sv-SE"/>
                  </w:rPr>
                  <w:t>3 §</w:t>
                </w:r>
              </w:p>
              <w:p w14:paraId="5369F272" w14:textId="77777777" w:rsidR="00485BB6" w:rsidRPr="00485BB6" w:rsidRDefault="00485BB6" w:rsidP="00485BB6">
                <w:pPr>
                  <w:pStyle w:val="LLPykalanOtsikko"/>
                  <w:rPr>
                    <w:lang w:val="sv-SE"/>
                  </w:rPr>
                </w:pPr>
                <w:r w:rsidRPr="00485BB6">
                  <w:rPr>
                    <w:lang w:val="sv-SE"/>
                  </w:rPr>
                  <w:t xml:space="preserve">Arbetsgivarens skyldighet </w:t>
                </w:r>
                <w:r w:rsidRPr="00485BB6">
                  <w:rPr>
                    <w:b/>
                    <w:lang w:val="sv-SE"/>
                  </w:rPr>
                  <w:t>och rätt</w:t>
                </w:r>
                <w:r w:rsidRPr="00485BB6">
                  <w:rPr>
                    <w:lang w:val="sv-SE"/>
                  </w:rPr>
                  <w:t xml:space="preserve"> att kräva uppvisande av straffregisterutdrag</w:t>
                </w:r>
              </w:p>
              <w:p w14:paraId="58E5B745" w14:textId="77777777" w:rsidR="00485BB6" w:rsidRPr="00485BB6" w:rsidRDefault="00485BB6" w:rsidP="003F1C96">
                <w:pPr>
                  <w:pStyle w:val="LLNormaali"/>
                  <w:rPr>
                    <w:lang w:val="sv-SE"/>
                  </w:rPr>
                </w:pPr>
                <w:r w:rsidRPr="00485BB6">
                  <w:rPr>
                    <w:lang w:val="sv-SE" w:eastAsia="fi-FI"/>
                  </w:rPr>
                  <w:t>— — — — — — — — — — — — — —</w:t>
                </w:r>
              </w:p>
              <w:p w14:paraId="37B52191" w14:textId="5C43E1DB" w:rsidR="00485BB6" w:rsidRDefault="00485BB6" w:rsidP="00485BB6">
                <w:pPr>
                  <w:pStyle w:val="LLNormaali"/>
                  <w:rPr>
                    <w:i/>
                    <w:lang w:val="sv-SE"/>
                  </w:rPr>
                </w:pPr>
                <w:r w:rsidRPr="00485BB6">
                  <w:rPr>
                    <w:i/>
                    <w:lang w:val="sv-SE"/>
                  </w:rPr>
                  <w:t>Arbetsgivaren har rätt att kräva att en person visar upp ett straffregisterutdrag enligt 6 § 2 mom. i straffregisterlagen, i uppgifter som sammanlagt varar högst tre månader under en ettårsperiod.</w:t>
                </w:r>
              </w:p>
              <w:p w14:paraId="63CE6AD8" w14:textId="77777777" w:rsidR="00485BB6" w:rsidRPr="00485BB6" w:rsidRDefault="00485BB6" w:rsidP="0000497A">
                <w:pPr>
                  <w:pStyle w:val="LLNormaali"/>
                  <w:jc w:val="center"/>
                  <w:rPr>
                    <w:lang w:val="sv-SE"/>
                  </w:rPr>
                </w:pPr>
                <w:r w:rsidRPr="00485BB6">
                  <w:rPr>
                    <w:lang w:val="sv-SE"/>
                  </w:rPr>
                  <w:t>—————</w:t>
                </w:r>
              </w:p>
              <w:p w14:paraId="3B8217B6" w14:textId="77777777" w:rsidR="00485BB6" w:rsidRDefault="00485BB6" w:rsidP="00485BB6">
                <w:pPr>
                  <w:pStyle w:val="LLKappalejako"/>
                  <w:rPr>
                    <w:lang w:val="sv-SE"/>
                  </w:rPr>
                </w:pPr>
                <w:r w:rsidRPr="004903C3">
                  <w:rPr>
                    <w:lang w:val="sv-SE"/>
                  </w:rPr>
                  <w:t>Denna lag träder i kraft den   20  .</w:t>
                </w:r>
              </w:p>
              <w:p w14:paraId="46D21339" w14:textId="1AA4A4C2" w:rsidR="00485BB6" w:rsidRPr="00485BB6" w:rsidRDefault="00485BB6" w:rsidP="00485BB6">
                <w:pPr>
                  <w:pStyle w:val="LLNormaali"/>
                  <w:jc w:val="center"/>
                </w:pPr>
                <w:r>
                  <w:t>—————</w:t>
                </w:r>
              </w:p>
            </w:tc>
          </w:tr>
        </w:tbl>
        <w:p w14:paraId="126B3CC6" w14:textId="77777777" w:rsidR="00794627" w:rsidRDefault="003D19CB" w:rsidP="00794627">
          <w:pPr>
            <w:pStyle w:val="LLNormaali"/>
            <w:rPr>
              <w:lang w:val="sv-SE"/>
            </w:rPr>
          </w:pPr>
        </w:p>
      </w:sdtContent>
    </w:sdt>
    <w:sectPr w:rsidR="00794627" w:rsidSect="00CB0A42">
      <w:type w:val="continuous"/>
      <w:pgSz w:w="11906" w:h="16838" w:code="9"/>
      <w:pgMar w:top="1701" w:right="1780" w:bottom="2155" w:left="1780" w:header="1701" w:footer="1911"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Raatikainen Taina (TEM)" w:date="2020-10-06T08:28:00Z" w:initials="RT(">
    <w:p w14:paraId="13AEFAAB" w14:textId="77777777" w:rsidR="00AE18E9" w:rsidRDefault="00AE18E9">
      <w:pPr>
        <w:pStyle w:val="Kommentinteksti"/>
      </w:pPr>
      <w:r>
        <w:rPr>
          <w:rStyle w:val="Kommentinviite"/>
        </w:rPr>
        <w:annotationRef/>
      </w:r>
      <w:r>
        <w:t>suomenkielisissä ”lain pykälässä”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AEFAA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E7E6" w14:textId="77777777" w:rsidR="00AE18E9" w:rsidRDefault="00AE18E9">
      <w:r>
        <w:separator/>
      </w:r>
    </w:p>
  </w:endnote>
  <w:endnote w:type="continuationSeparator" w:id="0">
    <w:p w14:paraId="1F526332" w14:textId="77777777" w:rsidR="00AE18E9" w:rsidRDefault="00AE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887F" w14:textId="77777777" w:rsidR="00AE18E9" w:rsidRDefault="00AE18E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A416F84" w14:textId="77777777" w:rsidR="00AE18E9" w:rsidRDefault="00AE18E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E18E9" w14:paraId="763DEB01" w14:textId="77777777" w:rsidTr="000C5020">
      <w:trPr>
        <w:trHeight w:hRule="exact" w:val="356"/>
      </w:trPr>
      <w:tc>
        <w:tcPr>
          <w:tcW w:w="2828" w:type="dxa"/>
          <w:shd w:val="clear" w:color="auto" w:fill="auto"/>
          <w:vAlign w:val="bottom"/>
        </w:tcPr>
        <w:p w14:paraId="5D7DC78D" w14:textId="77777777" w:rsidR="00AE18E9" w:rsidRPr="000C5020" w:rsidRDefault="00AE18E9" w:rsidP="001310B9">
          <w:pPr>
            <w:pStyle w:val="Alatunniste"/>
            <w:rPr>
              <w:sz w:val="18"/>
              <w:szCs w:val="18"/>
            </w:rPr>
          </w:pPr>
        </w:p>
      </w:tc>
      <w:tc>
        <w:tcPr>
          <w:tcW w:w="2829" w:type="dxa"/>
          <w:shd w:val="clear" w:color="auto" w:fill="auto"/>
          <w:vAlign w:val="bottom"/>
        </w:tcPr>
        <w:p w14:paraId="3D5D598B" w14:textId="13963D41" w:rsidR="00AE18E9" w:rsidRPr="000C5020" w:rsidRDefault="00AE18E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D19CB">
            <w:rPr>
              <w:rStyle w:val="Sivunumero"/>
              <w:noProof/>
              <w:sz w:val="22"/>
            </w:rPr>
            <w:t>15</w:t>
          </w:r>
          <w:r w:rsidRPr="000C5020">
            <w:rPr>
              <w:rStyle w:val="Sivunumero"/>
              <w:sz w:val="22"/>
            </w:rPr>
            <w:fldChar w:fldCharType="end"/>
          </w:r>
        </w:p>
      </w:tc>
      <w:tc>
        <w:tcPr>
          <w:tcW w:w="2829" w:type="dxa"/>
          <w:shd w:val="clear" w:color="auto" w:fill="auto"/>
          <w:vAlign w:val="bottom"/>
        </w:tcPr>
        <w:p w14:paraId="414103DC" w14:textId="77777777" w:rsidR="00AE18E9" w:rsidRPr="000C5020" w:rsidRDefault="00AE18E9" w:rsidP="001310B9">
          <w:pPr>
            <w:pStyle w:val="Alatunniste"/>
            <w:rPr>
              <w:sz w:val="18"/>
              <w:szCs w:val="18"/>
            </w:rPr>
          </w:pPr>
        </w:p>
      </w:tc>
    </w:tr>
  </w:tbl>
  <w:p w14:paraId="406D8EA2" w14:textId="77777777" w:rsidR="00AE18E9" w:rsidRDefault="00AE18E9" w:rsidP="001310B9">
    <w:pPr>
      <w:pStyle w:val="Alatunniste"/>
    </w:pPr>
  </w:p>
  <w:p w14:paraId="4605ADB3" w14:textId="77777777" w:rsidR="00AE18E9" w:rsidRDefault="00AE18E9" w:rsidP="001310B9">
    <w:pPr>
      <w:pStyle w:val="Alatunniste"/>
      <w:framePr w:wrap="around" w:vAnchor="text" w:hAnchor="page" w:x="5921" w:y="729"/>
      <w:rPr>
        <w:rStyle w:val="Sivunumero"/>
      </w:rPr>
    </w:pPr>
  </w:p>
  <w:p w14:paraId="62E5857D" w14:textId="77777777" w:rsidR="00AE18E9" w:rsidRDefault="00AE18E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E18E9" w14:paraId="14446F5A" w14:textId="77777777" w:rsidTr="000C5020">
      <w:trPr>
        <w:trHeight w:val="841"/>
      </w:trPr>
      <w:tc>
        <w:tcPr>
          <w:tcW w:w="2829" w:type="dxa"/>
          <w:shd w:val="clear" w:color="auto" w:fill="auto"/>
        </w:tcPr>
        <w:p w14:paraId="04F17425" w14:textId="77777777" w:rsidR="00AE18E9" w:rsidRPr="000C5020" w:rsidRDefault="00AE18E9" w:rsidP="005224A0">
          <w:pPr>
            <w:pStyle w:val="Alatunniste"/>
            <w:rPr>
              <w:sz w:val="17"/>
              <w:szCs w:val="18"/>
            </w:rPr>
          </w:pPr>
        </w:p>
      </w:tc>
      <w:tc>
        <w:tcPr>
          <w:tcW w:w="2829" w:type="dxa"/>
          <w:shd w:val="clear" w:color="auto" w:fill="auto"/>
          <w:vAlign w:val="bottom"/>
        </w:tcPr>
        <w:p w14:paraId="3E017413" w14:textId="77777777" w:rsidR="00AE18E9" w:rsidRPr="000C5020" w:rsidRDefault="00AE18E9" w:rsidP="000C5020">
          <w:pPr>
            <w:pStyle w:val="Alatunniste"/>
            <w:jc w:val="center"/>
            <w:rPr>
              <w:sz w:val="22"/>
              <w:szCs w:val="22"/>
            </w:rPr>
          </w:pPr>
        </w:p>
      </w:tc>
      <w:tc>
        <w:tcPr>
          <w:tcW w:w="2829" w:type="dxa"/>
          <w:shd w:val="clear" w:color="auto" w:fill="auto"/>
        </w:tcPr>
        <w:p w14:paraId="58CEE56D" w14:textId="77777777" w:rsidR="00AE18E9" w:rsidRPr="000C5020" w:rsidRDefault="00AE18E9" w:rsidP="005224A0">
          <w:pPr>
            <w:pStyle w:val="Alatunniste"/>
            <w:rPr>
              <w:sz w:val="17"/>
              <w:szCs w:val="18"/>
            </w:rPr>
          </w:pPr>
        </w:p>
      </w:tc>
    </w:tr>
  </w:tbl>
  <w:p w14:paraId="207080A0" w14:textId="77777777" w:rsidR="00AE18E9" w:rsidRPr="001310B9" w:rsidRDefault="00AE18E9">
    <w:pPr>
      <w:pStyle w:val="Alatunniste"/>
      <w:rPr>
        <w:sz w:val="22"/>
        <w:szCs w:val="22"/>
      </w:rPr>
    </w:pPr>
  </w:p>
  <w:p w14:paraId="1703450E" w14:textId="77777777" w:rsidR="00AE18E9" w:rsidRDefault="00AE18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B91B" w14:textId="77777777" w:rsidR="00AE18E9" w:rsidRDefault="00AE18E9">
      <w:r>
        <w:separator/>
      </w:r>
    </w:p>
  </w:footnote>
  <w:footnote w:type="continuationSeparator" w:id="0">
    <w:p w14:paraId="692393E2" w14:textId="77777777" w:rsidR="00AE18E9" w:rsidRDefault="00AE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615A" w14:textId="77777777" w:rsidR="00AE18E9" w:rsidRDefault="00AE18E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E18E9" w14:paraId="6D194E9E" w14:textId="77777777" w:rsidTr="00C95716">
      <w:tc>
        <w:tcPr>
          <w:tcW w:w="2140" w:type="dxa"/>
        </w:tcPr>
        <w:p w14:paraId="060AF976" w14:textId="77777777" w:rsidR="00AE18E9" w:rsidRDefault="00AE18E9" w:rsidP="00C95716">
          <w:pPr>
            <w:rPr>
              <w:lang w:val="en-US"/>
            </w:rPr>
          </w:pPr>
        </w:p>
      </w:tc>
      <w:tc>
        <w:tcPr>
          <w:tcW w:w="4281" w:type="dxa"/>
          <w:gridSpan w:val="2"/>
        </w:tcPr>
        <w:p w14:paraId="6E10DE89" w14:textId="77777777" w:rsidR="00AE18E9" w:rsidRDefault="00AE18E9" w:rsidP="00C95716">
          <w:pPr>
            <w:jc w:val="center"/>
          </w:pPr>
        </w:p>
      </w:tc>
      <w:tc>
        <w:tcPr>
          <w:tcW w:w="2141" w:type="dxa"/>
        </w:tcPr>
        <w:p w14:paraId="1836103A" w14:textId="77777777" w:rsidR="00AE18E9" w:rsidRDefault="00AE18E9" w:rsidP="00C95716">
          <w:pPr>
            <w:rPr>
              <w:lang w:val="en-US"/>
            </w:rPr>
          </w:pPr>
        </w:p>
      </w:tc>
    </w:tr>
    <w:tr w:rsidR="00AE18E9" w14:paraId="03DF68B8" w14:textId="77777777" w:rsidTr="00C95716">
      <w:tc>
        <w:tcPr>
          <w:tcW w:w="4281" w:type="dxa"/>
          <w:gridSpan w:val="2"/>
        </w:tcPr>
        <w:p w14:paraId="7EEA0386" w14:textId="77777777" w:rsidR="00AE18E9" w:rsidRPr="00AC3BA6" w:rsidRDefault="00AE18E9" w:rsidP="00C95716">
          <w:pPr>
            <w:rPr>
              <w:i/>
            </w:rPr>
          </w:pPr>
        </w:p>
      </w:tc>
      <w:tc>
        <w:tcPr>
          <w:tcW w:w="4281" w:type="dxa"/>
          <w:gridSpan w:val="2"/>
        </w:tcPr>
        <w:p w14:paraId="72961CE5" w14:textId="77777777" w:rsidR="00AE18E9" w:rsidRPr="00AC3BA6" w:rsidRDefault="00AE18E9" w:rsidP="00C95716">
          <w:pPr>
            <w:rPr>
              <w:i/>
            </w:rPr>
          </w:pPr>
        </w:p>
      </w:tc>
    </w:tr>
  </w:tbl>
  <w:p w14:paraId="2CC10122" w14:textId="77777777" w:rsidR="00AE18E9" w:rsidRDefault="00AE18E9"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E18E9" w14:paraId="6B0F7CDD" w14:textId="77777777" w:rsidTr="00F674CC">
      <w:tc>
        <w:tcPr>
          <w:tcW w:w="2140" w:type="dxa"/>
        </w:tcPr>
        <w:p w14:paraId="7F217CB9" w14:textId="77777777" w:rsidR="00AE18E9" w:rsidRPr="00A34F4E" w:rsidRDefault="00AE18E9" w:rsidP="00F674CC"/>
      </w:tc>
      <w:tc>
        <w:tcPr>
          <w:tcW w:w="4281" w:type="dxa"/>
          <w:gridSpan w:val="2"/>
        </w:tcPr>
        <w:p w14:paraId="42BAB7EC" w14:textId="77777777" w:rsidR="00AE18E9" w:rsidRDefault="00AE18E9" w:rsidP="00F674CC">
          <w:pPr>
            <w:jc w:val="center"/>
          </w:pPr>
        </w:p>
      </w:tc>
      <w:tc>
        <w:tcPr>
          <w:tcW w:w="2141" w:type="dxa"/>
        </w:tcPr>
        <w:p w14:paraId="102EB62C" w14:textId="77777777" w:rsidR="00AE18E9" w:rsidRPr="00A34F4E" w:rsidRDefault="00AE18E9" w:rsidP="00F674CC"/>
      </w:tc>
    </w:tr>
    <w:tr w:rsidR="00AE18E9" w14:paraId="42587F4B" w14:textId="77777777" w:rsidTr="00F674CC">
      <w:tc>
        <w:tcPr>
          <w:tcW w:w="4281" w:type="dxa"/>
          <w:gridSpan w:val="2"/>
        </w:tcPr>
        <w:p w14:paraId="4C36240B" w14:textId="77777777" w:rsidR="00AE18E9" w:rsidRPr="00AC3BA6" w:rsidRDefault="00AE18E9" w:rsidP="00F674CC">
          <w:pPr>
            <w:rPr>
              <w:i/>
            </w:rPr>
          </w:pPr>
        </w:p>
      </w:tc>
      <w:tc>
        <w:tcPr>
          <w:tcW w:w="4281" w:type="dxa"/>
          <w:gridSpan w:val="2"/>
        </w:tcPr>
        <w:p w14:paraId="54119A47" w14:textId="77777777" w:rsidR="00AE18E9" w:rsidRPr="00AC3BA6" w:rsidRDefault="00AE18E9" w:rsidP="00F674CC">
          <w:pPr>
            <w:rPr>
              <w:i/>
            </w:rPr>
          </w:pPr>
        </w:p>
      </w:tc>
    </w:tr>
  </w:tbl>
  <w:p w14:paraId="5818307E" w14:textId="77777777" w:rsidR="00AE18E9" w:rsidRDefault="00AE18E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atikainen Taina (TEM)">
    <w15:presenceInfo w15:providerId="AD" w15:userId="S-1-5-21-3521595049-301303566-333748410-107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A1"/>
    <w:rsid w:val="00000B13"/>
    <w:rsid w:val="00000D79"/>
    <w:rsid w:val="000017A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77F92"/>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8D7"/>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3FDF"/>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17C1D"/>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AA1"/>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9CB"/>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5BB6"/>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0F7"/>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3F38"/>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3C6F"/>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21BF"/>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24C9"/>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96AB4"/>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18E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5C54"/>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11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27840"/>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94A"/>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7C0CBC"/>
  <w15:docId w15:val="{CD602DA0-782F-4EE2-84D6-59842410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inlex.fi/fi/sopimukset/sopsteksti/2011/2011008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em.fi/documents/1410877/2864661/Tutkimus+lasten+kanssa+ty%C3%B6skentelevien+rikostaustan+selvitt%C3%A4mist%C3%A4+koskevasta+lains%C3%A4%C3%A4d%C3%A4nn%C3%B6sta+10102013.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skunta.fi/eoaratkaisut/eoak+3158/2013"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duskunta.fi/SV/vaski/HallituksenEsitys/Sidor/RP_284+2018.aspx" TargetMode="External"/><Relationship Id="rId23" Type="http://schemas.microsoft.com/office/2011/relationships/people" Target="people.xml"/><Relationship Id="rId10" Type="http://schemas.openxmlformats.org/officeDocument/2006/relationships/hyperlink" Target="http://www.eduskunta.fi/eoaratkaisut/eoak+2513/2014" TargetMode="Externa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oph.fi/download/170668_koulutuksen_jarjestajille_keinoja_puuttua_opiskeluun_soveltumattomuuteen.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72C48348FD474C92CE1A55019AE388"/>
        <w:category>
          <w:name w:val="Yleiset"/>
          <w:gallery w:val="placeholder"/>
        </w:category>
        <w:types>
          <w:type w:val="bbPlcHdr"/>
        </w:types>
        <w:behaviors>
          <w:behavior w:val="content"/>
        </w:behaviors>
        <w:guid w:val="{8AC25DB6-0328-45BE-9399-EFD9A81D624D}"/>
      </w:docPartPr>
      <w:docPartBody>
        <w:p w:rsidR="00377F3D" w:rsidRDefault="00377F3D">
          <w:pPr>
            <w:pStyle w:val="5472C48348FD474C92CE1A55019AE388"/>
          </w:pPr>
          <w:r w:rsidRPr="005D3E42">
            <w:rPr>
              <w:rStyle w:val="Paikkamerkkiteksti"/>
            </w:rPr>
            <w:t>Click or tap here to enter text.</w:t>
          </w:r>
        </w:p>
      </w:docPartBody>
    </w:docPart>
    <w:docPart>
      <w:docPartPr>
        <w:name w:val="BAC93A864146443D85A917358962E381"/>
        <w:category>
          <w:name w:val="Yleiset"/>
          <w:gallery w:val="placeholder"/>
        </w:category>
        <w:types>
          <w:type w:val="bbPlcHdr"/>
        </w:types>
        <w:behaviors>
          <w:behavior w:val="content"/>
        </w:behaviors>
        <w:guid w:val="{C9B33831-128B-4275-B394-D55C28B6FCFA}"/>
      </w:docPartPr>
      <w:docPartBody>
        <w:p w:rsidR="00377F3D" w:rsidRDefault="00377F3D">
          <w:pPr>
            <w:pStyle w:val="BAC93A864146443D85A917358962E381"/>
          </w:pPr>
          <w:r w:rsidRPr="005D3E42">
            <w:rPr>
              <w:rStyle w:val="Paikkamerkkiteksti"/>
            </w:rPr>
            <w:t>Click or tap here to enter text.</w:t>
          </w:r>
        </w:p>
      </w:docPartBody>
    </w:docPart>
    <w:docPart>
      <w:docPartPr>
        <w:name w:val="EBE8DD5E51E94068BA1174EB5653BEC3"/>
        <w:category>
          <w:name w:val="Yleiset"/>
          <w:gallery w:val="placeholder"/>
        </w:category>
        <w:types>
          <w:type w:val="bbPlcHdr"/>
        </w:types>
        <w:behaviors>
          <w:behavior w:val="content"/>
        </w:behaviors>
        <w:guid w:val="{48C07FD3-9ACE-4FAB-9658-255FEF91AEED}"/>
      </w:docPartPr>
      <w:docPartBody>
        <w:p w:rsidR="00377F3D" w:rsidRDefault="00377F3D">
          <w:pPr>
            <w:pStyle w:val="EBE8DD5E51E94068BA1174EB5653BEC3"/>
          </w:pPr>
          <w:r w:rsidRPr="002B458A">
            <w:rPr>
              <w:rStyle w:val="Paikkamerkkiteksti"/>
            </w:rPr>
            <w:t>Kirjoita tekstiä napsauttamalla tai napauttamalla tätä.</w:t>
          </w:r>
        </w:p>
      </w:docPartBody>
    </w:docPart>
    <w:docPart>
      <w:docPartPr>
        <w:name w:val="35567166B5E0431DAF5E75BCBEBA84E6"/>
        <w:category>
          <w:name w:val="Yleiset"/>
          <w:gallery w:val="placeholder"/>
        </w:category>
        <w:types>
          <w:type w:val="bbPlcHdr"/>
        </w:types>
        <w:behaviors>
          <w:behavior w:val="content"/>
        </w:behaviors>
        <w:guid w:val="{F22F8B99-DFBD-40A7-A49A-E59CC20CB125}"/>
      </w:docPartPr>
      <w:docPartBody>
        <w:p w:rsidR="00377F3D" w:rsidRDefault="00377F3D">
          <w:pPr>
            <w:pStyle w:val="35567166B5E0431DAF5E75BCBEBA84E6"/>
          </w:pPr>
          <w:r w:rsidRPr="005D3E42">
            <w:rPr>
              <w:rStyle w:val="Paikkamerkkiteksti"/>
            </w:rPr>
            <w:t>Click or tap here to enter text.</w:t>
          </w:r>
        </w:p>
      </w:docPartBody>
    </w:docPart>
    <w:docPart>
      <w:docPartPr>
        <w:name w:val="DDF828FAB6C84CD7BF7D5A78673B8C8F"/>
        <w:category>
          <w:name w:val="Yleiset"/>
          <w:gallery w:val="placeholder"/>
        </w:category>
        <w:types>
          <w:type w:val="bbPlcHdr"/>
        </w:types>
        <w:behaviors>
          <w:behavior w:val="content"/>
        </w:behaviors>
        <w:guid w:val="{76AE6DA7-F65B-41C6-9997-5AAEA887E11A}"/>
      </w:docPartPr>
      <w:docPartBody>
        <w:p w:rsidR="00377F3D" w:rsidRDefault="00377F3D">
          <w:pPr>
            <w:pStyle w:val="DDF828FAB6C84CD7BF7D5A78673B8C8F"/>
          </w:pPr>
          <w:r w:rsidRPr="00CC518A">
            <w:rPr>
              <w:rStyle w:val="Paikkamerkkiteksti"/>
            </w:rPr>
            <w:t>Valitse kohde.</w:t>
          </w:r>
        </w:p>
      </w:docPartBody>
    </w:docPart>
    <w:docPart>
      <w:docPartPr>
        <w:name w:val="BAF874973082439D901F2A01044BB7C2"/>
        <w:category>
          <w:name w:val="Yleiset"/>
          <w:gallery w:val="placeholder"/>
        </w:category>
        <w:types>
          <w:type w:val="bbPlcHdr"/>
        </w:types>
        <w:behaviors>
          <w:behavior w:val="content"/>
        </w:behaviors>
        <w:guid w:val="{B281B4C0-9C30-4EBF-8996-B6EDED87269B}"/>
      </w:docPartPr>
      <w:docPartBody>
        <w:p w:rsidR="00377F3D" w:rsidRDefault="00377F3D">
          <w:pPr>
            <w:pStyle w:val="BAF874973082439D901F2A01044BB7C2"/>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3D"/>
    <w:rsid w:val="00377F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472C48348FD474C92CE1A55019AE388">
    <w:name w:val="5472C48348FD474C92CE1A55019AE388"/>
  </w:style>
  <w:style w:type="paragraph" w:customStyle="1" w:styleId="BAC93A864146443D85A917358962E381">
    <w:name w:val="BAC93A864146443D85A917358962E381"/>
  </w:style>
  <w:style w:type="paragraph" w:customStyle="1" w:styleId="EBE8DD5E51E94068BA1174EB5653BEC3">
    <w:name w:val="EBE8DD5E51E94068BA1174EB5653BEC3"/>
  </w:style>
  <w:style w:type="paragraph" w:customStyle="1" w:styleId="35567166B5E0431DAF5E75BCBEBA84E6">
    <w:name w:val="35567166B5E0431DAF5E75BCBEBA84E6"/>
  </w:style>
  <w:style w:type="paragraph" w:customStyle="1" w:styleId="DDF828FAB6C84CD7BF7D5A78673B8C8F">
    <w:name w:val="DDF828FAB6C84CD7BF7D5A78673B8C8F"/>
  </w:style>
  <w:style w:type="paragraph" w:customStyle="1" w:styleId="BAF874973082439D901F2A01044BB7C2">
    <w:name w:val="BAF874973082439D901F2A01044BB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950E-91BB-472F-8D36-9D5AAE0F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13</TotalTime>
  <Pages>20</Pages>
  <Words>7338</Words>
  <Characters>48446</Characters>
  <Application>Microsoft Office Word</Application>
  <DocSecurity>0</DocSecurity>
  <Lines>403</Lines>
  <Paragraphs>111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Raatikainen Taina (TEM)</dc:creator>
  <cp:keywords/>
  <dc:description/>
  <cp:lastModifiedBy>Raatikainen Taina (TEM)</cp:lastModifiedBy>
  <cp:revision>6</cp:revision>
  <cp:lastPrinted>2017-12-04T10:02:00Z</cp:lastPrinted>
  <dcterms:created xsi:type="dcterms:W3CDTF">2020-10-08T07:08:00Z</dcterms:created>
  <dcterms:modified xsi:type="dcterms:W3CDTF">2020-10-08T08:36:00Z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ies>
</file>