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äädös"/>
        <w:id w:val="42569056"/>
        <w:placeholder>
          <w:docPart w:val="D017F84A8D154E4E9CAB7C22E5D27414"/>
        </w:placeholder>
        <w15:color w:val="00FFFF"/>
      </w:sdtPr>
      <w:sdtEndPr/>
      <w:sdtContent>
        <w:p w:rsidR="00BF75F4" w:rsidRDefault="00BF75F4">
          <w:pPr>
            <w:pStyle w:val="LLNormaali"/>
          </w:pPr>
        </w:p>
        <w:p w:rsidR="004F334C" w:rsidRDefault="00314676" w:rsidP="004F334C">
          <w:pPr>
            <w:pStyle w:val="LLMinisterionAsetus"/>
          </w:pPr>
          <w:r>
            <w:t>Työ- ja elinkeino</w:t>
          </w:r>
          <w:r w:rsidR="004F334C">
            <w:t>ministeriön asetus</w:t>
          </w:r>
        </w:p>
        <w:p w:rsidR="008341AB" w:rsidRPr="009167E1" w:rsidRDefault="00314676" w:rsidP="008341AB">
          <w:pPr>
            <w:pStyle w:val="LLSaadoksenNimi"/>
          </w:pPr>
          <w:r w:rsidRPr="00314676">
            <w:t>vakiomuotoisen ja yksinkertaistetun päästöjen tarkkailusuunnitelman yk</w:t>
          </w:r>
          <w:r>
            <w:t>sinkertaistetusta riskinarvioin</w:t>
          </w:r>
          <w:r w:rsidRPr="00314676">
            <w:t>nista</w:t>
          </w:r>
        </w:p>
        <w:p w:rsidR="008341AB" w:rsidRPr="009167E1" w:rsidRDefault="00314676" w:rsidP="008341AB">
          <w:pPr>
            <w:pStyle w:val="LLJohtolauseKappaleet"/>
          </w:pPr>
          <w:r w:rsidRPr="00314676">
            <w:t>Työ- ja elinkeinoministeriön päätöksen mukaisesti säädetään päästökau</w:t>
          </w:r>
          <w:r>
            <w:t>ppalain (311/2011) 8 a §:n 3 mo</w:t>
          </w:r>
          <w:r w:rsidRPr="00314676">
            <w:t>mentin nojalla:</w:t>
          </w:r>
        </w:p>
        <w:p w:rsidR="008341AB" w:rsidRDefault="008341AB" w:rsidP="008341AB">
          <w:pPr>
            <w:pStyle w:val="LLNormaali"/>
          </w:pPr>
        </w:p>
        <w:p w:rsidR="008341AB" w:rsidRDefault="00314676" w:rsidP="00314676">
          <w:pPr>
            <w:pStyle w:val="LLPykala"/>
          </w:pPr>
          <w:r>
            <w:t>1 §</w:t>
          </w:r>
        </w:p>
        <w:p w:rsidR="00314676" w:rsidRPr="00314676" w:rsidRDefault="00314676" w:rsidP="00314676">
          <w:pPr>
            <w:pStyle w:val="LLPykalanOtsikko"/>
          </w:pPr>
          <w:r>
            <w:t>Soveltamisala</w:t>
          </w:r>
        </w:p>
        <w:p w:rsidR="008341AB" w:rsidRDefault="00314676" w:rsidP="008341AB">
          <w:pPr>
            <w:pStyle w:val="LLKappalejako"/>
          </w:pPr>
          <w:r w:rsidRPr="00314676">
            <w:t>Tätä asetusta ja komission päästöjen tarkkailuasetusta sovelletaan vakiomuotoisen ja yksinkertaistetun päästöjen tarkkailusuunnitelman päästökauppalain (311/2011) 8 a §:n 1 m</w:t>
          </w:r>
          <w:r>
            <w:t>omentissa säädetyn yksinkertais</w:t>
          </w:r>
          <w:r w:rsidRPr="00314676">
            <w:t>tetun riskinarvioinnin suorittamiseen.</w:t>
          </w:r>
        </w:p>
        <w:p w:rsidR="00314676" w:rsidRDefault="00314676" w:rsidP="00314676">
          <w:pPr>
            <w:pStyle w:val="LLNormaali"/>
          </w:pPr>
        </w:p>
        <w:p w:rsidR="00314676" w:rsidRDefault="00314676" w:rsidP="00314676">
          <w:pPr>
            <w:pStyle w:val="LLPykala"/>
          </w:pPr>
          <w:r>
            <w:t>2 §</w:t>
          </w:r>
        </w:p>
        <w:p w:rsidR="00314676" w:rsidRDefault="008D18B9" w:rsidP="00314676">
          <w:pPr>
            <w:pStyle w:val="LLPykalanOtsikko"/>
          </w:pPr>
          <w:r>
            <w:t>Yksinkertaistetun</w:t>
          </w:r>
          <w:r w:rsidR="00314676">
            <w:t xml:space="preserve"> riskinarvioinnin suorittaminen</w:t>
          </w:r>
        </w:p>
        <w:p w:rsidR="00C87997" w:rsidRDefault="00314676" w:rsidP="00C87997">
          <w:pPr>
            <w:pStyle w:val="LLKappalejako"/>
          </w:pPr>
          <w:r>
            <w:t>Päästökauppaviranomainen suorittaa yksinkertaistetun riskinarvioinnin komission päästöjen tarkkai</w:t>
          </w:r>
          <w:r w:rsidR="00A37CE3">
            <w:t>luasetuksen 13 artiklan 2 kohdassa</w:t>
          </w:r>
          <w:r>
            <w:t xml:space="preserve"> säädetyn mukaisesti arvioidakseen päästökauppalain 8 a §:ssä säädetyn menettelyn soveltuvuudesta sitä hakeneeseen laitokseen. Päästökauppaviranomainen voi myöntää vakiomuotoisen ja yksinkertaistetun päästöjen tarkkailusuunnitelman käytön vain niille laitoksille, joilla menettely ei johda päästökauppalain 7 §:n 2 kohdassa säädetyssä päästöistä laadittavassa vuotuisessa selvityksessä aiheettomaan riskiin väärintulkinnoista.</w:t>
          </w:r>
        </w:p>
        <w:p w:rsidR="00C87997" w:rsidRDefault="00C87997" w:rsidP="00C87997">
          <w:pPr>
            <w:pStyle w:val="LLPykala"/>
          </w:pPr>
          <w:r>
            <w:t>3 §</w:t>
          </w:r>
        </w:p>
        <w:p w:rsidR="00C87997" w:rsidRDefault="00C87997" w:rsidP="00C87997">
          <w:pPr>
            <w:pStyle w:val="LLPykalanOtsikko"/>
          </w:pPr>
          <w:r>
            <w:t>Yksinkertaistetussa riskinarvioinnissa tarkasteltavat seikat</w:t>
          </w:r>
        </w:p>
        <w:p w:rsidR="00C87997" w:rsidRDefault="00C87997" w:rsidP="00C87997">
          <w:pPr>
            <w:pStyle w:val="LLMomentinJohdantoKappale"/>
          </w:pPr>
          <w:r>
            <w:t>Päästökauppaviranomainen tulee tarkastella ainakin seuraavia seikkoja laitoksen toiminnan ja päästöjen tarkkailumenetelmien osalta yksinkertaistettua riskinarviointia suorittaessa:</w:t>
          </w:r>
        </w:p>
        <w:p w:rsidR="00C87997" w:rsidRPr="00C87997" w:rsidRDefault="00C87997" w:rsidP="00C87997">
          <w:pPr>
            <w:pStyle w:val="LLMomentinKohta"/>
          </w:pPr>
          <w:r>
            <w:t xml:space="preserve">1) </w:t>
          </w:r>
          <w:r w:rsidRPr="00C87997">
            <w:t>laitoksella ei ole komission päästöjen tarkkailuasetuksen 3 artiklan 31 alakohdassa tarkoitettuja prosessipäästöjä;</w:t>
          </w:r>
        </w:p>
        <w:p w:rsidR="00C87997" w:rsidRPr="00C87997" w:rsidRDefault="00C87997" w:rsidP="00C87997">
          <w:pPr>
            <w:pStyle w:val="LLMomentinKohta"/>
          </w:pPr>
          <w:r>
            <w:t xml:space="preserve">2) </w:t>
          </w:r>
          <w:r w:rsidRPr="00C87997">
            <w:t>laitos määrittelee lähdevirroista peräisin olevat päästöt komission päästöjen tarkkailuasetuksen 24 artiklassa säädetyllä tavalla;</w:t>
          </w:r>
        </w:p>
        <w:p w:rsidR="00C87997" w:rsidRPr="00C87997" w:rsidRDefault="00C87997" w:rsidP="00C87997">
          <w:pPr>
            <w:pStyle w:val="LLMomentinKohta"/>
          </w:pPr>
          <w:r>
            <w:t xml:space="preserve">3) </w:t>
          </w:r>
          <w:r w:rsidRPr="00C87997">
            <w:t>laitos määrittelee polttoaineen ja materiaalin määrän 47 artiklan 4 kohdassa säädetyllä tavalla;</w:t>
          </w:r>
        </w:p>
        <w:p w:rsidR="00C87997" w:rsidRPr="00C87997" w:rsidRDefault="00C87997" w:rsidP="00C87997">
          <w:pPr>
            <w:pStyle w:val="LLMomentinKohta"/>
          </w:pPr>
          <w:r>
            <w:t xml:space="preserve">4) </w:t>
          </w:r>
          <w:r w:rsidRPr="00C87997">
            <w:t xml:space="preserve">laitos käyttää työ- ja elinkeinoministeriön asetuksen </w:t>
          </w:r>
          <w:proofErr w:type="gramStart"/>
          <w:r w:rsidRPr="00C87997">
            <w:t>(  /</w:t>
          </w:r>
          <w:proofErr w:type="gramEnd"/>
          <w:r w:rsidRPr="00C87997">
            <w:t>2020) 4 §:n 1 momentissa säädettyjä oletusarvoja laskentakertoimina;</w:t>
          </w:r>
        </w:p>
        <w:p w:rsidR="00C87997" w:rsidRPr="00C87997" w:rsidRDefault="00C87997" w:rsidP="00C87997">
          <w:pPr>
            <w:pStyle w:val="LLMomentinKohta"/>
          </w:pPr>
          <w:r>
            <w:t xml:space="preserve">5) </w:t>
          </w:r>
          <w:r w:rsidRPr="00C87997">
            <w:t>laitoksessa ei tapahdu komission päästöjen tarkkailuasetuksen 48 artiklassa säädettyä lähdevirtaan sisältyvän hiilidioksidin tai 49 artiklassa säädettyä hiilidioksidin siirtoja;</w:t>
          </w:r>
        </w:p>
        <w:p w:rsidR="00314676" w:rsidRDefault="00C87997" w:rsidP="00C87997">
          <w:pPr>
            <w:pStyle w:val="LLMomentinKohta"/>
          </w:pPr>
          <w:r>
            <w:t xml:space="preserve">6) </w:t>
          </w:r>
          <w:r w:rsidRPr="00C87997">
            <w:t>laitoksella ei ole päästökauppalain 2 §:n 1 momentissa säädettyjä muita kasvihuonekaasupäästöjä kuin hiilidioksidipäästöjä.</w:t>
          </w:r>
        </w:p>
        <w:p w:rsidR="00CA0C3C" w:rsidRDefault="00CA0C3C" w:rsidP="00CA0C3C">
          <w:pPr>
            <w:pStyle w:val="LLNormaali"/>
          </w:pPr>
        </w:p>
        <w:p w:rsidR="00C87997" w:rsidRDefault="00C87997" w:rsidP="00C87997">
          <w:pPr>
            <w:pStyle w:val="LLPykala"/>
          </w:pPr>
          <w:r>
            <w:t>4 §</w:t>
          </w:r>
        </w:p>
        <w:p w:rsidR="00C87997" w:rsidRDefault="00C87997" w:rsidP="00C87997">
          <w:pPr>
            <w:pStyle w:val="LLPykalanOtsikko"/>
          </w:pPr>
          <w:r>
            <w:lastRenderedPageBreak/>
            <w:t>Yksinkertaistetun riskinarvioinnin tulokset</w:t>
          </w:r>
        </w:p>
        <w:p w:rsidR="00C87997" w:rsidRDefault="00C87997" w:rsidP="00C87997">
          <w:pPr>
            <w:pStyle w:val="LLKappalejako"/>
          </w:pPr>
          <w:r>
            <w:t>Päästökauppaviranomainen voi katsoa päästökauppalain 8 a §:ssä säädetyn menettelyn soveltuvan laitokseen, joka täyttää edellä mainitussa pykälässä säädettyjen edellytysten lisäksi 3 §:ssä säädetyt seikat, jos päästökauppaviranomaisen tiedossa ei ole muita päästöjen tarkkailun laatuun vaikuttavia seikkoja.</w:t>
          </w:r>
        </w:p>
        <w:p w:rsidR="00C87997" w:rsidRDefault="00C87997" w:rsidP="00C87997">
          <w:pPr>
            <w:pStyle w:val="LLKappalejako"/>
          </w:pPr>
          <w:r>
            <w:t>Jos laitoksen toiminta tai päästöjen tarkkailumenetelmät poikkeavat 3 §:ssä säädetyistä seikoista tai päästökauppaviranomaisen tiedossa on muu päästöjen tarkkailuun vaikuttava</w:t>
          </w:r>
          <w:bookmarkStart w:id="0" w:name="_GoBack"/>
          <w:bookmarkEnd w:id="0"/>
          <w:r>
            <w:t xml:space="preserve"> seikka, päästökauppaviranomaisen tulee pyytää erikseen selvitystä toiminnanharjoittajalta komission päästöjen tarkkailuasetuksen 58 ja 59 artiklassa säädettyjen laitoksen päästöjen tarkkailun tietovirta- ja kontrollimenettelyistä tarvittavilta osin ja arvioida poikkeavan seikan soveltuvuus päästökauppalain 8 a §:ssä tarkoitettuun menettelyyn.</w:t>
          </w:r>
        </w:p>
        <w:p w:rsidR="00C87997" w:rsidRPr="00C87997" w:rsidRDefault="00C87997" w:rsidP="0017605E">
          <w:pPr>
            <w:pStyle w:val="LLNormaali"/>
          </w:pPr>
        </w:p>
        <w:p w:rsidR="00C87997" w:rsidRDefault="00C87997" w:rsidP="00CA0C3C">
          <w:pPr>
            <w:pStyle w:val="LLVoimaantuloPykala"/>
          </w:pPr>
          <w:r>
            <w:t>5§</w:t>
          </w:r>
        </w:p>
        <w:p w:rsidR="00C87997" w:rsidRDefault="00C87997" w:rsidP="00CA0C3C">
          <w:pPr>
            <w:pStyle w:val="LLPykalanOtsikko"/>
          </w:pPr>
          <w:r>
            <w:t>Voimaantulo</w:t>
          </w:r>
        </w:p>
        <w:p w:rsidR="008341AB" w:rsidRPr="009167E1" w:rsidRDefault="008341AB" w:rsidP="008341AB">
          <w:pPr>
            <w:pStyle w:val="LLNormaali"/>
            <w:jc w:val="center"/>
          </w:pPr>
          <w:r>
            <w:t>———</w:t>
          </w:r>
        </w:p>
        <w:p w:rsidR="008341AB" w:rsidRDefault="008341AB" w:rsidP="00CA0C3C">
          <w:pPr>
            <w:pStyle w:val="LLKappalejako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>
            <w:t xml:space="preserve">päivänä kuuta </w:t>
          </w:r>
          <w:proofErr w:type="gramStart"/>
          <w:r>
            <w:t>20 .</w:t>
          </w:r>
          <w:proofErr w:type="gramEnd"/>
        </w:p>
        <w:p w:rsidR="008341AB" w:rsidRDefault="003C1308" w:rsidP="008341AB">
          <w:pPr>
            <w:pStyle w:val="LLNormaali"/>
          </w:pPr>
        </w:p>
      </w:sdtContent>
    </w:sdt>
    <w:p w:rsidR="00BF75F4" w:rsidRDefault="00BF75F4">
      <w:pPr>
        <w:pStyle w:val="LLNormaali"/>
      </w:pPr>
    </w:p>
    <w:sdt>
      <w:sdtPr>
        <w:alias w:val="Päiväys"/>
        <w:tag w:val="CCPaivays"/>
        <w:id w:val="2059428280"/>
        <w:placeholder>
          <w:docPart w:val="6D5BC8E4D35144BC9D1898B30F88EBF4"/>
        </w:placeholder>
        <w15:color w:val="33CCCC"/>
        <w:text/>
      </w:sdtPr>
      <w:sdtEndPr/>
      <w:sdtContent>
        <w:p w:rsidR="008341AB" w:rsidRDefault="008341AB" w:rsidP="008341AB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sdt>
      <w:sdtPr>
        <w:alias w:val="Allekirjoittajan asema"/>
        <w:tag w:val="CCAllekirjoitus"/>
        <w:id w:val="834419858"/>
        <w:placeholder>
          <w:docPart w:val="A324A9B9D53B4BE2A36898E5AD4253CA"/>
        </w:placeholder>
        <w15:color w:val="00FFFF"/>
      </w:sdtPr>
      <w:sdtEndPr/>
      <w:sdtContent>
        <w:p w:rsidR="008341AB" w:rsidRDefault="00CA0C3C" w:rsidP="008341AB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Elinkeinoministeri Mika Lintilä</w:t>
          </w:r>
        </w:p>
      </w:sdtContent>
    </w:sdt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Default="00CA0C3C" w:rsidP="008341AB">
      <w:pPr>
        <w:pStyle w:val="LLVarmennus"/>
      </w:pPr>
      <w:r>
        <w:t>Ylitarkastaja Tarja Virkkunen</w:t>
      </w:r>
    </w:p>
    <w:sectPr w:rsidR="008341A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308" w:rsidRDefault="003C1308">
      <w:r>
        <w:separator/>
      </w:r>
    </w:p>
  </w:endnote>
  <w:endnote w:type="continuationSeparator" w:id="0">
    <w:p w:rsidR="003C1308" w:rsidRDefault="003C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A37CE3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308" w:rsidRDefault="003C1308">
      <w:r>
        <w:separator/>
      </w:r>
    </w:p>
  </w:footnote>
  <w:footnote w:type="continuationSeparator" w:id="0">
    <w:p w:rsidR="003C1308" w:rsidRDefault="003C1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7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0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1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4"/>
  </w:num>
  <w:num w:numId="19">
    <w:abstractNumId w:val="6"/>
  </w:num>
  <w:num w:numId="20">
    <w:abstractNumId w:val="11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0"/>
  </w:num>
  <w:num w:numId="2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5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605E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676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308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0D6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B2F"/>
    <w:rsid w:val="00513BE7"/>
    <w:rsid w:val="00515ED7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18B9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7195"/>
    <w:rsid w:val="00A172DE"/>
    <w:rsid w:val="00A173AE"/>
    <w:rsid w:val="00A17F85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37CE3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5F4"/>
    <w:rsid w:val="00BF7B61"/>
    <w:rsid w:val="00C00C97"/>
    <w:rsid w:val="00C01DCD"/>
    <w:rsid w:val="00C02835"/>
    <w:rsid w:val="00C033FF"/>
    <w:rsid w:val="00C03B8E"/>
    <w:rsid w:val="00C0479F"/>
    <w:rsid w:val="00C059CE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997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3C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B29"/>
    <w:rsid w:val="00D85324"/>
    <w:rsid w:val="00D85ED8"/>
    <w:rsid w:val="00D87C47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0BE91F"/>
  <w15:docId w15:val="{ED1F7453-25C7-4A0C-A04E-E6B5FB3B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9396\AppData\Roaming\Microsoft\Templates\Mi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17F84A8D154E4E9CAB7C22E5D274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DC4BC6C-409C-4358-A9AB-753F8A1CD9EC}"/>
      </w:docPartPr>
      <w:docPartBody>
        <w:p w:rsidR="003B0DA5" w:rsidRDefault="00093944">
          <w:pPr>
            <w:pStyle w:val="D017F84A8D154E4E9CAB7C22E5D27414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D5BC8E4D35144BC9D1898B30F88EB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75C1499-2736-41D6-84CB-663FB4D085B9}"/>
      </w:docPartPr>
      <w:docPartBody>
        <w:p w:rsidR="003B0DA5" w:rsidRDefault="00093944">
          <w:pPr>
            <w:pStyle w:val="6D5BC8E4D35144BC9D1898B30F88EBF4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A324A9B9D53B4BE2A36898E5AD4253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D4CBBF-3D9D-4A8B-B13F-6FC1DB9F9A35}"/>
      </w:docPartPr>
      <w:docPartBody>
        <w:p w:rsidR="003B0DA5" w:rsidRDefault="00093944">
          <w:pPr>
            <w:pStyle w:val="A324A9B9D53B4BE2A36898E5AD4253C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A5"/>
    <w:rsid w:val="00093944"/>
    <w:rsid w:val="003B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D017F84A8D154E4E9CAB7C22E5D27414">
    <w:name w:val="D017F84A8D154E4E9CAB7C22E5D27414"/>
  </w:style>
  <w:style w:type="paragraph" w:customStyle="1" w:styleId="6D5BC8E4D35144BC9D1898B30F88EBF4">
    <w:name w:val="6D5BC8E4D35144BC9D1898B30F88EBF4"/>
  </w:style>
  <w:style w:type="paragraph" w:customStyle="1" w:styleId="A324A9B9D53B4BE2A36898E5AD4253CA">
    <w:name w:val="A324A9B9D53B4BE2A36898E5AD425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A62C7-3F0E-48A7-A9AF-242F54D7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Min_asetus.dotx</Template>
  <TotalTime>4</TotalTime>
  <Pages>2</Pages>
  <Words>352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Raatikainen Taina (TEM)</dc:creator>
  <cp:keywords/>
  <dc:description/>
  <cp:lastModifiedBy>Virkkunen Tarja (TEM)</cp:lastModifiedBy>
  <cp:revision>3</cp:revision>
  <cp:lastPrinted>2017-12-04T10:02:00Z</cp:lastPrinted>
  <dcterms:created xsi:type="dcterms:W3CDTF">2020-10-30T10:27:00Z</dcterms:created>
  <dcterms:modified xsi:type="dcterms:W3CDTF">2020-10-30T10:30:00Z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">
    <vt:lpwstr>Min_asetus</vt:lpwstr>
  </property>
</Properties>
</file>