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Författning"/>
        <w:tag w:val="CCSaados"/>
        <w:id w:val="505180228"/>
        <w:placeholder>
          <w:docPart w:val="7A89D8D98FBF4A72980A78E38D5AD1D3"/>
        </w:placeholder>
        <w15:color w:val="00FFFF"/>
      </w:sdtPr>
      <w:sdtEndPr/>
      <w:sdtContent>
        <w:p w:rsidR="00D90A5B" w:rsidRDefault="00D90A5B">
          <w:pPr>
            <w:pStyle w:val="LLNormaali"/>
          </w:pPr>
        </w:p>
        <w:p w:rsidR="004F334C" w:rsidRDefault="004F334C" w:rsidP="004F334C">
          <w:pPr>
            <w:pStyle w:val="LLValtioneuvostonAsetus"/>
          </w:pPr>
          <w:r>
            <w:rPr>
              <w:bCs/>
            </w:rPr>
            <w:t>Statsrådets förordning</w:t>
          </w:r>
        </w:p>
        <w:p w:rsidR="001D5B51" w:rsidRPr="009167E1" w:rsidRDefault="00823857" w:rsidP="001D5B51">
          <w:pPr>
            <w:pStyle w:val="LLSaadoksenNimi"/>
          </w:pPr>
          <w:r>
            <w:t>om ändring av statsrådets förordning om verkställighet av samhällspåföljder</w:t>
          </w:r>
        </w:p>
        <w:p w:rsidR="001D5B51" w:rsidRPr="009167E1" w:rsidRDefault="008341AB" w:rsidP="001D5B51">
          <w:pPr>
            <w:pStyle w:val="LLJohtolauseKappaleet"/>
          </w:pPr>
          <w:r>
            <w:t>I enlighet med statsrådets beslut</w:t>
          </w:r>
        </w:p>
        <w:p w:rsidR="007A478D" w:rsidRDefault="001D5B51" w:rsidP="001D5B51">
          <w:pPr>
            <w:pStyle w:val="LLJohtolauseKappaleet"/>
          </w:pPr>
          <w:r>
            <w:rPr>
              <w:i/>
              <w:iCs/>
            </w:rPr>
            <w:t>upphävs</w:t>
          </w:r>
          <w:r>
            <w:t xml:space="preserve"> i statsrådets förordning om verk</w:t>
          </w:r>
          <w:bookmarkStart w:id="0" w:name="_GoBack"/>
          <w:bookmarkEnd w:id="0"/>
          <w:r>
            <w:t xml:space="preserve">ställighet av samhällspåföljder (551/2015) 6, 11–13 §, 17 och 20 §, 25 § 1 mom. 5 punkten, 27 § 1 mom. 10 punkten, 31 a § 5 punkten, 32 §, 35 och 36 § samt 38–40 §, </w:t>
          </w:r>
        </w:p>
        <w:p w:rsidR="00B86FF0" w:rsidRDefault="00A96424" w:rsidP="001D5B51">
          <w:pPr>
            <w:pStyle w:val="LLJohtolauseKappaleet"/>
          </w:pPr>
          <w:r>
            <w:t>av dem 31 a § 1 mom. 5 punkten och 32 § sådana de lyder i förordning 1088/2019 och</w:t>
          </w:r>
        </w:p>
        <w:p w:rsidR="001D5B51" w:rsidRDefault="001D5B51" w:rsidP="00B14EDF">
          <w:pPr>
            <w:pStyle w:val="LLJohtolauseKappaleet"/>
          </w:pPr>
          <w:r>
            <w:rPr>
              <w:i/>
              <w:iCs/>
            </w:rPr>
            <w:t>ändras</w:t>
          </w:r>
          <w:r>
            <w:t xml:space="preserve"> 7, 14, 18, 19, 22 och 28 § som följer:</w:t>
          </w:r>
        </w:p>
        <w:p w:rsidR="001D5B51" w:rsidRDefault="001D5B51" w:rsidP="001D5B51">
          <w:pPr>
            <w:pStyle w:val="LLNormaali"/>
          </w:pPr>
        </w:p>
        <w:p w:rsidR="001D5B51" w:rsidRDefault="004E4C5C" w:rsidP="001D5B51">
          <w:pPr>
            <w:pStyle w:val="LLPykala"/>
          </w:pPr>
          <w:r>
            <w:t>7 §</w:t>
          </w:r>
        </w:p>
        <w:p w:rsidR="004E4C5C" w:rsidRPr="004E4C5C" w:rsidRDefault="004E4C5C" w:rsidP="004E4C5C">
          <w:pPr>
            <w:pStyle w:val="LLPykalanOtsikko"/>
          </w:pPr>
          <w:r>
            <w:t>Innehållet i planen för strafftiden</w:t>
          </w:r>
        </w:p>
        <w:p w:rsidR="004E4C5C" w:rsidRPr="004E4C5C" w:rsidRDefault="004E4C5C" w:rsidP="004E4C5C">
          <w:pPr>
            <w:pStyle w:val="LLMomentinJohdantoKappale"/>
          </w:pPr>
          <w:r>
            <w:t>Vid utarbetandet av en plan för strafftiden och en preciserad plan för strafftiden ska följande beaktas:</w:t>
          </w:r>
        </w:p>
        <w:p w:rsidR="004E4C5C" w:rsidRPr="004E4C5C" w:rsidRDefault="004E4C5C" w:rsidP="004E4C5C">
          <w:pPr>
            <w:pStyle w:val="LLMomentinKohta"/>
          </w:pPr>
          <w:r>
            <w:t>1) den misstänktes eller den dömdes tidigare brottslighet, arten av det eller de brott som den misstänkte eller den dömde har begått och det utdömda straffets längd,</w:t>
          </w:r>
        </w:p>
        <w:p w:rsidR="004E4C5C" w:rsidRPr="004E4C5C" w:rsidRDefault="004E4C5C" w:rsidP="004E4C5C">
          <w:pPr>
            <w:pStyle w:val="LLMomentinKohta"/>
          </w:pPr>
          <w:r>
            <w:t>2) den misstänktes sociala förhållanden, individuella behov och resurser samt den misstänktes funktionsförmåga,</w:t>
          </w:r>
        </w:p>
        <w:p w:rsidR="004E4C5C" w:rsidRPr="004E4C5C" w:rsidRDefault="004E4C5C" w:rsidP="004E4C5C">
          <w:pPr>
            <w:pStyle w:val="LLMomentinKohta"/>
          </w:pPr>
          <w:r>
            <w:t>3) förutsättningarna för den misstänkte eller den dömde att klara av en samhällspåföljd,</w:t>
          </w:r>
        </w:p>
        <w:p w:rsidR="004E4C5C" w:rsidRPr="004E4C5C" w:rsidRDefault="004E4C5C" w:rsidP="004E4C5C">
          <w:pPr>
            <w:pStyle w:val="LLMomentinKohta"/>
          </w:pPr>
          <w:r>
            <w:t>4) faktorer som ökar sannolikheten att den misstänkte eller den dömde gör sig skyldig till nya brott,</w:t>
          </w:r>
        </w:p>
        <w:p w:rsidR="004E4C5C" w:rsidRPr="004E4C5C" w:rsidRDefault="004E4C5C" w:rsidP="004E4C5C">
          <w:pPr>
            <w:pStyle w:val="LLMomentinKohta"/>
          </w:pPr>
          <w:r>
            <w:t>5) faktorer som kan minska sannolikheten att den misstänkte eller den dömde gör sig skyldig till nya brott,</w:t>
          </w:r>
        </w:p>
        <w:p w:rsidR="004E4C5C" w:rsidRPr="004E4C5C" w:rsidRDefault="004E4C5C" w:rsidP="004E4C5C">
          <w:pPr>
            <w:pStyle w:val="LLMomentinKohta"/>
          </w:pPr>
          <w:r>
            <w:t>6) faktorer som bidrar till att påföljden avtjänas på ett tryggt sätt.</w:t>
          </w:r>
        </w:p>
        <w:p w:rsidR="004E4C5C" w:rsidRPr="004E4C5C" w:rsidRDefault="004E4C5C" w:rsidP="004E4C5C">
          <w:pPr>
            <w:pStyle w:val="LLMomentinJohdantoKappale"/>
          </w:pPr>
          <w:r>
            <w:t>Den plan för strafftiden som ska fogas till påföljdsutredningen ska innehålla följande uppgifter:</w:t>
          </w:r>
        </w:p>
        <w:p w:rsidR="004E4C5C" w:rsidRPr="004E4C5C" w:rsidRDefault="004E4C5C" w:rsidP="004E4C5C">
          <w:pPr>
            <w:pStyle w:val="LLMomentinKohta"/>
          </w:pPr>
          <w:r>
            <w:t>1) målen för och innehållet i arbetet, det oavlönade arbetet, rehabiliteringen, utbildningen eller annan verksamhet,</w:t>
          </w:r>
        </w:p>
        <w:p w:rsidR="004E4C5C" w:rsidRPr="004E4C5C" w:rsidRDefault="004E4C5C" w:rsidP="004E4C5C">
          <w:pPr>
            <w:pStyle w:val="LLMomentinKohta"/>
          </w:pPr>
          <w:r>
            <w:t>2) innehållet i det övervakningsstraff som gäller skyldigheten att stanna i bostaden,</w:t>
          </w:r>
        </w:p>
        <w:p w:rsidR="004E4C5C" w:rsidRPr="004E4C5C" w:rsidRDefault="004E4C5C" w:rsidP="004E4C5C">
          <w:pPr>
            <w:pStyle w:val="LLMomentinKohta"/>
          </w:pPr>
          <w:r>
            <w:t>3) innehållet i kravet på drogfrihet,</w:t>
          </w:r>
        </w:p>
        <w:p w:rsidR="004E4C5C" w:rsidRPr="004E4C5C" w:rsidRDefault="004E4C5C" w:rsidP="004E4C5C">
          <w:pPr>
            <w:pStyle w:val="LLMomentinKohta"/>
          </w:pPr>
          <w:r>
            <w:t>4) hur övervakningen ska ordnas genom övervakarmöten, annan kontakt mellan den dömde och övervakaren, tekniska övervakningsanordningar eller andra övervakningsmetoder,</w:t>
          </w:r>
        </w:p>
        <w:p w:rsidR="004E4C5C" w:rsidRPr="004E4C5C" w:rsidRDefault="004E4C5C" w:rsidP="004E4C5C">
          <w:pPr>
            <w:pStyle w:val="LLMomentinKohta"/>
          </w:pPr>
          <w:r>
            <w:t>5) verksamhet som hänför sig till verkställigheten av samhällspåföljden, rehabilitering eller vård som stöder den dömdes livshantering och avtjänande av straff.</w:t>
          </w:r>
        </w:p>
        <w:p w:rsidR="004E4C5C" w:rsidRPr="004E4C5C" w:rsidRDefault="004E4C5C" w:rsidP="004E4C5C">
          <w:pPr>
            <w:pStyle w:val="LLMomentinJohdantoKappale"/>
          </w:pPr>
          <w:r>
            <w:t>Den preciserade planen för strafftiden ska innehålla uppgifter om</w:t>
          </w:r>
        </w:p>
        <w:p w:rsidR="004E4C5C" w:rsidRPr="004E4C5C" w:rsidRDefault="004E4C5C" w:rsidP="004E4C5C">
          <w:pPr>
            <w:pStyle w:val="LLMomentinKohta"/>
          </w:pPr>
          <w:r>
            <w:t>1) den dag då verkställigheten börjar och den dag då avtjänandet av påföljden upphör,</w:t>
          </w:r>
        </w:p>
        <w:p w:rsidR="004E4C5C" w:rsidRPr="004E4C5C" w:rsidRDefault="004E4C5C" w:rsidP="004E4C5C">
          <w:pPr>
            <w:pStyle w:val="LLMomentinKohta"/>
          </w:pPr>
          <w:r>
            <w:t>2) målen, innehållet, kravnivåerna, platserna för genomförande och deltagande och tidsplanen när det gäller arbetet, det oavlönade arbetet, rehabiliteringen, utbildningen eller annan verksamhet,</w:t>
          </w:r>
        </w:p>
        <w:p w:rsidR="004E4C5C" w:rsidRPr="004E4C5C" w:rsidRDefault="004E4C5C" w:rsidP="004E4C5C">
          <w:pPr>
            <w:pStyle w:val="LLMomentinKohta"/>
          </w:pPr>
          <w:r>
            <w:t>3) skyldigheten enligt 46 § i lagen om verkställighet av samhällspåföljder för den som dömts till övervakningsstraff att stanna i sin bostad,</w:t>
          </w:r>
        </w:p>
        <w:p w:rsidR="004E4C5C" w:rsidRPr="004E4C5C" w:rsidRDefault="004E4C5C" w:rsidP="004E4C5C">
          <w:pPr>
            <w:pStyle w:val="LLMomentinKohta"/>
          </w:pPr>
          <w:r>
            <w:t>4) innehållet i kravet på drogfrihet och i andra skyldigheter för den dömde,</w:t>
          </w:r>
        </w:p>
        <w:p w:rsidR="004E4C5C" w:rsidRPr="004E4C5C" w:rsidRDefault="004E4C5C" w:rsidP="004E4C5C">
          <w:pPr>
            <w:pStyle w:val="LLMomentinKohta"/>
          </w:pPr>
          <w:r>
            <w:t>5) övervakarmöten och tidsplanen för dem samt uppgifter om hur ofta övervakaren och den dömde träffas,</w:t>
          </w:r>
        </w:p>
        <w:p w:rsidR="004E4C5C" w:rsidRPr="004E4C5C" w:rsidRDefault="004E4C5C" w:rsidP="004E4C5C">
          <w:pPr>
            <w:pStyle w:val="LLMomentinKohta"/>
          </w:pPr>
          <w:r>
            <w:lastRenderedPageBreak/>
            <w:t>6) genomförandet av den övervakning som sker med hjälp av tekniska anordningar och skyldigheter i anslutning till övervakningen,</w:t>
          </w:r>
        </w:p>
        <w:p w:rsidR="004E4C5C" w:rsidRPr="004E4C5C" w:rsidRDefault="004E4C5C" w:rsidP="004E4C5C">
          <w:pPr>
            <w:pStyle w:val="LLMomentinKohta"/>
          </w:pPr>
          <w:r>
            <w:t>7) verksamhet som hänför sig till verkställigheten av samhällspåföljden, rehabilitering eller vård som stöder den dömdes livshantering och avtjänande av straff,</w:t>
          </w:r>
        </w:p>
        <w:p w:rsidR="004E4C5C" w:rsidRPr="004E4C5C" w:rsidRDefault="004E4C5C" w:rsidP="004E4C5C">
          <w:pPr>
            <w:pStyle w:val="LLMomentinKohta"/>
          </w:pPr>
          <w:r>
            <w:t>8) kontinuiteten i den verksamhet som stöder den dömdes livshantering när straffet har avtjänats,</w:t>
          </w:r>
        </w:p>
        <w:p w:rsidR="004E4C5C" w:rsidRDefault="004E4C5C" w:rsidP="004E4C5C">
          <w:pPr>
            <w:pStyle w:val="LLMomentinKohta"/>
          </w:pPr>
          <w:r>
            <w:t>9) andra nödvändiga villkor för avtjänandet av samhällspåföljden samt sådana villkor som tjänstgöringsplatsen och förhållandena i anslutning till uppgifterna kräver.</w:t>
          </w:r>
        </w:p>
        <w:p w:rsidR="009C44B8" w:rsidRDefault="009C44B8" w:rsidP="004E4C5C">
          <w:pPr>
            <w:pStyle w:val="LLMomentinKohta"/>
          </w:pPr>
          <w:r>
            <w:t>I samarbete med de myndigheter som avses i 12 § i lagen om verkställighet av samhällspåföljder och med samtycke av den som dömts till samhällspåföljder ska det säkerställas att planen för strafftiden och den preciserade planen för strafftiden stöder en eventuell klientplan inom socialvården för den dömde.</w:t>
          </w:r>
        </w:p>
        <w:p w:rsidR="004E4C5C" w:rsidRDefault="004E4C5C" w:rsidP="004E4C5C">
          <w:pPr>
            <w:pStyle w:val="LLMomentinKohta"/>
          </w:pPr>
        </w:p>
        <w:p w:rsidR="00327A0E" w:rsidRPr="00F80C4C" w:rsidRDefault="002A23DD" w:rsidP="00F80C4C">
          <w:pPr>
            <w:pStyle w:val="LLPykala"/>
          </w:pPr>
          <w:r>
            <w:t>14 §</w:t>
          </w:r>
        </w:p>
        <w:p w:rsidR="00327A0E" w:rsidRPr="00F80C4C" w:rsidRDefault="002A23DD" w:rsidP="00F80C4C">
          <w:pPr>
            <w:pStyle w:val="LLPykalanOtsikko"/>
          </w:pPr>
          <w:r>
            <w:t>Inledande av verkställigheten</w:t>
          </w:r>
        </w:p>
        <w:p w:rsidR="00F80C4C" w:rsidRPr="00F80C4C" w:rsidRDefault="00F80C4C" w:rsidP="00F80C4C">
          <w:pPr>
            <w:pStyle w:val="LLKappalejako"/>
          </w:pPr>
          <w:r>
            <w:t>Om det är känt var den dömde är bosatt eller vistas, ska Brottspåföljdsmyndigheten sända den dömde en skriftlig uppmaning att kontakta en enhet vid Brottspåföljdsmyndigheten vid en bestämd tidpunkt för utarbetande av en preciserad plan för strafftiden och för fastställande av begynnelsetidpunkten för strafftiden. Om det rör sig om inledande av verkställigheten i fråga om övervakning av villkorlig frihet ska en preciserad plan för strafftiden göras upp under fängelsetiden, och den dömde ska före frigivningen informeras om tidpunkten då han eller hon ska anmäla sig hos byrån för samhällspåföljder.</w:t>
          </w:r>
        </w:p>
        <w:p w:rsidR="00F80C4C" w:rsidRDefault="00F80C4C" w:rsidP="00F80C4C">
          <w:pPr>
            <w:pStyle w:val="LLKappalejako"/>
          </w:pPr>
        </w:p>
        <w:p w:rsidR="00F80C4C" w:rsidRPr="00F80C4C" w:rsidRDefault="00F80C4C" w:rsidP="00F80C4C">
          <w:pPr>
            <w:pStyle w:val="LLPykala"/>
          </w:pPr>
          <w:r>
            <w:t>18 §</w:t>
          </w:r>
        </w:p>
        <w:p w:rsidR="00F80C4C" w:rsidRPr="00F80C4C" w:rsidRDefault="00F80C4C" w:rsidP="00F80C4C">
          <w:pPr>
            <w:pStyle w:val="LLPykalanOtsikko"/>
          </w:pPr>
          <w:r>
            <w:t>Registrering av kontroll av drogfrihet</w:t>
          </w:r>
        </w:p>
        <w:p w:rsidR="00F80C4C" w:rsidRPr="00F80C4C" w:rsidRDefault="00F80C4C" w:rsidP="00F80C4C">
          <w:pPr>
            <w:pStyle w:val="LLMomentinJohdantoKappale"/>
          </w:pPr>
          <w:r>
            <w:t>Följande uppgifter om kontrollen av den dömdes drogfrihet ska registreras:</w:t>
          </w:r>
        </w:p>
        <w:p w:rsidR="00F80C4C" w:rsidRPr="00F80C4C" w:rsidRDefault="00F80C4C" w:rsidP="00F80C4C">
          <w:pPr>
            <w:pStyle w:val="LLMomentinKohta"/>
          </w:pPr>
          <w:r>
            <w:t>1) den dömdes personuppgifter,</w:t>
          </w:r>
        </w:p>
        <w:p w:rsidR="00F80C4C" w:rsidRPr="00F80C4C" w:rsidRDefault="00F80C4C" w:rsidP="00F80C4C">
          <w:pPr>
            <w:pStyle w:val="LLMomentinKohta"/>
          </w:pPr>
          <w:r>
            <w:t>2) tidpunkt och plats för kontrollen av drogfrihet,</w:t>
          </w:r>
        </w:p>
        <w:p w:rsidR="00F80C4C" w:rsidRPr="00F80C4C" w:rsidRDefault="00F80C4C" w:rsidP="00F80C4C">
          <w:pPr>
            <w:pStyle w:val="LLMomentinKohta"/>
          </w:pPr>
          <w:r>
            <w:t>3) den tjänsteman som beslutat om kontrollen av drogfrihet,</w:t>
          </w:r>
        </w:p>
        <w:p w:rsidR="00F80C4C" w:rsidRPr="00F80C4C" w:rsidRDefault="00F80C4C" w:rsidP="00F80C4C">
          <w:pPr>
            <w:pStyle w:val="LLMomentinKohta"/>
          </w:pPr>
          <w:r>
            <w:t>4) den tjänsteman som utfört kontrollen av drogfrihet,</w:t>
          </w:r>
        </w:p>
        <w:p w:rsidR="00F80C4C" w:rsidRPr="00F80C4C" w:rsidRDefault="00F80C4C" w:rsidP="00F80C4C">
          <w:pPr>
            <w:pStyle w:val="LLMomentinKohta"/>
          </w:pPr>
          <w:r>
            <w:t>5) grunden för kontrollen av drogfrihet och utförd åtgärd,</w:t>
          </w:r>
        </w:p>
        <w:p w:rsidR="00F80C4C" w:rsidRPr="00F80C4C" w:rsidRDefault="00F80C4C" w:rsidP="00F80C4C">
          <w:pPr>
            <w:pStyle w:val="LLMomentinKohta"/>
          </w:pPr>
          <w:r>
            <w:t>6) den tidpunkt då den dömde har underrättats om grunden för kontrollen av drogfrihet,</w:t>
          </w:r>
        </w:p>
        <w:p w:rsidR="00F80C4C" w:rsidRPr="00F80C4C" w:rsidRDefault="00F80C4C" w:rsidP="00F80C4C">
          <w:pPr>
            <w:pStyle w:val="LLMomentinKohta"/>
          </w:pPr>
          <w:r>
            <w:t>7) uppgifter om behandlingen av urin-, saliv- och blodprov,</w:t>
          </w:r>
        </w:p>
        <w:p w:rsidR="00F80C4C" w:rsidRPr="00F80C4C" w:rsidRDefault="00F80C4C" w:rsidP="00F80C4C">
          <w:pPr>
            <w:pStyle w:val="LLMomentinKohta"/>
          </w:pPr>
          <w:r>
            <w:t>8) observationer om det berusningstillstånd som avses i 22 § 3 mom. i lagen om verkställighet av samhällspåföljder och information om att den dömde inte har krävt att utandnings-, saliv-, urin- eller blodprov ska tas,</w:t>
          </w:r>
        </w:p>
        <w:p w:rsidR="00F80C4C" w:rsidRDefault="00F80C4C" w:rsidP="00F80C4C">
          <w:pPr>
            <w:pStyle w:val="LLMomentinKohta"/>
          </w:pPr>
          <w:r>
            <w:t>9) resultatet av utandnings-, saliv-, urin- eller blodprov och uppgifter om säkerställandet av resultatet.</w:t>
          </w:r>
        </w:p>
        <w:p w:rsidR="00F80C4C" w:rsidRDefault="00F80C4C" w:rsidP="00F80C4C">
          <w:pPr>
            <w:pStyle w:val="LLMomentinKohta"/>
          </w:pPr>
        </w:p>
        <w:p w:rsidR="00F80C4C" w:rsidRPr="00F80C4C" w:rsidRDefault="00F80C4C" w:rsidP="00F80C4C">
          <w:pPr>
            <w:pStyle w:val="LLPykala"/>
          </w:pPr>
          <w:r>
            <w:t xml:space="preserve">19 § </w:t>
          </w:r>
        </w:p>
        <w:p w:rsidR="00F80C4C" w:rsidRPr="00F80C4C" w:rsidRDefault="00F80C4C" w:rsidP="00F80C4C">
          <w:pPr>
            <w:pStyle w:val="LLMomentinKohta"/>
            <w:rPr>
              <w:b/>
            </w:rPr>
          </w:pPr>
        </w:p>
        <w:p w:rsidR="00F80C4C" w:rsidRPr="00F80C4C" w:rsidRDefault="00F80C4C" w:rsidP="00F80C4C">
          <w:pPr>
            <w:pStyle w:val="LLPykalanOtsikko"/>
          </w:pPr>
          <w:r>
            <w:t>Utredning och registrering av brott mot skyldigheter</w:t>
          </w:r>
        </w:p>
        <w:p w:rsidR="00F80C4C" w:rsidRPr="00F80C4C" w:rsidRDefault="00F80C4C" w:rsidP="00F80C4C">
          <w:pPr>
            <w:pStyle w:val="LLMomentinJohdantoKappale"/>
          </w:pPr>
          <w:r>
            <w:t>Vid misstänkta brott mot skyldigheter ska en anmälan registreras. Följande uppgifter ska registreras i anmälan:</w:t>
          </w:r>
        </w:p>
        <w:p w:rsidR="00F80C4C" w:rsidRPr="00F80C4C" w:rsidRDefault="00F80C4C" w:rsidP="00F80C4C">
          <w:pPr>
            <w:pStyle w:val="LLMomentinKohta"/>
          </w:pPr>
          <w:r>
            <w:t>1) den som gör anmälan,</w:t>
          </w:r>
        </w:p>
        <w:p w:rsidR="00F80C4C" w:rsidRPr="00F80C4C" w:rsidRDefault="00F80C4C" w:rsidP="00F80C4C">
          <w:pPr>
            <w:pStyle w:val="LLMomentinKohta"/>
          </w:pPr>
          <w:r>
            <w:t xml:space="preserve">2) tidpunkt och plats för händelsen, </w:t>
          </w:r>
        </w:p>
        <w:p w:rsidR="00F80C4C" w:rsidRDefault="00F80C4C" w:rsidP="00F80C4C">
          <w:pPr>
            <w:pStyle w:val="LLMomentinKohta"/>
          </w:pPr>
          <w:r>
            <w:lastRenderedPageBreak/>
            <w:t xml:space="preserve">3) personuppgifter om den som misstänks för brott mot skyldigheter, </w:t>
          </w:r>
        </w:p>
        <w:p w:rsidR="00F80C4C" w:rsidRPr="00F80C4C" w:rsidRDefault="00F80C4C" w:rsidP="00F80C4C">
          <w:pPr>
            <w:pStyle w:val="LLMomentinKohta"/>
          </w:pPr>
          <w:r>
            <w:t xml:space="preserve">4) vilken skyldighet den dömde misstänks ha brutit mot, </w:t>
          </w:r>
        </w:p>
        <w:p w:rsidR="00F80C4C" w:rsidRPr="00F80C4C" w:rsidRDefault="00F80C4C" w:rsidP="00F80C4C">
          <w:pPr>
            <w:pStyle w:val="LLMomentinKohta"/>
          </w:pPr>
          <w:r>
            <w:t>5) andra personer med anknytning till händelsen,</w:t>
          </w:r>
        </w:p>
        <w:p w:rsidR="00F80C4C" w:rsidRPr="00F80C4C" w:rsidRDefault="00F80C4C" w:rsidP="00F80C4C">
          <w:pPr>
            <w:pStyle w:val="LLMomentinKohta"/>
          </w:pPr>
          <w:r>
            <w:t>6) en redogörelse för det skedda och de åtgärder som vidtagits på grund av händelsen.</w:t>
          </w:r>
        </w:p>
        <w:p w:rsidR="00F80C4C" w:rsidRPr="00F80C4C" w:rsidRDefault="00F80C4C" w:rsidP="00F80C4C">
          <w:pPr>
            <w:pStyle w:val="LLMomentinJohdantoKappale"/>
          </w:pPr>
          <w:r>
            <w:t>Följande uppgifter ska registreras vid utredning av brott mot skyldigheter:</w:t>
          </w:r>
        </w:p>
        <w:p w:rsidR="00F80C4C" w:rsidRPr="00F80C4C" w:rsidRDefault="00F80C4C" w:rsidP="00F80C4C">
          <w:pPr>
            <w:pStyle w:val="LLMomentinKohta"/>
          </w:pPr>
          <w:r>
            <w:t xml:space="preserve">1) den dömdes personuppgifter, </w:t>
          </w:r>
        </w:p>
        <w:p w:rsidR="00F80C4C" w:rsidRPr="00F80C4C" w:rsidRDefault="00F80C4C" w:rsidP="00F80C4C">
          <w:pPr>
            <w:pStyle w:val="LLMomentinKohta"/>
          </w:pPr>
          <w:r>
            <w:t>2) händelsens identifieringsuppgifter,</w:t>
          </w:r>
        </w:p>
        <w:p w:rsidR="00F80C4C" w:rsidRPr="00F80C4C" w:rsidRDefault="00F80C4C" w:rsidP="00F80C4C">
          <w:pPr>
            <w:pStyle w:val="LLMomentinKohta"/>
          </w:pPr>
          <w:r>
            <w:t>3) den tjänsteman som gjort utredningen,</w:t>
          </w:r>
        </w:p>
        <w:p w:rsidR="00F80C4C" w:rsidRPr="00F80C4C" w:rsidRDefault="00F80C4C" w:rsidP="00F80C4C">
          <w:pPr>
            <w:pStyle w:val="LLMomentinKohta"/>
          </w:pPr>
          <w:r>
            <w:t>4) vilken skyldighet den dömde misstänks ha brutit mot,</w:t>
          </w:r>
        </w:p>
        <w:p w:rsidR="00F80C4C" w:rsidRPr="00F80C4C" w:rsidRDefault="00F80C4C" w:rsidP="00F80C4C">
          <w:pPr>
            <w:pStyle w:val="LLMomentinKohta"/>
          </w:pPr>
          <w:r>
            <w:t>5) uppgifter om hörande av den dömde och yttrande av den dömde,</w:t>
          </w:r>
        </w:p>
        <w:p w:rsidR="00F80C4C" w:rsidRPr="00F80C4C" w:rsidRDefault="00F80C4C" w:rsidP="00F80C4C">
          <w:pPr>
            <w:pStyle w:val="LLMomentinKohta"/>
          </w:pPr>
          <w:r>
            <w:t>6) någon annan bevisning,</w:t>
          </w:r>
        </w:p>
        <w:p w:rsidR="00F80C4C" w:rsidRPr="00F80C4C" w:rsidRDefault="00F80C4C" w:rsidP="00F80C4C">
          <w:pPr>
            <w:pStyle w:val="LLMomentinKohta"/>
          </w:pPr>
          <w:r>
            <w:t>7) uppgifter om tidigare anmärkningar eller varningar som påförts den dömde,</w:t>
          </w:r>
        </w:p>
        <w:p w:rsidR="00F80C4C" w:rsidRPr="00F80C4C" w:rsidRDefault="00F80C4C" w:rsidP="00F80C4C">
          <w:pPr>
            <w:pStyle w:val="LLMomentinKohta"/>
          </w:pPr>
          <w:r>
            <w:t>8) uppgifter om när verkställigheten av ett beslut enligt 25 § 2 mom. eller 26 § 2 mom. i lagen om verkställighet av samhällspåföljder inleds och avslutas.</w:t>
          </w:r>
        </w:p>
        <w:p w:rsidR="00F80C4C" w:rsidRPr="00F80C4C" w:rsidRDefault="00F80C4C" w:rsidP="00F80C4C">
          <w:pPr>
            <w:pStyle w:val="LLMomentinKohta"/>
          </w:pPr>
          <w:r>
            <w:t>Om den dömde misstänks för grovt brott mot skyldigheter ska uppgifter om lämnande av utredning till åklagaren registreras.</w:t>
          </w:r>
        </w:p>
        <w:p w:rsidR="00F80C4C" w:rsidRDefault="00F80C4C" w:rsidP="00F80C4C">
          <w:pPr>
            <w:pStyle w:val="LLKappalejako"/>
          </w:pPr>
        </w:p>
        <w:p w:rsidR="00F80C4C" w:rsidRDefault="00F80C4C" w:rsidP="00F80C4C">
          <w:pPr>
            <w:pStyle w:val="LLKappalejako"/>
          </w:pPr>
        </w:p>
        <w:p w:rsidR="00F80C4C" w:rsidRDefault="00F80C4C" w:rsidP="00F80C4C">
          <w:pPr>
            <w:pStyle w:val="LLPykala"/>
          </w:pPr>
          <w:r>
            <w:t>22 §</w:t>
          </w:r>
        </w:p>
        <w:p w:rsidR="00F80C4C" w:rsidRDefault="00F80C4C" w:rsidP="00F80C4C">
          <w:pPr>
            <w:pStyle w:val="LLPykalanOtsikko"/>
          </w:pPr>
          <w:r>
            <w:t>Ersättning för resekostnader</w:t>
          </w:r>
        </w:p>
        <w:p w:rsidR="00F80C4C" w:rsidRDefault="00F80C4C" w:rsidP="00F80C4C">
          <w:pPr>
            <w:pStyle w:val="LLKappalejako"/>
          </w:pPr>
          <w:r>
            <w:t>De resekostnader som avses i 32 § i lagen om verkställighet av samhällspåföljder ersätts genom att till den misstänkte eller dömde ge eller skicka en biljett eller genom att betala de faktiska kostnaderna till ett bankkonto som den misstänkte eller dömde har uppgett, eller på något annat ändamålsenligt sätt.</w:t>
          </w:r>
        </w:p>
        <w:p w:rsidR="00B86FF0" w:rsidRDefault="00B86FF0" w:rsidP="00F80C4C">
          <w:pPr>
            <w:pStyle w:val="LLKappalejako"/>
          </w:pPr>
        </w:p>
        <w:p w:rsidR="00B86FF0" w:rsidRPr="00B86FF0" w:rsidRDefault="00B86FF0" w:rsidP="00B86FF0">
          <w:pPr>
            <w:pStyle w:val="LLPykala"/>
          </w:pPr>
          <w:r>
            <w:t>28 §</w:t>
          </w:r>
        </w:p>
        <w:p w:rsidR="00B86FF0" w:rsidRPr="00B86FF0" w:rsidRDefault="00B86FF0" w:rsidP="00B86FF0">
          <w:pPr>
            <w:pStyle w:val="LLPykalanOtsikko"/>
          </w:pPr>
          <w:r>
            <w:t>Plats för och registrering av säkerhetskontroll</w:t>
          </w:r>
        </w:p>
        <w:p w:rsidR="00B86FF0" w:rsidRPr="00B86FF0" w:rsidRDefault="00B86FF0" w:rsidP="00B86FF0">
          <w:pPr>
            <w:pStyle w:val="LLKappalejako"/>
          </w:pPr>
          <w:r>
            <w:t>En säkerhetskontroll som gäller den dömde ska genomföras i den dömdes bostad, i Brottspåföljdsmyndighetens fordon eller på något annat ställe där kontrollen kan utföras utan att väcka uppmärksamhet.</w:t>
          </w:r>
        </w:p>
        <w:p w:rsidR="00B86FF0" w:rsidRPr="00B86FF0" w:rsidRDefault="00B86FF0" w:rsidP="00B86FF0">
          <w:pPr>
            <w:pStyle w:val="LLMomentinJohdantoKappale"/>
          </w:pPr>
          <w:r>
            <w:t>Följande uppgifter om den dömdes säkerhetskontroll ska registreras:</w:t>
          </w:r>
        </w:p>
        <w:p w:rsidR="00B86FF0" w:rsidRPr="00B86FF0" w:rsidRDefault="00B86FF0" w:rsidP="00B86FF0">
          <w:pPr>
            <w:pStyle w:val="LLMomentinKohta"/>
          </w:pPr>
          <w:r>
            <w:t>1) den dömdes personuppgifter,</w:t>
          </w:r>
        </w:p>
        <w:p w:rsidR="00B86FF0" w:rsidRPr="00B86FF0" w:rsidRDefault="00B86FF0" w:rsidP="00B86FF0">
          <w:pPr>
            <w:pStyle w:val="LLMomentinKohta"/>
          </w:pPr>
          <w:r>
            <w:t>2) tidpunkt och plats för säkerhetskontrollen,</w:t>
          </w:r>
        </w:p>
        <w:p w:rsidR="00B86FF0" w:rsidRPr="00B86FF0" w:rsidRDefault="00B86FF0" w:rsidP="00B86FF0">
          <w:pPr>
            <w:pStyle w:val="LLMomentinKohta"/>
          </w:pPr>
          <w:r>
            <w:t>3) den tjänsteman som beslutat om säkerhetskontrollen,</w:t>
          </w:r>
        </w:p>
        <w:p w:rsidR="00B86FF0" w:rsidRPr="00B86FF0" w:rsidRDefault="00B86FF0" w:rsidP="00B86FF0">
          <w:pPr>
            <w:pStyle w:val="LLMomentinKohta"/>
          </w:pPr>
          <w:r>
            <w:t>4) den tjänsteman som utfört säkerhetskontrollen,</w:t>
          </w:r>
        </w:p>
        <w:p w:rsidR="00B86FF0" w:rsidRPr="00B86FF0" w:rsidRDefault="00B86FF0" w:rsidP="00B86FF0">
          <w:pPr>
            <w:pStyle w:val="LLMomentinKohta"/>
          </w:pPr>
          <w:r>
            <w:t>5) grunden för säkerhetskontrollen och utförd åtgärd,</w:t>
          </w:r>
        </w:p>
        <w:p w:rsidR="00B86FF0" w:rsidRPr="00B86FF0" w:rsidRDefault="00B86FF0" w:rsidP="00B86FF0">
          <w:pPr>
            <w:pStyle w:val="LLMomentinKohta"/>
          </w:pPr>
          <w:r>
            <w:t>7) observationer och fynd som gjorts vid säkerhetskontrollen,</w:t>
          </w:r>
        </w:p>
        <w:p w:rsidR="00B86FF0" w:rsidRPr="00B86FF0" w:rsidRDefault="00B86FF0" w:rsidP="00B86FF0">
          <w:pPr>
            <w:pStyle w:val="LLMomentinKohta"/>
          </w:pPr>
          <w:r>
            <w:t>8) grunden för fråntagande av föremål eller ämne,</w:t>
          </w:r>
        </w:p>
        <w:p w:rsidR="00B86FF0" w:rsidRPr="00B86FF0" w:rsidRDefault="00B86FF0" w:rsidP="00B86FF0">
          <w:pPr>
            <w:pStyle w:val="LLMomentinKohta"/>
          </w:pPr>
          <w:r>
            <w:t>9) uppgifter om de föremål och ämnen som fråntagits den dömde,</w:t>
          </w:r>
        </w:p>
        <w:p w:rsidR="00B86FF0" w:rsidRPr="00B86FF0" w:rsidRDefault="00B86FF0" w:rsidP="00B86FF0">
          <w:pPr>
            <w:pStyle w:val="LLMomentinKohta"/>
          </w:pPr>
          <w:r>
            <w:t>10) uppgifter om behandling och eventuellt återlämnande av föremål och ämnen som fråntagits den dömde.</w:t>
          </w:r>
        </w:p>
        <w:p w:rsidR="00B86FF0" w:rsidRPr="00F80C4C" w:rsidRDefault="00B86FF0" w:rsidP="00F80C4C">
          <w:pPr>
            <w:pStyle w:val="LLKappalejako"/>
          </w:pPr>
        </w:p>
        <w:p w:rsidR="00F80C4C" w:rsidRDefault="00F80C4C" w:rsidP="00F80C4C">
          <w:pPr>
            <w:pStyle w:val="LLKappalejako"/>
          </w:pPr>
        </w:p>
        <w:p w:rsidR="00F80C4C" w:rsidRPr="00F80C4C" w:rsidRDefault="00F80C4C" w:rsidP="00F80C4C">
          <w:pPr>
            <w:pStyle w:val="LLKappalejako"/>
          </w:pPr>
        </w:p>
        <w:p w:rsidR="004E4C5C" w:rsidRPr="004E4C5C" w:rsidRDefault="004E4C5C" w:rsidP="004E4C5C">
          <w:pPr>
            <w:pStyle w:val="LLMomentinKohta"/>
          </w:pPr>
        </w:p>
        <w:p w:rsidR="001D5B51" w:rsidRDefault="001D5B51" w:rsidP="004E4C5C"/>
        <w:p w:rsidR="001D5B51" w:rsidRPr="009167E1" w:rsidRDefault="001D5B51" w:rsidP="001D5B51">
          <w:pPr>
            <w:pStyle w:val="LLNormaali"/>
            <w:jc w:val="center"/>
          </w:pPr>
          <w:proofErr w:type="gramStart"/>
          <w:r>
            <w:t>—</w:t>
          </w:r>
          <w:proofErr w:type="gramEnd"/>
          <w:r>
            <w:t>——</w:t>
          </w:r>
        </w:p>
        <w:p w:rsidR="001D5B51" w:rsidRDefault="001D5B51" w:rsidP="001D5B51">
          <w:pPr>
            <w:pStyle w:val="LLVoimaantulokappale"/>
          </w:pPr>
          <w:r>
            <w:lastRenderedPageBreak/>
            <w:t xml:space="preserve">Denna förordning träder i kraft </w:t>
          </w:r>
          <w:proofErr w:type="gramStart"/>
          <w:r>
            <w:t>den      20</w:t>
          </w:r>
          <w:proofErr w:type="gramEnd"/>
          <w:r>
            <w:t xml:space="preserve">  . Genom denna förordning upphävs statsrådets förordning om övervakning av villkorlig frihet (1077/2013).</w:t>
          </w:r>
        </w:p>
        <w:p w:rsidR="001D5B51" w:rsidRDefault="008241F6" w:rsidP="001D5B51">
          <w:pPr>
            <w:pStyle w:val="LLNormaali"/>
          </w:pPr>
        </w:p>
      </w:sdtContent>
    </w:sdt>
    <w:p w:rsidR="001D5B51" w:rsidRDefault="001D5B51" w:rsidP="004F334C"/>
    <w:sdt>
      <w:sdtPr>
        <w:alias w:val="Datum"/>
        <w:tag w:val="CCPaivays"/>
        <w:id w:val="1988824703"/>
        <w:placeholder>
          <w:docPart w:val="197A12915C024315AE1C5EB41C84469A"/>
        </w:placeholder>
        <w15:color w:val="33CCCC"/>
        <w:text/>
      </w:sdtPr>
      <w:sdtEndPr/>
      <w:sdtContent>
        <w:p w:rsidR="001D5B51" w:rsidRDefault="001D5B51" w:rsidP="001D5B51">
          <w:pPr>
            <w:pStyle w:val="LLPaivays"/>
            <w:rPr>
              <w:rFonts w:eastAsia="Calibri"/>
              <w:szCs w:val="22"/>
            </w:rPr>
          </w:pPr>
          <w:r>
            <w:t xml:space="preserve">Helsingfors den xx </w:t>
          </w:r>
          <w:proofErr w:type="spellStart"/>
          <w:r>
            <w:t>xxxx</w:t>
          </w:r>
          <w:proofErr w:type="spellEnd"/>
          <w:r>
            <w:t xml:space="preserve"> 2021</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Undertecknarens ställning"/>
        <w:tag w:val="CCAllekirjoitus"/>
        <w:id w:val="2141755932"/>
        <w:placeholder>
          <w:docPart w:val="7C9FA9863F53417D9CC47BC9D1EB5620"/>
        </w:placeholder>
        <w15:color w:val="00FFFF"/>
      </w:sdtPr>
      <w:sdtEndPr/>
      <w:sdtContent>
        <w:p w:rsidR="001D5B51" w:rsidRDefault="001D5B51" w:rsidP="001D5B51">
          <w:pPr>
            <w:pStyle w:val="LLAllekirjoitus"/>
            <w:rPr>
              <w:rFonts w:eastAsia="Calibri"/>
              <w:b w:val="0"/>
              <w:sz w:val="22"/>
              <w:szCs w:val="22"/>
            </w:rPr>
          </w:pPr>
          <w:proofErr w:type="gramStart"/>
          <w:r>
            <w:rPr>
              <w:b w:val="0"/>
              <w:sz w:val="22"/>
            </w:rPr>
            <w:t>...minister</w:t>
          </w:r>
          <w:proofErr w:type="gramEnd"/>
          <w:r>
            <w:rPr>
              <w:b w:val="0"/>
              <w:sz w:val="22"/>
            </w:rPr>
            <w:t xml:space="preserve"> Förnamn Efternamn</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8341AB" w:rsidP="001D5B51">
      <w:pPr>
        <w:pStyle w:val="LLVarmennus"/>
      </w:pPr>
      <w:r>
        <w:t>Titel Förnamn Efternamn</w:t>
      </w:r>
    </w:p>
    <w:p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1F6" w:rsidRDefault="008241F6">
      <w:r>
        <w:separator/>
      </w:r>
    </w:p>
  </w:endnote>
  <w:endnote w:type="continuationSeparator" w:id="0">
    <w:p w:rsidR="008241F6" w:rsidRDefault="0082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976463">
            <w:rPr>
              <w:rStyle w:val="Sivunumero"/>
              <w:noProof/>
              <w:sz w:val="22"/>
            </w:rPr>
            <w:t>4</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1F6" w:rsidRDefault="008241F6">
      <w:r>
        <w:separator/>
      </w:r>
    </w:p>
  </w:footnote>
  <w:footnote w:type="continuationSeparator" w:id="0">
    <w:p w:rsidR="008241F6" w:rsidRDefault="00824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FB"/>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5D38"/>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622"/>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00B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3DD"/>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6FDC"/>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4C5C"/>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57DE"/>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A1E"/>
    <w:rsid w:val="00784F86"/>
    <w:rsid w:val="00785D7E"/>
    <w:rsid w:val="00786460"/>
    <w:rsid w:val="007914C8"/>
    <w:rsid w:val="00796058"/>
    <w:rsid w:val="007961ED"/>
    <w:rsid w:val="0079674C"/>
    <w:rsid w:val="00797CFD"/>
    <w:rsid w:val="007A1F5B"/>
    <w:rsid w:val="007A478D"/>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5FB"/>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3857"/>
    <w:rsid w:val="008241F6"/>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478A0"/>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463"/>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4B8"/>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424"/>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4EDF"/>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6FF0"/>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2F21"/>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AD0"/>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0C4C"/>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ED5FDD"/>
  <w15:docId w15:val="{7989AB2F-12AF-4BD3-B5F0-E2CAB5DC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106\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89D8D98FBF4A72980A78E38D5AD1D3"/>
        <w:category>
          <w:name w:val="Yleiset"/>
          <w:gallery w:val="placeholder"/>
        </w:category>
        <w:types>
          <w:type w:val="bbPlcHdr"/>
        </w:types>
        <w:behaviors>
          <w:behavior w:val="content"/>
        </w:behaviors>
        <w:guid w:val="{A5506CFC-12EF-4908-9827-BB4885DB092E}"/>
      </w:docPartPr>
      <w:docPartBody>
        <w:p w:rsidR="00541908" w:rsidRDefault="000D39F3">
          <w:pPr>
            <w:pStyle w:val="7A89D8D98FBF4A72980A78E38D5AD1D3"/>
          </w:pPr>
          <w:r w:rsidRPr="005D3E42">
            <w:rPr>
              <w:rStyle w:val="Paikkamerkkiteksti"/>
            </w:rPr>
            <w:t>Click or tap here to enter text.</w:t>
          </w:r>
        </w:p>
      </w:docPartBody>
    </w:docPart>
    <w:docPart>
      <w:docPartPr>
        <w:name w:val="197A12915C024315AE1C5EB41C84469A"/>
        <w:category>
          <w:name w:val="Yleiset"/>
          <w:gallery w:val="placeholder"/>
        </w:category>
        <w:types>
          <w:type w:val="bbPlcHdr"/>
        </w:types>
        <w:behaviors>
          <w:behavior w:val="content"/>
        </w:behaviors>
        <w:guid w:val="{F3492BA6-4F4C-4C70-98D3-5D34621EB136}"/>
      </w:docPartPr>
      <w:docPartBody>
        <w:p w:rsidR="00541908" w:rsidRDefault="000D39F3">
          <w:pPr>
            <w:pStyle w:val="197A12915C024315AE1C5EB41C84469A"/>
          </w:pPr>
          <w:r w:rsidRPr="005D3E42">
            <w:rPr>
              <w:rStyle w:val="Paikkamerkkiteksti"/>
            </w:rPr>
            <w:t>Click or tap here to enter text.</w:t>
          </w:r>
        </w:p>
      </w:docPartBody>
    </w:docPart>
    <w:docPart>
      <w:docPartPr>
        <w:name w:val="7C9FA9863F53417D9CC47BC9D1EB5620"/>
        <w:category>
          <w:name w:val="Yleiset"/>
          <w:gallery w:val="placeholder"/>
        </w:category>
        <w:types>
          <w:type w:val="bbPlcHdr"/>
        </w:types>
        <w:behaviors>
          <w:behavior w:val="content"/>
        </w:behaviors>
        <w:guid w:val="{4DCB444E-4812-4646-B4DC-C665A3BC55DF}"/>
      </w:docPartPr>
      <w:docPartBody>
        <w:p w:rsidR="00541908" w:rsidRDefault="000D39F3">
          <w:pPr>
            <w:pStyle w:val="7C9FA9863F53417D9CC47BC9D1EB5620"/>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F3"/>
    <w:rsid w:val="000C2EC1"/>
    <w:rsid w:val="000D39F3"/>
    <w:rsid w:val="00541908"/>
    <w:rsid w:val="00B63AC3"/>
    <w:rsid w:val="00C72F7E"/>
    <w:rsid w:val="00EA28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7A89D8D98FBF4A72980A78E38D5AD1D3">
    <w:name w:val="7A89D8D98FBF4A72980A78E38D5AD1D3"/>
  </w:style>
  <w:style w:type="paragraph" w:customStyle="1" w:styleId="197A12915C024315AE1C5EB41C84469A">
    <w:name w:val="197A12915C024315AE1C5EB41C84469A"/>
  </w:style>
  <w:style w:type="paragraph" w:customStyle="1" w:styleId="7C9FA9863F53417D9CC47BC9D1EB5620">
    <w:name w:val="7C9FA9863F53417D9CC47BC9D1EB5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C823-719B-42B0-9B95-50369C2A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0</TotalTime>
  <Pages>4</Pages>
  <Words>832</Words>
  <Characters>6744</Characters>
  <Application>Microsoft Office Word</Application>
  <DocSecurity>0</DocSecurity>
  <Lines>56</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Martikainen Juho (OM)</dc:creator>
  <cp:keywords/>
  <dc:description/>
  <cp:lastModifiedBy>Martikainen Juho (OM)</cp:lastModifiedBy>
  <cp:revision>2</cp:revision>
  <cp:lastPrinted>2017-12-04T10:02:00Z</cp:lastPrinted>
  <dcterms:created xsi:type="dcterms:W3CDTF">2021-04-01T04:31:00Z</dcterms:created>
  <dcterms:modified xsi:type="dcterms:W3CDTF">2021-04-01T04:31:00Z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