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DF951" w14:textId="77777777" w:rsidR="003C4DCC" w:rsidRDefault="003C4DCC" w:rsidP="000A06A9"/>
    <w:p w14:paraId="1A927258" w14:textId="3495A031" w:rsidR="00EF3AF3" w:rsidRDefault="00EF3AF3" w:rsidP="00536F30">
      <w:pPr>
        <w:pStyle w:val="LLEsityksennimi"/>
      </w:pPr>
      <w:r>
        <w:t xml:space="preserve">Hallituksen esitys eduskunnalle </w:t>
      </w:r>
      <w:r w:rsidR="001A4DAD" w:rsidRPr="001A4DAD">
        <w:t>laiksi energiaintensiivisten yritysten sähköistämistuesta</w:t>
      </w:r>
      <w:bookmarkStart w:id="0" w:name="_GoBack"/>
      <w:bookmarkEnd w:id="0"/>
    </w:p>
    <w:bookmarkStart w:id="1" w:name="_Toc75419998" w:displacedByCustomXml="next"/>
    <w:sdt>
      <w:sdtPr>
        <w:alias w:val="Otsikko"/>
        <w:tag w:val="CCOtsikko"/>
        <w:id w:val="-717274869"/>
        <w:lock w:val="sdtLocked"/>
        <w:placeholder>
          <w:docPart w:val="0A75C9D3F1664B74AF2F4FA32E7ED492"/>
        </w:placeholder>
        <w15:color w:val="00CCFF"/>
      </w:sdtPr>
      <w:sdtEndPr/>
      <w:sdtContent>
        <w:p w14:paraId="7F394C3E" w14:textId="77777777" w:rsidR="005A0584" w:rsidRDefault="005A0584" w:rsidP="005A0584">
          <w:pPr>
            <w:pStyle w:val="LLPasiallinensislt"/>
          </w:pPr>
          <w:r>
            <w:t>Esityksen pääasiallinen sisältö</w:t>
          </w:r>
        </w:p>
      </w:sdtContent>
    </w:sdt>
    <w:bookmarkEnd w:id="1" w:displacedByCustomXml="prev"/>
    <w:sdt>
      <w:sdtPr>
        <w:alias w:val="Pääasiallinen sisältö"/>
        <w:tag w:val="CCPaaasiallinensisalto"/>
        <w:id w:val="773754789"/>
        <w:lock w:val="sdtLocked"/>
        <w:placeholder>
          <w:docPart w:val="60443391DF9E419FAD4C2EC0727EC123"/>
        </w:placeholder>
        <w15:color w:val="00CCFF"/>
      </w:sdtPr>
      <w:sdtEndPr/>
      <w:sdtContent>
        <w:p w14:paraId="542EE227" w14:textId="12E14FF0" w:rsidR="00F76E29" w:rsidRDefault="00F76E29" w:rsidP="00F76E29">
          <w:pPr>
            <w:pStyle w:val="LLPerustelujenkappalejako"/>
          </w:pPr>
          <w:r>
            <w:t>Esityksessä ehdotetaan säädettäväksi laki energiaintensiivise</w:t>
          </w:r>
          <w:r w:rsidR="0081602B">
            <w:t>n</w:t>
          </w:r>
          <w:r>
            <w:t xml:space="preserve"> teollisuude</w:t>
          </w:r>
          <w:r w:rsidR="0081602B">
            <w:t>n</w:t>
          </w:r>
          <w:r w:rsidR="00F7016A">
            <w:t xml:space="preserve"> </w:t>
          </w:r>
          <w:r>
            <w:t xml:space="preserve">sähköistämistuesta. Tuella korvataan päästökaupasta aiheutuvia välillisiä kustannuksia laissa määritellyille toimialoille. Maksettavan tuen suuruus riippuisi muun muassa päästöoikeuden hinnasta sekä toiminnanharjoittajan sähkönkulutuksesta tai tuotannon määrästä. Lain tavoitteena on </w:t>
          </w:r>
          <w:r w:rsidR="0063033A">
            <w:t>ohjata</w:t>
          </w:r>
          <w:r>
            <w:t xml:space="preserve"> toiminnanharjoittajia kehittämään teollista tuotantoaan hiilineutraalimmaksi. Tuen käytölle asetettaisiin ehtoja, joita tukea saavan toiminna</w:t>
          </w:r>
          <w:r w:rsidR="00DE627D">
            <w:t>nharjoittajan tulisi noudattaa.</w:t>
          </w:r>
        </w:p>
        <w:p w14:paraId="25A6E748" w14:textId="77777777" w:rsidR="00F76E29" w:rsidRDefault="00F76E29" w:rsidP="00F76E29">
          <w:pPr>
            <w:pStyle w:val="LLPerustelujenkappalejako"/>
          </w:pPr>
          <w:r>
            <w:t>Esitys liittyy valtion vuoden 2022 talousarvioesitykseen ja on tarkoitettu käsiteltäväksi sen yhteydessä.</w:t>
          </w:r>
        </w:p>
        <w:p w14:paraId="0F038B54" w14:textId="61464D1C" w:rsidR="005A0584" w:rsidRPr="00BC6172" w:rsidRDefault="00F76E29" w:rsidP="00BC6172">
          <w:pPr>
            <w:pStyle w:val="LLPerustelujenkappalejako"/>
          </w:pPr>
          <w:r>
            <w:t xml:space="preserve">Laki on tarkoitettu tulemaan </w:t>
          </w:r>
          <w:r w:rsidRPr="00BD7660">
            <w:t xml:space="preserve">voimaan </w:t>
          </w:r>
          <w:r w:rsidR="00BD7660" w:rsidRPr="00BD7660">
            <w:t>talvella</w:t>
          </w:r>
          <w:r w:rsidR="00BD7660">
            <w:t xml:space="preserve"> 2022</w:t>
          </w:r>
          <w:r>
            <w:t>. Lain voimaantulo edellyttää, että Euroopan unionin komissio on hyväksynyt lakiehdotukseen sisältyvän valtiontuen.</w:t>
          </w:r>
        </w:p>
      </w:sdtContent>
    </w:sdt>
    <w:p w14:paraId="1604C4A6" w14:textId="77777777" w:rsidR="005A0584" w:rsidRPr="000852C2" w:rsidRDefault="0076114C" w:rsidP="00612C71">
      <w:pPr>
        <w:pStyle w:val="LLNormaali"/>
        <w:jc w:val="center"/>
      </w:pPr>
      <w:r w:rsidRPr="0076114C">
        <w:t>—————</w:t>
      </w:r>
      <w:r w:rsidR="005A0584" w:rsidRPr="000852C2">
        <w:br w:type="page"/>
      </w:r>
    </w:p>
    <w:p w14:paraId="4FF8D172" w14:textId="77777777" w:rsidR="00095BC2" w:rsidRDefault="00095BC2" w:rsidP="00612C71">
      <w:pPr>
        <w:pStyle w:val="LLSisllys"/>
      </w:pPr>
      <w:r w:rsidRPr="000852C2">
        <w:lastRenderedPageBreak/>
        <w:t>Sisällys</w:t>
      </w:r>
    </w:p>
    <w:p w14:paraId="0FE4DD09" w14:textId="293DB750" w:rsidR="001E78E5" w:rsidRDefault="00095BC2">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75419998" w:history="1">
        <w:r w:rsidR="001E78E5" w:rsidRPr="00710CCE">
          <w:rPr>
            <w:rStyle w:val="Hyperlinkki"/>
            <w:noProof/>
          </w:rPr>
          <w:t>Esityksen pääasiallinen sisältö</w:t>
        </w:r>
        <w:r w:rsidR="001E78E5">
          <w:rPr>
            <w:noProof/>
            <w:webHidden/>
          </w:rPr>
          <w:tab/>
        </w:r>
        <w:r w:rsidR="001E78E5">
          <w:rPr>
            <w:noProof/>
            <w:webHidden/>
          </w:rPr>
          <w:fldChar w:fldCharType="begin"/>
        </w:r>
        <w:r w:rsidR="001E78E5">
          <w:rPr>
            <w:noProof/>
            <w:webHidden/>
          </w:rPr>
          <w:instrText xml:space="preserve"> PAGEREF _Toc75419998 \h </w:instrText>
        </w:r>
        <w:r w:rsidR="001E78E5">
          <w:rPr>
            <w:noProof/>
            <w:webHidden/>
          </w:rPr>
        </w:r>
        <w:r w:rsidR="001E78E5">
          <w:rPr>
            <w:noProof/>
            <w:webHidden/>
          </w:rPr>
          <w:fldChar w:fldCharType="separate"/>
        </w:r>
        <w:r w:rsidR="001E78E5">
          <w:rPr>
            <w:noProof/>
            <w:webHidden/>
          </w:rPr>
          <w:t>1</w:t>
        </w:r>
        <w:r w:rsidR="001E78E5">
          <w:rPr>
            <w:noProof/>
            <w:webHidden/>
          </w:rPr>
          <w:fldChar w:fldCharType="end"/>
        </w:r>
      </w:hyperlink>
    </w:p>
    <w:p w14:paraId="5A006F12" w14:textId="6C7F48AC" w:rsidR="001E78E5" w:rsidRDefault="001A4DAD">
      <w:pPr>
        <w:pStyle w:val="Sisluet1"/>
        <w:rPr>
          <w:rFonts w:asciiTheme="minorHAnsi" w:eastAsiaTheme="minorEastAsia" w:hAnsiTheme="minorHAnsi" w:cstheme="minorBidi"/>
          <w:bCs w:val="0"/>
          <w:caps w:val="0"/>
          <w:noProof/>
          <w:szCs w:val="22"/>
        </w:rPr>
      </w:pPr>
      <w:hyperlink w:anchor="_Toc75419999" w:history="1">
        <w:r w:rsidR="001E78E5" w:rsidRPr="00710CCE">
          <w:rPr>
            <w:rStyle w:val="Hyperlinkki"/>
            <w:noProof/>
          </w:rPr>
          <w:t>PERUSTELUT</w:t>
        </w:r>
        <w:r w:rsidR="001E78E5">
          <w:rPr>
            <w:noProof/>
            <w:webHidden/>
          </w:rPr>
          <w:tab/>
        </w:r>
        <w:r w:rsidR="001E78E5">
          <w:rPr>
            <w:noProof/>
            <w:webHidden/>
          </w:rPr>
          <w:fldChar w:fldCharType="begin"/>
        </w:r>
        <w:r w:rsidR="001E78E5">
          <w:rPr>
            <w:noProof/>
            <w:webHidden/>
          </w:rPr>
          <w:instrText xml:space="preserve"> PAGEREF _Toc75419999 \h </w:instrText>
        </w:r>
        <w:r w:rsidR="001E78E5">
          <w:rPr>
            <w:noProof/>
            <w:webHidden/>
          </w:rPr>
        </w:r>
        <w:r w:rsidR="001E78E5">
          <w:rPr>
            <w:noProof/>
            <w:webHidden/>
          </w:rPr>
          <w:fldChar w:fldCharType="separate"/>
        </w:r>
        <w:r w:rsidR="001E78E5">
          <w:rPr>
            <w:noProof/>
            <w:webHidden/>
          </w:rPr>
          <w:t>3</w:t>
        </w:r>
        <w:r w:rsidR="001E78E5">
          <w:rPr>
            <w:noProof/>
            <w:webHidden/>
          </w:rPr>
          <w:fldChar w:fldCharType="end"/>
        </w:r>
      </w:hyperlink>
    </w:p>
    <w:p w14:paraId="5DB1E658" w14:textId="3EB63769" w:rsidR="001E78E5" w:rsidRDefault="001A4DAD">
      <w:pPr>
        <w:pStyle w:val="Sisluet2"/>
        <w:rPr>
          <w:rFonts w:asciiTheme="minorHAnsi" w:eastAsiaTheme="minorEastAsia" w:hAnsiTheme="minorHAnsi" w:cstheme="minorBidi"/>
          <w:szCs w:val="22"/>
        </w:rPr>
      </w:pPr>
      <w:hyperlink w:anchor="_Toc75420000" w:history="1">
        <w:r w:rsidR="001E78E5" w:rsidRPr="00710CCE">
          <w:rPr>
            <w:rStyle w:val="Hyperlinkki"/>
          </w:rPr>
          <w:t>1 Asian tausta ja valmistelu</w:t>
        </w:r>
        <w:r w:rsidR="001E78E5">
          <w:rPr>
            <w:webHidden/>
          </w:rPr>
          <w:tab/>
        </w:r>
        <w:r w:rsidR="001E78E5">
          <w:rPr>
            <w:webHidden/>
          </w:rPr>
          <w:fldChar w:fldCharType="begin"/>
        </w:r>
        <w:r w:rsidR="001E78E5">
          <w:rPr>
            <w:webHidden/>
          </w:rPr>
          <w:instrText xml:space="preserve"> PAGEREF _Toc75420000 \h </w:instrText>
        </w:r>
        <w:r w:rsidR="001E78E5">
          <w:rPr>
            <w:webHidden/>
          </w:rPr>
        </w:r>
        <w:r w:rsidR="001E78E5">
          <w:rPr>
            <w:webHidden/>
          </w:rPr>
          <w:fldChar w:fldCharType="separate"/>
        </w:r>
        <w:r w:rsidR="001E78E5">
          <w:rPr>
            <w:webHidden/>
          </w:rPr>
          <w:t>3</w:t>
        </w:r>
        <w:r w:rsidR="001E78E5">
          <w:rPr>
            <w:webHidden/>
          </w:rPr>
          <w:fldChar w:fldCharType="end"/>
        </w:r>
      </w:hyperlink>
    </w:p>
    <w:p w14:paraId="0CDEB1E3" w14:textId="692B4178" w:rsidR="001E78E5" w:rsidRDefault="001A4DAD">
      <w:pPr>
        <w:pStyle w:val="Sisluet3"/>
        <w:rPr>
          <w:rFonts w:asciiTheme="minorHAnsi" w:eastAsiaTheme="minorEastAsia" w:hAnsiTheme="minorHAnsi" w:cstheme="minorBidi"/>
          <w:noProof/>
          <w:szCs w:val="22"/>
        </w:rPr>
      </w:pPr>
      <w:hyperlink w:anchor="_Toc75420001" w:history="1">
        <w:r w:rsidR="001E78E5" w:rsidRPr="00710CCE">
          <w:rPr>
            <w:rStyle w:val="Hyperlinkki"/>
            <w:noProof/>
          </w:rPr>
          <w:t>1.1 Tausta</w:t>
        </w:r>
        <w:r w:rsidR="001E78E5">
          <w:rPr>
            <w:noProof/>
            <w:webHidden/>
          </w:rPr>
          <w:tab/>
        </w:r>
        <w:r w:rsidR="001E78E5">
          <w:rPr>
            <w:noProof/>
            <w:webHidden/>
          </w:rPr>
          <w:fldChar w:fldCharType="begin"/>
        </w:r>
        <w:r w:rsidR="001E78E5">
          <w:rPr>
            <w:noProof/>
            <w:webHidden/>
          </w:rPr>
          <w:instrText xml:space="preserve"> PAGEREF _Toc75420001 \h </w:instrText>
        </w:r>
        <w:r w:rsidR="001E78E5">
          <w:rPr>
            <w:noProof/>
            <w:webHidden/>
          </w:rPr>
        </w:r>
        <w:r w:rsidR="001E78E5">
          <w:rPr>
            <w:noProof/>
            <w:webHidden/>
          </w:rPr>
          <w:fldChar w:fldCharType="separate"/>
        </w:r>
        <w:r w:rsidR="001E78E5">
          <w:rPr>
            <w:noProof/>
            <w:webHidden/>
          </w:rPr>
          <w:t>3</w:t>
        </w:r>
        <w:r w:rsidR="001E78E5">
          <w:rPr>
            <w:noProof/>
            <w:webHidden/>
          </w:rPr>
          <w:fldChar w:fldCharType="end"/>
        </w:r>
      </w:hyperlink>
    </w:p>
    <w:p w14:paraId="565B04DD" w14:textId="1C08A35D" w:rsidR="001E78E5" w:rsidRDefault="001A4DAD">
      <w:pPr>
        <w:pStyle w:val="Sisluet3"/>
        <w:rPr>
          <w:rFonts w:asciiTheme="minorHAnsi" w:eastAsiaTheme="minorEastAsia" w:hAnsiTheme="minorHAnsi" w:cstheme="minorBidi"/>
          <w:noProof/>
          <w:szCs w:val="22"/>
        </w:rPr>
      </w:pPr>
      <w:hyperlink w:anchor="_Toc75420002" w:history="1">
        <w:r w:rsidR="001E78E5" w:rsidRPr="00710CCE">
          <w:rPr>
            <w:rStyle w:val="Hyperlinkki"/>
            <w:noProof/>
          </w:rPr>
          <w:t>1.2 Valmistelu</w:t>
        </w:r>
        <w:r w:rsidR="001E78E5">
          <w:rPr>
            <w:noProof/>
            <w:webHidden/>
          </w:rPr>
          <w:tab/>
        </w:r>
        <w:r w:rsidR="001E78E5">
          <w:rPr>
            <w:noProof/>
            <w:webHidden/>
          </w:rPr>
          <w:fldChar w:fldCharType="begin"/>
        </w:r>
        <w:r w:rsidR="001E78E5">
          <w:rPr>
            <w:noProof/>
            <w:webHidden/>
          </w:rPr>
          <w:instrText xml:space="preserve"> PAGEREF _Toc75420002 \h </w:instrText>
        </w:r>
        <w:r w:rsidR="001E78E5">
          <w:rPr>
            <w:noProof/>
            <w:webHidden/>
          </w:rPr>
        </w:r>
        <w:r w:rsidR="001E78E5">
          <w:rPr>
            <w:noProof/>
            <w:webHidden/>
          </w:rPr>
          <w:fldChar w:fldCharType="separate"/>
        </w:r>
        <w:r w:rsidR="001E78E5">
          <w:rPr>
            <w:noProof/>
            <w:webHidden/>
          </w:rPr>
          <w:t>4</w:t>
        </w:r>
        <w:r w:rsidR="001E78E5">
          <w:rPr>
            <w:noProof/>
            <w:webHidden/>
          </w:rPr>
          <w:fldChar w:fldCharType="end"/>
        </w:r>
      </w:hyperlink>
    </w:p>
    <w:p w14:paraId="7CD68359" w14:textId="46DE627C" w:rsidR="001E78E5" w:rsidRDefault="001A4DAD">
      <w:pPr>
        <w:pStyle w:val="Sisluet2"/>
        <w:rPr>
          <w:rFonts w:asciiTheme="minorHAnsi" w:eastAsiaTheme="minorEastAsia" w:hAnsiTheme="minorHAnsi" w:cstheme="minorBidi"/>
          <w:szCs w:val="22"/>
        </w:rPr>
      </w:pPr>
      <w:hyperlink w:anchor="_Toc75420003" w:history="1">
        <w:r w:rsidR="001E78E5" w:rsidRPr="00710CCE">
          <w:rPr>
            <w:rStyle w:val="Hyperlinkki"/>
          </w:rPr>
          <w:t>2 Nykytila ja sen arviointi</w:t>
        </w:r>
        <w:r w:rsidR="001E78E5">
          <w:rPr>
            <w:webHidden/>
          </w:rPr>
          <w:tab/>
        </w:r>
        <w:r w:rsidR="001E78E5">
          <w:rPr>
            <w:webHidden/>
          </w:rPr>
          <w:fldChar w:fldCharType="begin"/>
        </w:r>
        <w:r w:rsidR="001E78E5">
          <w:rPr>
            <w:webHidden/>
          </w:rPr>
          <w:instrText xml:space="preserve"> PAGEREF _Toc75420003 \h </w:instrText>
        </w:r>
        <w:r w:rsidR="001E78E5">
          <w:rPr>
            <w:webHidden/>
          </w:rPr>
        </w:r>
        <w:r w:rsidR="001E78E5">
          <w:rPr>
            <w:webHidden/>
          </w:rPr>
          <w:fldChar w:fldCharType="separate"/>
        </w:r>
        <w:r w:rsidR="001E78E5">
          <w:rPr>
            <w:webHidden/>
          </w:rPr>
          <w:t>4</w:t>
        </w:r>
        <w:r w:rsidR="001E78E5">
          <w:rPr>
            <w:webHidden/>
          </w:rPr>
          <w:fldChar w:fldCharType="end"/>
        </w:r>
      </w:hyperlink>
    </w:p>
    <w:p w14:paraId="4C79F135" w14:textId="051573DA" w:rsidR="001E78E5" w:rsidRDefault="001A4DAD">
      <w:pPr>
        <w:pStyle w:val="Sisluet3"/>
        <w:rPr>
          <w:rFonts w:asciiTheme="minorHAnsi" w:eastAsiaTheme="minorEastAsia" w:hAnsiTheme="minorHAnsi" w:cstheme="minorBidi"/>
          <w:noProof/>
          <w:szCs w:val="22"/>
        </w:rPr>
      </w:pPr>
      <w:hyperlink w:anchor="_Toc75420004" w:history="1">
        <w:r w:rsidR="001E78E5" w:rsidRPr="00710CCE">
          <w:rPr>
            <w:rStyle w:val="Hyperlinkki"/>
            <w:noProof/>
          </w:rPr>
          <w:t>2.1 Kansainvälinen kehitys sekä ulkomaiden ja Euroopan unionin lainsäädäntö</w:t>
        </w:r>
        <w:r w:rsidR="001E78E5">
          <w:rPr>
            <w:noProof/>
            <w:webHidden/>
          </w:rPr>
          <w:tab/>
        </w:r>
        <w:r w:rsidR="001E78E5">
          <w:rPr>
            <w:noProof/>
            <w:webHidden/>
          </w:rPr>
          <w:fldChar w:fldCharType="begin"/>
        </w:r>
        <w:r w:rsidR="001E78E5">
          <w:rPr>
            <w:noProof/>
            <w:webHidden/>
          </w:rPr>
          <w:instrText xml:space="preserve"> PAGEREF _Toc75420004 \h </w:instrText>
        </w:r>
        <w:r w:rsidR="001E78E5">
          <w:rPr>
            <w:noProof/>
            <w:webHidden/>
          </w:rPr>
        </w:r>
        <w:r w:rsidR="001E78E5">
          <w:rPr>
            <w:noProof/>
            <w:webHidden/>
          </w:rPr>
          <w:fldChar w:fldCharType="separate"/>
        </w:r>
        <w:r w:rsidR="001E78E5">
          <w:rPr>
            <w:noProof/>
            <w:webHidden/>
          </w:rPr>
          <w:t>4</w:t>
        </w:r>
        <w:r w:rsidR="001E78E5">
          <w:rPr>
            <w:noProof/>
            <w:webHidden/>
          </w:rPr>
          <w:fldChar w:fldCharType="end"/>
        </w:r>
      </w:hyperlink>
    </w:p>
    <w:p w14:paraId="7D274C1A" w14:textId="79C474BA" w:rsidR="001E78E5" w:rsidRDefault="001A4DAD">
      <w:pPr>
        <w:pStyle w:val="Sisluet3"/>
        <w:rPr>
          <w:rFonts w:asciiTheme="minorHAnsi" w:eastAsiaTheme="minorEastAsia" w:hAnsiTheme="minorHAnsi" w:cstheme="minorBidi"/>
          <w:noProof/>
          <w:szCs w:val="22"/>
        </w:rPr>
      </w:pPr>
      <w:hyperlink w:anchor="_Toc75420005" w:history="1">
        <w:r w:rsidR="001E78E5" w:rsidRPr="00710CCE">
          <w:rPr>
            <w:rStyle w:val="Hyperlinkki"/>
            <w:noProof/>
          </w:rPr>
          <w:t>2.2 Kansallisen nykytilan arviointi</w:t>
        </w:r>
        <w:r w:rsidR="001E78E5">
          <w:rPr>
            <w:noProof/>
            <w:webHidden/>
          </w:rPr>
          <w:tab/>
        </w:r>
        <w:r w:rsidR="001E78E5">
          <w:rPr>
            <w:noProof/>
            <w:webHidden/>
          </w:rPr>
          <w:fldChar w:fldCharType="begin"/>
        </w:r>
        <w:r w:rsidR="001E78E5">
          <w:rPr>
            <w:noProof/>
            <w:webHidden/>
          </w:rPr>
          <w:instrText xml:space="preserve"> PAGEREF _Toc75420005 \h </w:instrText>
        </w:r>
        <w:r w:rsidR="001E78E5">
          <w:rPr>
            <w:noProof/>
            <w:webHidden/>
          </w:rPr>
        </w:r>
        <w:r w:rsidR="001E78E5">
          <w:rPr>
            <w:noProof/>
            <w:webHidden/>
          </w:rPr>
          <w:fldChar w:fldCharType="separate"/>
        </w:r>
        <w:r w:rsidR="001E78E5">
          <w:rPr>
            <w:noProof/>
            <w:webHidden/>
          </w:rPr>
          <w:t>5</w:t>
        </w:r>
        <w:r w:rsidR="001E78E5">
          <w:rPr>
            <w:noProof/>
            <w:webHidden/>
          </w:rPr>
          <w:fldChar w:fldCharType="end"/>
        </w:r>
      </w:hyperlink>
    </w:p>
    <w:p w14:paraId="679F7715" w14:textId="45741AED" w:rsidR="001E78E5" w:rsidRDefault="001A4DAD">
      <w:pPr>
        <w:pStyle w:val="Sisluet2"/>
        <w:rPr>
          <w:rFonts w:asciiTheme="minorHAnsi" w:eastAsiaTheme="minorEastAsia" w:hAnsiTheme="minorHAnsi" w:cstheme="minorBidi"/>
          <w:szCs w:val="22"/>
        </w:rPr>
      </w:pPr>
      <w:hyperlink w:anchor="_Toc75420006" w:history="1">
        <w:r w:rsidR="001E78E5" w:rsidRPr="00710CCE">
          <w:rPr>
            <w:rStyle w:val="Hyperlinkki"/>
          </w:rPr>
          <w:t>3 Tavoitteet</w:t>
        </w:r>
        <w:r w:rsidR="001E78E5">
          <w:rPr>
            <w:webHidden/>
          </w:rPr>
          <w:tab/>
        </w:r>
        <w:r w:rsidR="001E78E5">
          <w:rPr>
            <w:webHidden/>
          </w:rPr>
          <w:fldChar w:fldCharType="begin"/>
        </w:r>
        <w:r w:rsidR="001E78E5">
          <w:rPr>
            <w:webHidden/>
          </w:rPr>
          <w:instrText xml:space="preserve"> PAGEREF _Toc75420006 \h </w:instrText>
        </w:r>
        <w:r w:rsidR="001E78E5">
          <w:rPr>
            <w:webHidden/>
          </w:rPr>
        </w:r>
        <w:r w:rsidR="001E78E5">
          <w:rPr>
            <w:webHidden/>
          </w:rPr>
          <w:fldChar w:fldCharType="separate"/>
        </w:r>
        <w:r w:rsidR="001E78E5">
          <w:rPr>
            <w:webHidden/>
          </w:rPr>
          <w:t>6</w:t>
        </w:r>
        <w:r w:rsidR="001E78E5">
          <w:rPr>
            <w:webHidden/>
          </w:rPr>
          <w:fldChar w:fldCharType="end"/>
        </w:r>
      </w:hyperlink>
    </w:p>
    <w:p w14:paraId="6BA8415C" w14:textId="5CA738AF" w:rsidR="001E78E5" w:rsidRDefault="001A4DAD">
      <w:pPr>
        <w:pStyle w:val="Sisluet2"/>
        <w:rPr>
          <w:rFonts w:asciiTheme="minorHAnsi" w:eastAsiaTheme="minorEastAsia" w:hAnsiTheme="minorHAnsi" w:cstheme="minorBidi"/>
          <w:szCs w:val="22"/>
        </w:rPr>
      </w:pPr>
      <w:hyperlink w:anchor="_Toc75420007" w:history="1">
        <w:r w:rsidR="001E78E5" w:rsidRPr="00710CCE">
          <w:rPr>
            <w:rStyle w:val="Hyperlinkki"/>
          </w:rPr>
          <w:t>4 Ehdotukset ja niiden vaikutukset</w:t>
        </w:r>
        <w:r w:rsidR="001E78E5">
          <w:rPr>
            <w:webHidden/>
          </w:rPr>
          <w:tab/>
        </w:r>
        <w:r w:rsidR="001E78E5">
          <w:rPr>
            <w:webHidden/>
          </w:rPr>
          <w:fldChar w:fldCharType="begin"/>
        </w:r>
        <w:r w:rsidR="001E78E5">
          <w:rPr>
            <w:webHidden/>
          </w:rPr>
          <w:instrText xml:space="preserve"> PAGEREF _Toc75420007 \h </w:instrText>
        </w:r>
        <w:r w:rsidR="001E78E5">
          <w:rPr>
            <w:webHidden/>
          </w:rPr>
        </w:r>
        <w:r w:rsidR="001E78E5">
          <w:rPr>
            <w:webHidden/>
          </w:rPr>
          <w:fldChar w:fldCharType="separate"/>
        </w:r>
        <w:r w:rsidR="001E78E5">
          <w:rPr>
            <w:webHidden/>
          </w:rPr>
          <w:t>6</w:t>
        </w:r>
        <w:r w:rsidR="001E78E5">
          <w:rPr>
            <w:webHidden/>
          </w:rPr>
          <w:fldChar w:fldCharType="end"/>
        </w:r>
      </w:hyperlink>
    </w:p>
    <w:p w14:paraId="30E0535E" w14:textId="4DCF55F6" w:rsidR="001E78E5" w:rsidRDefault="001A4DAD">
      <w:pPr>
        <w:pStyle w:val="Sisluet3"/>
        <w:rPr>
          <w:rFonts w:asciiTheme="minorHAnsi" w:eastAsiaTheme="minorEastAsia" w:hAnsiTheme="minorHAnsi" w:cstheme="minorBidi"/>
          <w:noProof/>
          <w:szCs w:val="22"/>
        </w:rPr>
      </w:pPr>
      <w:hyperlink w:anchor="_Toc75420008" w:history="1">
        <w:r w:rsidR="001E78E5" w:rsidRPr="00710CCE">
          <w:rPr>
            <w:rStyle w:val="Hyperlinkki"/>
            <w:noProof/>
          </w:rPr>
          <w:t>4.1 Keskeiset ehdotukset</w:t>
        </w:r>
        <w:r w:rsidR="001E78E5">
          <w:rPr>
            <w:noProof/>
            <w:webHidden/>
          </w:rPr>
          <w:tab/>
        </w:r>
        <w:r w:rsidR="001E78E5">
          <w:rPr>
            <w:noProof/>
            <w:webHidden/>
          </w:rPr>
          <w:fldChar w:fldCharType="begin"/>
        </w:r>
        <w:r w:rsidR="001E78E5">
          <w:rPr>
            <w:noProof/>
            <w:webHidden/>
          </w:rPr>
          <w:instrText xml:space="preserve"> PAGEREF _Toc75420008 \h </w:instrText>
        </w:r>
        <w:r w:rsidR="001E78E5">
          <w:rPr>
            <w:noProof/>
            <w:webHidden/>
          </w:rPr>
        </w:r>
        <w:r w:rsidR="001E78E5">
          <w:rPr>
            <w:noProof/>
            <w:webHidden/>
          </w:rPr>
          <w:fldChar w:fldCharType="separate"/>
        </w:r>
        <w:r w:rsidR="001E78E5">
          <w:rPr>
            <w:noProof/>
            <w:webHidden/>
          </w:rPr>
          <w:t>6</w:t>
        </w:r>
        <w:r w:rsidR="001E78E5">
          <w:rPr>
            <w:noProof/>
            <w:webHidden/>
          </w:rPr>
          <w:fldChar w:fldCharType="end"/>
        </w:r>
      </w:hyperlink>
    </w:p>
    <w:p w14:paraId="28EB1B2F" w14:textId="31A057EE" w:rsidR="001E78E5" w:rsidRDefault="001A4DAD">
      <w:pPr>
        <w:pStyle w:val="Sisluet3"/>
        <w:rPr>
          <w:rFonts w:asciiTheme="minorHAnsi" w:eastAsiaTheme="minorEastAsia" w:hAnsiTheme="minorHAnsi" w:cstheme="minorBidi"/>
          <w:noProof/>
          <w:szCs w:val="22"/>
        </w:rPr>
      </w:pPr>
      <w:hyperlink w:anchor="_Toc75420009" w:history="1">
        <w:r w:rsidR="001E78E5" w:rsidRPr="00710CCE">
          <w:rPr>
            <w:rStyle w:val="Hyperlinkki"/>
            <w:noProof/>
          </w:rPr>
          <w:t>4.2 Pääasialliset vaikutukset</w:t>
        </w:r>
        <w:r w:rsidR="001E78E5">
          <w:rPr>
            <w:noProof/>
            <w:webHidden/>
          </w:rPr>
          <w:tab/>
        </w:r>
        <w:r w:rsidR="001E78E5">
          <w:rPr>
            <w:noProof/>
            <w:webHidden/>
          </w:rPr>
          <w:fldChar w:fldCharType="begin"/>
        </w:r>
        <w:r w:rsidR="001E78E5">
          <w:rPr>
            <w:noProof/>
            <w:webHidden/>
          </w:rPr>
          <w:instrText xml:space="preserve"> PAGEREF _Toc75420009 \h </w:instrText>
        </w:r>
        <w:r w:rsidR="001E78E5">
          <w:rPr>
            <w:noProof/>
            <w:webHidden/>
          </w:rPr>
        </w:r>
        <w:r w:rsidR="001E78E5">
          <w:rPr>
            <w:noProof/>
            <w:webHidden/>
          </w:rPr>
          <w:fldChar w:fldCharType="separate"/>
        </w:r>
        <w:r w:rsidR="001E78E5">
          <w:rPr>
            <w:noProof/>
            <w:webHidden/>
          </w:rPr>
          <w:t>10</w:t>
        </w:r>
        <w:r w:rsidR="001E78E5">
          <w:rPr>
            <w:noProof/>
            <w:webHidden/>
          </w:rPr>
          <w:fldChar w:fldCharType="end"/>
        </w:r>
      </w:hyperlink>
    </w:p>
    <w:p w14:paraId="5E7EB257" w14:textId="78AE8EA0" w:rsidR="001E78E5" w:rsidRDefault="001A4DAD">
      <w:pPr>
        <w:pStyle w:val="Sisluet3"/>
        <w:rPr>
          <w:rFonts w:asciiTheme="minorHAnsi" w:eastAsiaTheme="minorEastAsia" w:hAnsiTheme="minorHAnsi" w:cstheme="minorBidi"/>
          <w:noProof/>
          <w:szCs w:val="22"/>
        </w:rPr>
      </w:pPr>
      <w:hyperlink w:anchor="_Toc75420010" w:history="1">
        <w:r w:rsidR="001E78E5" w:rsidRPr="00710CCE">
          <w:rPr>
            <w:rStyle w:val="Hyperlinkki"/>
            <w:noProof/>
          </w:rPr>
          <w:t>4.2.1 Taloudelliset vaikutukset</w:t>
        </w:r>
        <w:r w:rsidR="001E78E5">
          <w:rPr>
            <w:noProof/>
            <w:webHidden/>
          </w:rPr>
          <w:tab/>
        </w:r>
        <w:r w:rsidR="001E78E5">
          <w:rPr>
            <w:noProof/>
            <w:webHidden/>
          </w:rPr>
          <w:fldChar w:fldCharType="begin"/>
        </w:r>
        <w:r w:rsidR="001E78E5">
          <w:rPr>
            <w:noProof/>
            <w:webHidden/>
          </w:rPr>
          <w:instrText xml:space="preserve"> PAGEREF _Toc75420010 \h </w:instrText>
        </w:r>
        <w:r w:rsidR="001E78E5">
          <w:rPr>
            <w:noProof/>
            <w:webHidden/>
          </w:rPr>
        </w:r>
        <w:r w:rsidR="001E78E5">
          <w:rPr>
            <w:noProof/>
            <w:webHidden/>
          </w:rPr>
          <w:fldChar w:fldCharType="separate"/>
        </w:r>
        <w:r w:rsidR="001E78E5">
          <w:rPr>
            <w:noProof/>
            <w:webHidden/>
          </w:rPr>
          <w:t>10</w:t>
        </w:r>
        <w:r w:rsidR="001E78E5">
          <w:rPr>
            <w:noProof/>
            <w:webHidden/>
          </w:rPr>
          <w:fldChar w:fldCharType="end"/>
        </w:r>
      </w:hyperlink>
    </w:p>
    <w:p w14:paraId="3D8C8C65" w14:textId="219C7344" w:rsidR="001E78E5" w:rsidRDefault="001A4DAD">
      <w:pPr>
        <w:pStyle w:val="Sisluet3"/>
        <w:rPr>
          <w:rFonts w:asciiTheme="minorHAnsi" w:eastAsiaTheme="minorEastAsia" w:hAnsiTheme="minorHAnsi" w:cstheme="minorBidi"/>
          <w:noProof/>
          <w:szCs w:val="22"/>
        </w:rPr>
      </w:pPr>
      <w:hyperlink w:anchor="_Toc75420011" w:history="1">
        <w:r w:rsidR="001E78E5" w:rsidRPr="00710CCE">
          <w:rPr>
            <w:rStyle w:val="Hyperlinkki"/>
            <w:noProof/>
          </w:rPr>
          <w:t>4.2.2 Ympäristövaikutukset</w:t>
        </w:r>
        <w:r w:rsidR="001E78E5">
          <w:rPr>
            <w:noProof/>
            <w:webHidden/>
          </w:rPr>
          <w:tab/>
        </w:r>
        <w:r w:rsidR="001E78E5">
          <w:rPr>
            <w:noProof/>
            <w:webHidden/>
          </w:rPr>
          <w:fldChar w:fldCharType="begin"/>
        </w:r>
        <w:r w:rsidR="001E78E5">
          <w:rPr>
            <w:noProof/>
            <w:webHidden/>
          </w:rPr>
          <w:instrText xml:space="preserve"> PAGEREF _Toc75420011 \h </w:instrText>
        </w:r>
        <w:r w:rsidR="001E78E5">
          <w:rPr>
            <w:noProof/>
            <w:webHidden/>
          </w:rPr>
        </w:r>
        <w:r w:rsidR="001E78E5">
          <w:rPr>
            <w:noProof/>
            <w:webHidden/>
          </w:rPr>
          <w:fldChar w:fldCharType="separate"/>
        </w:r>
        <w:r w:rsidR="001E78E5">
          <w:rPr>
            <w:noProof/>
            <w:webHidden/>
          </w:rPr>
          <w:t>15</w:t>
        </w:r>
        <w:r w:rsidR="001E78E5">
          <w:rPr>
            <w:noProof/>
            <w:webHidden/>
          </w:rPr>
          <w:fldChar w:fldCharType="end"/>
        </w:r>
      </w:hyperlink>
    </w:p>
    <w:p w14:paraId="53F2E1E5" w14:textId="4489109D" w:rsidR="001E78E5" w:rsidRDefault="001A4DAD">
      <w:pPr>
        <w:pStyle w:val="Sisluet2"/>
        <w:rPr>
          <w:rFonts w:asciiTheme="minorHAnsi" w:eastAsiaTheme="minorEastAsia" w:hAnsiTheme="minorHAnsi" w:cstheme="minorBidi"/>
          <w:szCs w:val="22"/>
        </w:rPr>
      </w:pPr>
      <w:hyperlink w:anchor="_Toc75420012" w:history="1">
        <w:r w:rsidR="001E78E5" w:rsidRPr="00710CCE">
          <w:rPr>
            <w:rStyle w:val="Hyperlinkki"/>
          </w:rPr>
          <w:t>5 Muut toteuttamisvaihtoehdot</w:t>
        </w:r>
        <w:r w:rsidR="001E78E5">
          <w:rPr>
            <w:webHidden/>
          </w:rPr>
          <w:tab/>
        </w:r>
        <w:r w:rsidR="001E78E5">
          <w:rPr>
            <w:webHidden/>
          </w:rPr>
          <w:fldChar w:fldCharType="begin"/>
        </w:r>
        <w:r w:rsidR="001E78E5">
          <w:rPr>
            <w:webHidden/>
          </w:rPr>
          <w:instrText xml:space="preserve"> PAGEREF _Toc75420012 \h </w:instrText>
        </w:r>
        <w:r w:rsidR="001E78E5">
          <w:rPr>
            <w:webHidden/>
          </w:rPr>
        </w:r>
        <w:r w:rsidR="001E78E5">
          <w:rPr>
            <w:webHidden/>
          </w:rPr>
          <w:fldChar w:fldCharType="separate"/>
        </w:r>
        <w:r w:rsidR="001E78E5">
          <w:rPr>
            <w:webHidden/>
          </w:rPr>
          <w:t>16</w:t>
        </w:r>
        <w:r w:rsidR="001E78E5">
          <w:rPr>
            <w:webHidden/>
          </w:rPr>
          <w:fldChar w:fldCharType="end"/>
        </w:r>
      </w:hyperlink>
    </w:p>
    <w:p w14:paraId="27D0FAEA" w14:textId="1E3D9363" w:rsidR="001E78E5" w:rsidRDefault="001A4DAD">
      <w:pPr>
        <w:pStyle w:val="Sisluet3"/>
        <w:rPr>
          <w:rFonts w:asciiTheme="minorHAnsi" w:eastAsiaTheme="minorEastAsia" w:hAnsiTheme="minorHAnsi" w:cstheme="minorBidi"/>
          <w:noProof/>
          <w:szCs w:val="22"/>
        </w:rPr>
      </w:pPr>
      <w:hyperlink w:anchor="_Toc75420013" w:history="1">
        <w:r w:rsidR="001E78E5" w:rsidRPr="00710CCE">
          <w:rPr>
            <w:rStyle w:val="Hyperlinkki"/>
            <w:noProof/>
          </w:rPr>
          <w:t>5.1 Vaihtoehdot ja niiden vaikutukset</w:t>
        </w:r>
        <w:r w:rsidR="001E78E5">
          <w:rPr>
            <w:noProof/>
            <w:webHidden/>
          </w:rPr>
          <w:tab/>
        </w:r>
        <w:r w:rsidR="001E78E5">
          <w:rPr>
            <w:noProof/>
            <w:webHidden/>
          </w:rPr>
          <w:fldChar w:fldCharType="begin"/>
        </w:r>
        <w:r w:rsidR="001E78E5">
          <w:rPr>
            <w:noProof/>
            <w:webHidden/>
          </w:rPr>
          <w:instrText xml:space="preserve"> PAGEREF _Toc75420013 \h </w:instrText>
        </w:r>
        <w:r w:rsidR="001E78E5">
          <w:rPr>
            <w:noProof/>
            <w:webHidden/>
          </w:rPr>
        </w:r>
        <w:r w:rsidR="001E78E5">
          <w:rPr>
            <w:noProof/>
            <w:webHidden/>
          </w:rPr>
          <w:fldChar w:fldCharType="separate"/>
        </w:r>
        <w:r w:rsidR="001E78E5">
          <w:rPr>
            <w:noProof/>
            <w:webHidden/>
          </w:rPr>
          <w:t>16</w:t>
        </w:r>
        <w:r w:rsidR="001E78E5">
          <w:rPr>
            <w:noProof/>
            <w:webHidden/>
          </w:rPr>
          <w:fldChar w:fldCharType="end"/>
        </w:r>
      </w:hyperlink>
    </w:p>
    <w:p w14:paraId="1736ABFE" w14:textId="1D78FE0A" w:rsidR="001E78E5" w:rsidRDefault="001A4DAD">
      <w:pPr>
        <w:pStyle w:val="Sisluet3"/>
        <w:rPr>
          <w:rFonts w:asciiTheme="minorHAnsi" w:eastAsiaTheme="minorEastAsia" w:hAnsiTheme="minorHAnsi" w:cstheme="minorBidi"/>
          <w:noProof/>
          <w:szCs w:val="22"/>
        </w:rPr>
      </w:pPr>
      <w:hyperlink w:anchor="_Toc75420014" w:history="1">
        <w:r w:rsidR="001E78E5" w:rsidRPr="00710CCE">
          <w:rPr>
            <w:rStyle w:val="Hyperlinkki"/>
            <w:noProof/>
          </w:rPr>
          <w:t>5.2 Muiden jäsenvaltioiden suunnittelemat tai toteuttamat keinot</w:t>
        </w:r>
        <w:r w:rsidR="001E78E5">
          <w:rPr>
            <w:noProof/>
            <w:webHidden/>
          </w:rPr>
          <w:tab/>
        </w:r>
        <w:r w:rsidR="001E78E5">
          <w:rPr>
            <w:noProof/>
            <w:webHidden/>
          </w:rPr>
          <w:fldChar w:fldCharType="begin"/>
        </w:r>
        <w:r w:rsidR="001E78E5">
          <w:rPr>
            <w:noProof/>
            <w:webHidden/>
          </w:rPr>
          <w:instrText xml:space="preserve"> PAGEREF _Toc75420014 \h </w:instrText>
        </w:r>
        <w:r w:rsidR="001E78E5">
          <w:rPr>
            <w:noProof/>
            <w:webHidden/>
          </w:rPr>
        </w:r>
        <w:r w:rsidR="001E78E5">
          <w:rPr>
            <w:noProof/>
            <w:webHidden/>
          </w:rPr>
          <w:fldChar w:fldCharType="separate"/>
        </w:r>
        <w:r w:rsidR="001E78E5">
          <w:rPr>
            <w:noProof/>
            <w:webHidden/>
          </w:rPr>
          <w:t>16</w:t>
        </w:r>
        <w:r w:rsidR="001E78E5">
          <w:rPr>
            <w:noProof/>
            <w:webHidden/>
          </w:rPr>
          <w:fldChar w:fldCharType="end"/>
        </w:r>
      </w:hyperlink>
    </w:p>
    <w:p w14:paraId="2770DF9B" w14:textId="5DCC5EDB" w:rsidR="001E78E5" w:rsidRDefault="001A4DAD">
      <w:pPr>
        <w:pStyle w:val="Sisluet2"/>
        <w:rPr>
          <w:rFonts w:asciiTheme="minorHAnsi" w:eastAsiaTheme="minorEastAsia" w:hAnsiTheme="minorHAnsi" w:cstheme="minorBidi"/>
          <w:szCs w:val="22"/>
        </w:rPr>
      </w:pPr>
      <w:hyperlink w:anchor="_Toc75420015" w:history="1">
        <w:r w:rsidR="001E78E5" w:rsidRPr="00710CCE">
          <w:rPr>
            <w:rStyle w:val="Hyperlinkki"/>
          </w:rPr>
          <w:t>6 Lausuntopalaute</w:t>
        </w:r>
        <w:r w:rsidR="001E78E5">
          <w:rPr>
            <w:webHidden/>
          </w:rPr>
          <w:tab/>
        </w:r>
        <w:r w:rsidR="001E78E5">
          <w:rPr>
            <w:webHidden/>
          </w:rPr>
          <w:fldChar w:fldCharType="begin"/>
        </w:r>
        <w:r w:rsidR="001E78E5">
          <w:rPr>
            <w:webHidden/>
          </w:rPr>
          <w:instrText xml:space="preserve"> PAGEREF _Toc75420015 \h </w:instrText>
        </w:r>
        <w:r w:rsidR="001E78E5">
          <w:rPr>
            <w:webHidden/>
          </w:rPr>
        </w:r>
        <w:r w:rsidR="001E78E5">
          <w:rPr>
            <w:webHidden/>
          </w:rPr>
          <w:fldChar w:fldCharType="separate"/>
        </w:r>
        <w:r w:rsidR="001E78E5">
          <w:rPr>
            <w:webHidden/>
          </w:rPr>
          <w:t>17</w:t>
        </w:r>
        <w:r w:rsidR="001E78E5">
          <w:rPr>
            <w:webHidden/>
          </w:rPr>
          <w:fldChar w:fldCharType="end"/>
        </w:r>
      </w:hyperlink>
    </w:p>
    <w:p w14:paraId="303EF6DB" w14:textId="7DA001B3" w:rsidR="001E78E5" w:rsidRDefault="001A4DAD">
      <w:pPr>
        <w:pStyle w:val="Sisluet3"/>
        <w:rPr>
          <w:rFonts w:asciiTheme="minorHAnsi" w:eastAsiaTheme="minorEastAsia" w:hAnsiTheme="minorHAnsi" w:cstheme="minorBidi"/>
          <w:noProof/>
          <w:szCs w:val="22"/>
        </w:rPr>
      </w:pPr>
      <w:hyperlink w:anchor="_Toc75420016" w:history="1">
        <w:r w:rsidR="001E78E5" w:rsidRPr="00710CCE">
          <w:rPr>
            <w:rStyle w:val="Hyperlinkki"/>
            <w:noProof/>
          </w:rPr>
          <w:t>6.1 Lausuntopyyntöön saadut vastaukset</w:t>
        </w:r>
        <w:r w:rsidR="001E78E5">
          <w:rPr>
            <w:noProof/>
            <w:webHidden/>
          </w:rPr>
          <w:tab/>
        </w:r>
        <w:r w:rsidR="001E78E5">
          <w:rPr>
            <w:noProof/>
            <w:webHidden/>
          </w:rPr>
          <w:fldChar w:fldCharType="begin"/>
        </w:r>
        <w:r w:rsidR="001E78E5">
          <w:rPr>
            <w:noProof/>
            <w:webHidden/>
          </w:rPr>
          <w:instrText xml:space="preserve"> PAGEREF _Toc75420016 \h </w:instrText>
        </w:r>
        <w:r w:rsidR="001E78E5">
          <w:rPr>
            <w:noProof/>
            <w:webHidden/>
          </w:rPr>
        </w:r>
        <w:r w:rsidR="001E78E5">
          <w:rPr>
            <w:noProof/>
            <w:webHidden/>
          </w:rPr>
          <w:fldChar w:fldCharType="separate"/>
        </w:r>
        <w:r w:rsidR="001E78E5">
          <w:rPr>
            <w:noProof/>
            <w:webHidden/>
          </w:rPr>
          <w:t>17</w:t>
        </w:r>
        <w:r w:rsidR="001E78E5">
          <w:rPr>
            <w:noProof/>
            <w:webHidden/>
          </w:rPr>
          <w:fldChar w:fldCharType="end"/>
        </w:r>
      </w:hyperlink>
    </w:p>
    <w:p w14:paraId="7A90F636" w14:textId="237D82F2" w:rsidR="001E78E5" w:rsidRDefault="001A4DAD">
      <w:pPr>
        <w:pStyle w:val="Sisluet3"/>
        <w:rPr>
          <w:rFonts w:asciiTheme="minorHAnsi" w:eastAsiaTheme="minorEastAsia" w:hAnsiTheme="minorHAnsi" w:cstheme="minorBidi"/>
          <w:noProof/>
          <w:szCs w:val="22"/>
        </w:rPr>
      </w:pPr>
      <w:hyperlink w:anchor="_Toc75420017" w:history="1">
        <w:r w:rsidR="001E78E5" w:rsidRPr="00710CCE">
          <w:rPr>
            <w:rStyle w:val="Hyperlinkki"/>
            <w:noProof/>
          </w:rPr>
          <w:t>6.2 Lainsäädännön arviointineuvoston palaute</w:t>
        </w:r>
        <w:r w:rsidR="001E78E5">
          <w:rPr>
            <w:noProof/>
            <w:webHidden/>
          </w:rPr>
          <w:tab/>
        </w:r>
        <w:r w:rsidR="001E78E5">
          <w:rPr>
            <w:noProof/>
            <w:webHidden/>
          </w:rPr>
          <w:fldChar w:fldCharType="begin"/>
        </w:r>
        <w:r w:rsidR="001E78E5">
          <w:rPr>
            <w:noProof/>
            <w:webHidden/>
          </w:rPr>
          <w:instrText xml:space="preserve"> PAGEREF _Toc75420017 \h </w:instrText>
        </w:r>
        <w:r w:rsidR="001E78E5">
          <w:rPr>
            <w:noProof/>
            <w:webHidden/>
          </w:rPr>
        </w:r>
        <w:r w:rsidR="001E78E5">
          <w:rPr>
            <w:noProof/>
            <w:webHidden/>
          </w:rPr>
          <w:fldChar w:fldCharType="separate"/>
        </w:r>
        <w:r w:rsidR="001E78E5">
          <w:rPr>
            <w:noProof/>
            <w:webHidden/>
          </w:rPr>
          <w:t>17</w:t>
        </w:r>
        <w:r w:rsidR="001E78E5">
          <w:rPr>
            <w:noProof/>
            <w:webHidden/>
          </w:rPr>
          <w:fldChar w:fldCharType="end"/>
        </w:r>
      </w:hyperlink>
    </w:p>
    <w:p w14:paraId="264280D6" w14:textId="05050A36" w:rsidR="001E78E5" w:rsidRDefault="001A4DAD">
      <w:pPr>
        <w:pStyle w:val="Sisluet2"/>
        <w:rPr>
          <w:rFonts w:asciiTheme="minorHAnsi" w:eastAsiaTheme="minorEastAsia" w:hAnsiTheme="minorHAnsi" w:cstheme="minorBidi"/>
          <w:szCs w:val="22"/>
        </w:rPr>
      </w:pPr>
      <w:hyperlink w:anchor="_Toc75420018" w:history="1">
        <w:r w:rsidR="001E78E5" w:rsidRPr="00710CCE">
          <w:rPr>
            <w:rStyle w:val="Hyperlinkki"/>
          </w:rPr>
          <w:t>7 Säännöskohtaiset perustelut</w:t>
        </w:r>
        <w:r w:rsidR="001E78E5">
          <w:rPr>
            <w:webHidden/>
          </w:rPr>
          <w:tab/>
        </w:r>
        <w:r w:rsidR="001E78E5">
          <w:rPr>
            <w:webHidden/>
          </w:rPr>
          <w:fldChar w:fldCharType="begin"/>
        </w:r>
        <w:r w:rsidR="001E78E5">
          <w:rPr>
            <w:webHidden/>
          </w:rPr>
          <w:instrText xml:space="preserve"> PAGEREF _Toc75420018 \h </w:instrText>
        </w:r>
        <w:r w:rsidR="001E78E5">
          <w:rPr>
            <w:webHidden/>
          </w:rPr>
        </w:r>
        <w:r w:rsidR="001E78E5">
          <w:rPr>
            <w:webHidden/>
          </w:rPr>
          <w:fldChar w:fldCharType="separate"/>
        </w:r>
        <w:r w:rsidR="001E78E5">
          <w:rPr>
            <w:webHidden/>
          </w:rPr>
          <w:t>17</w:t>
        </w:r>
        <w:r w:rsidR="001E78E5">
          <w:rPr>
            <w:webHidden/>
          </w:rPr>
          <w:fldChar w:fldCharType="end"/>
        </w:r>
      </w:hyperlink>
    </w:p>
    <w:p w14:paraId="60555819" w14:textId="6C43D9AF" w:rsidR="001E78E5" w:rsidRDefault="001A4DAD">
      <w:pPr>
        <w:pStyle w:val="Sisluet2"/>
        <w:rPr>
          <w:rFonts w:asciiTheme="minorHAnsi" w:eastAsiaTheme="minorEastAsia" w:hAnsiTheme="minorHAnsi" w:cstheme="minorBidi"/>
          <w:szCs w:val="22"/>
        </w:rPr>
      </w:pPr>
      <w:hyperlink w:anchor="_Toc75420019" w:history="1">
        <w:r w:rsidR="001E78E5" w:rsidRPr="00710CCE">
          <w:rPr>
            <w:rStyle w:val="Hyperlinkki"/>
          </w:rPr>
          <w:t>8 Lakia alemman asteinen sääntely</w:t>
        </w:r>
        <w:r w:rsidR="001E78E5">
          <w:rPr>
            <w:webHidden/>
          </w:rPr>
          <w:tab/>
        </w:r>
        <w:r w:rsidR="001E78E5">
          <w:rPr>
            <w:webHidden/>
          </w:rPr>
          <w:fldChar w:fldCharType="begin"/>
        </w:r>
        <w:r w:rsidR="001E78E5">
          <w:rPr>
            <w:webHidden/>
          </w:rPr>
          <w:instrText xml:space="preserve"> PAGEREF _Toc75420019 \h </w:instrText>
        </w:r>
        <w:r w:rsidR="001E78E5">
          <w:rPr>
            <w:webHidden/>
          </w:rPr>
        </w:r>
        <w:r w:rsidR="001E78E5">
          <w:rPr>
            <w:webHidden/>
          </w:rPr>
          <w:fldChar w:fldCharType="separate"/>
        </w:r>
        <w:r w:rsidR="001E78E5">
          <w:rPr>
            <w:webHidden/>
          </w:rPr>
          <w:t>30</w:t>
        </w:r>
        <w:r w:rsidR="001E78E5">
          <w:rPr>
            <w:webHidden/>
          </w:rPr>
          <w:fldChar w:fldCharType="end"/>
        </w:r>
      </w:hyperlink>
    </w:p>
    <w:p w14:paraId="4521A66D" w14:textId="764CA3CD" w:rsidR="001E78E5" w:rsidRDefault="001A4DAD">
      <w:pPr>
        <w:pStyle w:val="Sisluet2"/>
        <w:rPr>
          <w:rFonts w:asciiTheme="minorHAnsi" w:eastAsiaTheme="minorEastAsia" w:hAnsiTheme="minorHAnsi" w:cstheme="minorBidi"/>
          <w:szCs w:val="22"/>
        </w:rPr>
      </w:pPr>
      <w:hyperlink w:anchor="_Toc75420020" w:history="1">
        <w:r w:rsidR="001E78E5" w:rsidRPr="00710CCE">
          <w:rPr>
            <w:rStyle w:val="Hyperlinkki"/>
          </w:rPr>
          <w:t>9 Voimaantulo</w:t>
        </w:r>
        <w:r w:rsidR="001E78E5">
          <w:rPr>
            <w:webHidden/>
          </w:rPr>
          <w:tab/>
        </w:r>
        <w:r w:rsidR="001E78E5">
          <w:rPr>
            <w:webHidden/>
          </w:rPr>
          <w:fldChar w:fldCharType="begin"/>
        </w:r>
        <w:r w:rsidR="001E78E5">
          <w:rPr>
            <w:webHidden/>
          </w:rPr>
          <w:instrText xml:space="preserve"> PAGEREF _Toc75420020 \h </w:instrText>
        </w:r>
        <w:r w:rsidR="001E78E5">
          <w:rPr>
            <w:webHidden/>
          </w:rPr>
        </w:r>
        <w:r w:rsidR="001E78E5">
          <w:rPr>
            <w:webHidden/>
          </w:rPr>
          <w:fldChar w:fldCharType="separate"/>
        </w:r>
        <w:r w:rsidR="001E78E5">
          <w:rPr>
            <w:webHidden/>
          </w:rPr>
          <w:t>30</w:t>
        </w:r>
        <w:r w:rsidR="001E78E5">
          <w:rPr>
            <w:webHidden/>
          </w:rPr>
          <w:fldChar w:fldCharType="end"/>
        </w:r>
      </w:hyperlink>
    </w:p>
    <w:p w14:paraId="36FA7A4A" w14:textId="531C761F" w:rsidR="001E78E5" w:rsidRDefault="001A4DAD">
      <w:pPr>
        <w:pStyle w:val="Sisluet2"/>
        <w:rPr>
          <w:rFonts w:asciiTheme="minorHAnsi" w:eastAsiaTheme="minorEastAsia" w:hAnsiTheme="minorHAnsi" w:cstheme="minorBidi"/>
          <w:szCs w:val="22"/>
        </w:rPr>
      </w:pPr>
      <w:hyperlink w:anchor="_Toc75420021" w:history="1">
        <w:r w:rsidR="001E78E5" w:rsidRPr="00710CCE">
          <w:rPr>
            <w:rStyle w:val="Hyperlinkki"/>
          </w:rPr>
          <w:t>10 Suhde muihin esityksiin</w:t>
        </w:r>
        <w:r w:rsidR="001E78E5">
          <w:rPr>
            <w:webHidden/>
          </w:rPr>
          <w:tab/>
        </w:r>
        <w:r w:rsidR="001E78E5">
          <w:rPr>
            <w:webHidden/>
          </w:rPr>
          <w:fldChar w:fldCharType="begin"/>
        </w:r>
        <w:r w:rsidR="001E78E5">
          <w:rPr>
            <w:webHidden/>
          </w:rPr>
          <w:instrText xml:space="preserve"> PAGEREF _Toc75420021 \h </w:instrText>
        </w:r>
        <w:r w:rsidR="001E78E5">
          <w:rPr>
            <w:webHidden/>
          </w:rPr>
        </w:r>
        <w:r w:rsidR="001E78E5">
          <w:rPr>
            <w:webHidden/>
          </w:rPr>
          <w:fldChar w:fldCharType="separate"/>
        </w:r>
        <w:r w:rsidR="001E78E5">
          <w:rPr>
            <w:webHidden/>
          </w:rPr>
          <w:t>30</w:t>
        </w:r>
        <w:r w:rsidR="001E78E5">
          <w:rPr>
            <w:webHidden/>
          </w:rPr>
          <w:fldChar w:fldCharType="end"/>
        </w:r>
      </w:hyperlink>
    </w:p>
    <w:p w14:paraId="423248CB" w14:textId="178E6D71" w:rsidR="001E78E5" w:rsidRDefault="001A4DAD">
      <w:pPr>
        <w:pStyle w:val="Sisluet3"/>
        <w:rPr>
          <w:rFonts w:asciiTheme="minorHAnsi" w:eastAsiaTheme="minorEastAsia" w:hAnsiTheme="minorHAnsi" w:cstheme="minorBidi"/>
          <w:noProof/>
          <w:szCs w:val="22"/>
        </w:rPr>
      </w:pPr>
      <w:hyperlink w:anchor="_Toc75420022" w:history="1">
        <w:r w:rsidR="001E78E5" w:rsidRPr="00710CCE">
          <w:rPr>
            <w:rStyle w:val="Hyperlinkki"/>
            <w:noProof/>
          </w:rPr>
          <w:t>10.1 Suhde talousarvioesitykseen</w:t>
        </w:r>
        <w:r w:rsidR="001E78E5">
          <w:rPr>
            <w:noProof/>
            <w:webHidden/>
          </w:rPr>
          <w:tab/>
        </w:r>
        <w:r w:rsidR="001E78E5">
          <w:rPr>
            <w:noProof/>
            <w:webHidden/>
          </w:rPr>
          <w:fldChar w:fldCharType="begin"/>
        </w:r>
        <w:r w:rsidR="001E78E5">
          <w:rPr>
            <w:noProof/>
            <w:webHidden/>
          </w:rPr>
          <w:instrText xml:space="preserve"> PAGEREF _Toc75420022 \h </w:instrText>
        </w:r>
        <w:r w:rsidR="001E78E5">
          <w:rPr>
            <w:noProof/>
            <w:webHidden/>
          </w:rPr>
        </w:r>
        <w:r w:rsidR="001E78E5">
          <w:rPr>
            <w:noProof/>
            <w:webHidden/>
          </w:rPr>
          <w:fldChar w:fldCharType="separate"/>
        </w:r>
        <w:r w:rsidR="001E78E5">
          <w:rPr>
            <w:noProof/>
            <w:webHidden/>
          </w:rPr>
          <w:t>30</w:t>
        </w:r>
        <w:r w:rsidR="001E78E5">
          <w:rPr>
            <w:noProof/>
            <w:webHidden/>
          </w:rPr>
          <w:fldChar w:fldCharType="end"/>
        </w:r>
      </w:hyperlink>
    </w:p>
    <w:p w14:paraId="1E1F5A68" w14:textId="4EADDB70" w:rsidR="001E78E5" w:rsidRDefault="001A4DAD">
      <w:pPr>
        <w:pStyle w:val="Sisluet2"/>
        <w:rPr>
          <w:rFonts w:asciiTheme="minorHAnsi" w:eastAsiaTheme="minorEastAsia" w:hAnsiTheme="minorHAnsi" w:cstheme="minorBidi"/>
          <w:szCs w:val="22"/>
        </w:rPr>
      </w:pPr>
      <w:hyperlink w:anchor="_Toc75420023" w:history="1">
        <w:r w:rsidR="001E78E5" w:rsidRPr="00710CCE">
          <w:rPr>
            <w:rStyle w:val="Hyperlinkki"/>
          </w:rPr>
          <w:t>11 Suhde perustuslakiin ja säätämisjärjestys</w:t>
        </w:r>
        <w:r w:rsidR="001E78E5">
          <w:rPr>
            <w:webHidden/>
          </w:rPr>
          <w:tab/>
        </w:r>
        <w:r w:rsidR="001E78E5">
          <w:rPr>
            <w:webHidden/>
          </w:rPr>
          <w:fldChar w:fldCharType="begin"/>
        </w:r>
        <w:r w:rsidR="001E78E5">
          <w:rPr>
            <w:webHidden/>
          </w:rPr>
          <w:instrText xml:space="preserve"> PAGEREF _Toc75420023 \h </w:instrText>
        </w:r>
        <w:r w:rsidR="001E78E5">
          <w:rPr>
            <w:webHidden/>
          </w:rPr>
        </w:r>
        <w:r w:rsidR="001E78E5">
          <w:rPr>
            <w:webHidden/>
          </w:rPr>
          <w:fldChar w:fldCharType="separate"/>
        </w:r>
        <w:r w:rsidR="001E78E5">
          <w:rPr>
            <w:webHidden/>
          </w:rPr>
          <w:t>30</w:t>
        </w:r>
        <w:r w:rsidR="001E78E5">
          <w:rPr>
            <w:webHidden/>
          </w:rPr>
          <w:fldChar w:fldCharType="end"/>
        </w:r>
      </w:hyperlink>
    </w:p>
    <w:p w14:paraId="33DC0646" w14:textId="65DCC595" w:rsidR="001E78E5" w:rsidRDefault="001A4DAD">
      <w:pPr>
        <w:pStyle w:val="Sisluet1"/>
        <w:rPr>
          <w:rFonts w:asciiTheme="minorHAnsi" w:eastAsiaTheme="minorEastAsia" w:hAnsiTheme="minorHAnsi" w:cstheme="minorBidi"/>
          <w:bCs w:val="0"/>
          <w:caps w:val="0"/>
          <w:noProof/>
          <w:szCs w:val="22"/>
        </w:rPr>
      </w:pPr>
      <w:hyperlink w:anchor="_Toc75420024" w:history="1">
        <w:r w:rsidR="001E78E5" w:rsidRPr="00710CCE">
          <w:rPr>
            <w:rStyle w:val="Hyperlinkki"/>
            <w:noProof/>
          </w:rPr>
          <w:t>Lakiehdotus</w:t>
        </w:r>
        <w:r w:rsidR="001E78E5">
          <w:rPr>
            <w:noProof/>
            <w:webHidden/>
          </w:rPr>
          <w:tab/>
        </w:r>
        <w:r w:rsidR="001E78E5">
          <w:rPr>
            <w:noProof/>
            <w:webHidden/>
          </w:rPr>
          <w:fldChar w:fldCharType="begin"/>
        </w:r>
        <w:r w:rsidR="001E78E5">
          <w:rPr>
            <w:noProof/>
            <w:webHidden/>
          </w:rPr>
          <w:instrText xml:space="preserve"> PAGEREF _Toc75420024 \h </w:instrText>
        </w:r>
        <w:r w:rsidR="001E78E5">
          <w:rPr>
            <w:noProof/>
            <w:webHidden/>
          </w:rPr>
        </w:r>
        <w:r w:rsidR="001E78E5">
          <w:rPr>
            <w:noProof/>
            <w:webHidden/>
          </w:rPr>
          <w:fldChar w:fldCharType="separate"/>
        </w:r>
        <w:r w:rsidR="001E78E5">
          <w:rPr>
            <w:noProof/>
            <w:webHidden/>
          </w:rPr>
          <w:t>33</w:t>
        </w:r>
        <w:r w:rsidR="001E78E5">
          <w:rPr>
            <w:noProof/>
            <w:webHidden/>
          </w:rPr>
          <w:fldChar w:fldCharType="end"/>
        </w:r>
      </w:hyperlink>
    </w:p>
    <w:p w14:paraId="1AE971A4" w14:textId="2EDCA1DC" w:rsidR="001E78E5" w:rsidRDefault="001A4DAD">
      <w:pPr>
        <w:pStyle w:val="Sisluet3"/>
        <w:rPr>
          <w:rFonts w:asciiTheme="minorHAnsi" w:eastAsiaTheme="minorEastAsia" w:hAnsiTheme="minorHAnsi" w:cstheme="minorBidi"/>
          <w:noProof/>
          <w:szCs w:val="22"/>
        </w:rPr>
      </w:pPr>
      <w:hyperlink w:anchor="_Toc75420025" w:history="1">
        <w:r w:rsidR="001E78E5">
          <w:rPr>
            <w:rStyle w:val="Hyperlinkki"/>
            <w:noProof/>
          </w:rPr>
          <w:t>Laki e</w:t>
        </w:r>
        <w:r w:rsidR="001E78E5" w:rsidRPr="00710CCE">
          <w:rPr>
            <w:rStyle w:val="Hyperlinkki"/>
            <w:noProof/>
          </w:rPr>
          <w:t>nergiaintensiivisen teollisuuden sähköistämistuesta</w:t>
        </w:r>
        <w:r w:rsidR="001E78E5">
          <w:rPr>
            <w:noProof/>
            <w:webHidden/>
          </w:rPr>
          <w:tab/>
        </w:r>
        <w:r w:rsidR="001E78E5">
          <w:rPr>
            <w:noProof/>
            <w:webHidden/>
          </w:rPr>
          <w:fldChar w:fldCharType="begin"/>
        </w:r>
        <w:r w:rsidR="001E78E5">
          <w:rPr>
            <w:noProof/>
            <w:webHidden/>
          </w:rPr>
          <w:instrText xml:space="preserve"> PAGEREF _Toc75420025 \h </w:instrText>
        </w:r>
        <w:r w:rsidR="001E78E5">
          <w:rPr>
            <w:noProof/>
            <w:webHidden/>
          </w:rPr>
        </w:r>
        <w:r w:rsidR="001E78E5">
          <w:rPr>
            <w:noProof/>
            <w:webHidden/>
          </w:rPr>
          <w:fldChar w:fldCharType="separate"/>
        </w:r>
        <w:r w:rsidR="001E78E5">
          <w:rPr>
            <w:noProof/>
            <w:webHidden/>
          </w:rPr>
          <w:t>33</w:t>
        </w:r>
        <w:r w:rsidR="001E78E5">
          <w:rPr>
            <w:noProof/>
            <w:webHidden/>
          </w:rPr>
          <w:fldChar w:fldCharType="end"/>
        </w:r>
      </w:hyperlink>
    </w:p>
    <w:p w14:paraId="08B95BA0" w14:textId="3BEFFD13" w:rsidR="001E78E5" w:rsidRDefault="001A4DAD">
      <w:pPr>
        <w:pStyle w:val="Sisluet1"/>
        <w:rPr>
          <w:rFonts w:asciiTheme="minorHAnsi" w:eastAsiaTheme="minorEastAsia" w:hAnsiTheme="minorHAnsi" w:cstheme="minorBidi"/>
          <w:bCs w:val="0"/>
          <w:caps w:val="0"/>
          <w:noProof/>
          <w:szCs w:val="22"/>
        </w:rPr>
      </w:pPr>
      <w:hyperlink w:anchor="_Toc75420026" w:history="1">
        <w:r w:rsidR="001E78E5" w:rsidRPr="00710CCE">
          <w:rPr>
            <w:rStyle w:val="Hyperlinkki"/>
            <w:noProof/>
          </w:rPr>
          <w:t>Liite 1</w:t>
        </w:r>
        <w:r w:rsidR="001E78E5">
          <w:rPr>
            <w:noProof/>
            <w:webHidden/>
          </w:rPr>
          <w:tab/>
        </w:r>
        <w:r w:rsidR="001E78E5">
          <w:rPr>
            <w:noProof/>
            <w:webHidden/>
          </w:rPr>
          <w:fldChar w:fldCharType="begin"/>
        </w:r>
        <w:r w:rsidR="001E78E5">
          <w:rPr>
            <w:noProof/>
            <w:webHidden/>
          </w:rPr>
          <w:instrText xml:space="preserve"> PAGEREF _Toc75420026 \h </w:instrText>
        </w:r>
        <w:r w:rsidR="001E78E5">
          <w:rPr>
            <w:noProof/>
            <w:webHidden/>
          </w:rPr>
        </w:r>
        <w:r w:rsidR="001E78E5">
          <w:rPr>
            <w:noProof/>
            <w:webHidden/>
          </w:rPr>
          <w:fldChar w:fldCharType="separate"/>
        </w:r>
        <w:r w:rsidR="001E78E5">
          <w:rPr>
            <w:noProof/>
            <w:webHidden/>
          </w:rPr>
          <w:t>41</w:t>
        </w:r>
        <w:r w:rsidR="001E78E5">
          <w:rPr>
            <w:noProof/>
            <w:webHidden/>
          </w:rPr>
          <w:fldChar w:fldCharType="end"/>
        </w:r>
      </w:hyperlink>
    </w:p>
    <w:p w14:paraId="49FCC1B2" w14:textId="7E045053" w:rsidR="001E78E5" w:rsidRDefault="001A4DAD">
      <w:pPr>
        <w:pStyle w:val="Sisluet1"/>
        <w:rPr>
          <w:rFonts w:asciiTheme="minorHAnsi" w:eastAsiaTheme="minorEastAsia" w:hAnsiTheme="minorHAnsi" w:cstheme="minorBidi"/>
          <w:bCs w:val="0"/>
          <w:caps w:val="0"/>
          <w:noProof/>
          <w:szCs w:val="22"/>
        </w:rPr>
      </w:pPr>
      <w:hyperlink w:anchor="_Toc75420027" w:history="1">
        <w:r w:rsidR="001E78E5" w:rsidRPr="00710CCE">
          <w:rPr>
            <w:rStyle w:val="Hyperlinkki"/>
            <w:noProof/>
          </w:rPr>
          <w:t>Liite 2</w:t>
        </w:r>
        <w:r w:rsidR="001E78E5">
          <w:rPr>
            <w:noProof/>
            <w:webHidden/>
          </w:rPr>
          <w:tab/>
        </w:r>
        <w:r w:rsidR="001E78E5">
          <w:rPr>
            <w:noProof/>
            <w:webHidden/>
          </w:rPr>
          <w:fldChar w:fldCharType="begin"/>
        </w:r>
        <w:r w:rsidR="001E78E5">
          <w:rPr>
            <w:noProof/>
            <w:webHidden/>
          </w:rPr>
          <w:instrText xml:space="preserve"> PAGEREF _Toc75420027 \h </w:instrText>
        </w:r>
        <w:r w:rsidR="001E78E5">
          <w:rPr>
            <w:noProof/>
            <w:webHidden/>
          </w:rPr>
        </w:r>
        <w:r w:rsidR="001E78E5">
          <w:rPr>
            <w:noProof/>
            <w:webHidden/>
          </w:rPr>
          <w:fldChar w:fldCharType="separate"/>
        </w:r>
        <w:r w:rsidR="001E78E5">
          <w:rPr>
            <w:noProof/>
            <w:webHidden/>
          </w:rPr>
          <w:t>42</w:t>
        </w:r>
        <w:r w:rsidR="001E78E5">
          <w:rPr>
            <w:noProof/>
            <w:webHidden/>
          </w:rPr>
          <w:fldChar w:fldCharType="end"/>
        </w:r>
      </w:hyperlink>
    </w:p>
    <w:p w14:paraId="009FA8D4" w14:textId="6948B9A9" w:rsidR="001E78E5" w:rsidRDefault="001A4DAD">
      <w:pPr>
        <w:pStyle w:val="Sisluet1"/>
        <w:rPr>
          <w:rFonts w:asciiTheme="minorHAnsi" w:eastAsiaTheme="minorEastAsia" w:hAnsiTheme="minorHAnsi" w:cstheme="minorBidi"/>
          <w:bCs w:val="0"/>
          <w:caps w:val="0"/>
          <w:noProof/>
          <w:szCs w:val="22"/>
        </w:rPr>
      </w:pPr>
      <w:hyperlink w:anchor="_Toc75420028" w:history="1">
        <w:r w:rsidR="001E78E5" w:rsidRPr="00710CCE">
          <w:rPr>
            <w:rStyle w:val="Hyperlinkki"/>
            <w:noProof/>
          </w:rPr>
          <w:t>Liite</w:t>
        </w:r>
        <w:r w:rsidR="001E78E5">
          <w:rPr>
            <w:noProof/>
            <w:webHidden/>
          </w:rPr>
          <w:tab/>
        </w:r>
        <w:r w:rsidR="001E78E5">
          <w:rPr>
            <w:noProof/>
            <w:webHidden/>
          </w:rPr>
          <w:fldChar w:fldCharType="begin"/>
        </w:r>
        <w:r w:rsidR="001E78E5">
          <w:rPr>
            <w:noProof/>
            <w:webHidden/>
          </w:rPr>
          <w:instrText xml:space="preserve"> PAGEREF _Toc75420028 \h </w:instrText>
        </w:r>
        <w:r w:rsidR="001E78E5">
          <w:rPr>
            <w:noProof/>
            <w:webHidden/>
          </w:rPr>
        </w:r>
        <w:r w:rsidR="001E78E5">
          <w:rPr>
            <w:noProof/>
            <w:webHidden/>
          </w:rPr>
          <w:fldChar w:fldCharType="separate"/>
        </w:r>
        <w:r w:rsidR="001E78E5">
          <w:rPr>
            <w:noProof/>
            <w:webHidden/>
          </w:rPr>
          <w:t>43</w:t>
        </w:r>
        <w:r w:rsidR="001E78E5">
          <w:rPr>
            <w:noProof/>
            <w:webHidden/>
          </w:rPr>
          <w:fldChar w:fldCharType="end"/>
        </w:r>
      </w:hyperlink>
    </w:p>
    <w:p w14:paraId="081C745B" w14:textId="572850AD" w:rsidR="001E78E5" w:rsidRDefault="001A4DAD">
      <w:pPr>
        <w:pStyle w:val="Sisluet1"/>
        <w:rPr>
          <w:rFonts w:asciiTheme="minorHAnsi" w:eastAsiaTheme="minorEastAsia" w:hAnsiTheme="minorHAnsi" w:cstheme="minorBidi"/>
          <w:bCs w:val="0"/>
          <w:caps w:val="0"/>
          <w:noProof/>
          <w:szCs w:val="22"/>
        </w:rPr>
      </w:pPr>
      <w:hyperlink w:anchor="_Toc75420029" w:history="1">
        <w:r w:rsidR="001E78E5" w:rsidRPr="00710CCE">
          <w:rPr>
            <w:rStyle w:val="Hyperlinkki"/>
            <w:noProof/>
          </w:rPr>
          <w:t>Asetusluonnos</w:t>
        </w:r>
        <w:r w:rsidR="001E78E5">
          <w:rPr>
            <w:noProof/>
            <w:webHidden/>
          </w:rPr>
          <w:tab/>
        </w:r>
        <w:r w:rsidR="001E78E5">
          <w:rPr>
            <w:noProof/>
            <w:webHidden/>
          </w:rPr>
          <w:fldChar w:fldCharType="begin"/>
        </w:r>
        <w:r w:rsidR="001E78E5">
          <w:rPr>
            <w:noProof/>
            <w:webHidden/>
          </w:rPr>
          <w:instrText xml:space="preserve"> PAGEREF _Toc75420029 \h </w:instrText>
        </w:r>
        <w:r w:rsidR="001E78E5">
          <w:rPr>
            <w:noProof/>
            <w:webHidden/>
          </w:rPr>
        </w:r>
        <w:r w:rsidR="001E78E5">
          <w:rPr>
            <w:noProof/>
            <w:webHidden/>
          </w:rPr>
          <w:fldChar w:fldCharType="separate"/>
        </w:r>
        <w:r w:rsidR="001E78E5">
          <w:rPr>
            <w:noProof/>
            <w:webHidden/>
          </w:rPr>
          <w:t>43</w:t>
        </w:r>
        <w:r w:rsidR="001E78E5">
          <w:rPr>
            <w:noProof/>
            <w:webHidden/>
          </w:rPr>
          <w:fldChar w:fldCharType="end"/>
        </w:r>
      </w:hyperlink>
    </w:p>
    <w:p w14:paraId="46A88866" w14:textId="2529D1A9" w:rsidR="001E78E5" w:rsidRDefault="001A4DAD">
      <w:pPr>
        <w:pStyle w:val="Sisluet3"/>
        <w:rPr>
          <w:rFonts w:asciiTheme="minorHAnsi" w:eastAsiaTheme="minorEastAsia" w:hAnsiTheme="minorHAnsi" w:cstheme="minorBidi"/>
          <w:noProof/>
          <w:szCs w:val="22"/>
        </w:rPr>
      </w:pPr>
      <w:hyperlink w:anchor="_Toc75420030" w:history="1">
        <w:r w:rsidR="001E78E5">
          <w:rPr>
            <w:rStyle w:val="Hyperlinkki"/>
            <w:noProof/>
          </w:rPr>
          <w:t>Laki e</w:t>
        </w:r>
        <w:r w:rsidR="001E78E5" w:rsidRPr="00710CCE">
          <w:rPr>
            <w:rStyle w:val="Hyperlinkki"/>
            <w:noProof/>
          </w:rPr>
          <w:t>nergiaintensiivisen teollisuuden sähköistämistuesta</w:t>
        </w:r>
        <w:r w:rsidR="001E78E5">
          <w:rPr>
            <w:noProof/>
            <w:webHidden/>
          </w:rPr>
          <w:tab/>
        </w:r>
        <w:r w:rsidR="001E78E5">
          <w:rPr>
            <w:noProof/>
            <w:webHidden/>
          </w:rPr>
          <w:fldChar w:fldCharType="begin"/>
        </w:r>
        <w:r w:rsidR="001E78E5">
          <w:rPr>
            <w:noProof/>
            <w:webHidden/>
          </w:rPr>
          <w:instrText xml:space="preserve"> PAGEREF _Toc75420030 \h </w:instrText>
        </w:r>
        <w:r w:rsidR="001E78E5">
          <w:rPr>
            <w:noProof/>
            <w:webHidden/>
          </w:rPr>
        </w:r>
        <w:r w:rsidR="001E78E5">
          <w:rPr>
            <w:noProof/>
            <w:webHidden/>
          </w:rPr>
          <w:fldChar w:fldCharType="separate"/>
        </w:r>
        <w:r w:rsidR="001E78E5">
          <w:rPr>
            <w:noProof/>
            <w:webHidden/>
          </w:rPr>
          <w:t>43</w:t>
        </w:r>
        <w:r w:rsidR="001E78E5">
          <w:rPr>
            <w:noProof/>
            <w:webHidden/>
          </w:rPr>
          <w:fldChar w:fldCharType="end"/>
        </w:r>
      </w:hyperlink>
    </w:p>
    <w:p w14:paraId="37BAD840" w14:textId="64C90C2C" w:rsidR="00A17195" w:rsidRPr="00A17195" w:rsidRDefault="00095BC2" w:rsidP="00A17195">
      <w:r>
        <w:rPr>
          <w:rFonts w:eastAsia="Times New Roman"/>
          <w:bCs/>
          <w:caps/>
          <w:szCs w:val="20"/>
          <w:lang w:eastAsia="fi-FI"/>
        </w:rPr>
        <w:fldChar w:fldCharType="end"/>
      </w:r>
    </w:p>
    <w:p w14:paraId="1606CF9E" w14:textId="77777777" w:rsidR="006E6F46" w:rsidRDefault="005A0584" w:rsidP="00EB0A9A">
      <w:pPr>
        <w:pStyle w:val="LLNormaali"/>
      </w:pPr>
      <w:r>
        <w:br w:type="page"/>
      </w:r>
    </w:p>
    <w:bookmarkStart w:id="2" w:name="_Toc75419999" w:displacedByCustomXml="next"/>
    <w:sdt>
      <w:sdtPr>
        <w:rPr>
          <w:rFonts w:eastAsia="Calibri"/>
          <w:b w:val="0"/>
          <w:caps w:val="0"/>
          <w:sz w:val="22"/>
          <w:szCs w:val="22"/>
          <w:lang w:eastAsia="en-US"/>
        </w:rPr>
        <w:alias w:val="Perustelut"/>
        <w:tag w:val="CCPerustelut"/>
        <w:id w:val="2058971695"/>
        <w:lock w:val="sdtLocked"/>
        <w:placeholder>
          <w:docPart w:val="845523B2282048EDA4C496C036486F5C"/>
        </w:placeholder>
        <w15:color w:val="33CCCC"/>
      </w:sdtPr>
      <w:sdtEndPr>
        <w:rPr>
          <w:rFonts w:eastAsia="Times New Roman"/>
          <w:szCs w:val="24"/>
          <w:lang w:eastAsia="fi-FI"/>
        </w:rPr>
      </w:sdtEndPr>
      <w:sdtContent>
        <w:p w14:paraId="1E579500" w14:textId="77777777" w:rsidR="008414FE" w:rsidRDefault="004D2778" w:rsidP="008414FE">
          <w:pPr>
            <w:pStyle w:val="LLperustelut"/>
          </w:pPr>
          <w:r>
            <w:t>PERUSTELUT</w:t>
          </w:r>
          <w:bookmarkEnd w:id="2"/>
        </w:p>
        <w:p w14:paraId="20FBE81C" w14:textId="77777777" w:rsidR="0075180F" w:rsidRDefault="0075180F" w:rsidP="0075180F">
          <w:pPr>
            <w:pStyle w:val="LLP1Otsikkotaso"/>
          </w:pPr>
          <w:bookmarkStart w:id="3" w:name="_Toc75420000"/>
          <w:r>
            <w:t>Asian tausta ja valmistelu</w:t>
          </w:r>
          <w:bookmarkEnd w:id="3"/>
        </w:p>
        <w:p w14:paraId="7B043C1B" w14:textId="77777777" w:rsidR="004D2778" w:rsidRDefault="007B4171" w:rsidP="008D714A">
          <w:pPr>
            <w:pStyle w:val="LLP2Otsikkotaso"/>
          </w:pPr>
          <w:bookmarkStart w:id="4" w:name="_Toc75420001"/>
          <w:r>
            <w:t>T</w:t>
          </w:r>
          <w:r w:rsidR="004D2778">
            <w:t>austa</w:t>
          </w:r>
          <w:bookmarkEnd w:id="4"/>
        </w:p>
        <w:p w14:paraId="6C82D204" w14:textId="5F74D25D" w:rsidR="00F07A5F" w:rsidRDefault="00F07A5F" w:rsidP="00F07A5F">
          <w:pPr>
            <w:pStyle w:val="LLPerustelujenkappalejako"/>
          </w:pPr>
          <w:r>
            <w:t>Euroopan unionin päästökauppajärjestelmästä säädetään Euroopan parlamentin ja neuvoston direk</w:t>
          </w:r>
          <w:r w:rsidR="00F776A6">
            <w:t>tii</w:t>
          </w:r>
          <w:r>
            <w:t xml:space="preserve">villä 2003/87/EY kasvihuonekaasujen päästöoikeuksien kaupan järjestelmän toteuttamisesta yhteisössä ja neuvoston direktiivin 96/61/EY muuttamisesta (jäljempänä </w:t>
          </w:r>
          <w:r w:rsidRPr="00581F48">
            <w:rPr>
              <w:i/>
            </w:rPr>
            <w:t>päästökauppadirektiivi</w:t>
          </w:r>
          <w:r>
            <w:t>). Päästökauppadirektiiviä muutettiin vuonna 2018 päästökaupan kehittämis</w:t>
          </w:r>
          <w:r w:rsidR="00800081">
            <w:t>eksi ja laajentamiseksi kaudelle</w:t>
          </w:r>
          <w:r>
            <w:t xml:space="preserve"> 2021–2030.</w:t>
          </w:r>
        </w:p>
        <w:p w14:paraId="71BFC72E" w14:textId="572FBEBD" w:rsidR="00F07A5F" w:rsidRDefault="00F07A5F" w:rsidP="00F07A5F">
          <w:pPr>
            <w:pStyle w:val="LLPerustelujenkappalejako"/>
          </w:pPr>
          <w:r>
            <w:t xml:space="preserve">Päästökaupalla pyritään EU:ssa yhteisesti vähentämään ilmastonmuutosta aiheuttavia kasvihuonekaasupäästöjä kustannustehokkaasti. </w:t>
          </w:r>
          <w:r w:rsidR="00F776A6">
            <w:t>Päästö</w:t>
          </w:r>
          <w:r>
            <w:t xml:space="preserve">kauppajärjestelmässä kasvihuonekaasupäästöille muodostuu hinta, joka aiheuttaa </w:t>
          </w:r>
          <w:r w:rsidR="00800081">
            <w:t xml:space="preserve">suoria </w:t>
          </w:r>
          <w:r>
            <w:t>kustannuksia päästökaupan piiriin kuuluville</w:t>
          </w:r>
          <w:r w:rsidR="00800081">
            <w:t xml:space="preserve"> toimijoille. Päästökauppa aiheuttaa myös välillisiä kustannuksia, kun päästökaupan kustannus siirtyy kulutetun sähkön hintaan. Tämä kustannus on erityisen merkittävä paljon sähköä käyttävillä,</w:t>
          </w:r>
          <w:r w:rsidR="009F61E5">
            <w:t xml:space="preserve"> </w:t>
          </w:r>
          <w:r w:rsidR="00800081">
            <w:t xml:space="preserve">vienti-intensiivisillä teollisuuden aloilla. </w:t>
          </w:r>
          <w:r w:rsidR="009F61E5">
            <w:t>Niin kauan, ku</w:t>
          </w:r>
          <w:r w:rsidR="000D3EE8">
            <w:t>i</w:t>
          </w:r>
          <w:r>
            <w:t xml:space="preserve">n näiden toimijoiden globaaleihin kilpailijoihin ei kohdistu vastaavaa kustannusrasitusta on mahdollista, että </w:t>
          </w:r>
          <w:r w:rsidR="009F61E5">
            <w:t xml:space="preserve">välilliset </w:t>
          </w:r>
          <w:r>
            <w:t>kustannukset lisäävät niin sanottua hiilivuotoriskiä. Hiilivuodolla tarkoitetaan mahdollista kasvihuonekaasujen maailmanlaajuista kokonaispäästöjen lisääntymistä, kun yritykset siirtävät tai perustavat tuotantoa Euroopan unionin ulkopuolelle, koska ne eivät pysty siirtämä</w:t>
          </w:r>
          <w:r w:rsidR="009F61E5">
            <w:t>än EU:n päästökauppajärjestelmästä aiheutuvia</w:t>
          </w:r>
          <w:r>
            <w:t xml:space="preserve"> kustannuksia asiakkailleen ilman markkinaosuuden merkittävää vähentymistä.</w:t>
          </w:r>
        </w:p>
        <w:p w14:paraId="42670546" w14:textId="006DAE9B" w:rsidR="00F07A5F" w:rsidRDefault="00F07A5F" w:rsidP="00F07A5F">
          <w:pPr>
            <w:pStyle w:val="LLPerustelujenkappalejako"/>
          </w:pPr>
          <w:r>
            <w:t>Päästökauppadirektiivissä hiilivuotoriski on huomioitu kahdella eri tavalla. Päästökaupasta suoraan aiheutuvia kustannuksia korvataan EU-tasolla harmonisoitujen ilmaisjakosääntöjen mukaisesti erikseen määritellyille päästökauppaan kuuluville toimialoille myöntämällä niille päästöoikeuksia maksutta. Päästökaupa</w:t>
          </w:r>
          <w:r w:rsidR="0063088E">
            <w:t>sta välillisesti aiheutuvia</w:t>
          </w:r>
          <w:r>
            <w:t xml:space="preserve"> kustannuksia tulisi päästökauppadirektiivin mukaisesti korvata kansallisesti käyttöön otettavien taloudellisten toimenpiteiden kautta. Komissio on 21.9.2020 antanut tiedonannon suuntaviivoista, koskien tiettyjä päästökauppaan liittyviä valtiontukitoimenpiteitä vuoden 2021 jälkeen. </w:t>
          </w:r>
          <w:r w:rsidR="0063088E">
            <w:t>Näissä s</w:t>
          </w:r>
          <w:r>
            <w:t>uuntaviivoissa komissio vahvistaa edellytykset, joiden täyttyessä unionin päästökauppajärjestelmään liittyviä tukitoimenpiteitä voidaan pitää sisämarkkinoille soveltuvina perussopimuksen 107 artiklan 3 kohdan c alakohda</w:t>
          </w:r>
          <w:r w:rsidR="00F776A6">
            <w:t xml:space="preserve">n nojalla. </w:t>
          </w:r>
          <w:r w:rsidR="0063088E">
            <w:t>S</w:t>
          </w:r>
          <w:r>
            <w:t xml:space="preserve">uuntaviivoissa vahvistettuja periaatteita sovelletaan päästökauppadirektiivissä säädettyihin taloudellisiin toimenpiteisiin, joilla jäsenmaiden tulisi </w:t>
          </w:r>
          <w:r w:rsidR="00BA1061">
            <w:t xml:space="preserve">korvata </w:t>
          </w:r>
          <w:r>
            <w:t xml:space="preserve">välillisiä kustannuksia. </w:t>
          </w:r>
        </w:p>
        <w:p w14:paraId="5668CCBA" w14:textId="4A865D4E" w:rsidR="00F07A5F" w:rsidRDefault="00F07A5F" w:rsidP="00F07A5F">
          <w:pPr>
            <w:pStyle w:val="LLPerustelujenkappalejako"/>
          </w:pPr>
          <w:proofErr w:type="spellStart"/>
          <w:r>
            <w:t>Marinin</w:t>
          </w:r>
          <w:proofErr w:type="spellEnd"/>
          <w:r>
            <w:t xml:space="preserve"> hallitus sopi </w:t>
          </w:r>
          <w:r w:rsidR="00F776A6">
            <w:t xml:space="preserve">syksyllä </w:t>
          </w:r>
          <w:r>
            <w:t>2020 k</w:t>
          </w:r>
          <w:r w:rsidR="009F61E5">
            <w:t>äydyissä budjettineuvotteluissa</w:t>
          </w:r>
          <w:r>
            <w:t xml:space="preserve"> energiaintensiiv</w:t>
          </w:r>
          <w:r w:rsidR="009F61E5">
            <w:t>isten yritysten sähköistämistuen käyttöönotosta.</w:t>
          </w:r>
          <w:r>
            <w:t xml:space="preserve"> </w:t>
          </w:r>
          <w:r w:rsidR="009F61E5">
            <w:t>Tuki</w:t>
          </w:r>
          <w:r>
            <w:t xml:space="preserve"> kannustaa entistä tehokkaammin hiilineutraaliin tuotantoon, energiaintensiivisten y</w:t>
          </w:r>
          <w:r w:rsidR="009F61E5">
            <w:t>ritysten sähköistämiseen ja</w:t>
          </w:r>
          <w:r>
            <w:t xml:space="preserve"> huomioi kustannuskilpailukyvyn. </w:t>
          </w:r>
          <w:r w:rsidR="00F776A6">
            <w:t>S</w:t>
          </w:r>
          <w:r>
            <w:t>ähköistämistuki va</w:t>
          </w:r>
          <w:r w:rsidR="00581F48">
            <w:t>lmistellaan vuosille 2021</w:t>
          </w:r>
          <w:r w:rsidR="00581F48">
            <w:sym w:font="Symbol" w:char="F02D"/>
          </w:r>
          <w:r w:rsidR="0063088E">
            <w:t xml:space="preserve">2025 ja se valmistellaan päivitettyjen päästökaupan valtiontukisuuntaviivojen mukaisena tukena. </w:t>
          </w:r>
          <w:r w:rsidR="00F776A6">
            <w:t xml:space="preserve">Kevään 2021 puoliväliriihessä </w:t>
          </w:r>
          <w:proofErr w:type="spellStart"/>
          <w:r w:rsidR="0063088E">
            <w:t>Marinin</w:t>
          </w:r>
          <w:proofErr w:type="spellEnd"/>
          <w:r w:rsidR="0063088E">
            <w:t xml:space="preserve"> hallitus sopi sähköistämistukeen liittyvistä tarkennuksista. Hallitus linjasi, että </w:t>
          </w:r>
          <w:r w:rsidR="00F776A6">
            <w:t xml:space="preserve">välillisistä kustannuksista korvataan tuen saajille </w:t>
          </w:r>
          <w:r w:rsidR="00844E5F">
            <w:t xml:space="preserve">vuosittain </w:t>
          </w:r>
          <w:r w:rsidR="00F776A6">
            <w:t xml:space="preserve">25 </w:t>
          </w:r>
          <w:r w:rsidR="00BA1061">
            <w:t>prosenttia</w:t>
          </w:r>
          <w:r w:rsidR="00F776A6">
            <w:t>, kuitenkin siten, ettei tukijärjestelmän vuotuinen kustannus saa ylittää 150 miljoonaa euroa. Hallitus myös sopi tuen käytölle asetettavista ehdoista sekä n</w:t>
          </w:r>
          <w:r w:rsidR="00844E5F">
            <w:t>iiden toteutuksen aikataulusta.</w:t>
          </w:r>
        </w:p>
        <w:p w14:paraId="0D82EEAA" w14:textId="77777777" w:rsidR="00844E5F" w:rsidRDefault="00844E5F" w:rsidP="00F07A5F">
          <w:pPr>
            <w:pStyle w:val="LLPerustelujenkappalejako"/>
          </w:pPr>
          <w:r>
            <w:t>Tukijärjestelmän käyttöönotto edellyttää, että Euroopan komissio on hyväksynyt sen.</w:t>
          </w:r>
        </w:p>
        <w:p w14:paraId="730AA33B" w14:textId="77777777" w:rsidR="00A939B2" w:rsidRDefault="00A939B2" w:rsidP="00A939B2">
          <w:pPr>
            <w:pStyle w:val="LLP2Otsikkotaso"/>
          </w:pPr>
          <w:bookmarkStart w:id="5" w:name="_Toc75420002"/>
          <w:r>
            <w:t>Valmistelu</w:t>
          </w:r>
          <w:bookmarkEnd w:id="5"/>
        </w:p>
        <w:p w14:paraId="1D6386B3" w14:textId="6915745E" w:rsidR="00896999" w:rsidRDefault="00F07A5F" w:rsidP="00F07A5F">
          <w:pPr>
            <w:pStyle w:val="LLPerustelujenkappalejako"/>
          </w:pPr>
          <w:r>
            <w:t>Hallituksen esitys on valmisteltu työ- ja elinkeinoministeriössä</w:t>
          </w:r>
          <w:r w:rsidR="005A2873">
            <w:t xml:space="preserve"> yhteistyössä Energiaviraston kanssa</w:t>
          </w:r>
          <w:r>
            <w:t xml:space="preserve">. </w:t>
          </w:r>
          <w:r w:rsidR="00896999">
            <w:t xml:space="preserve">Lakiehdotusta on käsitelty syksyllä 2020, talvella ja keväällä 2021 työ- ja elinkeinoministeriön vetämässä päästökauppalakityöryhmässä, jossa ovat edustettuina </w:t>
          </w:r>
          <w:r w:rsidR="00E85A5B">
            <w:t>päästökaupan</w:t>
          </w:r>
          <w:r w:rsidR="00896999">
            <w:t xml:space="preserve"> keskeiset</w:t>
          </w:r>
          <w:r w:rsidR="004F67A8">
            <w:t xml:space="preserve"> viranomaiset,</w:t>
          </w:r>
          <w:r w:rsidR="00896999">
            <w:t xml:space="preserve"> </w:t>
          </w:r>
          <w:r w:rsidR="009F61E5">
            <w:t xml:space="preserve">teollisuuden toimialat, </w:t>
          </w:r>
          <w:r w:rsidR="00896999">
            <w:t xml:space="preserve">ja </w:t>
          </w:r>
          <w:r w:rsidR="009F61E5">
            <w:t xml:space="preserve">muut </w:t>
          </w:r>
          <w:r w:rsidR="00896999">
            <w:t>sidosryhmät.</w:t>
          </w:r>
        </w:p>
        <w:p w14:paraId="1D94E3DA" w14:textId="097AB944" w:rsidR="00896999" w:rsidRDefault="00D6443F" w:rsidP="00F07A5F">
          <w:pPr>
            <w:pStyle w:val="LLPerustelujenkappalejako"/>
          </w:pPr>
          <w:r>
            <w:t xml:space="preserve">Työ- ja elinkeinoministeriö teetti vuonna 2021 AFRY Consulting </w:t>
          </w:r>
          <w:proofErr w:type="spellStart"/>
          <w:r>
            <w:t>Oy:lla</w:t>
          </w:r>
          <w:proofErr w:type="spellEnd"/>
          <w:r>
            <w:t xml:space="preserve"> </w:t>
          </w:r>
          <w:r w:rsidR="00E85A5B">
            <w:t xml:space="preserve">selvityksen </w:t>
          </w:r>
          <w:r>
            <w:t xml:space="preserve">päästökapan valtiontukisuuntaviivojen mukaisen tuen toteuttamisesta Suomessa. Selvityksen avulla on mahdollista tehdä laskennallisia arvioita sähköistämistuen vaikutuksista sekä kansallisen tuen käytölle asetettavan ehdon vaikutuksista. </w:t>
          </w:r>
        </w:p>
        <w:p w14:paraId="79760321" w14:textId="40732C9B" w:rsidR="0053250E" w:rsidRDefault="00F07A5F" w:rsidP="00F07A5F">
          <w:pPr>
            <w:pStyle w:val="LLPerustelujenkappalejako"/>
          </w:pPr>
          <w:r>
            <w:t>H</w:t>
          </w:r>
          <w:r w:rsidR="004E047C">
            <w:t>allituksen esityksen valmistelu</w:t>
          </w:r>
          <w:r>
            <w:t>asiakirjat ovat valtioneuvoston hankeikkunan julkisessa palv</w:t>
          </w:r>
          <w:r w:rsidR="005A2873">
            <w:t>elussa osoitteessa valtioneuvos</w:t>
          </w:r>
          <w:r>
            <w:t>to.fi/hankkeet</w:t>
          </w:r>
          <w:r w:rsidR="005A2873">
            <w:t xml:space="preserve"> </w:t>
          </w:r>
          <w:r>
            <w:t>tunnuksella TEM004:00/202.</w:t>
          </w:r>
        </w:p>
        <w:p w14:paraId="1D8319E4" w14:textId="77777777" w:rsidR="00581F48" w:rsidRDefault="00581F48" w:rsidP="00581F48">
          <w:pPr>
            <w:pStyle w:val="LLNormaali"/>
          </w:pPr>
        </w:p>
        <w:p w14:paraId="3F630B97" w14:textId="77777777" w:rsidR="008414FE" w:rsidRDefault="00A939B2" w:rsidP="000E61DF">
          <w:pPr>
            <w:pStyle w:val="LLP1Otsikkotaso"/>
          </w:pPr>
          <w:bookmarkStart w:id="6" w:name="_Toc75420003"/>
          <w:r>
            <w:t>Nykytila ja sen arviointi</w:t>
          </w:r>
          <w:bookmarkEnd w:id="6"/>
        </w:p>
        <w:p w14:paraId="55C06A68" w14:textId="77777777" w:rsidR="00F07A5F" w:rsidRDefault="00F07A5F" w:rsidP="00F07A5F">
          <w:pPr>
            <w:pStyle w:val="LLP2Otsikkotaso"/>
          </w:pPr>
          <w:bookmarkStart w:id="7" w:name="_Toc75420004"/>
          <w:r>
            <w:t>Kansainvälinen kehitys sekä ulkomaiden ja Euroopan unionin lainsäädäntö</w:t>
          </w:r>
          <w:bookmarkEnd w:id="7"/>
        </w:p>
        <w:p w14:paraId="51BF0DB8" w14:textId="4BD89984" w:rsidR="00F07A5F" w:rsidRDefault="00F07A5F" w:rsidP="00F07A5F">
          <w:pPr>
            <w:pStyle w:val="LLPerustelujenkappalejako"/>
          </w:pPr>
          <w:r>
            <w:t>Hiilidioksidipäästöjen hinnoittelujärjestelmät ovat yleistymässä maailmanlaajuisesti. Euroopan unionin lisäksi päästökauppajärjestelmiä, hiilidioksidiveroja tai muita maksuja on otettu</w:t>
          </w:r>
          <w:r w:rsidR="001A728D">
            <w:t xml:space="preserve"> </w:t>
          </w:r>
          <w:r>
            <w:t xml:space="preserve">tai ollaan ottamassa käyttöön muun muassa Yhdysvalloissa ja Kanadassa osavaltiotasolla, Etelä-Koreassa ja Kiinassa. Hiilidioksidipäästöjen hinnoittelun käyttöönotto tasoittaa kansainvälistä kilpailua. Eri järjestelmiä vertailtaessa on kuitenkin syytä ottaa huomioon muun muassa vähennystavoitteiden kunnianhimo, päästöoikeuksien jakotapa ja päästöoikeuksien ilmaisjakoa koskevat säännöt. </w:t>
          </w:r>
          <w:r w:rsidR="004800D5">
            <w:t>Toistaiseksi hiilidioksidipäästöjen hinta on EU-alueella muita korkeampi ja päästökauppadirektiivin mukaiset hiilivuotoriskiä pienent</w:t>
          </w:r>
          <w:r w:rsidR="0089306D">
            <w:t>ävät toimenpiteet perusteltuja.</w:t>
          </w:r>
        </w:p>
        <w:p w14:paraId="297E21F0" w14:textId="2A8AA91D" w:rsidR="00F07A5F" w:rsidRDefault="00F07A5F" w:rsidP="00F07A5F">
          <w:pPr>
            <w:pStyle w:val="LLPerustelujenkappalejako"/>
          </w:pPr>
          <w:r>
            <w:t>EU:n ilmastopolitiikan tavoitteita, keinoja ja tarvittavaa sääntelyä tarkastellaan säännöllisesti uudelleen</w:t>
          </w:r>
          <w:r w:rsidR="009F61E5">
            <w:t>,</w:t>
          </w:r>
          <w:r>
            <w:t xml:space="preserve"> ottaen huomioon kansainvälinen kehitys ja pyrkimykset Pariisin sopimuksen pitkän aikavälin tavoitteiden saavuttamiseksi. Päästökauppajärjestelmää uudistetaan siten, että se on sopusoinnussa EU:n ilmastopolitiikan kehikon kanssa. Vuonna 2018 voimaan astuneella päästökauppadirektiivin muutoksella uudistettiin päästökauppajärjestelmää vuoden 2020 jälkeen alkavia päästökauppakausia, erityisesti päästökauppakautta 2021</w:t>
          </w:r>
          <w:r w:rsidR="00581F48">
            <w:sym w:font="Symbol" w:char="F02D"/>
          </w:r>
          <w:r>
            <w:t>2030, varten. Lisäksi uudistus pohjautuu kolmannen päästökauppakau</w:t>
          </w:r>
          <w:r w:rsidR="0089306D">
            <w:t>den kokemuksiin järjestelmästä.</w:t>
          </w:r>
        </w:p>
        <w:p w14:paraId="66E8C2B6" w14:textId="51DB0663" w:rsidR="00844E5F" w:rsidRDefault="00844E5F" w:rsidP="00F07A5F">
          <w:pPr>
            <w:pStyle w:val="LLPerustelujenkappalejako"/>
          </w:pPr>
          <w:r>
            <w:t xml:space="preserve">EU:n 2030 päästövähennystavoitetta ollaan </w:t>
          </w:r>
          <w:r w:rsidR="004800D5">
            <w:t>nostamassa 55 prosenttiin, jotta se vastaa paremmin EU:n pitkän</w:t>
          </w:r>
          <w:r w:rsidR="004B6C59">
            <w:t xml:space="preserve"> </w:t>
          </w:r>
          <w:r w:rsidR="004800D5">
            <w:t>aikavälin tavoitteeseen olla hiilineutraali vuonna 2050. Komission odotetaan antavan kesällä 2021 laajan paketin ehdotuksia</w:t>
          </w:r>
          <w:r w:rsidR="00896999">
            <w:t>, millä keinoilla</w:t>
          </w:r>
          <w:r w:rsidR="004800D5">
            <w:t xml:space="preserve"> tavoitteeseen voitaisiin päästä. Myös päästökaupan kunnianhimoa ja laajuutta tul</w:t>
          </w:r>
          <w:r w:rsidR="0044329C">
            <w:t>tanee</w:t>
          </w:r>
          <w:r w:rsidR="004800D5">
            <w:t xml:space="preserve">n ehdottamaan muutettavaksi. </w:t>
          </w:r>
          <w:r w:rsidR="00896999">
            <w:t>Päästökauppamarkkina ja p</w:t>
          </w:r>
          <w:r w:rsidR="004800D5">
            <w:t xml:space="preserve">äästöoikeuden hinta on noussut lyhyessä ajassa tasolle, missä sen odotettiin olevan vasta usean vuoden päästä. Huutokauppojen keskimääräinen selvityshinta </w:t>
          </w:r>
          <w:r w:rsidR="00896999">
            <w:t>jaksolla</w:t>
          </w:r>
          <w:r w:rsidR="004800D5">
            <w:t xml:space="preserve"> 01/2021-05/</w:t>
          </w:r>
          <w:r w:rsidR="008352D5">
            <w:t>2021 o</w:t>
          </w:r>
          <w:r w:rsidR="00896999">
            <w:t>li</w:t>
          </w:r>
          <w:r w:rsidR="004800D5">
            <w:t xml:space="preserve"> </w:t>
          </w:r>
          <w:r w:rsidR="008352D5">
            <w:t>43,01 euroa</w:t>
          </w:r>
          <w:r w:rsidR="004800D5">
            <w:t xml:space="preserve"> kun vuotta aiemmin vastaavalla jaksolla keskimääräinen hinta oli </w:t>
          </w:r>
          <w:r w:rsidR="008352D5">
            <w:t>21,57 euroa</w:t>
          </w:r>
          <w:r w:rsidR="004800D5">
            <w:t xml:space="preserve">. Kohonnut päästöoikeuden hinta nostaa myös päästökaupasta aiheutuvia välillisiä kustannuksia merkittävästi. </w:t>
          </w:r>
        </w:p>
        <w:p w14:paraId="0A82A7BF" w14:textId="77777777" w:rsidR="00F07A5F" w:rsidRPr="00F07A5F" w:rsidRDefault="00F07A5F" w:rsidP="00F07A5F">
          <w:pPr>
            <w:pStyle w:val="LLPerustelujenkappalejako"/>
            <w:rPr>
              <w:i/>
            </w:rPr>
          </w:pPr>
          <w:r w:rsidRPr="00F07A5F">
            <w:rPr>
              <w:i/>
            </w:rPr>
            <w:t>EU:n valtiontukisääntely</w:t>
          </w:r>
        </w:p>
        <w:p w14:paraId="5FE89F31" w14:textId="5B066E26" w:rsidR="00896999" w:rsidRDefault="00F07A5F" w:rsidP="00F07A5F">
          <w:pPr>
            <w:pStyle w:val="LLPerustelujenkappalejako"/>
          </w:pPr>
          <w:r>
            <w:t xml:space="preserve">EU:n valtiontukisääntely perustuu Sopimuksen Euroopan unionin toiminnasta (jäljempänä </w:t>
          </w:r>
          <w:r w:rsidRPr="00581F48">
            <w:rPr>
              <w:i/>
            </w:rPr>
            <w:t>SEUT</w:t>
          </w:r>
          <w:r>
            <w:t xml:space="preserve">) 107–109 artikloihin. </w:t>
          </w:r>
          <w:proofErr w:type="spellStart"/>
          <w:r>
            <w:t>SEUT:n</w:t>
          </w:r>
          <w:proofErr w:type="spellEnd"/>
          <w:r>
            <w:t xml:space="preserve"> 107 artiklan 1 kohdan mukaan jäsenvaltion myöntämä</w:t>
          </w:r>
          <w:r w:rsidR="00896999">
            <w:t>,</w:t>
          </w:r>
          <w:r>
            <w:t xml:space="preserve"> taikka valtion varoista muodossa tai toisessa myönnetty tuki, joka vääristää tai uhkaa vääristää kilpailua suosimalla jotakin yritystä tai tuotannonalaa, ei sovellu yhteismarkkinoille siltä osin kuin se vaikuttaa jäsenvaltioiden väliseen kauppaan. </w:t>
          </w:r>
          <w:proofErr w:type="spellStart"/>
          <w:r>
            <w:t>SEUT:n</w:t>
          </w:r>
          <w:proofErr w:type="spellEnd"/>
          <w:r>
            <w:t xml:space="preserve"> mukaisesti valtiontuki ei siis pääsääntöi</w:t>
          </w:r>
          <w:r w:rsidR="0089306D">
            <w:t>sesti sovellu sisämarkkinoille.</w:t>
          </w:r>
        </w:p>
        <w:p w14:paraId="6B7CB702" w14:textId="5747362D" w:rsidR="00896999" w:rsidRDefault="00F07A5F" w:rsidP="00F07A5F">
          <w:pPr>
            <w:pStyle w:val="LLPerustelujenkappalejako"/>
          </w:pPr>
          <w:r>
            <w:t xml:space="preserve">Pääsäännöstä on kuitenkin poikkeuksia. Joissain tapauksissa valtiontuki katsotaan suoraan sisämarkkinoille soveltuvaksi ja joissain tapauksissa valtiontuen voidaan katsoa tiettyjen edellytysten täyttyessä soveltuvan sisämarkkinoille. Useissa tapauksissa jäsenvaltioiden tulee ilmoittaa (eli </w:t>
          </w:r>
          <w:proofErr w:type="spellStart"/>
          <w:r>
            <w:t>notifioida</w:t>
          </w:r>
          <w:proofErr w:type="spellEnd"/>
          <w:r>
            <w:t>) suunnitteilla olevista tuista ja tukijärjestelmistä komissiolle ennakkoon, minkä jälkeen komissio tekee päätöksen tuen so</w:t>
          </w:r>
          <w:r w:rsidR="0089306D">
            <w:t>veltuvuudesta sisämarkkinoille.</w:t>
          </w:r>
        </w:p>
        <w:p w14:paraId="516A05E1" w14:textId="1A39C2C9" w:rsidR="00F07A5F" w:rsidRDefault="00F07A5F" w:rsidP="00F07A5F">
          <w:pPr>
            <w:pStyle w:val="LLPerustelujenkappalejako"/>
          </w:pPr>
          <w:r>
            <w:t>Esimerkiksi 107 artiklan 3 kohdan c alakohdan mukaan sisämarkkinoille soveltuvana voidaan pitää tukea tietyn taloudellisen toiminnan tai talousalueen kehityksen edistämiseen, jos tuki ei muuta kaupankäynnin edellytyksiä yhteisen edun kanssa ristiriitaisella tavalla. Perussopimuksen 108 artiklan 3 kohdan mukaan komissiolle on annettava tieto tuen myöntämistä tai muuttamista koskevasta suunnitelmasta niin ajoissa, että se voi esittää huomautuksensa. Ilmoitusmenettelyn tarkoituksena on varmistaa tukien yhteensopivuus yhteismarkkinoille. Tukitoimenpidettä ei voida ottaa käyttöön, ennen kuin komissio on hyväksynyt tukijärjestelmän.</w:t>
          </w:r>
        </w:p>
        <w:p w14:paraId="34F257E3" w14:textId="77777777" w:rsidR="00196DA2" w:rsidRDefault="00196DA2" w:rsidP="00581F48">
          <w:pPr>
            <w:pStyle w:val="LLNormaali"/>
          </w:pPr>
        </w:p>
        <w:p w14:paraId="6B706B1E" w14:textId="3032E742" w:rsidR="00F07A5F" w:rsidRDefault="00F07A5F" w:rsidP="00381628">
          <w:pPr>
            <w:pStyle w:val="LLP2Otsikkotaso"/>
          </w:pPr>
          <w:bookmarkStart w:id="8" w:name="_Toc75420005"/>
          <w:r>
            <w:t>Kansallisen nykytilan arviointi</w:t>
          </w:r>
          <w:bookmarkEnd w:id="8"/>
          <w:r>
            <w:t xml:space="preserve"> </w:t>
          </w:r>
        </w:p>
        <w:p w14:paraId="52CA4AB2" w14:textId="094B4F63" w:rsidR="00B17F2D" w:rsidRDefault="00581F48" w:rsidP="009F61E5">
          <w:pPr>
            <w:pStyle w:val="LLPerustelujenkappalejako"/>
          </w:pPr>
          <w:r>
            <w:t>Suomessa on vuosina 2016</w:t>
          </w:r>
          <w:r>
            <w:sym w:font="Symbol" w:char="F02D"/>
          </w:r>
          <w:r w:rsidR="009F61E5">
            <w:t xml:space="preserve">2020 ollut käytössä päästökaupan epäsuorien kustannusten kompensaatiotukijärjestelmä, joka pohjautui komission vuosille 2013-2020 antamiin päästökauppaan liittyviin valtiontukitoimenpiteisiin. </w:t>
          </w:r>
          <w:r w:rsidR="00196DA2">
            <w:t xml:space="preserve">Päästökaupan epäsuoria kustannuksia on päästökauppadirektiivin mukaisesti ollut mahdollista kompensoida kansallisesti päätettävien tukiohjelmien kautta. </w:t>
          </w:r>
          <w:r w:rsidR="009F61E5">
            <w:t>Tuesta on säädetty lailla päästökaupasta johtuvien epäsuorien kustannusten kompensoimisesta (138/2017) sekä valtioneuvoston asetuksella päästökaupasta johtuvien epäsuorien kustannusten kompensoimisesta (311/2017). Sen mukaista tukea voi hakea ja myöntää viimeisen kerran vuonna 2021.</w:t>
          </w:r>
          <w:r w:rsidR="00196DA2">
            <w:t xml:space="preserve"> </w:t>
          </w:r>
          <w:proofErr w:type="spellStart"/>
          <w:r w:rsidR="009F61E5">
            <w:t>Marinin</w:t>
          </w:r>
          <w:proofErr w:type="spellEnd"/>
          <w:r w:rsidR="009F61E5">
            <w:t xml:space="preserve"> hallitus sopi syksyllä 2020 käydyissä budjettineuvotteluissa, että nykymuotoinen kompensaatiotuki lakkaa voimassao</w:t>
          </w:r>
          <w:r w:rsidR="0089306D">
            <w:t>levan lainsäädännön mukaisesti.</w:t>
          </w:r>
        </w:p>
        <w:tbl>
          <w:tblPr>
            <w:tblStyle w:val="TaulukkoRuudukko"/>
            <w:tblW w:w="0" w:type="auto"/>
            <w:tblLook w:val="04A0" w:firstRow="1" w:lastRow="0" w:firstColumn="1" w:lastColumn="0" w:noHBand="0" w:noVBand="1"/>
          </w:tblPr>
          <w:tblGrid>
            <w:gridCol w:w="3823"/>
            <w:gridCol w:w="1134"/>
            <w:gridCol w:w="1134"/>
            <w:gridCol w:w="1134"/>
            <w:gridCol w:w="1111"/>
          </w:tblGrid>
          <w:tr w:rsidR="00462C49" w:rsidRPr="00F5682C" w14:paraId="2EEDB35B" w14:textId="77777777" w:rsidTr="00462C49">
            <w:tc>
              <w:tcPr>
                <w:tcW w:w="3823" w:type="dxa"/>
                <w:vMerge w:val="restart"/>
                <w:vAlign w:val="bottom"/>
              </w:tcPr>
              <w:p w14:paraId="645A7F9B" w14:textId="77777777" w:rsidR="00462C49" w:rsidRPr="00462C49" w:rsidRDefault="00462C49" w:rsidP="00462C49">
                <w:pPr>
                  <w:pStyle w:val="LLPerustelujenkappalejako"/>
                  <w:spacing w:after="0"/>
                  <w:jc w:val="left"/>
                  <w:rPr>
                    <w:b/>
                    <w:sz w:val="18"/>
                    <w:szCs w:val="18"/>
                  </w:rPr>
                </w:pPr>
                <w:r w:rsidRPr="00462C49">
                  <w:rPr>
                    <w:b/>
                    <w:sz w:val="18"/>
                    <w:szCs w:val="18"/>
                  </w:rPr>
                  <w:t xml:space="preserve">Toimiala </w:t>
                </w:r>
              </w:p>
            </w:tc>
            <w:tc>
              <w:tcPr>
                <w:tcW w:w="4513" w:type="dxa"/>
                <w:gridSpan w:val="4"/>
                <w:vAlign w:val="bottom"/>
              </w:tcPr>
              <w:p w14:paraId="7EDE3D97" w14:textId="77777777" w:rsidR="00462C49" w:rsidRPr="00F5682C" w:rsidRDefault="00462C49" w:rsidP="00462C49">
                <w:pPr>
                  <w:pStyle w:val="LLPerustelujenkappalejako"/>
                  <w:spacing w:after="0"/>
                  <w:jc w:val="center"/>
                  <w:rPr>
                    <w:sz w:val="18"/>
                    <w:szCs w:val="18"/>
                  </w:rPr>
                </w:pPr>
                <w:r>
                  <w:rPr>
                    <w:sz w:val="18"/>
                    <w:szCs w:val="18"/>
                  </w:rPr>
                  <w:t>Maksettu tuki euroa/vuosi</w:t>
                </w:r>
              </w:p>
            </w:tc>
          </w:tr>
          <w:tr w:rsidR="00462C49" w:rsidRPr="00F5682C" w14:paraId="3C0C2564" w14:textId="77777777" w:rsidTr="00462C49">
            <w:tc>
              <w:tcPr>
                <w:tcW w:w="3823" w:type="dxa"/>
                <w:vMerge/>
              </w:tcPr>
              <w:p w14:paraId="70067A4E" w14:textId="77777777" w:rsidR="00462C49" w:rsidRPr="00F5682C" w:rsidRDefault="00462C49" w:rsidP="00462C49">
                <w:pPr>
                  <w:pStyle w:val="LLPerustelujenkappalejako"/>
                  <w:spacing w:after="0"/>
                  <w:rPr>
                    <w:sz w:val="18"/>
                    <w:szCs w:val="18"/>
                  </w:rPr>
                </w:pPr>
              </w:p>
            </w:tc>
            <w:tc>
              <w:tcPr>
                <w:tcW w:w="1134" w:type="dxa"/>
                <w:vAlign w:val="bottom"/>
              </w:tcPr>
              <w:p w14:paraId="438EF0C8" w14:textId="77777777" w:rsidR="00462C49" w:rsidRPr="00462C49" w:rsidRDefault="00462C49" w:rsidP="00462C49">
                <w:pPr>
                  <w:pStyle w:val="LLPerustelujenkappalejako"/>
                  <w:spacing w:after="0"/>
                  <w:jc w:val="center"/>
                  <w:rPr>
                    <w:b/>
                    <w:sz w:val="18"/>
                    <w:szCs w:val="18"/>
                  </w:rPr>
                </w:pPr>
                <w:r w:rsidRPr="00462C49">
                  <w:rPr>
                    <w:b/>
                    <w:sz w:val="18"/>
                    <w:szCs w:val="18"/>
                  </w:rPr>
                  <w:t>2017</w:t>
                </w:r>
              </w:p>
            </w:tc>
            <w:tc>
              <w:tcPr>
                <w:tcW w:w="1134" w:type="dxa"/>
                <w:vAlign w:val="bottom"/>
              </w:tcPr>
              <w:p w14:paraId="5DB7F89A" w14:textId="77777777" w:rsidR="00462C49" w:rsidRPr="00462C49" w:rsidRDefault="00462C49" w:rsidP="00462C49">
                <w:pPr>
                  <w:pStyle w:val="LLPerustelujenkappalejako"/>
                  <w:spacing w:after="0"/>
                  <w:jc w:val="center"/>
                  <w:rPr>
                    <w:b/>
                    <w:sz w:val="18"/>
                    <w:szCs w:val="18"/>
                  </w:rPr>
                </w:pPr>
                <w:r w:rsidRPr="00462C49">
                  <w:rPr>
                    <w:b/>
                    <w:sz w:val="18"/>
                    <w:szCs w:val="18"/>
                  </w:rPr>
                  <w:t>2018</w:t>
                </w:r>
              </w:p>
            </w:tc>
            <w:tc>
              <w:tcPr>
                <w:tcW w:w="1134" w:type="dxa"/>
                <w:vAlign w:val="bottom"/>
              </w:tcPr>
              <w:p w14:paraId="75C924E0" w14:textId="77777777" w:rsidR="00462C49" w:rsidRPr="00462C49" w:rsidRDefault="00462C49" w:rsidP="00462C49">
                <w:pPr>
                  <w:pStyle w:val="LLPerustelujenkappalejako"/>
                  <w:spacing w:after="0"/>
                  <w:jc w:val="center"/>
                  <w:rPr>
                    <w:b/>
                    <w:sz w:val="18"/>
                    <w:szCs w:val="18"/>
                  </w:rPr>
                </w:pPr>
                <w:r w:rsidRPr="00462C49">
                  <w:rPr>
                    <w:b/>
                    <w:sz w:val="18"/>
                    <w:szCs w:val="18"/>
                  </w:rPr>
                  <w:t>2019</w:t>
                </w:r>
              </w:p>
            </w:tc>
            <w:tc>
              <w:tcPr>
                <w:tcW w:w="1111" w:type="dxa"/>
                <w:vAlign w:val="bottom"/>
              </w:tcPr>
              <w:p w14:paraId="4098AC05" w14:textId="77777777" w:rsidR="00462C49" w:rsidRPr="00462C49" w:rsidRDefault="00462C49" w:rsidP="00462C49">
                <w:pPr>
                  <w:pStyle w:val="LLPerustelujenkappalejako"/>
                  <w:spacing w:after="0"/>
                  <w:jc w:val="center"/>
                  <w:rPr>
                    <w:b/>
                    <w:sz w:val="18"/>
                    <w:szCs w:val="18"/>
                  </w:rPr>
                </w:pPr>
                <w:r w:rsidRPr="00462C49">
                  <w:rPr>
                    <w:b/>
                    <w:sz w:val="18"/>
                    <w:szCs w:val="18"/>
                  </w:rPr>
                  <w:t>2020</w:t>
                </w:r>
              </w:p>
            </w:tc>
          </w:tr>
          <w:tr w:rsidR="00F5682C" w:rsidRPr="00F5682C" w14:paraId="71E74616" w14:textId="77777777" w:rsidTr="00462C49">
            <w:tc>
              <w:tcPr>
                <w:tcW w:w="3823" w:type="dxa"/>
              </w:tcPr>
              <w:p w14:paraId="3903448C" w14:textId="77777777" w:rsidR="00F5682C" w:rsidRPr="00F5682C" w:rsidRDefault="00F5682C" w:rsidP="00462C49">
                <w:pPr>
                  <w:pStyle w:val="LLPerustelujenkappalejako"/>
                  <w:spacing w:after="0"/>
                  <w:rPr>
                    <w:sz w:val="18"/>
                    <w:szCs w:val="18"/>
                  </w:rPr>
                </w:pPr>
                <w:r w:rsidRPr="00F5682C">
                  <w:rPr>
                    <w:sz w:val="18"/>
                    <w:szCs w:val="18"/>
                  </w:rPr>
                  <w:t>Rautamalmien louhinta (13.10)</w:t>
                </w:r>
              </w:p>
            </w:tc>
            <w:tc>
              <w:tcPr>
                <w:tcW w:w="1134" w:type="dxa"/>
                <w:vAlign w:val="bottom"/>
              </w:tcPr>
              <w:p w14:paraId="4D6972D2" w14:textId="77777777" w:rsidR="00F5682C" w:rsidRPr="00F5682C" w:rsidRDefault="00462C49" w:rsidP="00462C49">
                <w:pPr>
                  <w:pStyle w:val="LLPerustelujenkappalejako"/>
                  <w:spacing w:after="0"/>
                  <w:jc w:val="center"/>
                  <w:rPr>
                    <w:sz w:val="18"/>
                    <w:szCs w:val="18"/>
                  </w:rPr>
                </w:pPr>
                <w:r>
                  <w:rPr>
                    <w:sz w:val="18"/>
                    <w:szCs w:val="18"/>
                  </w:rPr>
                  <w:t>-</w:t>
                </w:r>
              </w:p>
            </w:tc>
            <w:tc>
              <w:tcPr>
                <w:tcW w:w="1134" w:type="dxa"/>
                <w:vAlign w:val="bottom"/>
              </w:tcPr>
              <w:p w14:paraId="6166B276" w14:textId="77777777" w:rsidR="00F5682C" w:rsidRPr="00F5682C" w:rsidRDefault="00462C49" w:rsidP="00462C49">
                <w:pPr>
                  <w:pStyle w:val="LLPerustelujenkappalejako"/>
                  <w:spacing w:after="0"/>
                  <w:jc w:val="center"/>
                  <w:rPr>
                    <w:sz w:val="18"/>
                    <w:szCs w:val="18"/>
                  </w:rPr>
                </w:pPr>
                <w:r>
                  <w:rPr>
                    <w:sz w:val="18"/>
                    <w:szCs w:val="18"/>
                  </w:rPr>
                  <w:t>-</w:t>
                </w:r>
              </w:p>
            </w:tc>
            <w:tc>
              <w:tcPr>
                <w:tcW w:w="1134" w:type="dxa"/>
                <w:vAlign w:val="bottom"/>
              </w:tcPr>
              <w:p w14:paraId="3BD94058" w14:textId="77777777" w:rsidR="00F5682C" w:rsidRPr="00F5682C" w:rsidRDefault="00462C49" w:rsidP="00462C49">
                <w:pPr>
                  <w:pStyle w:val="LLPerustelujenkappalejako"/>
                  <w:spacing w:after="0"/>
                  <w:jc w:val="center"/>
                  <w:rPr>
                    <w:sz w:val="18"/>
                    <w:szCs w:val="18"/>
                  </w:rPr>
                </w:pPr>
                <w:r>
                  <w:rPr>
                    <w:sz w:val="18"/>
                    <w:szCs w:val="18"/>
                  </w:rPr>
                  <w:t>-</w:t>
                </w:r>
              </w:p>
            </w:tc>
            <w:tc>
              <w:tcPr>
                <w:tcW w:w="1111" w:type="dxa"/>
                <w:vAlign w:val="bottom"/>
              </w:tcPr>
              <w:p w14:paraId="188643E4" w14:textId="77777777" w:rsidR="00F5682C" w:rsidRPr="00F5682C" w:rsidRDefault="00462C49" w:rsidP="00462C49">
                <w:pPr>
                  <w:pStyle w:val="LLPerustelujenkappalejako"/>
                  <w:spacing w:after="0"/>
                  <w:jc w:val="center"/>
                  <w:rPr>
                    <w:sz w:val="18"/>
                    <w:szCs w:val="18"/>
                  </w:rPr>
                </w:pPr>
                <w:r>
                  <w:rPr>
                    <w:sz w:val="18"/>
                    <w:szCs w:val="18"/>
                  </w:rPr>
                  <w:t>-</w:t>
                </w:r>
              </w:p>
            </w:tc>
          </w:tr>
          <w:tr w:rsidR="00F5682C" w:rsidRPr="00F5682C" w14:paraId="3FA66E33" w14:textId="77777777" w:rsidTr="00462C49">
            <w:tc>
              <w:tcPr>
                <w:tcW w:w="3823" w:type="dxa"/>
              </w:tcPr>
              <w:p w14:paraId="5078A60A" w14:textId="77777777" w:rsidR="00F5682C" w:rsidRPr="00F5682C" w:rsidRDefault="00F5682C" w:rsidP="00462C49">
                <w:pPr>
                  <w:pStyle w:val="LLPerustelujenkappalejako"/>
                  <w:spacing w:after="0"/>
                  <w:rPr>
                    <w:sz w:val="18"/>
                    <w:szCs w:val="18"/>
                  </w:rPr>
                </w:pPr>
                <w:r w:rsidRPr="00F5682C">
                  <w:rPr>
                    <w:sz w:val="18"/>
                    <w:szCs w:val="18"/>
                  </w:rPr>
                  <w:t>Lannoitemineraalien louhinta, lannoitteiden ja typpiyhdisteiden valmistus (14.30 ja 24.15)</w:t>
                </w:r>
              </w:p>
            </w:tc>
            <w:tc>
              <w:tcPr>
                <w:tcW w:w="1134" w:type="dxa"/>
                <w:vAlign w:val="bottom"/>
              </w:tcPr>
              <w:p w14:paraId="3F86A4C6" w14:textId="77777777" w:rsidR="00F5682C" w:rsidRPr="00F5682C" w:rsidRDefault="00F5682C" w:rsidP="00462C49">
                <w:pPr>
                  <w:pStyle w:val="LLPerustelujenkappalejako"/>
                  <w:spacing w:after="0"/>
                  <w:jc w:val="center"/>
                  <w:rPr>
                    <w:sz w:val="18"/>
                    <w:szCs w:val="18"/>
                  </w:rPr>
                </w:pPr>
                <w:r w:rsidRPr="00F5682C">
                  <w:rPr>
                    <w:sz w:val="18"/>
                    <w:szCs w:val="18"/>
                  </w:rPr>
                  <w:t>767 578</w:t>
                </w:r>
              </w:p>
            </w:tc>
            <w:tc>
              <w:tcPr>
                <w:tcW w:w="1134" w:type="dxa"/>
                <w:vAlign w:val="bottom"/>
              </w:tcPr>
              <w:p w14:paraId="2B6C2349" w14:textId="77777777" w:rsidR="00F5682C" w:rsidRPr="00F5682C" w:rsidRDefault="00F5682C" w:rsidP="00462C49">
                <w:pPr>
                  <w:pStyle w:val="LLPerustelujenkappalejako"/>
                  <w:spacing w:after="0"/>
                  <w:jc w:val="center"/>
                  <w:rPr>
                    <w:sz w:val="18"/>
                    <w:szCs w:val="18"/>
                  </w:rPr>
                </w:pPr>
                <w:r w:rsidRPr="00F5682C">
                  <w:rPr>
                    <w:sz w:val="18"/>
                    <w:szCs w:val="18"/>
                  </w:rPr>
                  <w:t>532 930</w:t>
                </w:r>
              </w:p>
            </w:tc>
            <w:tc>
              <w:tcPr>
                <w:tcW w:w="1134" w:type="dxa"/>
                <w:vAlign w:val="bottom"/>
              </w:tcPr>
              <w:p w14:paraId="6E927BD0" w14:textId="77777777" w:rsidR="00F5682C" w:rsidRPr="00F5682C" w:rsidRDefault="00F5682C" w:rsidP="00462C49">
                <w:pPr>
                  <w:pStyle w:val="LLPerustelujenkappalejako"/>
                  <w:spacing w:after="0"/>
                  <w:jc w:val="center"/>
                  <w:rPr>
                    <w:sz w:val="18"/>
                    <w:szCs w:val="18"/>
                  </w:rPr>
                </w:pPr>
                <w:r w:rsidRPr="00F5682C">
                  <w:rPr>
                    <w:sz w:val="18"/>
                    <w:szCs w:val="18"/>
                  </w:rPr>
                  <w:t>571 389</w:t>
                </w:r>
              </w:p>
            </w:tc>
            <w:tc>
              <w:tcPr>
                <w:tcW w:w="1111" w:type="dxa"/>
                <w:vAlign w:val="bottom"/>
              </w:tcPr>
              <w:p w14:paraId="04A4C1AB" w14:textId="77777777" w:rsidR="00F5682C" w:rsidRPr="00F5682C" w:rsidRDefault="00F5682C" w:rsidP="00462C49">
                <w:pPr>
                  <w:pStyle w:val="LLPerustelujenkappalejako"/>
                  <w:spacing w:after="0"/>
                  <w:jc w:val="center"/>
                  <w:rPr>
                    <w:sz w:val="18"/>
                    <w:szCs w:val="18"/>
                  </w:rPr>
                </w:pPr>
                <w:r w:rsidRPr="00F5682C">
                  <w:rPr>
                    <w:sz w:val="18"/>
                    <w:szCs w:val="18"/>
                  </w:rPr>
                  <w:t>1 480 610</w:t>
                </w:r>
              </w:p>
            </w:tc>
          </w:tr>
          <w:tr w:rsidR="00F5682C" w:rsidRPr="00F5682C" w14:paraId="2AC1A286" w14:textId="77777777" w:rsidTr="00462C49">
            <w:tc>
              <w:tcPr>
                <w:tcW w:w="3823" w:type="dxa"/>
              </w:tcPr>
              <w:p w14:paraId="6EDE7364" w14:textId="63A3BBCA" w:rsidR="00F5682C" w:rsidRPr="00F5682C" w:rsidRDefault="00F5682C" w:rsidP="00462C49">
                <w:pPr>
                  <w:pStyle w:val="LLPerustelujenkappalejako"/>
                  <w:spacing w:after="0"/>
                  <w:rPr>
                    <w:sz w:val="18"/>
                    <w:szCs w:val="18"/>
                  </w:rPr>
                </w:pPr>
                <w:r w:rsidRPr="00F5682C">
                  <w:rPr>
                    <w:sz w:val="18"/>
                    <w:szCs w:val="18"/>
                  </w:rPr>
                  <w:t>Puuvillatyyppisten kuitujen valmistelu ja kehruu (17.11</w:t>
                </w:r>
                <w:r w:rsidR="00581F48">
                  <w:rPr>
                    <w:sz w:val="18"/>
                    <w:szCs w:val="18"/>
                  </w:rPr>
                  <w:t>)</w:t>
                </w:r>
              </w:p>
            </w:tc>
            <w:tc>
              <w:tcPr>
                <w:tcW w:w="1134" w:type="dxa"/>
                <w:vAlign w:val="bottom"/>
              </w:tcPr>
              <w:p w14:paraId="66FDAD80" w14:textId="77777777" w:rsidR="00F5682C" w:rsidRPr="00F5682C" w:rsidRDefault="00462C49" w:rsidP="00462C49">
                <w:pPr>
                  <w:pStyle w:val="LLPerustelujenkappalejako"/>
                  <w:spacing w:after="0"/>
                  <w:jc w:val="center"/>
                  <w:rPr>
                    <w:sz w:val="18"/>
                    <w:szCs w:val="18"/>
                  </w:rPr>
                </w:pPr>
                <w:r>
                  <w:rPr>
                    <w:sz w:val="18"/>
                    <w:szCs w:val="18"/>
                  </w:rPr>
                  <w:t>-</w:t>
                </w:r>
              </w:p>
            </w:tc>
            <w:tc>
              <w:tcPr>
                <w:tcW w:w="1134" w:type="dxa"/>
                <w:vAlign w:val="bottom"/>
              </w:tcPr>
              <w:p w14:paraId="2CF5F02D" w14:textId="77777777" w:rsidR="00F5682C" w:rsidRPr="00F5682C" w:rsidRDefault="00462C49" w:rsidP="00462C49">
                <w:pPr>
                  <w:pStyle w:val="LLPerustelujenkappalejako"/>
                  <w:spacing w:after="0"/>
                  <w:jc w:val="center"/>
                  <w:rPr>
                    <w:sz w:val="18"/>
                    <w:szCs w:val="18"/>
                  </w:rPr>
                </w:pPr>
                <w:r>
                  <w:rPr>
                    <w:sz w:val="18"/>
                    <w:szCs w:val="18"/>
                  </w:rPr>
                  <w:t>-</w:t>
                </w:r>
              </w:p>
            </w:tc>
            <w:tc>
              <w:tcPr>
                <w:tcW w:w="1134" w:type="dxa"/>
                <w:vAlign w:val="bottom"/>
              </w:tcPr>
              <w:p w14:paraId="720BBEAB" w14:textId="77777777" w:rsidR="00F5682C" w:rsidRPr="00F5682C" w:rsidRDefault="00462C49" w:rsidP="00462C49">
                <w:pPr>
                  <w:pStyle w:val="LLPerustelujenkappalejako"/>
                  <w:spacing w:after="0"/>
                  <w:jc w:val="center"/>
                  <w:rPr>
                    <w:sz w:val="18"/>
                    <w:szCs w:val="18"/>
                  </w:rPr>
                </w:pPr>
                <w:r>
                  <w:rPr>
                    <w:sz w:val="18"/>
                    <w:szCs w:val="18"/>
                  </w:rPr>
                  <w:t>-</w:t>
                </w:r>
              </w:p>
            </w:tc>
            <w:tc>
              <w:tcPr>
                <w:tcW w:w="1111" w:type="dxa"/>
                <w:vAlign w:val="bottom"/>
              </w:tcPr>
              <w:p w14:paraId="479E9B89" w14:textId="77777777" w:rsidR="00F5682C" w:rsidRPr="00F5682C" w:rsidRDefault="00462C49" w:rsidP="00462C49">
                <w:pPr>
                  <w:pStyle w:val="LLPerustelujenkappalejako"/>
                  <w:spacing w:after="0"/>
                  <w:jc w:val="center"/>
                  <w:rPr>
                    <w:sz w:val="18"/>
                    <w:szCs w:val="18"/>
                  </w:rPr>
                </w:pPr>
                <w:r>
                  <w:rPr>
                    <w:sz w:val="18"/>
                    <w:szCs w:val="18"/>
                  </w:rPr>
                  <w:t>-</w:t>
                </w:r>
              </w:p>
            </w:tc>
          </w:tr>
          <w:tr w:rsidR="00F5682C" w:rsidRPr="00F5682C" w14:paraId="660DCA50" w14:textId="77777777" w:rsidTr="00462C49">
            <w:tc>
              <w:tcPr>
                <w:tcW w:w="3823" w:type="dxa"/>
              </w:tcPr>
              <w:p w14:paraId="6184BAA8" w14:textId="77777777" w:rsidR="00F5682C" w:rsidRPr="00F5682C" w:rsidRDefault="00F5682C" w:rsidP="00462C49">
                <w:pPr>
                  <w:pStyle w:val="LLPerustelujenkappalejako"/>
                  <w:spacing w:after="0"/>
                  <w:rPr>
                    <w:sz w:val="18"/>
                    <w:szCs w:val="18"/>
                  </w:rPr>
                </w:pPr>
                <w:r w:rsidRPr="00F5682C">
                  <w:rPr>
                    <w:sz w:val="18"/>
                    <w:szCs w:val="18"/>
                  </w:rPr>
                  <w:t>Nahkavaatteiden valmistus (18.10)</w:t>
                </w:r>
              </w:p>
            </w:tc>
            <w:tc>
              <w:tcPr>
                <w:tcW w:w="1134" w:type="dxa"/>
                <w:vAlign w:val="bottom"/>
              </w:tcPr>
              <w:p w14:paraId="3BF99FEA" w14:textId="77777777" w:rsidR="00F5682C" w:rsidRPr="00F5682C" w:rsidRDefault="00462C49" w:rsidP="00462C49">
                <w:pPr>
                  <w:pStyle w:val="LLPerustelujenkappalejako"/>
                  <w:spacing w:after="0"/>
                  <w:jc w:val="center"/>
                  <w:rPr>
                    <w:sz w:val="18"/>
                    <w:szCs w:val="18"/>
                  </w:rPr>
                </w:pPr>
                <w:r>
                  <w:rPr>
                    <w:sz w:val="18"/>
                    <w:szCs w:val="18"/>
                  </w:rPr>
                  <w:t>-</w:t>
                </w:r>
              </w:p>
            </w:tc>
            <w:tc>
              <w:tcPr>
                <w:tcW w:w="1134" w:type="dxa"/>
                <w:vAlign w:val="bottom"/>
              </w:tcPr>
              <w:p w14:paraId="7278A886" w14:textId="77777777" w:rsidR="00F5682C" w:rsidRPr="00F5682C" w:rsidRDefault="00462C49" w:rsidP="00462C49">
                <w:pPr>
                  <w:pStyle w:val="LLPerustelujenkappalejako"/>
                  <w:spacing w:after="0"/>
                  <w:jc w:val="center"/>
                  <w:rPr>
                    <w:sz w:val="18"/>
                    <w:szCs w:val="18"/>
                  </w:rPr>
                </w:pPr>
                <w:r>
                  <w:rPr>
                    <w:sz w:val="18"/>
                    <w:szCs w:val="18"/>
                  </w:rPr>
                  <w:t>-</w:t>
                </w:r>
              </w:p>
            </w:tc>
            <w:tc>
              <w:tcPr>
                <w:tcW w:w="1134" w:type="dxa"/>
                <w:vAlign w:val="bottom"/>
              </w:tcPr>
              <w:p w14:paraId="19E618B0" w14:textId="77777777" w:rsidR="00F5682C" w:rsidRPr="00F5682C" w:rsidRDefault="00462C49" w:rsidP="00462C49">
                <w:pPr>
                  <w:pStyle w:val="LLPerustelujenkappalejako"/>
                  <w:spacing w:after="0"/>
                  <w:jc w:val="center"/>
                  <w:rPr>
                    <w:sz w:val="18"/>
                    <w:szCs w:val="18"/>
                  </w:rPr>
                </w:pPr>
                <w:r>
                  <w:rPr>
                    <w:sz w:val="18"/>
                    <w:szCs w:val="18"/>
                  </w:rPr>
                  <w:t>-</w:t>
                </w:r>
              </w:p>
            </w:tc>
            <w:tc>
              <w:tcPr>
                <w:tcW w:w="1111" w:type="dxa"/>
                <w:vAlign w:val="bottom"/>
              </w:tcPr>
              <w:p w14:paraId="2B4DE318" w14:textId="77777777" w:rsidR="00F5682C" w:rsidRPr="00F5682C" w:rsidRDefault="00462C49" w:rsidP="00462C49">
                <w:pPr>
                  <w:pStyle w:val="LLPerustelujenkappalejako"/>
                  <w:spacing w:after="0"/>
                  <w:jc w:val="center"/>
                  <w:rPr>
                    <w:sz w:val="18"/>
                    <w:szCs w:val="18"/>
                  </w:rPr>
                </w:pPr>
                <w:r>
                  <w:rPr>
                    <w:sz w:val="18"/>
                    <w:szCs w:val="18"/>
                  </w:rPr>
                  <w:t>-</w:t>
                </w:r>
              </w:p>
            </w:tc>
          </w:tr>
          <w:tr w:rsidR="00F5682C" w:rsidRPr="00F5682C" w14:paraId="3F7106CD" w14:textId="77777777" w:rsidTr="00462C49">
            <w:tc>
              <w:tcPr>
                <w:tcW w:w="3823" w:type="dxa"/>
              </w:tcPr>
              <w:p w14:paraId="3A173A8D" w14:textId="77777777" w:rsidR="00F5682C" w:rsidRPr="00F5682C" w:rsidRDefault="00F5682C" w:rsidP="00462C49">
                <w:pPr>
                  <w:pStyle w:val="LLPerustelujenkappalejako"/>
                  <w:spacing w:after="0"/>
                  <w:rPr>
                    <w:sz w:val="18"/>
                    <w:szCs w:val="18"/>
                  </w:rPr>
                </w:pPr>
                <w:r w:rsidRPr="00F5682C">
                  <w:rPr>
                    <w:sz w:val="18"/>
                    <w:szCs w:val="18"/>
                  </w:rPr>
                  <w:t>Massan- ja paperinvalmistus (21.11 ja 21.12)</w:t>
                </w:r>
              </w:p>
            </w:tc>
            <w:tc>
              <w:tcPr>
                <w:tcW w:w="1134" w:type="dxa"/>
                <w:vAlign w:val="bottom"/>
              </w:tcPr>
              <w:p w14:paraId="282E04BF" w14:textId="77777777" w:rsidR="00F5682C" w:rsidRPr="00F5682C" w:rsidRDefault="00F5682C" w:rsidP="00462C49">
                <w:pPr>
                  <w:pStyle w:val="LLPerustelujenkappalejako"/>
                  <w:spacing w:after="0"/>
                  <w:jc w:val="center"/>
                  <w:rPr>
                    <w:sz w:val="18"/>
                    <w:szCs w:val="18"/>
                  </w:rPr>
                </w:pPr>
                <w:r w:rsidRPr="00F5682C">
                  <w:rPr>
                    <w:sz w:val="18"/>
                    <w:szCs w:val="18"/>
                  </w:rPr>
                  <w:t>23 835 055</w:t>
                </w:r>
              </w:p>
            </w:tc>
            <w:tc>
              <w:tcPr>
                <w:tcW w:w="1134" w:type="dxa"/>
                <w:vAlign w:val="bottom"/>
              </w:tcPr>
              <w:p w14:paraId="0878DED8" w14:textId="77777777" w:rsidR="00F5682C" w:rsidRPr="00F5682C" w:rsidRDefault="00F5682C" w:rsidP="00462C49">
                <w:pPr>
                  <w:pStyle w:val="LLPerustelujenkappalejako"/>
                  <w:spacing w:after="0"/>
                  <w:jc w:val="center"/>
                  <w:rPr>
                    <w:sz w:val="18"/>
                    <w:szCs w:val="18"/>
                  </w:rPr>
                </w:pPr>
                <w:r w:rsidRPr="00F5682C">
                  <w:rPr>
                    <w:sz w:val="18"/>
                    <w:szCs w:val="18"/>
                  </w:rPr>
                  <w:t>16 734 410</w:t>
                </w:r>
              </w:p>
            </w:tc>
            <w:tc>
              <w:tcPr>
                <w:tcW w:w="1134" w:type="dxa"/>
                <w:vAlign w:val="bottom"/>
              </w:tcPr>
              <w:p w14:paraId="2009B493" w14:textId="77777777" w:rsidR="00F5682C" w:rsidRPr="00F5682C" w:rsidRDefault="00F5682C" w:rsidP="00462C49">
                <w:pPr>
                  <w:pStyle w:val="LLPerustelujenkappalejako"/>
                  <w:spacing w:after="0"/>
                  <w:jc w:val="center"/>
                  <w:rPr>
                    <w:sz w:val="18"/>
                    <w:szCs w:val="18"/>
                  </w:rPr>
                </w:pPr>
                <w:r w:rsidRPr="00F5682C">
                  <w:rPr>
                    <w:sz w:val="18"/>
                    <w:szCs w:val="18"/>
                  </w:rPr>
                  <w:t>18 231 709</w:t>
                </w:r>
              </w:p>
            </w:tc>
            <w:tc>
              <w:tcPr>
                <w:tcW w:w="1111" w:type="dxa"/>
                <w:vAlign w:val="bottom"/>
              </w:tcPr>
              <w:p w14:paraId="2F613668" w14:textId="77777777" w:rsidR="00F5682C" w:rsidRPr="00F5682C" w:rsidRDefault="00F5682C" w:rsidP="00462C49">
                <w:pPr>
                  <w:pStyle w:val="LLPerustelujenkappalejako"/>
                  <w:spacing w:after="0"/>
                  <w:jc w:val="center"/>
                  <w:rPr>
                    <w:sz w:val="18"/>
                    <w:szCs w:val="18"/>
                  </w:rPr>
                </w:pPr>
                <w:r w:rsidRPr="00F5682C">
                  <w:rPr>
                    <w:sz w:val="18"/>
                    <w:szCs w:val="18"/>
                  </w:rPr>
                  <w:t>46 710 950</w:t>
                </w:r>
              </w:p>
            </w:tc>
          </w:tr>
          <w:tr w:rsidR="00F5682C" w:rsidRPr="00F5682C" w14:paraId="46C1DF33" w14:textId="77777777" w:rsidTr="00462C49">
            <w:tc>
              <w:tcPr>
                <w:tcW w:w="3823" w:type="dxa"/>
              </w:tcPr>
              <w:p w14:paraId="6E1ECA33" w14:textId="77777777" w:rsidR="00F5682C" w:rsidRPr="00F5682C" w:rsidRDefault="00F5682C" w:rsidP="00462C49">
                <w:pPr>
                  <w:pStyle w:val="LLPerustelujenkappalejako"/>
                  <w:spacing w:after="0"/>
                  <w:rPr>
                    <w:sz w:val="18"/>
                    <w:szCs w:val="18"/>
                  </w:rPr>
                </w:pPr>
                <w:r w:rsidRPr="00F5682C">
                  <w:rPr>
                    <w:sz w:val="18"/>
                    <w:szCs w:val="18"/>
                  </w:rPr>
                  <w:t>Muiden epäorgaanisten ja orgaanisten peruskemikaalien valmistus (24.13 ja 24.14)</w:t>
                </w:r>
              </w:p>
            </w:tc>
            <w:tc>
              <w:tcPr>
                <w:tcW w:w="1134" w:type="dxa"/>
                <w:vAlign w:val="bottom"/>
              </w:tcPr>
              <w:p w14:paraId="2E3FFDAA" w14:textId="77777777" w:rsidR="00F5682C" w:rsidRPr="00F5682C" w:rsidRDefault="00F5682C" w:rsidP="00462C49">
                <w:pPr>
                  <w:pStyle w:val="LLPerustelujenkappalejako"/>
                  <w:spacing w:after="0"/>
                  <w:jc w:val="center"/>
                  <w:rPr>
                    <w:sz w:val="18"/>
                    <w:szCs w:val="18"/>
                  </w:rPr>
                </w:pPr>
                <w:r w:rsidRPr="00F5682C">
                  <w:rPr>
                    <w:sz w:val="18"/>
                    <w:szCs w:val="18"/>
                  </w:rPr>
                  <w:t>2 889 999</w:t>
                </w:r>
              </w:p>
            </w:tc>
            <w:tc>
              <w:tcPr>
                <w:tcW w:w="1134" w:type="dxa"/>
                <w:vAlign w:val="bottom"/>
              </w:tcPr>
              <w:p w14:paraId="67F33567" w14:textId="77777777" w:rsidR="00F5682C" w:rsidRPr="00F5682C" w:rsidRDefault="00F5682C" w:rsidP="00462C49">
                <w:pPr>
                  <w:pStyle w:val="LLPerustelujenkappalejako"/>
                  <w:spacing w:after="0"/>
                  <w:jc w:val="center"/>
                  <w:rPr>
                    <w:sz w:val="18"/>
                    <w:szCs w:val="18"/>
                  </w:rPr>
                </w:pPr>
                <w:r w:rsidRPr="00F5682C">
                  <w:rPr>
                    <w:sz w:val="18"/>
                    <w:szCs w:val="18"/>
                  </w:rPr>
                  <w:t>2 256 870</w:t>
                </w:r>
              </w:p>
            </w:tc>
            <w:tc>
              <w:tcPr>
                <w:tcW w:w="1134" w:type="dxa"/>
                <w:vAlign w:val="bottom"/>
              </w:tcPr>
              <w:p w14:paraId="785497AB" w14:textId="77777777" w:rsidR="00F5682C" w:rsidRPr="00F5682C" w:rsidRDefault="00F5682C" w:rsidP="00462C49">
                <w:pPr>
                  <w:pStyle w:val="LLPerustelujenkappalejako"/>
                  <w:spacing w:after="0"/>
                  <w:jc w:val="center"/>
                  <w:rPr>
                    <w:sz w:val="18"/>
                    <w:szCs w:val="18"/>
                  </w:rPr>
                </w:pPr>
                <w:r w:rsidRPr="00F5682C">
                  <w:rPr>
                    <w:sz w:val="18"/>
                    <w:szCs w:val="18"/>
                  </w:rPr>
                  <w:t>2 443 665</w:t>
                </w:r>
              </w:p>
            </w:tc>
            <w:tc>
              <w:tcPr>
                <w:tcW w:w="1111" w:type="dxa"/>
                <w:vAlign w:val="bottom"/>
              </w:tcPr>
              <w:p w14:paraId="604B607F" w14:textId="77777777" w:rsidR="00F5682C" w:rsidRPr="00F5682C" w:rsidRDefault="00F5682C" w:rsidP="00462C49">
                <w:pPr>
                  <w:pStyle w:val="LLPerustelujenkappalejako"/>
                  <w:spacing w:after="0"/>
                  <w:jc w:val="center"/>
                  <w:rPr>
                    <w:sz w:val="18"/>
                    <w:szCs w:val="18"/>
                  </w:rPr>
                </w:pPr>
                <w:r w:rsidRPr="00F5682C">
                  <w:rPr>
                    <w:sz w:val="18"/>
                    <w:szCs w:val="18"/>
                  </w:rPr>
                  <w:t>6 260 846</w:t>
                </w:r>
              </w:p>
            </w:tc>
          </w:tr>
          <w:tr w:rsidR="00F5682C" w:rsidRPr="00F5682C" w14:paraId="02D8D5E7" w14:textId="77777777" w:rsidTr="00462C49">
            <w:tc>
              <w:tcPr>
                <w:tcW w:w="3823" w:type="dxa"/>
              </w:tcPr>
              <w:p w14:paraId="169C730F" w14:textId="77777777" w:rsidR="00F5682C" w:rsidRPr="00F5682C" w:rsidRDefault="00F5682C" w:rsidP="00462C49">
                <w:pPr>
                  <w:pStyle w:val="LLPerustelujenkappalejako"/>
                  <w:spacing w:after="0"/>
                  <w:rPr>
                    <w:sz w:val="18"/>
                    <w:szCs w:val="18"/>
                  </w:rPr>
                </w:pPr>
                <w:r w:rsidRPr="00F5682C">
                  <w:rPr>
                    <w:sz w:val="18"/>
                    <w:szCs w:val="18"/>
                  </w:rPr>
                  <w:t>Ensiömuovin valmistus (24.16)</w:t>
                </w:r>
              </w:p>
            </w:tc>
            <w:tc>
              <w:tcPr>
                <w:tcW w:w="1134" w:type="dxa"/>
                <w:vAlign w:val="bottom"/>
              </w:tcPr>
              <w:p w14:paraId="0AF6BD86" w14:textId="77777777" w:rsidR="00F5682C" w:rsidRPr="00F5682C" w:rsidRDefault="00F5682C" w:rsidP="00462C49">
                <w:pPr>
                  <w:pStyle w:val="LLPerustelujenkappalejako"/>
                  <w:spacing w:after="0"/>
                  <w:jc w:val="center"/>
                  <w:rPr>
                    <w:sz w:val="18"/>
                    <w:szCs w:val="18"/>
                  </w:rPr>
                </w:pPr>
                <w:r w:rsidRPr="00F5682C">
                  <w:rPr>
                    <w:sz w:val="18"/>
                    <w:szCs w:val="18"/>
                  </w:rPr>
                  <w:t>848 542</w:t>
                </w:r>
              </w:p>
            </w:tc>
            <w:tc>
              <w:tcPr>
                <w:tcW w:w="1134" w:type="dxa"/>
                <w:vAlign w:val="bottom"/>
              </w:tcPr>
              <w:p w14:paraId="36D18490" w14:textId="77777777" w:rsidR="00F5682C" w:rsidRPr="00F5682C" w:rsidRDefault="00F5682C" w:rsidP="00462C49">
                <w:pPr>
                  <w:pStyle w:val="LLPerustelujenkappalejako"/>
                  <w:spacing w:after="0"/>
                  <w:jc w:val="center"/>
                  <w:rPr>
                    <w:sz w:val="18"/>
                    <w:szCs w:val="18"/>
                  </w:rPr>
                </w:pPr>
                <w:r w:rsidRPr="00F5682C">
                  <w:rPr>
                    <w:sz w:val="18"/>
                    <w:szCs w:val="18"/>
                  </w:rPr>
                  <w:t>589 143</w:t>
                </w:r>
              </w:p>
            </w:tc>
            <w:tc>
              <w:tcPr>
                <w:tcW w:w="1134" w:type="dxa"/>
                <w:vAlign w:val="bottom"/>
              </w:tcPr>
              <w:p w14:paraId="1ED75BB6" w14:textId="77777777" w:rsidR="00F5682C" w:rsidRPr="00F5682C" w:rsidRDefault="00F5682C" w:rsidP="00462C49">
                <w:pPr>
                  <w:pStyle w:val="LLPerustelujenkappalejako"/>
                  <w:spacing w:after="0"/>
                  <w:jc w:val="center"/>
                  <w:rPr>
                    <w:sz w:val="18"/>
                    <w:szCs w:val="18"/>
                  </w:rPr>
                </w:pPr>
                <w:r w:rsidRPr="00F5682C">
                  <w:rPr>
                    <w:sz w:val="18"/>
                    <w:szCs w:val="18"/>
                  </w:rPr>
                  <w:t>641 902</w:t>
                </w:r>
              </w:p>
            </w:tc>
            <w:tc>
              <w:tcPr>
                <w:tcW w:w="1111" w:type="dxa"/>
                <w:vAlign w:val="bottom"/>
              </w:tcPr>
              <w:p w14:paraId="46E60EF6" w14:textId="77777777" w:rsidR="00F5682C" w:rsidRPr="00F5682C" w:rsidRDefault="00F5682C" w:rsidP="00462C49">
                <w:pPr>
                  <w:pStyle w:val="LLPerustelujenkappalejako"/>
                  <w:spacing w:after="0"/>
                  <w:jc w:val="center"/>
                  <w:rPr>
                    <w:sz w:val="18"/>
                    <w:szCs w:val="18"/>
                  </w:rPr>
                </w:pPr>
                <w:r w:rsidRPr="00F5682C">
                  <w:rPr>
                    <w:sz w:val="18"/>
                    <w:szCs w:val="18"/>
                  </w:rPr>
                  <w:t>1 644 599</w:t>
                </w:r>
              </w:p>
            </w:tc>
          </w:tr>
          <w:tr w:rsidR="00F5682C" w:rsidRPr="00F5682C" w14:paraId="2C2E62AA" w14:textId="77777777" w:rsidTr="00462C49">
            <w:tc>
              <w:tcPr>
                <w:tcW w:w="3823" w:type="dxa"/>
              </w:tcPr>
              <w:p w14:paraId="5392ACEC" w14:textId="77777777" w:rsidR="00F5682C" w:rsidRPr="00F5682C" w:rsidRDefault="00F5682C" w:rsidP="00462C49">
                <w:pPr>
                  <w:pStyle w:val="LLPerustelujenkappalejako"/>
                  <w:spacing w:after="0"/>
                  <w:rPr>
                    <w:sz w:val="18"/>
                    <w:szCs w:val="18"/>
                  </w:rPr>
                </w:pPr>
                <w:r w:rsidRPr="00F5682C">
                  <w:rPr>
                    <w:sz w:val="18"/>
                    <w:szCs w:val="18"/>
                  </w:rPr>
                  <w:t>Tekokuitujen valmistus (24.70)</w:t>
                </w:r>
              </w:p>
            </w:tc>
            <w:tc>
              <w:tcPr>
                <w:tcW w:w="1134" w:type="dxa"/>
                <w:vAlign w:val="bottom"/>
              </w:tcPr>
              <w:p w14:paraId="3D00C7CF" w14:textId="77777777" w:rsidR="00F5682C" w:rsidRPr="00F5682C" w:rsidRDefault="00462C49" w:rsidP="00462C49">
                <w:pPr>
                  <w:pStyle w:val="LLPerustelujenkappalejako"/>
                  <w:spacing w:after="0"/>
                  <w:jc w:val="center"/>
                  <w:rPr>
                    <w:sz w:val="18"/>
                    <w:szCs w:val="18"/>
                  </w:rPr>
                </w:pPr>
                <w:r>
                  <w:rPr>
                    <w:sz w:val="18"/>
                    <w:szCs w:val="18"/>
                  </w:rPr>
                  <w:t>-</w:t>
                </w:r>
              </w:p>
            </w:tc>
            <w:tc>
              <w:tcPr>
                <w:tcW w:w="1134" w:type="dxa"/>
                <w:vAlign w:val="bottom"/>
              </w:tcPr>
              <w:p w14:paraId="61FE1428" w14:textId="77777777" w:rsidR="00F5682C" w:rsidRPr="00F5682C" w:rsidRDefault="00462C49" w:rsidP="00462C49">
                <w:pPr>
                  <w:pStyle w:val="LLPerustelujenkappalejako"/>
                  <w:spacing w:after="0"/>
                  <w:jc w:val="center"/>
                  <w:rPr>
                    <w:sz w:val="18"/>
                    <w:szCs w:val="18"/>
                  </w:rPr>
                </w:pPr>
                <w:r>
                  <w:rPr>
                    <w:sz w:val="18"/>
                    <w:szCs w:val="18"/>
                  </w:rPr>
                  <w:t>-</w:t>
                </w:r>
              </w:p>
            </w:tc>
            <w:tc>
              <w:tcPr>
                <w:tcW w:w="1134" w:type="dxa"/>
                <w:vAlign w:val="bottom"/>
              </w:tcPr>
              <w:p w14:paraId="6B583911" w14:textId="77777777" w:rsidR="00F5682C" w:rsidRPr="00F5682C" w:rsidRDefault="00462C49" w:rsidP="00462C49">
                <w:pPr>
                  <w:pStyle w:val="LLPerustelujenkappalejako"/>
                  <w:spacing w:after="0"/>
                  <w:jc w:val="center"/>
                  <w:rPr>
                    <w:sz w:val="18"/>
                    <w:szCs w:val="18"/>
                  </w:rPr>
                </w:pPr>
                <w:r>
                  <w:rPr>
                    <w:sz w:val="18"/>
                    <w:szCs w:val="18"/>
                  </w:rPr>
                  <w:t>-</w:t>
                </w:r>
              </w:p>
            </w:tc>
            <w:tc>
              <w:tcPr>
                <w:tcW w:w="1111" w:type="dxa"/>
                <w:vAlign w:val="bottom"/>
              </w:tcPr>
              <w:p w14:paraId="329228A7" w14:textId="77777777" w:rsidR="00F5682C" w:rsidRPr="00F5682C" w:rsidRDefault="00462C49" w:rsidP="00462C49">
                <w:pPr>
                  <w:pStyle w:val="LLPerustelujenkappalejako"/>
                  <w:spacing w:after="0"/>
                  <w:jc w:val="center"/>
                  <w:rPr>
                    <w:sz w:val="18"/>
                    <w:szCs w:val="18"/>
                  </w:rPr>
                </w:pPr>
                <w:r>
                  <w:rPr>
                    <w:sz w:val="18"/>
                    <w:szCs w:val="18"/>
                  </w:rPr>
                  <w:t>-</w:t>
                </w:r>
              </w:p>
            </w:tc>
          </w:tr>
          <w:tr w:rsidR="00F5682C" w:rsidRPr="00F5682C" w14:paraId="147C50E5" w14:textId="77777777" w:rsidTr="00462C49">
            <w:tc>
              <w:tcPr>
                <w:tcW w:w="3823" w:type="dxa"/>
              </w:tcPr>
              <w:p w14:paraId="0A8BDEFD" w14:textId="77777777" w:rsidR="00F5682C" w:rsidRPr="00F5682C" w:rsidRDefault="00F5682C" w:rsidP="00462C49">
                <w:pPr>
                  <w:pStyle w:val="LLPerustelujenkappalejako"/>
                  <w:spacing w:after="0"/>
                  <w:rPr>
                    <w:sz w:val="18"/>
                    <w:szCs w:val="18"/>
                  </w:rPr>
                </w:pPr>
                <w:r w:rsidRPr="00F5682C">
                  <w:rPr>
                    <w:sz w:val="18"/>
                    <w:szCs w:val="18"/>
                  </w:rPr>
                  <w:t>Raudan, teräksen ja rautaseosten valmistus (27.10)</w:t>
                </w:r>
              </w:p>
            </w:tc>
            <w:tc>
              <w:tcPr>
                <w:tcW w:w="1134" w:type="dxa"/>
                <w:vAlign w:val="bottom"/>
              </w:tcPr>
              <w:p w14:paraId="32F65179" w14:textId="77777777" w:rsidR="00F5682C" w:rsidRPr="00F5682C" w:rsidRDefault="00F5682C" w:rsidP="00462C49">
                <w:pPr>
                  <w:pStyle w:val="LLPerustelujenkappalejako"/>
                  <w:spacing w:after="0"/>
                  <w:jc w:val="center"/>
                  <w:rPr>
                    <w:sz w:val="18"/>
                    <w:szCs w:val="18"/>
                  </w:rPr>
                </w:pPr>
                <w:r w:rsidRPr="00F5682C">
                  <w:rPr>
                    <w:sz w:val="18"/>
                    <w:szCs w:val="18"/>
                  </w:rPr>
                  <w:t>6 461 219</w:t>
                </w:r>
              </w:p>
            </w:tc>
            <w:tc>
              <w:tcPr>
                <w:tcW w:w="1134" w:type="dxa"/>
                <w:vAlign w:val="bottom"/>
              </w:tcPr>
              <w:p w14:paraId="2EA06653" w14:textId="77777777" w:rsidR="00F5682C" w:rsidRPr="00F5682C" w:rsidRDefault="00F5682C" w:rsidP="00462C49">
                <w:pPr>
                  <w:pStyle w:val="LLPerustelujenkappalejako"/>
                  <w:spacing w:after="0"/>
                  <w:jc w:val="center"/>
                  <w:rPr>
                    <w:sz w:val="18"/>
                    <w:szCs w:val="18"/>
                  </w:rPr>
                </w:pPr>
                <w:r w:rsidRPr="00F5682C">
                  <w:rPr>
                    <w:sz w:val="18"/>
                    <w:szCs w:val="18"/>
                  </w:rPr>
                  <w:t>4 485 128</w:t>
                </w:r>
              </w:p>
            </w:tc>
            <w:tc>
              <w:tcPr>
                <w:tcW w:w="1134" w:type="dxa"/>
                <w:vAlign w:val="bottom"/>
              </w:tcPr>
              <w:p w14:paraId="5A82500C" w14:textId="77777777" w:rsidR="00F5682C" w:rsidRPr="00F5682C" w:rsidRDefault="00F5682C" w:rsidP="00462C49">
                <w:pPr>
                  <w:pStyle w:val="LLPerustelujenkappalejako"/>
                  <w:spacing w:after="0"/>
                  <w:jc w:val="center"/>
                  <w:rPr>
                    <w:sz w:val="18"/>
                    <w:szCs w:val="18"/>
                  </w:rPr>
                </w:pPr>
                <w:r w:rsidRPr="00F5682C">
                  <w:rPr>
                    <w:sz w:val="18"/>
                    <w:szCs w:val="18"/>
                  </w:rPr>
                  <w:t>4 887 761</w:t>
                </w:r>
              </w:p>
            </w:tc>
            <w:tc>
              <w:tcPr>
                <w:tcW w:w="1111" w:type="dxa"/>
                <w:vAlign w:val="bottom"/>
              </w:tcPr>
              <w:p w14:paraId="5445CAA7" w14:textId="77777777" w:rsidR="00F5682C" w:rsidRPr="00F5682C" w:rsidRDefault="00F5682C" w:rsidP="00462C49">
                <w:pPr>
                  <w:pStyle w:val="LLPerustelujenkappalejako"/>
                  <w:spacing w:after="0"/>
                  <w:jc w:val="center"/>
                  <w:rPr>
                    <w:sz w:val="18"/>
                    <w:szCs w:val="18"/>
                  </w:rPr>
                </w:pPr>
                <w:r w:rsidRPr="00F5682C">
                  <w:rPr>
                    <w:sz w:val="18"/>
                    <w:szCs w:val="18"/>
                  </w:rPr>
                  <w:t>12 522 796</w:t>
                </w:r>
              </w:p>
            </w:tc>
          </w:tr>
          <w:tr w:rsidR="00F5682C" w:rsidRPr="00F5682C" w14:paraId="373B4DC2" w14:textId="77777777" w:rsidTr="00462C49">
            <w:tc>
              <w:tcPr>
                <w:tcW w:w="3823" w:type="dxa"/>
              </w:tcPr>
              <w:p w14:paraId="00382E12" w14:textId="77777777" w:rsidR="00F5682C" w:rsidRPr="00F5682C" w:rsidRDefault="00F5682C" w:rsidP="00462C49">
                <w:pPr>
                  <w:pStyle w:val="LLPerustelujenkappalejako"/>
                  <w:spacing w:after="0"/>
                  <w:rPr>
                    <w:sz w:val="18"/>
                    <w:szCs w:val="18"/>
                  </w:rPr>
                </w:pPr>
                <w:r w:rsidRPr="00F5682C">
                  <w:rPr>
                    <w:sz w:val="18"/>
                    <w:szCs w:val="18"/>
                  </w:rPr>
                  <w:t>Alumiinin tuotanto (27.42)</w:t>
                </w:r>
              </w:p>
            </w:tc>
            <w:tc>
              <w:tcPr>
                <w:tcW w:w="1134" w:type="dxa"/>
                <w:vAlign w:val="bottom"/>
              </w:tcPr>
              <w:p w14:paraId="064C29F5" w14:textId="77777777" w:rsidR="00F5682C" w:rsidRPr="00F5682C" w:rsidRDefault="00462C49" w:rsidP="00462C49">
                <w:pPr>
                  <w:pStyle w:val="LLPerustelujenkappalejako"/>
                  <w:spacing w:after="0"/>
                  <w:jc w:val="center"/>
                  <w:rPr>
                    <w:sz w:val="18"/>
                    <w:szCs w:val="18"/>
                  </w:rPr>
                </w:pPr>
                <w:r>
                  <w:rPr>
                    <w:sz w:val="18"/>
                    <w:szCs w:val="18"/>
                  </w:rPr>
                  <w:t>-</w:t>
                </w:r>
              </w:p>
            </w:tc>
            <w:tc>
              <w:tcPr>
                <w:tcW w:w="1134" w:type="dxa"/>
                <w:vAlign w:val="bottom"/>
              </w:tcPr>
              <w:p w14:paraId="32F23F13" w14:textId="77777777" w:rsidR="00F5682C" w:rsidRPr="00F5682C" w:rsidRDefault="00462C49" w:rsidP="00462C49">
                <w:pPr>
                  <w:pStyle w:val="LLPerustelujenkappalejako"/>
                  <w:spacing w:after="0"/>
                  <w:jc w:val="center"/>
                  <w:rPr>
                    <w:sz w:val="18"/>
                    <w:szCs w:val="18"/>
                  </w:rPr>
                </w:pPr>
                <w:r>
                  <w:rPr>
                    <w:sz w:val="18"/>
                    <w:szCs w:val="18"/>
                  </w:rPr>
                  <w:t>-</w:t>
                </w:r>
              </w:p>
            </w:tc>
            <w:tc>
              <w:tcPr>
                <w:tcW w:w="1134" w:type="dxa"/>
                <w:vAlign w:val="bottom"/>
              </w:tcPr>
              <w:p w14:paraId="126A7E0E" w14:textId="77777777" w:rsidR="00F5682C" w:rsidRPr="00F5682C" w:rsidRDefault="00462C49" w:rsidP="00462C49">
                <w:pPr>
                  <w:pStyle w:val="LLPerustelujenkappalejako"/>
                  <w:spacing w:after="0"/>
                  <w:jc w:val="center"/>
                  <w:rPr>
                    <w:sz w:val="18"/>
                    <w:szCs w:val="18"/>
                  </w:rPr>
                </w:pPr>
                <w:r>
                  <w:rPr>
                    <w:sz w:val="18"/>
                    <w:szCs w:val="18"/>
                  </w:rPr>
                  <w:t>-</w:t>
                </w:r>
              </w:p>
            </w:tc>
            <w:tc>
              <w:tcPr>
                <w:tcW w:w="1111" w:type="dxa"/>
                <w:vAlign w:val="bottom"/>
              </w:tcPr>
              <w:p w14:paraId="1A728A96" w14:textId="77777777" w:rsidR="00F5682C" w:rsidRPr="00F5682C" w:rsidRDefault="00462C49" w:rsidP="00462C49">
                <w:pPr>
                  <w:pStyle w:val="LLPerustelujenkappalejako"/>
                  <w:spacing w:after="0"/>
                  <w:jc w:val="center"/>
                  <w:rPr>
                    <w:sz w:val="18"/>
                    <w:szCs w:val="18"/>
                  </w:rPr>
                </w:pPr>
                <w:r>
                  <w:rPr>
                    <w:sz w:val="18"/>
                    <w:szCs w:val="18"/>
                  </w:rPr>
                  <w:t>-</w:t>
                </w:r>
              </w:p>
            </w:tc>
          </w:tr>
          <w:tr w:rsidR="00F5682C" w:rsidRPr="00F5682C" w14:paraId="41DB9E98" w14:textId="77777777" w:rsidTr="00462C49">
            <w:tc>
              <w:tcPr>
                <w:tcW w:w="3823" w:type="dxa"/>
              </w:tcPr>
              <w:p w14:paraId="7922E294" w14:textId="77777777" w:rsidR="00F5682C" w:rsidRPr="00F5682C" w:rsidRDefault="00F5682C" w:rsidP="00462C49">
                <w:pPr>
                  <w:pStyle w:val="LLPerustelujenkappalejako"/>
                  <w:spacing w:after="0"/>
                  <w:rPr>
                    <w:sz w:val="18"/>
                    <w:szCs w:val="18"/>
                  </w:rPr>
                </w:pPr>
                <w:r w:rsidRPr="00F5682C">
                  <w:rPr>
                    <w:sz w:val="18"/>
                    <w:szCs w:val="18"/>
                  </w:rPr>
                  <w:t>Lyijyn, sinkin ja tinan tuotanto (27.43)</w:t>
                </w:r>
              </w:p>
            </w:tc>
            <w:tc>
              <w:tcPr>
                <w:tcW w:w="1134" w:type="dxa"/>
                <w:vAlign w:val="bottom"/>
              </w:tcPr>
              <w:p w14:paraId="4A5B3ADB" w14:textId="77777777" w:rsidR="00F5682C" w:rsidRPr="00F5682C" w:rsidRDefault="00F5682C" w:rsidP="00462C49">
                <w:pPr>
                  <w:pStyle w:val="LLPerustelujenkappalejako"/>
                  <w:spacing w:after="0"/>
                  <w:jc w:val="center"/>
                  <w:rPr>
                    <w:sz w:val="18"/>
                    <w:szCs w:val="18"/>
                  </w:rPr>
                </w:pPr>
                <w:r w:rsidRPr="00F5682C">
                  <w:rPr>
                    <w:sz w:val="18"/>
                    <w:szCs w:val="18"/>
                  </w:rPr>
                  <w:t>2 631 432</w:t>
                </w:r>
              </w:p>
            </w:tc>
            <w:tc>
              <w:tcPr>
                <w:tcW w:w="1134" w:type="dxa"/>
                <w:vAlign w:val="bottom"/>
              </w:tcPr>
              <w:p w14:paraId="28EDBD66" w14:textId="77777777" w:rsidR="00F5682C" w:rsidRPr="00F5682C" w:rsidRDefault="00F5682C" w:rsidP="00462C49">
                <w:pPr>
                  <w:pStyle w:val="LLPerustelujenkappalejako"/>
                  <w:spacing w:after="0"/>
                  <w:jc w:val="center"/>
                  <w:rPr>
                    <w:sz w:val="18"/>
                    <w:szCs w:val="18"/>
                  </w:rPr>
                </w:pPr>
                <w:r w:rsidRPr="00F5682C">
                  <w:rPr>
                    <w:sz w:val="18"/>
                    <w:szCs w:val="18"/>
                  </w:rPr>
                  <w:t>1 827 005</w:t>
                </w:r>
              </w:p>
            </w:tc>
            <w:tc>
              <w:tcPr>
                <w:tcW w:w="1134" w:type="dxa"/>
                <w:vAlign w:val="bottom"/>
              </w:tcPr>
              <w:p w14:paraId="4387C3BA" w14:textId="77777777" w:rsidR="00F5682C" w:rsidRPr="00F5682C" w:rsidRDefault="00F5682C" w:rsidP="00462C49">
                <w:pPr>
                  <w:pStyle w:val="LLPerustelujenkappalejako"/>
                  <w:spacing w:after="0"/>
                  <w:jc w:val="center"/>
                  <w:rPr>
                    <w:sz w:val="18"/>
                    <w:szCs w:val="18"/>
                  </w:rPr>
                </w:pPr>
                <w:r w:rsidRPr="00F5682C">
                  <w:rPr>
                    <w:sz w:val="18"/>
                    <w:szCs w:val="18"/>
                  </w:rPr>
                  <w:t>1 990 617</w:t>
                </w:r>
              </w:p>
            </w:tc>
            <w:tc>
              <w:tcPr>
                <w:tcW w:w="1111" w:type="dxa"/>
                <w:vAlign w:val="bottom"/>
              </w:tcPr>
              <w:p w14:paraId="4A6C8FF6" w14:textId="77777777" w:rsidR="00F5682C" w:rsidRPr="00F5682C" w:rsidRDefault="00F5682C" w:rsidP="00462C49">
                <w:pPr>
                  <w:pStyle w:val="LLPerustelujenkappalejako"/>
                  <w:spacing w:after="0"/>
                  <w:jc w:val="center"/>
                  <w:rPr>
                    <w:sz w:val="18"/>
                    <w:szCs w:val="18"/>
                  </w:rPr>
                </w:pPr>
                <w:r w:rsidRPr="00F5682C">
                  <w:rPr>
                    <w:sz w:val="18"/>
                    <w:szCs w:val="18"/>
                  </w:rPr>
                  <w:t>5 100 104</w:t>
                </w:r>
              </w:p>
            </w:tc>
          </w:tr>
          <w:tr w:rsidR="00F5682C" w:rsidRPr="00F5682C" w14:paraId="26D0E060" w14:textId="77777777" w:rsidTr="00462C49">
            <w:tc>
              <w:tcPr>
                <w:tcW w:w="3823" w:type="dxa"/>
              </w:tcPr>
              <w:p w14:paraId="215FF8F9" w14:textId="77777777" w:rsidR="00F5682C" w:rsidRPr="00F5682C" w:rsidRDefault="00F5682C" w:rsidP="00462C49">
                <w:pPr>
                  <w:pStyle w:val="LLPerustelujenkappalejako"/>
                  <w:spacing w:after="0"/>
                  <w:rPr>
                    <w:sz w:val="18"/>
                    <w:szCs w:val="18"/>
                  </w:rPr>
                </w:pPr>
                <w:r w:rsidRPr="00F5682C">
                  <w:rPr>
                    <w:sz w:val="18"/>
                    <w:szCs w:val="18"/>
                  </w:rPr>
                  <w:t>Kuparin tuotanto (27.44)</w:t>
                </w:r>
              </w:p>
            </w:tc>
            <w:tc>
              <w:tcPr>
                <w:tcW w:w="1134" w:type="dxa"/>
                <w:vAlign w:val="bottom"/>
              </w:tcPr>
              <w:p w14:paraId="79DF346E" w14:textId="77777777" w:rsidR="00F5682C" w:rsidRPr="00F5682C" w:rsidRDefault="00F5682C" w:rsidP="00462C49">
                <w:pPr>
                  <w:pStyle w:val="LLPerustelujenkappalejako"/>
                  <w:spacing w:after="0"/>
                  <w:jc w:val="center"/>
                  <w:rPr>
                    <w:sz w:val="18"/>
                    <w:szCs w:val="18"/>
                  </w:rPr>
                </w:pPr>
                <w:r w:rsidRPr="00F5682C">
                  <w:rPr>
                    <w:sz w:val="18"/>
                    <w:szCs w:val="18"/>
                  </w:rPr>
                  <w:t>472157</w:t>
                </w:r>
              </w:p>
            </w:tc>
            <w:tc>
              <w:tcPr>
                <w:tcW w:w="1134" w:type="dxa"/>
                <w:vAlign w:val="bottom"/>
              </w:tcPr>
              <w:p w14:paraId="02EB6736" w14:textId="77777777" w:rsidR="00F5682C" w:rsidRPr="00F5682C" w:rsidRDefault="00F5682C" w:rsidP="00462C49">
                <w:pPr>
                  <w:pStyle w:val="LLPerustelujenkappalejako"/>
                  <w:spacing w:after="0"/>
                  <w:jc w:val="center"/>
                  <w:rPr>
                    <w:sz w:val="18"/>
                    <w:szCs w:val="18"/>
                  </w:rPr>
                </w:pPr>
                <w:r w:rsidRPr="00F5682C">
                  <w:rPr>
                    <w:sz w:val="18"/>
                    <w:szCs w:val="18"/>
                  </w:rPr>
                  <w:t>327 819</w:t>
                </w:r>
              </w:p>
            </w:tc>
            <w:tc>
              <w:tcPr>
                <w:tcW w:w="1134" w:type="dxa"/>
                <w:vAlign w:val="bottom"/>
              </w:tcPr>
              <w:p w14:paraId="1BE330DA" w14:textId="77777777" w:rsidR="00F5682C" w:rsidRPr="00F5682C" w:rsidRDefault="00F5682C" w:rsidP="00462C49">
                <w:pPr>
                  <w:pStyle w:val="LLPerustelujenkappalejako"/>
                  <w:spacing w:after="0"/>
                  <w:jc w:val="center"/>
                  <w:rPr>
                    <w:sz w:val="18"/>
                    <w:szCs w:val="18"/>
                  </w:rPr>
                </w:pPr>
                <w:r w:rsidRPr="00F5682C">
                  <w:rPr>
                    <w:sz w:val="18"/>
                    <w:szCs w:val="18"/>
                  </w:rPr>
                  <w:t>357 176</w:t>
                </w:r>
              </w:p>
            </w:tc>
            <w:tc>
              <w:tcPr>
                <w:tcW w:w="1111" w:type="dxa"/>
                <w:vAlign w:val="bottom"/>
              </w:tcPr>
              <w:p w14:paraId="75D5D171" w14:textId="77777777" w:rsidR="00F5682C" w:rsidRPr="00F5682C" w:rsidRDefault="00F5682C" w:rsidP="00462C49">
                <w:pPr>
                  <w:pStyle w:val="LLPerustelujenkappalejako"/>
                  <w:spacing w:after="0"/>
                  <w:jc w:val="center"/>
                  <w:rPr>
                    <w:sz w:val="18"/>
                    <w:szCs w:val="18"/>
                  </w:rPr>
                </w:pPr>
                <w:r w:rsidRPr="00F5682C">
                  <w:rPr>
                    <w:sz w:val="18"/>
                    <w:szCs w:val="18"/>
                  </w:rPr>
                  <w:t>915 110</w:t>
                </w:r>
              </w:p>
            </w:tc>
          </w:tr>
          <w:tr w:rsidR="00F5682C" w:rsidRPr="00F5682C" w14:paraId="653428E6" w14:textId="77777777" w:rsidTr="00462C49">
            <w:tc>
              <w:tcPr>
                <w:tcW w:w="3823" w:type="dxa"/>
              </w:tcPr>
              <w:p w14:paraId="363C9453" w14:textId="77777777" w:rsidR="00F5682C" w:rsidRPr="00462C49" w:rsidRDefault="00F5682C" w:rsidP="00462C49">
                <w:pPr>
                  <w:pStyle w:val="LLPerustelujenkappalejako"/>
                  <w:spacing w:after="0"/>
                  <w:rPr>
                    <w:b/>
                    <w:sz w:val="18"/>
                    <w:szCs w:val="18"/>
                  </w:rPr>
                </w:pPr>
                <w:r w:rsidRPr="00462C49">
                  <w:rPr>
                    <w:b/>
                    <w:sz w:val="18"/>
                    <w:szCs w:val="18"/>
                  </w:rPr>
                  <w:t>Yhteensä</w:t>
                </w:r>
              </w:p>
            </w:tc>
            <w:tc>
              <w:tcPr>
                <w:tcW w:w="1134" w:type="dxa"/>
                <w:vAlign w:val="bottom"/>
              </w:tcPr>
              <w:p w14:paraId="4D12F8A3" w14:textId="77777777" w:rsidR="00F5682C" w:rsidRPr="00462C49" w:rsidRDefault="00462C49" w:rsidP="00462C49">
                <w:pPr>
                  <w:pStyle w:val="LLPerustelujenkappalejako"/>
                  <w:spacing w:after="0"/>
                  <w:jc w:val="center"/>
                  <w:rPr>
                    <w:b/>
                    <w:sz w:val="18"/>
                    <w:szCs w:val="18"/>
                  </w:rPr>
                </w:pPr>
                <w:r>
                  <w:rPr>
                    <w:b/>
                    <w:sz w:val="18"/>
                    <w:szCs w:val="18"/>
                  </w:rPr>
                  <w:t>37 905 981</w:t>
                </w:r>
              </w:p>
            </w:tc>
            <w:tc>
              <w:tcPr>
                <w:tcW w:w="1134" w:type="dxa"/>
                <w:vAlign w:val="bottom"/>
              </w:tcPr>
              <w:p w14:paraId="6BD95FCD" w14:textId="77777777" w:rsidR="00F5682C" w:rsidRPr="00462C49" w:rsidRDefault="00462C49" w:rsidP="00462C49">
                <w:pPr>
                  <w:pStyle w:val="LLPerustelujenkappalejako"/>
                  <w:spacing w:after="0"/>
                  <w:jc w:val="center"/>
                  <w:rPr>
                    <w:b/>
                    <w:sz w:val="18"/>
                    <w:szCs w:val="18"/>
                  </w:rPr>
                </w:pPr>
                <w:r>
                  <w:rPr>
                    <w:b/>
                    <w:sz w:val="18"/>
                    <w:szCs w:val="18"/>
                  </w:rPr>
                  <w:t>26 753 304</w:t>
                </w:r>
              </w:p>
            </w:tc>
            <w:tc>
              <w:tcPr>
                <w:tcW w:w="1134" w:type="dxa"/>
                <w:vAlign w:val="bottom"/>
              </w:tcPr>
              <w:p w14:paraId="0D3D2C78" w14:textId="77777777" w:rsidR="00F5682C" w:rsidRPr="00462C49" w:rsidRDefault="00462C49" w:rsidP="00462C49">
                <w:pPr>
                  <w:pStyle w:val="LLPerustelujenkappalejako"/>
                  <w:spacing w:after="0"/>
                  <w:jc w:val="center"/>
                  <w:rPr>
                    <w:b/>
                    <w:sz w:val="18"/>
                    <w:szCs w:val="18"/>
                  </w:rPr>
                </w:pPr>
                <w:r>
                  <w:rPr>
                    <w:b/>
                    <w:sz w:val="18"/>
                    <w:szCs w:val="18"/>
                  </w:rPr>
                  <w:t>29 124 219</w:t>
                </w:r>
              </w:p>
            </w:tc>
            <w:tc>
              <w:tcPr>
                <w:tcW w:w="1111" w:type="dxa"/>
                <w:vAlign w:val="bottom"/>
              </w:tcPr>
              <w:p w14:paraId="7EDFA7C5" w14:textId="77777777" w:rsidR="00F5682C" w:rsidRPr="00462C49" w:rsidRDefault="00462C49" w:rsidP="00462C49">
                <w:pPr>
                  <w:pStyle w:val="LLPerustelujenkappalejako"/>
                  <w:spacing w:after="0"/>
                  <w:jc w:val="center"/>
                  <w:rPr>
                    <w:b/>
                    <w:sz w:val="18"/>
                    <w:szCs w:val="18"/>
                  </w:rPr>
                </w:pPr>
                <w:r>
                  <w:rPr>
                    <w:b/>
                    <w:sz w:val="18"/>
                    <w:szCs w:val="18"/>
                  </w:rPr>
                  <w:t>74 635 015</w:t>
                </w:r>
              </w:p>
            </w:tc>
          </w:tr>
        </w:tbl>
        <w:p w14:paraId="1D11F4F8" w14:textId="69EE08A6" w:rsidR="00381628" w:rsidRDefault="008E62DA" w:rsidP="00462C49">
          <w:pPr>
            <w:pStyle w:val="LLPerustelujenkappalejako"/>
            <w:spacing w:after="0"/>
          </w:pPr>
          <w:r>
            <w:t>Aiemmassa taulukossa on listattu tukiviranomaisena toimivan Energiaviraston maksama tuki toimialoittain vuosina 2017-2020.</w:t>
          </w:r>
        </w:p>
        <w:p w14:paraId="54EF99C5" w14:textId="5C51EADA" w:rsidR="00381628" w:rsidRDefault="00462C49" w:rsidP="00F07A5F">
          <w:pPr>
            <w:pStyle w:val="LLPerustelujenkappalejako"/>
          </w:pPr>
          <w:r>
            <w:t>Tukea on myönnetty vuosittain noin 60 laitokselle, joista noin puolet ovat metsäteollisuuden toimialoilta. Tuki on laskettu laitoksen viitejakson ajalta määritetyn keskimääräisen sähkönkulutuksen tai tuotannon, sovellettavan vertailuarvon, päästöoikeuden hinnan, alueellisen hiilidioksidin päästökertoimen ja kansallisen tuki-intensiteetin perusteella. Alla taulukossa on esitetty vuo</w:t>
          </w:r>
          <w:r w:rsidR="00523D80">
            <w:t>sina</w:t>
          </w:r>
          <w:r w:rsidR="00581F48">
            <w:t xml:space="preserve"> 2016</w:t>
          </w:r>
          <w:r w:rsidR="00581F48">
            <w:sym w:font="Symbol" w:char="F02D"/>
          </w:r>
          <w:r>
            <w:t xml:space="preserve">2020 </w:t>
          </w:r>
          <w:r w:rsidR="00523D80">
            <w:t xml:space="preserve">sovelletut </w:t>
          </w:r>
          <w:r>
            <w:t>kansalliset tuki-intensitee</w:t>
          </w:r>
          <w:r w:rsidR="00581F48">
            <w:t>tit sekä päästöoikeuden hinnat.</w:t>
          </w:r>
        </w:p>
        <w:tbl>
          <w:tblPr>
            <w:tblStyle w:val="TaulukkoRuudukko"/>
            <w:tblW w:w="0" w:type="auto"/>
            <w:tblLook w:val="04A0" w:firstRow="1" w:lastRow="0" w:firstColumn="1" w:lastColumn="0" w:noHBand="0" w:noVBand="1"/>
          </w:tblPr>
          <w:tblGrid>
            <w:gridCol w:w="3823"/>
            <w:gridCol w:w="850"/>
            <w:gridCol w:w="851"/>
            <w:gridCol w:w="992"/>
            <w:gridCol w:w="992"/>
            <w:gridCol w:w="828"/>
          </w:tblGrid>
          <w:tr w:rsidR="005E02F9" w14:paraId="026E53D2" w14:textId="77777777" w:rsidTr="005E02F9">
            <w:tc>
              <w:tcPr>
                <w:tcW w:w="3823" w:type="dxa"/>
                <w:vAlign w:val="bottom"/>
              </w:tcPr>
              <w:p w14:paraId="06EB05F1" w14:textId="77777777" w:rsidR="005E02F9" w:rsidRPr="005E02F9" w:rsidRDefault="005E02F9" w:rsidP="005E02F9">
                <w:pPr>
                  <w:pStyle w:val="LLPerustelujenkappalejako"/>
                  <w:spacing w:after="0"/>
                  <w:jc w:val="left"/>
                  <w:rPr>
                    <w:b/>
                    <w:sz w:val="18"/>
                    <w:szCs w:val="18"/>
                  </w:rPr>
                </w:pPr>
              </w:p>
            </w:tc>
            <w:tc>
              <w:tcPr>
                <w:tcW w:w="850" w:type="dxa"/>
                <w:vAlign w:val="bottom"/>
              </w:tcPr>
              <w:p w14:paraId="014FAD32" w14:textId="77777777" w:rsidR="005E02F9" w:rsidRPr="005E02F9" w:rsidRDefault="005E02F9" w:rsidP="005E02F9">
                <w:pPr>
                  <w:pStyle w:val="LLPerustelujenkappalejako"/>
                  <w:spacing w:after="0"/>
                  <w:jc w:val="center"/>
                  <w:rPr>
                    <w:b/>
                    <w:sz w:val="18"/>
                    <w:szCs w:val="18"/>
                  </w:rPr>
                </w:pPr>
                <w:r w:rsidRPr="005E02F9">
                  <w:rPr>
                    <w:b/>
                    <w:sz w:val="18"/>
                    <w:szCs w:val="18"/>
                  </w:rPr>
                  <w:t>2016</w:t>
                </w:r>
              </w:p>
            </w:tc>
            <w:tc>
              <w:tcPr>
                <w:tcW w:w="851" w:type="dxa"/>
                <w:vAlign w:val="bottom"/>
              </w:tcPr>
              <w:p w14:paraId="68B404F1" w14:textId="77777777" w:rsidR="005E02F9" w:rsidRPr="005E02F9" w:rsidRDefault="005E02F9" w:rsidP="005E02F9">
                <w:pPr>
                  <w:pStyle w:val="LLPerustelujenkappalejako"/>
                  <w:spacing w:after="0"/>
                  <w:jc w:val="center"/>
                  <w:rPr>
                    <w:b/>
                    <w:sz w:val="18"/>
                    <w:szCs w:val="18"/>
                  </w:rPr>
                </w:pPr>
                <w:r w:rsidRPr="005E02F9">
                  <w:rPr>
                    <w:b/>
                    <w:sz w:val="18"/>
                    <w:szCs w:val="18"/>
                  </w:rPr>
                  <w:t>2017</w:t>
                </w:r>
              </w:p>
            </w:tc>
            <w:tc>
              <w:tcPr>
                <w:tcW w:w="992" w:type="dxa"/>
                <w:vAlign w:val="bottom"/>
              </w:tcPr>
              <w:p w14:paraId="5D2E9114" w14:textId="77777777" w:rsidR="005E02F9" w:rsidRPr="005E02F9" w:rsidRDefault="005E02F9" w:rsidP="005E02F9">
                <w:pPr>
                  <w:pStyle w:val="LLPerustelujenkappalejako"/>
                  <w:spacing w:after="0"/>
                  <w:jc w:val="center"/>
                  <w:rPr>
                    <w:b/>
                    <w:sz w:val="18"/>
                    <w:szCs w:val="18"/>
                  </w:rPr>
                </w:pPr>
                <w:r w:rsidRPr="005E02F9">
                  <w:rPr>
                    <w:b/>
                    <w:sz w:val="18"/>
                    <w:szCs w:val="18"/>
                  </w:rPr>
                  <w:t>2018</w:t>
                </w:r>
              </w:p>
            </w:tc>
            <w:tc>
              <w:tcPr>
                <w:tcW w:w="992" w:type="dxa"/>
                <w:vAlign w:val="bottom"/>
              </w:tcPr>
              <w:p w14:paraId="5E809769" w14:textId="77777777" w:rsidR="005E02F9" w:rsidRPr="005E02F9" w:rsidRDefault="005E02F9" w:rsidP="005E02F9">
                <w:pPr>
                  <w:pStyle w:val="LLPerustelujenkappalejako"/>
                  <w:spacing w:after="0"/>
                  <w:jc w:val="center"/>
                  <w:rPr>
                    <w:b/>
                    <w:sz w:val="18"/>
                    <w:szCs w:val="18"/>
                  </w:rPr>
                </w:pPr>
                <w:r w:rsidRPr="005E02F9">
                  <w:rPr>
                    <w:b/>
                    <w:sz w:val="18"/>
                    <w:szCs w:val="18"/>
                  </w:rPr>
                  <w:t>2019</w:t>
                </w:r>
              </w:p>
            </w:tc>
            <w:tc>
              <w:tcPr>
                <w:tcW w:w="828" w:type="dxa"/>
                <w:vAlign w:val="bottom"/>
              </w:tcPr>
              <w:p w14:paraId="063D8D9C" w14:textId="77777777" w:rsidR="005E02F9" w:rsidRPr="005E02F9" w:rsidRDefault="005E02F9" w:rsidP="005E02F9">
                <w:pPr>
                  <w:pStyle w:val="LLPerustelujenkappalejako"/>
                  <w:spacing w:after="0"/>
                  <w:jc w:val="center"/>
                  <w:rPr>
                    <w:b/>
                    <w:sz w:val="18"/>
                    <w:szCs w:val="18"/>
                  </w:rPr>
                </w:pPr>
                <w:r w:rsidRPr="005E02F9">
                  <w:rPr>
                    <w:b/>
                    <w:sz w:val="18"/>
                    <w:szCs w:val="18"/>
                  </w:rPr>
                  <w:t>2020</w:t>
                </w:r>
              </w:p>
            </w:tc>
          </w:tr>
          <w:tr w:rsidR="005E02F9" w14:paraId="4B209FF6" w14:textId="77777777" w:rsidTr="005E02F9">
            <w:tc>
              <w:tcPr>
                <w:tcW w:w="3823" w:type="dxa"/>
                <w:vAlign w:val="bottom"/>
              </w:tcPr>
              <w:p w14:paraId="5D9250F7" w14:textId="77777777" w:rsidR="005E02F9" w:rsidRPr="005E02F9" w:rsidRDefault="005E02F9" w:rsidP="005E02F9">
                <w:pPr>
                  <w:pStyle w:val="LLPerustelujenkappalejako"/>
                  <w:spacing w:after="0"/>
                  <w:jc w:val="left"/>
                  <w:rPr>
                    <w:sz w:val="18"/>
                    <w:szCs w:val="18"/>
                  </w:rPr>
                </w:pPr>
                <w:r w:rsidRPr="005E02F9">
                  <w:rPr>
                    <w:sz w:val="18"/>
                    <w:szCs w:val="18"/>
                  </w:rPr>
                  <w:t>Kansallinen tuki-intensiteetti (%)</w:t>
                </w:r>
              </w:p>
            </w:tc>
            <w:tc>
              <w:tcPr>
                <w:tcW w:w="850" w:type="dxa"/>
                <w:vAlign w:val="bottom"/>
              </w:tcPr>
              <w:p w14:paraId="5138FDFB" w14:textId="77777777" w:rsidR="005E02F9" w:rsidRPr="005E02F9" w:rsidRDefault="005E02F9" w:rsidP="005E02F9">
                <w:pPr>
                  <w:pStyle w:val="LLPerustelujenkappalejako"/>
                  <w:spacing w:after="0"/>
                  <w:jc w:val="center"/>
                  <w:rPr>
                    <w:sz w:val="18"/>
                    <w:szCs w:val="18"/>
                  </w:rPr>
                </w:pPr>
                <w:r w:rsidRPr="005E02F9">
                  <w:rPr>
                    <w:sz w:val="18"/>
                    <w:szCs w:val="18"/>
                  </w:rPr>
                  <w:t>40</w:t>
                </w:r>
              </w:p>
            </w:tc>
            <w:tc>
              <w:tcPr>
                <w:tcW w:w="851" w:type="dxa"/>
                <w:vAlign w:val="bottom"/>
              </w:tcPr>
              <w:p w14:paraId="12746665" w14:textId="77777777" w:rsidR="005E02F9" w:rsidRPr="005E02F9" w:rsidRDefault="005E02F9" w:rsidP="005E02F9">
                <w:pPr>
                  <w:pStyle w:val="LLPerustelujenkappalejako"/>
                  <w:spacing w:after="0"/>
                  <w:jc w:val="center"/>
                  <w:rPr>
                    <w:sz w:val="18"/>
                    <w:szCs w:val="18"/>
                  </w:rPr>
                </w:pPr>
                <w:r w:rsidRPr="005E02F9">
                  <w:rPr>
                    <w:sz w:val="18"/>
                    <w:szCs w:val="18"/>
                  </w:rPr>
                  <w:t>40</w:t>
                </w:r>
              </w:p>
            </w:tc>
            <w:tc>
              <w:tcPr>
                <w:tcW w:w="992" w:type="dxa"/>
                <w:vAlign w:val="bottom"/>
              </w:tcPr>
              <w:p w14:paraId="1688ECDD" w14:textId="77777777" w:rsidR="005E02F9" w:rsidRPr="005E02F9" w:rsidRDefault="005E02F9" w:rsidP="005E02F9">
                <w:pPr>
                  <w:pStyle w:val="LLPerustelujenkappalejako"/>
                  <w:spacing w:after="0"/>
                  <w:jc w:val="center"/>
                  <w:rPr>
                    <w:sz w:val="18"/>
                    <w:szCs w:val="18"/>
                  </w:rPr>
                </w:pPr>
                <w:r w:rsidRPr="005E02F9">
                  <w:rPr>
                    <w:sz w:val="18"/>
                    <w:szCs w:val="18"/>
                  </w:rPr>
                  <w:t>40</w:t>
                </w:r>
              </w:p>
            </w:tc>
            <w:tc>
              <w:tcPr>
                <w:tcW w:w="992" w:type="dxa"/>
                <w:vAlign w:val="bottom"/>
              </w:tcPr>
              <w:p w14:paraId="1DF3884B" w14:textId="77777777" w:rsidR="005E02F9" w:rsidRPr="005E02F9" w:rsidRDefault="005E02F9" w:rsidP="005E02F9">
                <w:pPr>
                  <w:pStyle w:val="LLPerustelujenkappalejako"/>
                  <w:spacing w:after="0"/>
                  <w:jc w:val="center"/>
                  <w:rPr>
                    <w:sz w:val="18"/>
                    <w:szCs w:val="18"/>
                  </w:rPr>
                </w:pPr>
                <w:r w:rsidRPr="005E02F9">
                  <w:rPr>
                    <w:sz w:val="18"/>
                    <w:szCs w:val="18"/>
                  </w:rPr>
                  <w:t>37,5</w:t>
                </w:r>
              </w:p>
            </w:tc>
            <w:tc>
              <w:tcPr>
                <w:tcW w:w="828" w:type="dxa"/>
                <w:vAlign w:val="bottom"/>
              </w:tcPr>
              <w:p w14:paraId="22C06CF4" w14:textId="77777777" w:rsidR="005E02F9" w:rsidRPr="005E02F9" w:rsidRDefault="005E02F9" w:rsidP="005E02F9">
                <w:pPr>
                  <w:pStyle w:val="LLPerustelujenkappalejako"/>
                  <w:spacing w:after="0"/>
                  <w:jc w:val="center"/>
                  <w:rPr>
                    <w:sz w:val="18"/>
                    <w:szCs w:val="18"/>
                  </w:rPr>
                </w:pPr>
                <w:r w:rsidRPr="005E02F9">
                  <w:rPr>
                    <w:sz w:val="18"/>
                    <w:szCs w:val="18"/>
                  </w:rPr>
                  <w:t>37,5</w:t>
                </w:r>
              </w:p>
            </w:tc>
          </w:tr>
          <w:tr w:rsidR="005E02F9" w14:paraId="052CE60F" w14:textId="77777777" w:rsidTr="005E02F9">
            <w:tc>
              <w:tcPr>
                <w:tcW w:w="3823" w:type="dxa"/>
                <w:vAlign w:val="bottom"/>
              </w:tcPr>
              <w:p w14:paraId="3DA5799B" w14:textId="77777777" w:rsidR="005E02F9" w:rsidRPr="005E02F9" w:rsidRDefault="005E02F9" w:rsidP="005E02F9">
                <w:pPr>
                  <w:pStyle w:val="LLPerustelujenkappalejako"/>
                  <w:spacing w:after="0"/>
                  <w:jc w:val="left"/>
                  <w:rPr>
                    <w:sz w:val="18"/>
                    <w:szCs w:val="18"/>
                  </w:rPr>
                </w:pPr>
                <w:r w:rsidRPr="005E02F9">
                  <w:rPr>
                    <w:sz w:val="18"/>
                    <w:szCs w:val="18"/>
                  </w:rPr>
                  <w:t xml:space="preserve">Laskennassa sovellettava päästöoikeuden hinta </w:t>
                </w:r>
                <w:r>
                  <w:rPr>
                    <w:sz w:val="18"/>
                    <w:szCs w:val="18"/>
                  </w:rPr>
                  <w:t>(euroa/tCO</w:t>
                </w:r>
                <w:r w:rsidRPr="005E02F9">
                  <w:rPr>
                    <w:sz w:val="18"/>
                    <w:szCs w:val="18"/>
                    <w:vertAlign w:val="subscript"/>
                  </w:rPr>
                  <w:t>2</w:t>
                </w:r>
                <w:r>
                  <w:rPr>
                    <w:sz w:val="18"/>
                    <w:szCs w:val="18"/>
                  </w:rPr>
                  <w:t>)</w:t>
                </w:r>
              </w:p>
            </w:tc>
            <w:tc>
              <w:tcPr>
                <w:tcW w:w="850" w:type="dxa"/>
                <w:vAlign w:val="bottom"/>
              </w:tcPr>
              <w:p w14:paraId="103715F7" w14:textId="77777777" w:rsidR="005E02F9" w:rsidRPr="005E02F9" w:rsidRDefault="005E02F9" w:rsidP="005E02F9">
                <w:pPr>
                  <w:pStyle w:val="LLPerustelujenkappalejako"/>
                  <w:spacing w:after="0"/>
                  <w:jc w:val="center"/>
                  <w:rPr>
                    <w:sz w:val="18"/>
                    <w:szCs w:val="18"/>
                  </w:rPr>
                </w:pPr>
                <w:r w:rsidRPr="005E02F9">
                  <w:rPr>
                    <w:sz w:val="18"/>
                    <w:szCs w:val="18"/>
                  </w:rPr>
                  <w:t>7,72</w:t>
                </w:r>
              </w:p>
            </w:tc>
            <w:tc>
              <w:tcPr>
                <w:tcW w:w="851" w:type="dxa"/>
                <w:vAlign w:val="bottom"/>
              </w:tcPr>
              <w:p w14:paraId="2C52525D" w14:textId="77777777" w:rsidR="005E02F9" w:rsidRPr="005E02F9" w:rsidRDefault="005E02F9" w:rsidP="005E02F9">
                <w:pPr>
                  <w:pStyle w:val="LLPerustelujenkappalejako"/>
                  <w:spacing w:after="0"/>
                  <w:jc w:val="center"/>
                  <w:rPr>
                    <w:sz w:val="18"/>
                    <w:szCs w:val="18"/>
                  </w:rPr>
                </w:pPr>
                <w:r w:rsidRPr="005E02F9">
                  <w:rPr>
                    <w:sz w:val="18"/>
                    <w:szCs w:val="18"/>
                  </w:rPr>
                  <w:t>5,36</w:t>
                </w:r>
              </w:p>
            </w:tc>
            <w:tc>
              <w:tcPr>
                <w:tcW w:w="992" w:type="dxa"/>
                <w:vAlign w:val="bottom"/>
              </w:tcPr>
              <w:p w14:paraId="6D2E8503" w14:textId="77777777" w:rsidR="005E02F9" w:rsidRPr="005E02F9" w:rsidRDefault="005E02F9" w:rsidP="005E02F9">
                <w:pPr>
                  <w:pStyle w:val="LLPerustelujenkappalejako"/>
                  <w:spacing w:after="0"/>
                  <w:jc w:val="center"/>
                  <w:rPr>
                    <w:sz w:val="18"/>
                    <w:szCs w:val="18"/>
                  </w:rPr>
                </w:pPr>
                <w:r w:rsidRPr="005E02F9">
                  <w:rPr>
                    <w:sz w:val="18"/>
                    <w:szCs w:val="18"/>
                  </w:rPr>
                  <w:t>5,84</w:t>
                </w:r>
              </w:p>
            </w:tc>
            <w:tc>
              <w:tcPr>
                <w:tcW w:w="992" w:type="dxa"/>
                <w:vAlign w:val="bottom"/>
              </w:tcPr>
              <w:p w14:paraId="2CB1AC04" w14:textId="77777777" w:rsidR="005E02F9" w:rsidRPr="005E02F9" w:rsidRDefault="005E02F9" w:rsidP="005E02F9">
                <w:pPr>
                  <w:pStyle w:val="LLPerustelujenkappalejako"/>
                  <w:spacing w:after="0"/>
                  <w:jc w:val="center"/>
                  <w:rPr>
                    <w:sz w:val="18"/>
                    <w:szCs w:val="18"/>
                  </w:rPr>
                </w:pPr>
                <w:r w:rsidRPr="005E02F9">
                  <w:rPr>
                    <w:sz w:val="18"/>
                    <w:szCs w:val="18"/>
                  </w:rPr>
                  <w:t>15,96</w:t>
                </w:r>
              </w:p>
            </w:tc>
            <w:tc>
              <w:tcPr>
                <w:tcW w:w="828" w:type="dxa"/>
                <w:vAlign w:val="bottom"/>
              </w:tcPr>
              <w:p w14:paraId="3720ECE5" w14:textId="77777777" w:rsidR="005E02F9" w:rsidRPr="005E02F9" w:rsidRDefault="005E02F9" w:rsidP="005E02F9">
                <w:pPr>
                  <w:pStyle w:val="LLPerustelujenkappalejako"/>
                  <w:spacing w:after="0"/>
                  <w:jc w:val="center"/>
                  <w:rPr>
                    <w:sz w:val="18"/>
                    <w:szCs w:val="18"/>
                  </w:rPr>
                </w:pPr>
                <w:r w:rsidRPr="005E02F9">
                  <w:rPr>
                    <w:sz w:val="18"/>
                    <w:szCs w:val="18"/>
                  </w:rPr>
                  <w:t>24,92</w:t>
                </w:r>
              </w:p>
            </w:tc>
          </w:tr>
        </w:tbl>
        <w:p w14:paraId="26829143" w14:textId="77777777" w:rsidR="00B17F2D" w:rsidRDefault="00B17F2D" w:rsidP="00F07A5F">
          <w:pPr>
            <w:pStyle w:val="LLPerustelujenkappalejako"/>
          </w:pPr>
        </w:p>
        <w:p w14:paraId="7A0B7993" w14:textId="7DFE74F2" w:rsidR="00381628" w:rsidRDefault="005E02F9" w:rsidP="00F07A5F">
          <w:pPr>
            <w:pStyle w:val="LLPerustelujenkappalejako"/>
          </w:pPr>
          <w:r>
            <w:t>Kansallinen tuki-intensiteetti on ollu</w:t>
          </w:r>
          <w:r w:rsidR="00523D80">
            <w:t xml:space="preserve">t tukiohjelmassa laskeva. Myös valtiontukisuuntaviivoissa esitetty tuen </w:t>
          </w:r>
          <w:r w:rsidR="00581F48">
            <w:t>enimmäistaso laski vuosien 2013</w:t>
          </w:r>
          <w:r w:rsidR="00581F48">
            <w:sym w:font="Symbol" w:char="F02D"/>
          </w:r>
          <w:r w:rsidR="00523D80">
            <w:t>2020 aikana 85 prosentista 75 prosenttiin. Suomessa sovellettu kansallinen tuki-i</w:t>
          </w:r>
          <w:r>
            <w:t>ntensiteetti on</w:t>
          </w:r>
          <w:r w:rsidR="00523D80">
            <w:t xml:space="preserve"> ollut</w:t>
          </w:r>
          <w:r>
            <w:t xml:space="preserve"> puolet suuntaviivoje</w:t>
          </w:r>
          <w:r w:rsidR="00581F48">
            <w:t>n mahdollistamasta tukitasosta.</w:t>
          </w:r>
        </w:p>
        <w:p w14:paraId="49E21211" w14:textId="77777777" w:rsidR="00196DA2" w:rsidRDefault="00196DA2" w:rsidP="00581F48">
          <w:pPr>
            <w:pStyle w:val="LLNormaali"/>
          </w:pPr>
        </w:p>
        <w:p w14:paraId="2543EC1F" w14:textId="77777777" w:rsidR="000E61DF" w:rsidRDefault="0075180F" w:rsidP="00A95059">
          <w:pPr>
            <w:pStyle w:val="LLP1Otsikkotaso"/>
          </w:pPr>
          <w:bookmarkStart w:id="9" w:name="_Toc75420006"/>
          <w:r>
            <w:t>Tavoitteet</w:t>
          </w:r>
          <w:bookmarkEnd w:id="9"/>
        </w:p>
        <w:p w14:paraId="39C63482" w14:textId="1FC5DB10" w:rsidR="0063649C" w:rsidRDefault="00B17F2D" w:rsidP="00EA4139">
          <w:pPr>
            <w:pStyle w:val="LLPerustelujenkappalejako"/>
          </w:pPr>
          <w:r w:rsidRPr="00763B21">
            <w:t xml:space="preserve">Esitys liittyy kiinteästi hallituksen tavoitteeseen </w:t>
          </w:r>
          <w:r w:rsidR="006240FE">
            <w:t>turvata</w:t>
          </w:r>
          <w:r w:rsidR="00844E5F" w:rsidRPr="00763B21">
            <w:t xml:space="preserve"> teo</w:t>
          </w:r>
          <w:r w:rsidR="006240FE">
            <w:t>llisuuden kustannuskilpailuky</w:t>
          </w:r>
          <w:r w:rsidR="004D55A8">
            <w:t>kyä. Tuki kohdistuu kustannuksiin</w:t>
          </w:r>
          <w:r w:rsidR="006240FE">
            <w:t>, jo</w:t>
          </w:r>
          <w:r w:rsidR="004D55A8">
            <w:t>i</w:t>
          </w:r>
          <w:r w:rsidR="006240FE">
            <w:t>ta kansainvälisillä markkinoilla toimivien yritysten kolmansista maista tulevilla kilpailijoilla ei ole, johtuen erilaisista ilmastotavoitteista ja sääntely-ympäristöstä.</w:t>
          </w:r>
        </w:p>
        <w:p w14:paraId="03D93180" w14:textId="1B9CA910" w:rsidR="00844E5F" w:rsidRDefault="0063649C" w:rsidP="00EA4139">
          <w:pPr>
            <w:pStyle w:val="LLPerustelujenkappalejako"/>
          </w:pPr>
          <w:r>
            <w:t xml:space="preserve">Esityksen tavoitteena on myös </w:t>
          </w:r>
          <w:r w:rsidR="0063033A">
            <w:t xml:space="preserve">ohjata </w:t>
          </w:r>
          <w:r w:rsidR="00B01BD3">
            <w:t xml:space="preserve">tuen piiriin kuuluvia toimialoja </w:t>
          </w:r>
          <w:r>
            <w:t>investoimaan ja kehittämään</w:t>
          </w:r>
          <w:r w:rsidR="00B01BD3">
            <w:t xml:space="preserve"> teollista</w:t>
          </w:r>
          <w:r>
            <w:t xml:space="preserve"> toimintaansa hiilineutraalimmaksi. Jotta tavoitteeseen päästään kustannustehokkaasti, edellytetään tuen saajia kohdistamaan vähintään 50 prosenttia heille myönnetystä tuesta kehittämistoimiin, joilla tavoitellaan päästövähennyksiä, energiatehokkuusparannuksia tai uusiutuvan energian osuuden lisäämistä energiankulutuksessa.</w:t>
          </w:r>
        </w:p>
        <w:p w14:paraId="3E4CBFE9" w14:textId="77777777" w:rsidR="0063649C" w:rsidRPr="00763B21" w:rsidRDefault="0063649C" w:rsidP="00581F48">
          <w:pPr>
            <w:pStyle w:val="LLNormaali"/>
          </w:pPr>
        </w:p>
        <w:p w14:paraId="216B2144" w14:textId="77777777" w:rsidR="00A939B2" w:rsidRDefault="006D3C8B" w:rsidP="00A939B2">
          <w:pPr>
            <w:pStyle w:val="LLP1Otsikkotaso"/>
          </w:pPr>
          <w:bookmarkStart w:id="10" w:name="_Toc75420007"/>
          <w:r>
            <w:t>Ehdotukset ja nii</w:t>
          </w:r>
          <w:r w:rsidR="00A939B2">
            <w:t>den vaikutukset</w:t>
          </w:r>
          <w:bookmarkEnd w:id="10"/>
        </w:p>
        <w:p w14:paraId="25E7FC74" w14:textId="77777777" w:rsidR="00A939B2" w:rsidRDefault="00A939B2" w:rsidP="00A939B2">
          <w:pPr>
            <w:pStyle w:val="LLP2Otsikkotaso"/>
          </w:pPr>
          <w:bookmarkStart w:id="11" w:name="_Toc75420008"/>
          <w:r>
            <w:t>Keskeiset ehdotukset</w:t>
          </w:r>
          <w:bookmarkEnd w:id="11"/>
        </w:p>
        <w:p w14:paraId="4FCCC44F" w14:textId="3C6D058A" w:rsidR="00842622" w:rsidRDefault="00660C7C" w:rsidP="00842622">
          <w:pPr>
            <w:pStyle w:val="LLPerustelujenkappalejako"/>
          </w:pPr>
          <w:r>
            <w:t>Sähköistämist</w:t>
          </w:r>
          <w:r w:rsidR="00842622">
            <w:t xml:space="preserve">ukeen olisivat oikeutettuja toiminnanharjoittajat, jotka toimivat toimialoilla tai alatoimialoilla, joiden katsotaan </w:t>
          </w:r>
          <w:r>
            <w:t xml:space="preserve">päästökaupan valtiontukisuuntaviivojen mukaisesti </w:t>
          </w:r>
          <w:r w:rsidR="00842622">
            <w:t>olevan alttiita merkittävälle hiilivuodon riskille EU:n päästökauppajärjestelmän</w:t>
          </w:r>
          <w:r>
            <w:t xml:space="preserve"> sähkön hintaan aiheuttamien välillisten</w:t>
          </w:r>
          <w:r w:rsidR="00842622">
            <w:t xml:space="preserve"> kustannu</w:t>
          </w:r>
          <w:r>
            <w:t xml:space="preserve">sten vuoksi. Kaikki </w:t>
          </w:r>
          <w:r w:rsidR="00842622">
            <w:t>valtiontukisuuntaviivoissa luetellut toimialat ja alatoimialat olisivat oikeutettuja tukeen. Toimialojen joukossa on sellaisia Suomelle merkittäviä toimialoja kuin raudan, teräksen ja rautaseosten valmistus; paperin</w:t>
          </w:r>
          <w:r>
            <w:t>,</w:t>
          </w:r>
          <w:r w:rsidR="00842622">
            <w:t xml:space="preserve"> kartongin </w:t>
          </w:r>
          <w:r>
            <w:t xml:space="preserve">ja pahvin </w:t>
          </w:r>
          <w:r w:rsidR="00842622">
            <w:t>valmistus; massan valmistus sekä</w:t>
          </w:r>
          <w:r>
            <w:t xml:space="preserve"> jalostettujen öljytuotteiden valmistus. </w:t>
          </w:r>
          <w:r w:rsidR="00842622">
            <w:t xml:space="preserve">Tukeen oikeutetut toimialat ja alatoimialat luetellaan lakiehdotuksen </w:t>
          </w:r>
          <w:r w:rsidR="008807A2">
            <w:t>liitteessä 1.</w:t>
          </w:r>
        </w:p>
        <w:p w14:paraId="152FB8EA" w14:textId="77777777" w:rsidR="008E62DA" w:rsidRDefault="008E62DA" w:rsidP="00581F48">
          <w:pPr>
            <w:pStyle w:val="LLNormaali"/>
          </w:pPr>
        </w:p>
        <w:p w14:paraId="7D93E030" w14:textId="31228AB3" w:rsidR="007B4E40" w:rsidRPr="007B4E40" w:rsidRDefault="007B4E40" w:rsidP="00842622">
          <w:pPr>
            <w:pStyle w:val="LLPerustelujenkappalejako"/>
            <w:rPr>
              <w:i/>
            </w:rPr>
          </w:pPr>
          <w:r>
            <w:rPr>
              <w:i/>
            </w:rPr>
            <w:t>Edellytykset sähköistämistuen myöntämiselle</w:t>
          </w:r>
        </w:p>
        <w:p w14:paraId="2D0C9B4F" w14:textId="6119B22F" w:rsidR="00842622" w:rsidRDefault="00842622" w:rsidP="00842622">
          <w:pPr>
            <w:pStyle w:val="LLPerustelujenkappalejako"/>
          </w:pPr>
          <w:r>
            <w:t xml:space="preserve">Tukea myönnettäisiin tukeen oikeutetuilla toimialoilla ja alatoimialoilla toimiville toiminnanharjoittajille </w:t>
          </w:r>
          <w:r w:rsidR="008807A2">
            <w:t>tarkastelu</w:t>
          </w:r>
          <w:r>
            <w:t>vuosien 20</w:t>
          </w:r>
          <w:r w:rsidR="00581F48">
            <w:t>21</w:t>
          </w:r>
          <w:r w:rsidR="00581F48">
            <w:sym w:font="Symbol" w:char="F02D"/>
          </w:r>
          <w:r w:rsidR="008807A2">
            <w:t>2025</w:t>
          </w:r>
          <w:r>
            <w:t xml:space="preserve"> </w:t>
          </w:r>
          <w:r w:rsidR="000C74DA">
            <w:t xml:space="preserve">välillisten </w:t>
          </w:r>
          <w:r>
            <w:t>kustannusten perusteella.</w:t>
          </w:r>
          <w:r w:rsidR="008807A2">
            <w:t xml:space="preserve"> Tuki tulisi hakea ja maksaa tarkasteluvuotta seuraavana vuonna. </w:t>
          </w:r>
          <w:r>
            <w:t>Vuoden 20</w:t>
          </w:r>
          <w:r w:rsidR="008807A2">
            <w:t>21</w:t>
          </w:r>
          <w:r>
            <w:t xml:space="preserve"> kustannusten perusteella maksettavaa tukea </w:t>
          </w:r>
          <w:r w:rsidR="008807A2">
            <w:t>tulisi siten</w:t>
          </w:r>
          <w:r>
            <w:t xml:space="preserve"> hakea vuonna 20</w:t>
          </w:r>
          <w:r w:rsidR="008807A2">
            <w:t>22</w:t>
          </w:r>
          <w:r>
            <w:t xml:space="preserve"> ja tuki maksettaisiin vuonna 20</w:t>
          </w:r>
          <w:r w:rsidR="008807A2">
            <w:t>22</w:t>
          </w:r>
          <w:r>
            <w:t>.</w:t>
          </w:r>
        </w:p>
        <w:p w14:paraId="57AEE191" w14:textId="710D5A91" w:rsidR="00842622" w:rsidRDefault="0063033A" w:rsidP="00F57FB1">
          <w:pPr>
            <w:pStyle w:val="LLPerustelujenkappalejako"/>
          </w:pPr>
          <w:r>
            <w:t xml:space="preserve">Sähköistämistuen myöntämisen edellytyksenä olisi, että </w:t>
          </w:r>
          <w:r w:rsidRPr="00F57FB1">
            <w:t xml:space="preserve">toiminnanharjoittaja </w:t>
          </w:r>
          <w:r>
            <w:t xml:space="preserve">voi osoittaa tehneensä energiatehokkuuslain </w:t>
          </w:r>
          <w:r w:rsidRPr="00F57FB1">
            <w:t>mukaisen energiakatselmuksen tai</w:t>
          </w:r>
          <w:r>
            <w:t>,</w:t>
          </w:r>
          <w:r w:rsidRPr="00F57FB1">
            <w:t xml:space="preserve"> että se on vapa</w:t>
          </w:r>
          <w:r>
            <w:t>utettu energiakatselmuksen teke</w:t>
          </w:r>
          <w:r w:rsidRPr="00F57FB1">
            <w:t>misestä energiatehokkuuslain 7 §:n nojalla.</w:t>
          </w:r>
          <w:r>
            <w:t xml:space="preserve"> </w:t>
          </w:r>
          <w:r w:rsidR="00842622">
            <w:t xml:space="preserve">Päästökaupan valtiontukisuuntaviivojen mukaan </w:t>
          </w:r>
          <w:r w:rsidR="00F57FB1" w:rsidRPr="00F57FB1">
            <w:t>tuensaaja</w:t>
          </w:r>
          <w:r w:rsidR="00F57FB1">
            <w:t>n tulee</w:t>
          </w:r>
          <w:r w:rsidR="00F57FB1" w:rsidRPr="00F57FB1">
            <w:t xml:space="preserve"> noudattaa velvoitetta tehdä </w:t>
          </w:r>
          <w:r w:rsidR="00F57FB1">
            <w:t>energiatehokkuusdirektiivissä tarkoitettu</w:t>
          </w:r>
          <w:r w:rsidR="00F57FB1" w:rsidRPr="00F57FB1">
            <w:t xml:space="preserve"> energiakatselmus. Katselmus voidaan tehdä joko itsenäisenä katselmuksena tai sertifioidun energianhallintajärjestelmän tai ympäristöasioiden hallintajärjestelmän, esimerkiksi EU:n ympäristöasioiden hallinta- ja </w:t>
          </w:r>
          <w:r w:rsidR="00F57FB1">
            <w:t>auditointijärjestelmän (EMAS)</w:t>
          </w:r>
          <w:r w:rsidR="00F57FB1" w:rsidRPr="00F57FB1">
            <w:t xml:space="preserve"> puitteissa.</w:t>
          </w:r>
          <w:r w:rsidR="00F57FB1">
            <w:t xml:space="preserve"> </w:t>
          </w:r>
          <w:r w:rsidR="00292E82" w:rsidRPr="00292E82">
            <w:t>Energiatehokkuuslaki velvoittaa su</w:t>
          </w:r>
          <w:r w:rsidR="00292E82">
            <w:t>uret yritykset tekemään energia</w:t>
          </w:r>
          <w:r w:rsidR="00292E82" w:rsidRPr="00292E82">
            <w:t>katselmuksen neljän vuoden välein.</w:t>
          </w:r>
          <w:r w:rsidR="00F57FB1" w:rsidRPr="00F57FB1">
            <w:t xml:space="preserve"> </w:t>
          </w:r>
          <w:r w:rsidR="00292E82" w:rsidRPr="00292E82">
            <w:t>Neljän vuoden välein tehtävää energiakatselmusta ei vaadita yrityksiltä, jotka ovat mukana Energiatehokkuussopimuksessa ja joilla on sertifioitu energiatehokkuusjärjestelmä (ETJ+); joilla on sertifioitu ISO50001 -järjestelmä; tai joilla on sertifioitu ISO14001 -järjestelmä ja ETJ+.</w:t>
          </w:r>
          <w:r w:rsidR="00292E82">
            <w:t xml:space="preserve"> </w:t>
          </w:r>
          <w:r w:rsidR="00F57FB1">
            <w:t xml:space="preserve">Sähköistämistuen piiriin kuuluvista toiminnanharjoittajista valtaosa </w:t>
          </w:r>
          <w:r w:rsidR="000C74DA">
            <w:t>on jo valmiiksi energiatehokkuuslain</w:t>
          </w:r>
          <w:r w:rsidR="00292E82">
            <w:t xml:space="preserve"> velvoitteen piirissä. Jotta asiasta saadaan varmuus, tulisi asia varmistaa hakemuskäsittelyn yhteydessä tukea hakevalta toiminnanharjoittajalta. Velvoite katselmoinnin tekoon tulisi uutena muutam</w:t>
          </w:r>
          <w:r w:rsidR="004D55A8">
            <w:t>ille pienille ja keskisuurille yrityksi</w:t>
          </w:r>
          <w:r w:rsidR="00292E82">
            <w:t>lle, jotka ovat oikeutettuja hakemaan sähköistämistukea. Koska katselmoinnin teko vaatii näiltä toiminnanharjoittajalta aikaa ja resursseja, riittäisi, että pienet ja keskisuuret yritykset osoittaisivat täyttäneensä velvoitteen ensimmäistä tuenmyö</w:t>
          </w:r>
          <w:r w:rsidR="00581F48">
            <w:t>ntämisvuotta seuraavana vuonna.</w:t>
          </w:r>
        </w:p>
        <w:p w14:paraId="6B105688" w14:textId="0904AA55" w:rsidR="0017706B" w:rsidRDefault="0017706B" w:rsidP="00F57FB1">
          <w:pPr>
            <w:pStyle w:val="LLPerustelujenkappalejako"/>
          </w:pPr>
          <w:r w:rsidRPr="0017706B">
            <w:t>Päästökaupan valtiontukisuuntaviivat edellyttävät, että niiden mukaista tukea myöntä</w:t>
          </w:r>
          <w:r>
            <w:t>vät jäsenvaltiot sitoutuvat seu</w:t>
          </w:r>
          <w:r w:rsidRPr="0017706B">
            <w:t xml:space="preserve">raamaan, että tuensaajat, jotka kuuluvat </w:t>
          </w:r>
          <w:r>
            <w:t>energiatehokkuusdirektiivin</w:t>
          </w:r>
          <w:r w:rsidRPr="0017706B">
            <w:t xml:space="preserve"> mukaise</w:t>
          </w:r>
          <w:r>
            <w:t>n</w:t>
          </w:r>
          <w:r w:rsidRPr="0017706B">
            <w:t xml:space="preserve"> energiakatselmuksen tekemistä koskevan velvoitteen piiriin,</w:t>
          </w:r>
          <w:r>
            <w:t xml:space="preserve"> toteuttavat jonkun suuntaviivoissa kuvatusta kolmesta ehdosta. Vaihtoehtoiset ehdot ovat:</w:t>
          </w:r>
          <w:r w:rsidRPr="0017706B">
            <w:t xml:space="preserve"> </w:t>
          </w:r>
          <w:r>
            <w:t xml:space="preserve">a) </w:t>
          </w:r>
          <w:r w:rsidRPr="0017706B">
            <w:t>noudattavat katselmuksesta tehtävän raportin suosituksia siltä osin kuin niiden edellyttämien investointien takaisinmaksuaika on enintään kolme vuotta ja investointien kustannukset ov</w:t>
          </w:r>
          <w:r>
            <w:t>at oikeasuhteisia;</w:t>
          </w:r>
          <w:r w:rsidRPr="0017706B">
            <w:t xml:space="preserve"> tai</w:t>
          </w:r>
          <w:r>
            <w:t xml:space="preserve"> b)</w:t>
          </w:r>
          <w:r w:rsidRPr="0017706B">
            <w:t xml:space="preserve"> pienentävät sähkönkulutuksensa hiilijalanjälkeä siten, että ne kattavat vähintään 30 prosenttia sähkönkulutuksestaan hiilettömistä lähteistä tuotetulla sähköllä; tai </w:t>
          </w:r>
          <w:r>
            <w:t xml:space="preserve">c) </w:t>
          </w:r>
          <w:r w:rsidRPr="0017706B">
            <w:t xml:space="preserve">investoivat tukisummasta huomattavan osuuden eli vähintään 50 prosenttia hankkeisiin, joilla saadaan vähennettyä </w:t>
          </w:r>
          <w:r>
            <w:t>laitoksen kasvihuonekaasupäästö</w:t>
          </w:r>
          <w:r w:rsidRPr="0017706B">
            <w:t>jä merkittävästi ja huomattavasti alle EU:n päästökauppajärjestelmässä maksutta jaettavia päästöoikeuksia varten sovellettavan vertailuarvon.</w:t>
          </w:r>
          <w:r>
            <w:t xml:space="preserve"> Näiden vaihtoehtojen soveltuvuutta Suomen kansalliseen tukijär</w:t>
          </w:r>
          <w:r w:rsidRPr="0017706B">
            <w:t xml:space="preserve">jestelmään </w:t>
          </w:r>
          <w:r>
            <w:t xml:space="preserve">on tarpeen </w:t>
          </w:r>
          <w:r w:rsidRPr="0017706B">
            <w:t>tarkastella</w:t>
          </w:r>
          <w:r>
            <w:t xml:space="preserve"> yksityiskohtaisemmin.</w:t>
          </w:r>
        </w:p>
        <w:p w14:paraId="346836F3" w14:textId="26189838" w:rsidR="00CA52BB" w:rsidRDefault="00B2553E" w:rsidP="006837B4">
          <w:pPr>
            <w:pStyle w:val="LLPerustelujenkappalejako"/>
          </w:pPr>
          <w:r>
            <w:t>E</w:t>
          </w:r>
          <w:r w:rsidR="00C417F0">
            <w:t>ht</w:t>
          </w:r>
          <w:r>
            <w:t>o</w:t>
          </w:r>
          <w:r w:rsidR="00C417F0">
            <w:t xml:space="preserve"> a) tarkoittaisi, että yritykselle </w:t>
          </w:r>
          <w:r>
            <w:t>tuli</w:t>
          </w:r>
          <w:r w:rsidR="00C417F0">
            <w:t xml:space="preserve">si </w:t>
          </w:r>
          <w:r w:rsidR="000C74DA">
            <w:t>pakolliseksi tehdä katselmoinnista tehtävään raporttiin kirjatut</w:t>
          </w:r>
          <w:r w:rsidR="00C417F0">
            <w:t xml:space="preserve"> toimenpidesuositukset, kun kyse on investoinneista, joilla on enintään kolmen vuoden takaisinmaksuaika ja joiden kustannukset ovat oikeasuhteisia. Nykyisellään suurten yritysten katselmointien toimenpide-ehdotuksista toteutetaan karkeasti puolet, hajonnan ollessa </w:t>
          </w:r>
          <w:r w:rsidR="00C417F0" w:rsidRPr="00C417F0">
            <w:t>suurta</w:t>
          </w:r>
          <w:r w:rsidR="00C417F0">
            <w:t xml:space="preserve">. </w:t>
          </w:r>
          <w:r w:rsidR="006837B4">
            <w:t xml:space="preserve">Mikäli investoinnit tulisivat pakollisiksi, on mahdollista, että tällöin osa toimenpidesuosituksista jätettäisiin kirjaamatta katselmoinnista tehtävään raporttiin, mikäli ne olisivat vastoin yrityksen toimintasuunnitelmaa. Katselmuksissa ei </w:t>
          </w:r>
          <w:r w:rsidR="000C74DA">
            <w:t xml:space="preserve">myöskään </w:t>
          </w:r>
          <w:r w:rsidR="006837B4">
            <w:t>välttämättä tehdä täsmällisiä toimenpide-ehdotuksia vaan ne perustuvat arv</w:t>
          </w:r>
          <w:r w:rsidR="000C74DA">
            <w:t>ioihin. Näin ollen kaikki raporttiin kirjattavat suositukset</w:t>
          </w:r>
          <w:r w:rsidR="006837B4">
            <w:t xml:space="preserve"> eivät </w:t>
          </w:r>
          <w:r w:rsidR="000C74DA">
            <w:t>v</w:t>
          </w:r>
          <w:r w:rsidR="006837B4">
            <w:t xml:space="preserve">älttämättä ole </w:t>
          </w:r>
          <w:r w:rsidR="00384A1B">
            <w:t xml:space="preserve">niin </w:t>
          </w:r>
          <w:r w:rsidR="006837B4">
            <w:t>hyviä</w:t>
          </w:r>
          <w:r w:rsidR="00384A1B">
            <w:t xml:space="preserve"> ja toteuttamiskelpoisia</w:t>
          </w:r>
          <w:r w:rsidR="006837B4">
            <w:t xml:space="preserve"> ehdot</w:t>
          </w:r>
          <w:r w:rsidR="00384A1B">
            <w:t>uksia, kun niitä tarkastellaan yksityiskohtaisemmin</w:t>
          </w:r>
          <w:r w:rsidR="006837B4">
            <w:t>.</w:t>
          </w:r>
          <w:r w:rsidR="00682231">
            <w:t xml:space="preserve"> </w:t>
          </w:r>
          <w:r w:rsidR="000C74DA">
            <w:t>Suuntaviivojen e</w:t>
          </w:r>
          <w:r w:rsidR="00682231">
            <w:t>hdossa sovellettava takaisinmaksuaika</w:t>
          </w:r>
          <w:r w:rsidR="00682231" w:rsidRPr="006837B4">
            <w:t xml:space="preserve"> viittaa pienempiin hankkei</w:t>
          </w:r>
          <w:r w:rsidR="00682231">
            <w:t>siin ja jatku</w:t>
          </w:r>
          <w:r w:rsidR="006A419B">
            <w:t>vaan parantamiseen. On</w:t>
          </w:r>
          <w:r w:rsidR="00682231">
            <w:t xml:space="preserve"> mahdollista, että </w:t>
          </w:r>
          <w:r w:rsidR="00C417F0">
            <w:t>eh</w:t>
          </w:r>
          <w:r w:rsidR="00682231">
            <w:t>don täyttäviä investointeja ei</w:t>
          </w:r>
          <w:r w:rsidR="006A419B">
            <w:t xml:space="preserve"> löytyisi</w:t>
          </w:r>
          <w:r w:rsidR="006837B4">
            <w:t xml:space="preserve"> kaikkien tuensaajien suosituksissa lainkaan ja näin ollen suuntaviivojen kriteeri ei</w:t>
          </w:r>
          <w:r w:rsidR="00217E8E">
            <w:t xml:space="preserve"> sellaisenaan soveltuisi kaikkiin tuen piirissä </w:t>
          </w:r>
          <w:r w:rsidR="00581F48">
            <w:t>oleviin toiminnanharjoittajiin.</w:t>
          </w:r>
        </w:p>
        <w:p w14:paraId="33BCB844" w14:textId="19260946" w:rsidR="009144A7" w:rsidRDefault="006A419B" w:rsidP="004F315C">
          <w:pPr>
            <w:pStyle w:val="LLPerustelujenkappalejako"/>
          </w:pPr>
          <w:r w:rsidRPr="008906CA">
            <w:t>Suuntaviivojen e</w:t>
          </w:r>
          <w:r w:rsidR="009144A7" w:rsidRPr="008906CA">
            <w:t>hto b) edellyttäisi tuensaaji</w:t>
          </w:r>
          <w:r w:rsidR="00E14020" w:rsidRPr="008906CA">
            <w:t>en</w:t>
          </w:r>
          <w:r w:rsidR="00796258" w:rsidRPr="008906CA">
            <w:t xml:space="preserve"> varmista</w:t>
          </w:r>
          <w:r w:rsidR="00E14020" w:rsidRPr="008906CA">
            <w:t>v</w:t>
          </w:r>
          <w:r w:rsidR="00796258" w:rsidRPr="008906CA">
            <w:t xml:space="preserve">an, että sähkönkulutuksesta vähintään 30 </w:t>
          </w:r>
          <w:r w:rsidRPr="008906CA">
            <w:t>prosenttia</w:t>
          </w:r>
          <w:r w:rsidR="00796258" w:rsidRPr="008906CA">
            <w:t xml:space="preserve"> on katettu hiilettömistä lähteistä tuotetulla sähköllä</w:t>
          </w:r>
          <w:r w:rsidR="00506028" w:rsidRPr="008906CA">
            <w:t xml:space="preserve">. </w:t>
          </w:r>
          <w:r w:rsidR="00CA52BB" w:rsidRPr="008906CA">
            <w:t>Hiilettömällä lähteellä viitataan sellaisen sähkön tuotantoon, jo</w:t>
          </w:r>
          <w:r w:rsidR="00E14020" w:rsidRPr="008906CA">
            <w:t>sta ei aiheudu lainkaan</w:t>
          </w:r>
          <w:r w:rsidR="00CA52BB" w:rsidRPr="008906CA">
            <w:t xml:space="preserve"> hiilidioksidipäästö</w:t>
          </w:r>
          <w:r w:rsidR="00E14020" w:rsidRPr="008906CA">
            <w:t>jä</w:t>
          </w:r>
          <w:r w:rsidR="00CA52BB" w:rsidRPr="008906CA">
            <w:t xml:space="preserve">. AFRY Consultingin selvityksen mukaan tällaiseen tuotantoon voidaan Suomessa laskea kuuluvaksi ainakin mm. ydinvoima, vesivoima ja tuulivoima. Tällä oletuksella laskien vuonna 2020 </w:t>
          </w:r>
          <w:r w:rsidR="00E14020" w:rsidRPr="008906CA">
            <w:t xml:space="preserve">Suomen sähkön tuotannosta </w:t>
          </w:r>
          <w:r w:rsidR="00CA52BB" w:rsidRPr="008906CA">
            <w:t xml:space="preserve">70 </w:t>
          </w:r>
          <w:r w:rsidR="004F315C" w:rsidRPr="008906CA">
            <w:t>prosenttia</w:t>
          </w:r>
          <w:r w:rsidR="00CA52BB" w:rsidRPr="008906CA">
            <w:t xml:space="preserve"> oli lähtöisin hiilettömistä lähteistä. Ehdon toteutumista arvioitaessa myös biomassa katsottaisiin tässä yhteydessä hiilettömäksi lähteeksi. Päästökauppadirektiivin mukaan kestävyyskriteerit </w:t>
          </w:r>
          <w:r w:rsidR="004F315C" w:rsidRPr="008906CA">
            <w:t>täyttävän biomassan laskennalliset</w:t>
          </w:r>
          <w:r w:rsidR="00CA52BB" w:rsidRPr="008906CA">
            <w:t xml:space="preserve"> hiilidioksidipäästö</w:t>
          </w:r>
          <w:r w:rsidR="004F315C" w:rsidRPr="008906CA">
            <w:t>t ovat</w:t>
          </w:r>
          <w:r w:rsidR="00CA52BB" w:rsidRPr="008906CA">
            <w:t xml:space="preserve"> nolla. Kun biomassa lasketaan mukaan hiilettömäksi lähteeksi, vuonna 2020 </w:t>
          </w:r>
          <w:r w:rsidR="00E14020" w:rsidRPr="008906CA">
            <w:t xml:space="preserve">Suomen sähkön tuotannosta </w:t>
          </w:r>
          <w:r w:rsidR="00CA52BB" w:rsidRPr="008906CA">
            <w:t xml:space="preserve">85 </w:t>
          </w:r>
          <w:r w:rsidR="004F315C" w:rsidRPr="008906CA">
            <w:t>prosenttia</w:t>
          </w:r>
          <w:r w:rsidR="00CA52BB" w:rsidRPr="008906CA">
            <w:t xml:space="preserve"> oli lähtöisin hiilettömistä lähteistä. </w:t>
          </w:r>
          <w:proofErr w:type="spellStart"/>
          <w:r w:rsidR="004F315C" w:rsidRPr="008906CA">
            <w:t>AFRYn</w:t>
          </w:r>
          <w:proofErr w:type="spellEnd"/>
          <w:r w:rsidR="004F315C" w:rsidRPr="008906CA">
            <w:t xml:space="preserve"> selvitystyön</w:t>
          </w:r>
          <w:r w:rsidR="0081602B" w:rsidRPr="008906CA">
            <w:t xml:space="preserve"> </w:t>
          </w:r>
          <w:r w:rsidR="004F315C" w:rsidRPr="008906CA">
            <w:t>yhteydessä tehtyyn kyselyyn vastanneet tuen piiriin kuuluvat toiminnanharjoittajat hankkivat sähkönsä ensisijaisesti pörssistä ja kahdenvälisillä sopimuksilla, jotka ovat myös pääosin pörssisähköä. Lisäksi käytössä on myös ns. PPA-sopimuksia ja metsäteollisuuden alan tuensaajilla on omaa sähkön ja lämmön tuotantoa. Tämä oma tuotanto käyttää myös fossiilisia polttoaineita. Päästöttömän sähkön osuus on toimijoiden sähkön hankinnasta jo nyt selvästi korkeampi kuin komission ehtojen mukainen 30 prosenttia. Myös ostamalla markkinasähköä toimija ylittää 30 prosentin vaatimuksen. Metsäteollisuuden piirissä olevilla laitoksilla oli useammalla omaa uusiutuvaa sähkön tuotantoa, esim. vesivoimaa, joka nostaa koko alan uusiutuvan sähkön osuutta. Selvitys osoitti, että pienin päästöttömän sähkön osuus oli metsäteollisuuden toimijalla (38 %), suurin (100 %) samoin metsäteollisuuden toimijalla. Uusiutuvan sähkön osalta pienin osuus oli 2 % ja suurin 100 %. Päästöttömän ja uusiutuvan sähkön osuudet on laskettu kunkin laitoksen sähkön kulutuksella painotettuna keskiarvona, toimijoiden ilmoittamien tietojen perusteella.</w:t>
          </w:r>
        </w:p>
        <w:p w14:paraId="69F5D0B5" w14:textId="1AFD8976" w:rsidR="006837B4" w:rsidRPr="00581F48" w:rsidRDefault="006837B4" w:rsidP="006837B4">
          <w:pPr>
            <w:pStyle w:val="LLPerustelujenkappalejako"/>
            <w:rPr>
              <w:sz w:val="20"/>
              <w:szCs w:val="20"/>
            </w:rPr>
          </w:pPr>
          <w:r>
            <w:t>S</w:t>
          </w:r>
          <w:r w:rsidR="00384A1B">
            <w:t>uuntaviivojen ehd</w:t>
          </w:r>
          <w:r>
            <w:t>o</w:t>
          </w:r>
          <w:r w:rsidR="00384A1B">
            <w:t>n</w:t>
          </w:r>
          <w:r>
            <w:t xml:space="preserve"> c) </w:t>
          </w:r>
          <w:r w:rsidR="00384A1B">
            <w:t xml:space="preserve">mukaisesti laitoksen tietojen perusteella myönnetystä tuesta vähintään 50 % tulisi kohdistaa laitoksella tapahtuviin päästövähennyshankkeisiin. </w:t>
          </w:r>
          <w:r w:rsidR="00682231">
            <w:t>Päästöjen tulisi vähentyä huomattavasti alle vertailuarvon, jota kyseisen tuotteen tuottamiseen sovelletaan päästökauppajärjestelmässä, määritettäessä päästöoikeuksien ilmaisjakoa.</w:t>
          </w:r>
          <w:r w:rsidR="00384A1B">
            <w:t xml:space="preserve"> </w:t>
          </w:r>
          <w:r w:rsidR="004F0E7C">
            <w:t>AFRY</w:t>
          </w:r>
          <w:r w:rsidR="009144A7">
            <w:t xml:space="preserve"> Consulting</w:t>
          </w:r>
          <w:r w:rsidR="004F0E7C">
            <w:t xml:space="preserve"> on selvityksessään arvioinut ehdon soveltuvuutta tuensaajiin Suomessa. Keskeisiä huomioita ovat,</w:t>
          </w:r>
          <w:r w:rsidR="004F0E7C" w:rsidRPr="004F0E7C">
            <w:t xml:space="preserve"> </w:t>
          </w:r>
          <w:r w:rsidR="004F0E7C">
            <w:t xml:space="preserve">että c-ehtoa ei ole mahdollista soveltaa kaikkiin toiminnanharjoittajiin koska </w:t>
          </w:r>
          <w:r w:rsidR="004F0E7C" w:rsidRPr="004F0E7C">
            <w:t>vaadittua päästökaupan ilmaisjaon vertailuarvoa ei ole määritel</w:t>
          </w:r>
          <w:r w:rsidR="004F0E7C">
            <w:t xml:space="preserve">ty kaikille tuen piiriin </w:t>
          </w:r>
          <w:r w:rsidR="004F0E7C" w:rsidRPr="004F0E7C">
            <w:t>oikeutetuille toimialoille</w:t>
          </w:r>
          <w:r w:rsidR="004F0E7C">
            <w:t xml:space="preserve">. </w:t>
          </w:r>
          <w:r w:rsidR="008A1E4E" w:rsidRPr="008A1E4E">
            <w:t>Näitä ovat suurin osa ke</w:t>
          </w:r>
          <w:r w:rsidR="006A419B">
            <w:t>mian ja metallin alan toimialoista</w:t>
          </w:r>
          <w:r w:rsidR="008A1E4E" w:rsidRPr="008A1E4E">
            <w:t>. Monella näistä toimijoista päästöjä sen sijaan syntyy laitoksen ulkopuolelta ost</w:t>
          </w:r>
          <w:r w:rsidR="00E14020">
            <w:t>etun</w:t>
          </w:r>
          <w:r w:rsidR="008A1E4E" w:rsidRPr="008A1E4E">
            <w:t xml:space="preserve"> energian tuotannossa, mutta tätä energiaa tuottaa se</w:t>
          </w:r>
          <w:r w:rsidR="008A1E4E">
            <w:t>llainen taho, jonka toimintaan toiminnanharjoittajan toimilla</w:t>
          </w:r>
          <w:r w:rsidR="008A1E4E" w:rsidRPr="008A1E4E">
            <w:t xml:space="preserve"> ei ole vaikutusta. </w:t>
          </w:r>
          <w:r w:rsidR="004F0E7C">
            <w:t xml:space="preserve">Metsäteollisuudessa iso osa myös jo nykyisellään alittaa sovellettavan vertailuarvon, joten päästöjen vähenemistä ei voida arvioida suuntaviivojen ehdon mukaisesti. </w:t>
          </w:r>
          <w:r w:rsidR="008A1E4E">
            <w:t>Ehdon soveltuvuutta toimialoitt</w:t>
          </w:r>
          <w:r w:rsidR="008A1E4E" w:rsidRPr="00581F48">
            <w:rPr>
              <w:sz w:val="20"/>
              <w:szCs w:val="20"/>
            </w:rPr>
            <w:t>ain on ku</w:t>
          </w:r>
          <w:r w:rsidR="00581F48" w:rsidRPr="00581F48">
            <w:rPr>
              <w:sz w:val="20"/>
              <w:szCs w:val="20"/>
            </w:rPr>
            <w:t>vattu alla olevassa taulukossa.</w:t>
          </w:r>
        </w:p>
        <w:tbl>
          <w:tblPr>
            <w:tblStyle w:val="TaulukkoRuudukko"/>
            <w:tblpPr w:leftFromText="141" w:rightFromText="141" w:vertAnchor="text" w:horzAnchor="margin" w:tblpY="151"/>
            <w:tblW w:w="0" w:type="auto"/>
            <w:tblLook w:val="04A0" w:firstRow="1" w:lastRow="0" w:firstColumn="1" w:lastColumn="0" w:noHBand="0" w:noVBand="1"/>
          </w:tblPr>
          <w:tblGrid>
            <w:gridCol w:w="2972"/>
            <w:gridCol w:w="1701"/>
            <w:gridCol w:w="1701"/>
            <w:gridCol w:w="1962"/>
          </w:tblGrid>
          <w:tr w:rsidR="004F0E7C" w:rsidRPr="00581F48" w14:paraId="7EC48FF4" w14:textId="77777777" w:rsidTr="008E62DA">
            <w:trPr>
              <w:trHeight w:val="269"/>
            </w:trPr>
            <w:tc>
              <w:tcPr>
                <w:tcW w:w="2972" w:type="dxa"/>
              </w:tcPr>
              <w:p w14:paraId="16549EF3" w14:textId="188DACA0" w:rsidR="004F0E7C" w:rsidRPr="00581F48" w:rsidRDefault="004F0E7C" w:rsidP="00581F48">
                <w:pPr>
                  <w:pStyle w:val="LLNormaali"/>
                  <w:rPr>
                    <w:sz w:val="20"/>
                    <w:szCs w:val="20"/>
                  </w:rPr>
                </w:pPr>
              </w:p>
            </w:tc>
            <w:tc>
              <w:tcPr>
                <w:tcW w:w="1701" w:type="dxa"/>
              </w:tcPr>
              <w:p w14:paraId="47629908" w14:textId="77777777" w:rsidR="004F0E7C" w:rsidRPr="00581F48" w:rsidRDefault="004F0E7C" w:rsidP="00581F48">
                <w:pPr>
                  <w:pStyle w:val="LLNormaali"/>
                  <w:rPr>
                    <w:b/>
                    <w:sz w:val="20"/>
                    <w:szCs w:val="20"/>
                  </w:rPr>
                </w:pPr>
                <w:r w:rsidRPr="00581F48">
                  <w:rPr>
                    <w:b/>
                    <w:sz w:val="20"/>
                    <w:szCs w:val="20"/>
                  </w:rPr>
                  <w:t>Metsä</w:t>
                </w:r>
                <w:r w:rsidR="00AD4588" w:rsidRPr="00581F48">
                  <w:rPr>
                    <w:b/>
                    <w:sz w:val="20"/>
                    <w:szCs w:val="20"/>
                  </w:rPr>
                  <w:t>teollisuus</w:t>
                </w:r>
              </w:p>
            </w:tc>
            <w:tc>
              <w:tcPr>
                <w:tcW w:w="1701" w:type="dxa"/>
              </w:tcPr>
              <w:p w14:paraId="2C95B00F" w14:textId="77777777" w:rsidR="004F0E7C" w:rsidRPr="00581F48" w:rsidRDefault="004F0E7C" w:rsidP="00581F48">
                <w:pPr>
                  <w:pStyle w:val="LLNormaali"/>
                  <w:rPr>
                    <w:b/>
                    <w:sz w:val="20"/>
                    <w:szCs w:val="20"/>
                  </w:rPr>
                </w:pPr>
                <w:r w:rsidRPr="00581F48">
                  <w:rPr>
                    <w:b/>
                    <w:sz w:val="20"/>
                    <w:szCs w:val="20"/>
                  </w:rPr>
                  <w:t>Metalli</w:t>
                </w:r>
                <w:r w:rsidR="00AD4588" w:rsidRPr="00581F48">
                  <w:rPr>
                    <w:b/>
                    <w:sz w:val="20"/>
                    <w:szCs w:val="20"/>
                  </w:rPr>
                  <w:t>teollisuus</w:t>
                </w:r>
              </w:p>
            </w:tc>
            <w:tc>
              <w:tcPr>
                <w:tcW w:w="1962" w:type="dxa"/>
              </w:tcPr>
              <w:p w14:paraId="058FF55C" w14:textId="77777777" w:rsidR="004F0E7C" w:rsidRPr="00581F48" w:rsidRDefault="004F0E7C" w:rsidP="00581F48">
                <w:pPr>
                  <w:pStyle w:val="LLNormaali"/>
                  <w:rPr>
                    <w:b/>
                    <w:sz w:val="20"/>
                    <w:szCs w:val="20"/>
                  </w:rPr>
                </w:pPr>
                <w:r w:rsidRPr="00581F48">
                  <w:rPr>
                    <w:b/>
                    <w:sz w:val="20"/>
                    <w:szCs w:val="20"/>
                  </w:rPr>
                  <w:t>Kemia</w:t>
                </w:r>
                <w:r w:rsidR="00AD4588" w:rsidRPr="00581F48">
                  <w:rPr>
                    <w:b/>
                    <w:sz w:val="20"/>
                    <w:szCs w:val="20"/>
                  </w:rPr>
                  <w:t>n teollisuus</w:t>
                </w:r>
              </w:p>
            </w:tc>
          </w:tr>
          <w:tr w:rsidR="004F0E7C" w:rsidRPr="00581F48" w14:paraId="299EB7AA" w14:textId="77777777" w:rsidTr="008E62DA">
            <w:tc>
              <w:tcPr>
                <w:tcW w:w="2972" w:type="dxa"/>
              </w:tcPr>
              <w:p w14:paraId="55D3730F" w14:textId="77777777" w:rsidR="004F0E7C" w:rsidRPr="00581F48" w:rsidRDefault="004F0E7C" w:rsidP="00581F48">
                <w:pPr>
                  <w:pStyle w:val="LLNormaali"/>
                  <w:rPr>
                    <w:bCs/>
                    <w:sz w:val="20"/>
                    <w:szCs w:val="20"/>
                  </w:rPr>
                </w:pPr>
                <w:r w:rsidRPr="00581F48">
                  <w:rPr>
                    <w:bCs/>
                    <w:sz w:val="20"/>
                    <w:szCs w:val="20"/>
                  </w:rPr>
                  <w:t>Laitoksen v. 2020 päästöt alle v. 2021 ilmaisjakorajan (kpl)</w:t>
                </w:r>
              </w:p>
            </w:tc>
            <w:tc>
              <w:tcPr>
                <w:tcW w:w="1701" w:type="dxa"/>
                <w:vAlign w:val="center"/>
              </w:tcPr>
              <w:p w14:paraId="2BF1E430" w14:textId="77777777" w:rsidR="004F0E7C" w:rsidRPr="00581F48" w:rsidRDefault="004F0E7C" w:rsidP="00581F48">
                <w:pPr>
                  <w:pStyle w:val="LLNormaali"/>
                  <w:rPr>
                    <w:sz w:val="20"/>
                    <w:szCs w:val="20"/>
                  </w:rPr>
                </w:pPr>
                <w:r w:rsidRPr="00581F48">
                  <w:rPr>
                    <w:sz w:val="20"/>
                    <w:szCs w:val="20"/>
                  </w:rPr>
                  <w:t>25</w:t>
                </w:r>
              </w:p>
            </w:tc>
            <w:tc>
              <w:tcPr>
                <w:tcW w:w="1701" w:type="dxa"/>
                <w:vAlign w:val="center"/>
              </w:tcPr>
              <w:p w14:paraId="79CBC1D4" w14:textId="77777777" w:rsidR="004F0E7C" w:rsidRPr="00581F48" w:rsidRDefault="004F0E7C" w:rsidP="00581F48">
                <w:pPr>
                  <w:pStyle w:val="LLNormaali"/>
                  <w:rPr>
                    <w:sz w:val="20"/>
                    <w:szCs w:val="20"/>
                  </w:rPr>
                </w:pPr>
                <w:r w:rsidRPr="00581F48">
                  <w:rPr>
                    <w:sz w:val="20"/>
                    <w:szCs w:val="20"/>
                  </w:rPr>
                  <w:t>1</w:t>
                </w:r>
              </w:p>
            </w:tc>
            <w:tc>
              <w:tcPr>
                <w:tcW w:w="1962" w:type="dxa"/>
                <w:vAlign w:val="center"/>
              </w:tcPr>
              <w:p w14:paraId="18D7CB4B" w14:textId="77777777" w:rsidR="004F0E7C" w:rsidRPr="00581F48" w:rsidRDefault="004F0E7C" w:rsidP="00581F48">
                <w:pPr>
                  <w:pStyle w:val="LLNormaali"/>
                  <w:rPr>
                    <w:sz w:val="20"/>
                    <w:szCs w:val="20"/>
                  </w:rPr>
                </w:pPr>
                <w:r w:rsidRPr="00581F48">
                  <w:rPr>
                    <w:sz w:val="20"/>
                    <w:szCs w:val="20"/>
                  </w:rPr>
                  <w:t>0</w:t>
                </w:r>
              </w:p>
            </w:tc>
          </w:tr>
          <w:tr w:rsidR="004F0E7C" w:rsidRPr="00581F48" w14:paraId="5166336E" w14:textId="77777777" w:rsidTr="008E62DA">
            <w:tc>
              <w:tcPr>
                <w:tcW w:w="2972" w:type="dxa"/>
              </w:tcPr>
              <w:p w14:paraId="48F8D02C" w14:textId="77777777" w:rsidR="004F0E7C" w:rsidRPr="00581F48" w:rsidRDefault="004F0E7C" w:rsidP="00581F48">
                <w:pPr>
                  <w:pStyle w:val="LLNormaali"/>
                  <w:rPr>
                    <w:bCs/>
                    <w:sz w:val="20"/>
                    <w:szCs w:val="20"/>
                  </w:rPr>
                </w:pPr>
                <w:r w:rsidRPr="00581F48">
                  <w:rPr>
                    <w:bCs/>
                    <w:sz w:val="20"/>
                    <w:szCs w:val="20"/>
                  </w:rPr>
                  <w:t>Laitoksen v. 2020 päästöt yli v. 2021 ilmaisjakorajan (kpl)</w:t>
                </w:r>
              </w:p>
            </w:tc>
            <w:tc>
              <w:tcPr>
                <w:tcW w:w="1701" w:type="dxa"/>
                <w:vAlign w:val="center"/>
              </w:tcPr>
              <w:p w14:paraId="0C56F28B" w14:textId="77777777" w:rsidR="004F0E7C" w:rsidRPr="00581F48" w:rsidRDefault="004F0E7C" w:rsidP="00581F48">
                <w:pPr>
                  <w:pStyle w:val="LLNormaali"/>
                  <w:rPr>
                    <w:sz w:val="20"/>
                    <w:szCs w:val="20"/>
                  </w:rPr>
                </w:pPr>
                <w:r w:rsidRPr="00581F48">
                  <w:rPr>
                    <w:sz w:val="20"/>
                    <w:szCs w:val="20"/>
                  </w:rPr>
                  <w:t>11</w:t>
                </w:r>
              </w:p>
            </w:tc>
            <w:tc>
              <w:tcPr>
                <w:tcW w:w="1701" w:type="dxa"/>
                <w:vAlign w:val="center"/>
              </w:tcPr>
              <w:p w14:paraId="7EA367B4" w14:textId="77777777" w:rsidR="004F0E7C" w:rsidRPr="00581F48" w:rsidRDefault="004F0E7C" w:rsidP="00581F48">
                <w:pPr>
                  <w:pStyle w:val="LLNormaali"/>
                  <w:rPr>
                    <w:sz w:val="20"/>
                    <w:szCs w:val="20"/>
                  </w:rPr>
                </w:pPr>
                <w:r w:rsidRPr="00581F48">
                  <w:rPr>
                    <w:sz w:val="20"/>
                    <w:szCs w:val="20"/>
                  </w:rPr>
                  <w:t>4</w:t>
                </w:r>
              </w:p>
            </w:tc>
            <w:tc>
              <w:tcPr>
                <w:tcW w:w="1962" w:type="dxa"/>
                <w:vAlign w:val="center"/>
              </w:tcPr>
              <w:p w14:paraId="5DCE60D8" w14:textId="77777777" w:rsidR="004F0E7C" w:rsidRPr="00581F48" w:rsidRDefault="004F0E7C" w:rsidP="00581F48">
                <w:pPr>
                  <w:pStyle w:val="LLNormaali"/>
                  <w:rPr>
                    <w:sz w:val="20"/>
                    <w:szCs w:val="20"/>
                  </w:rPr>
                </w:pPr>
                <w:r w:rsidRPr="00581F48">
                  <w:rPr>
                    <w:sz w:val="20"/>
                    <w:szCs w:val="20"/>
                  </w:rPr>
                  <w:t>2</w:t>
                </w:r>
              </w:p>
            </w:tc>
          </w:tr>
          <w:tr w:rsidR="004F0E7C" w:rsidRPr="00581F48" w14:paraId="28071646" w14:textId="77777777" w:rsidTr="008E62DA">
            <w:trPr>
              <w:trHeight w:val="209"/>
            </w:trPr>
            <w:tc>
              <w:tcPr>
                <w:tcW w:w="2972" w:type="dxa"/>
              </w:tcPr>
              <w:p w14:paraId="58CFF18E" w14:textId="77777777" w:rsidR="004F0E7C" w:rsidRPr="00581F48" w:rsidRDefault="004F0E7C" w:rsidP="00581F48">
                <w:pPr>
                  <w:pStyle w:val="LLNormaali"/>
                  <w:rPr>
                    <w:bCs/>
                    <w:sz w:val="20"/>
                    <w:szCs w:val="20"/>
                  </w:rPr>
                </w:pPr>
                <w:r w:rsidRPr="00581F48">
                  <w:rPr>
                    <w:bCs/>
                    <w:sz w:val="20"/>
                    <w:szCs w:val="20"/>
                  </w:rPr>
                  <w:t>Laitos ei mukana päästöoikeuksien ilmaisjaossa (kpl)</w:t>
                </w:r>
              </w:p>
            </w:tc>
            <w:tc>
              <w:tcPr>
                <w:tcW w:w="1701" w:type="dxa"/>
                <w:vAlign w:val="center"/>
              </w:tcPr>
              <w:p w14:paraId="3C72B252" w14:textId="77777777" w:rsidR="004F0E7C" w:rsidRPr="00581F48" w:rsidRDefault="004F0E7C" w:rsidP="00581F48">
                <w:pPr>
                  <w:pStyle w:val="LLNormaali"/>
                  <w:rPr>
                    <w:sz w:val="20"/>
                    <w:szCs w:val="20"/>
                  </w:rPr>
                </w:pPr>
                <w:r w:rsidRPr="00581F48">
                  <w:rPr>
                    <w:sz w:val="20"/>
                    <w:szCs w:val="20"/>
                  </w:rPr>
                  <w:t>0</w:t>
                </w:r>
              </w:p>
            </w:tc>
            <w:tc>
              <w:tcPr>
                <w:tcW w:w="1701" w:type="dxa"/>
                <w:vAlign w:val="center"/>
              </w:tcPr>
              <w:p w14:paraId="172FD68C" w14:textId="77777777" w:rsidR="004F0E7C" w:rsidRPr="00581F48" w:rsidRDefault="004F0E7C" w:rsidP="00581F48">
                <w:pPr>
                  <w:pStyle w:val="LLNormaali"/>
                  <w:rPr>
                    <w:sz w:val="20"/>
                    <w:szCs w:val="20"/>
                  </w:rPr>
                </w:pPr>
                <w:r w:rsidRPr="00581F48">
                  <w:rPr>
                    <w:sz w:val="20"/>
                    <w:szCs w:val="20"/>
                  </w:rPr>
                  <w:t>7</w:t>
                </w:r>
              </w:p>
            </w:tc>
            <w:tc>
              <w:tcPr>
                <w:tcW w:w="1962" w:type="dxa"/>
                <w:vAlign w:val="center"/>
              </w:tcPr>
              <w:p w14:paraId="21467BC6" w14:textId="77777777" w:rsidR="004F0E7C" w:rsidRPr="00581F48" w:rsidRDefault="004F0E7C" w:rsidP="00581F48">
                <w:pPr>
                  <w:pStyle w:val="LLNormaali"/>
                  <w:rPr>
                    <w:sz w:val="20"/>
                    <w:szCs w:val="20"/>
                  </w:rPr>
                </w:pPr>
                <w:r w:rsidRPr="00581F48">
                  <w:rPr>
                    <w:sz w:val="20"/>
                    <w:szCs w:val="20"/>
                  </w:rPr>
                  <w:t>12</w:t>
                </w:r>
              </w:p>
            </w:tc>
          </w:tr>
        </w:tbl>
        <w:p w14:paraId="32EE4FE0" w14:textId="77777777" w:rsidR="008A1E4E" w:rsidRDefault="008A1E4E" w:rsidP="00581F48">
          <w:pPr>
            <w:pStyle w:val="LLNormaali"/>
          </w:pPr>
        </w:p>
        <w:p w14:paraId="7B7B130C" w14:textId="6D9157B4" w:rsidR="00992121" w:rsidRDefault="00842622" w:rsidP="00992121">
          <w:pPr>
            <w:pStyle w:val="LLPerustelujenkappalejako"/>
          </w:pPr>
          <w:r>
            <w:t xml:space="preserve">Edellä olevan tarkastelun perusteella </w:t>
          </w:r>
          <w:r w:rsidR="00992121">
            <w:t xml:space="preserve">suuntaviivojen vaihtoehtoisista ehdoista b) soveltuisi parhaiten yhtenäiseksi ehdoksi kaikille tuen piiriin kuuluville toimialoille ja toiminnanharjoittajille. On ilmeistä, </w:t>
          </w:r>
          <w:r>
            <w:t>että</w:t>
          </w:r>
          <w:r w:rsidR="00992121">
            <w:t xml:space="preserve"> tuensaajat täyttävät tämän ehdon. Jotta tuen suuntaviivojen mukaisuus voidaan varmistaa, edellytettäisiin, että toiminnanharjoittajan</w:t>
          </w:r>
          <w:r w:rsidR="00992121" w:rsidRPr="0017706B">
            <w:t xml:space="preserve"> tulisi </w:t>
          </w:r>
          <w:r w:rsidR="00992121">
            <w:t>toimittaa tukiviranomaiselle selvitys kuluttamansa sähkön hiilettömistä lähteistä tuotetun</w:t>
          </w:r>
          <w:r w:rsidR="00992121" w:rsidRPr="0017706B">
            <w:t xml:space="preserve"> sähkön osuudesta.</w:t>
          </w:r>
          <w:r w:rsidR="006A419B">
            <w:t xml:space="preserve"> Velvoite koskisi myös pieniä ja keskisuuria tu</w:t>
          </w:r>
          <w:r w:rsidR="00581F48">
            <w:t>ensaajia.</w:t>
          </w:r>
        </w:p>
        <w:p w14:paraId="3B96A8EC" w14:textId="77777777" w:rsidR="00384A1B" w:rsidRPr="00384A1B" w:rsidRDefault="00384A1B" w:rsidP="00842622">
          <w:pPr>
            <w:pStyle w:val="LLPerustelujenkappalejako"/>
            <w:rPr>
              <w:i/>
            </w:rPr>
          </w:pPr>
          <w:r w:rsidRPr="00384A1B">
            <w:rPr>
              <w:i/>
            </w:rPr>
            <w:t xml:space="preserve">Myönnettävä sähköistämistuen määrä </w:t>
          </w:r>
        </w:p>
        <w:p w14:paraId="1DDB3F6D" w14:textId="395FEA31" w:rsidR="00842622" w:rsidRDefault="00842622" w:rsidP="00CE4E92">
          <w:pPr>
            <w:pStyle w:val="LLPerustelujenkappalejako"/>
          </w:pPr>
          <w:r>
            <w:t>Vuosittain maksettavan tuen määrä laskettaisiin päästökaupan valtiontukisuuntaviivoissa määritelty</w:t>
          </w:r>
          <w:r w:rsidR="00253395">
            <w:t>j</w:t>
          </w:r>
          <w:r>
            <w:t>ä</w:t>
          </w:r>
          <w:r w:rsidR="00253395">
            <w:t xml:space="preserve"> kaavoja </w:t>
          </w:r>
          <w:r>
            <w:t>soveltaen siten, että tuki-intensiteetti olisi suuntaviivojen enimmäisintensiteettiä</w:t>
          </w:r>
          <w:r w:rsidR="00253395">
            <w:t xml:space="preserve"> </w:t>
          </w:r>
          <w:r>
            <w:t xml:space="preserve">alhaisempi. </w:t>
          </w:r>
          <w:r w:rsidR="00253395" w:rsidRPr="00253395">
            <w:t>Päästökaupan valtion</w:t>
          </w:r>
          <w:r w:rsidR="00253395">
            <w:t>tukisuuntaviivojen mukaisesti tuki</w:t>
          </w:r>
          <w:r w:rsidR="00253395" w:rsidRPr="00253395">
            <w:t xml:space="preserve"> </w:t>
          </w:r>
          <w:r w:rsidR="00253395">
            <w:t xml:space="preserve">on </w:t>
          </w:r>
          <w:r w:rsidR="00253395" w:rsidRPr="00253395">
            <w:t>oikeasuhteista ja sen kielteiset vaikutukset kilpailuun ja kauppaan ovat riittävän vähäiset, jos se on enintään 75 prosenttia aiheutuneista välillisistä päästökustannuksista.</w:t>
          </w:r>
          <w:r w:rsidR="00253395">
            <w:t xml:space="preserve"> </w:t>
          </w:r>
          <w:r>
            <w:t xml:space="preserve">Pääministeri </w:t>
          </w:r>
          <w:r w:rsidR="00253395">
            <w:t xml:space="preserve">Sanna </w:t>
          </w:r>
          <w:proofErr w:type="spellStart"/>
          <w:r w:rsidR="00253395">
            <w:t>Marinin</w:t>
          </w:r>
          <w:proofErr w:type="spellEnd"/>
          <w:r>
            <w:t xml:space="preserve"> hallitus on linjannut, että </w:t>
          </w:r>
          <w:r w:rsidR="00217E8E">
            <w:t>kansallisessa tukiohjelmassa</w:t>
          </w:r>
          <w:r>
            <w:t xml:space="preserve"> </w:t>
          </w:r>
          <w:r w:rsidR="00217E8E">
            <w:t xml:space="preserve">tuki </w:t>
          </w:r>
          <w:r>
            <w:t>mitoitetaan</w:t>
          </w:r>
          <w:r w:rsidR="00217E8E">
            <w:t xml:space="preserve"> vastaamaan</w:t>
          </w:r>
          <w:r>
            <w:t xml:space="preserve"> </w:t>
          </w:r>
          <w:r w:rsidR="00253395">
            <w:t>25</w:t>
          </w:r>
          <w:r>
            <w:t xml:space="preserve"> prosentti</w:t>
          </w:r>
          <w:r w:rsidR="00217E8E">
            <w:t>a</w:t>
          </w:r>
          <w:r>
            <w:t xml:space="preserve"> </w:t>
          </w:r>
          <w:r w:rsidR="00217E8E" w:rsidRPr="00253395">
            <w:t>aiheutuneista välillisistä päästökustannuksista</w:t>
          </w:r>
          <w:r w:rsidR="00217E8E">
            <w:t xml:space="preserve">. </w:t>
          </w:r>
          <w:r w:rsidR="00CE4E92">
            <w:t xml:space="preserve">Vuosittain </w:t>
          </w:r>
          <w:r w:rsidR="0081602B">
            <w:t xml:space="preserve">toiminnanharjoittajille </w:t>
          </w:r>
          <w:r w:rsidR="00CE4E92">
            <w:t xml:space="preserve">myönnettävä tuen </w:t>
          </w:r>
          <w:r w:rsidR="0081602B">
            <w:t>kokonais</w:t>
          </w:r>
          <w:r w:rsidR="00CE4E92">
            <w:t>määrä ei saa kuitenkaan ylittää 150 miljoonaa e</w:t>
          </w:r>
          <w:r w:rsidR="00581F48">
            <w:t>uroa.</w:t>
          </w:r>
        </w:p>
        <w:p w14:paraId="7F1CFC54" w14:textId="77777777" w:rsidR="00842622" w:rsidRDefault="00842622" w:rsidP="00842622">
          <w:pPr>
            <w:pStyle w:val="LLPerustelujenkappalejako"/>
          </w:pPr>
          <w:r>
            <w:t>Tuki-intensiteetin lisäksi tuen määrä määräytyisi hiilidioksidin alueellisen päästökertoimen,</w:t>
          </w:r>
          <w:r w:rsidR="00CE4E92">
            <w:t xml:space="preserve"> </w:t>
          </w:r>
          <w:r>
            <w:t xml:space="preserve">päästöoikeuden hinnan, </w:t>
          </w:r>
          <w:r w:rsidR="00CE4E92">
            <w:t>sovellettavan</w:t>
          </w:r>
          <w:r>
            <w:t xml:space="preserve"> s</w:t>
          </w:r>
          <w:r w:rsidR="00CE4E92">
            <w:t>ähkönkulutuksen vertailuarvon sekä</w:t>
          </w:r>
          <w:r>
            <w:t xml:space="preserve"> </w:t>
          </w:r>
          <w:r w:rsidR="00CE4E92">
            <w:t>laitoksen sähkönkulutuksen perusteella</w:t>
          </w:r>
          <w:r w:rsidR="00CF756A">
            <w:t>, joka määritettäisiin joko suoraan laitoksen kuluttaman sähkön perusteella tai johdettaisiin tukikelpoisten tuotteiden tuotantomäärästä</w:t>
          </w:r>
          <w:r>
            <w:t>.</w:t>
          </w:r>
        </w:p>
        <w:p w14:paraId="16092A83" w14:textId="7D4A3CC1" w:rsidR="00842622" w:rsidRDefault="00842622" w:rsidP="00B861E3">
          <w:pPr>
            <w:pStyle w:val="LLPerustelujenkappalejako"/>
          </w:pPr>
          <w:r>
            <w:t xml:space="preserve">Tuen määrän laskemiseen sovellettaisiin alueellista sähköntuotannon päästökerrointa. </w:t>
          </w:r>
          <w:r w:rsidR="00CE4E92">
            <w:t>Se</w:t>
          </w:r>
          <w:r>
            <w:t xml:space="preserve"> kuvaa fossiilisista polttoaineista eri maantieteellisillä alueill</w:t>
          </w:r>
          <w:r w:rsidR="00E14020">
            <w:t>a</w:t>
          </w:r>
          <w:r>
            <w:t xml:space="preserve"> tuotetun sähkön hiilidioksidi-intensiteetin painotettua keskiarvoa. Päästökerroin osoittaa, miten tärkeitä fossiilisia</w:t>
          </w:r>
          <w:r w:rsidR="00CE4E92">
            <w:t xml:space="preserve"> </w:t>
          </w:r>
          <w:r>
            <w:t>polttoaineita käyttävät voimalat ovat loppuhinnan määräytymiselle sähkön tukkumarkkinoilla</w:t>
          </w:r>
          <w:r w:rsidR="00B861E3">
            <w:t xml:space="preserve"> kyseisellä maantieteellisellä alueella</w:t>
          </w:r>
          <w:r>
            <w:t>.</w:t>
          </w:r>
          <w:r w:rsidR="00B861E3">
            <w:t xml:space="preserve"> Suuntaviivoissa</w:t>
          </w:r>
          <w:r w:rsidR="00B861E3" w:rsidRPr="00B861E3">
            <w:t xml:space="preserve"> maantieteellisiksi alueiksi katsotaan alueet, a) jotka koostuvat sähköpörssien kautta yhteen kytketyistä osamarkkinoista, tai b) joiden sisällä ei ole ilmoitettu ylikuormituksesta, ja molemmissa tapauksissa tuntikohtaiset seuraavaa vuorokautta koskevat sähköpörssien hinnat alueen sisällä poikkeavat toisistaan euroina (Euroopan keskuspankin päivittäiskurssi) enintään yhden prosentin merkittävässä määrässä kaikkia yhden vuoden tunteja. Pelkkä sähkökauppa kahden jäsenvaltion välillä ei tarkoita automaattisesti, että ne muodostavat ylikansallisen alueen</w:t>
          </w:r>
          <w:r w:rsidR="00B861E3">
            <w:t>. Suuntaviivoissa Suomi ja Ruotsi muodostavat yhdessä maantieteellisen alueen. Sa</w:t>
          </w:r>
          <w:r>
            <w:t>maa sähköntuotannon päästökerrointa sovelletaan kaikkiin sähkönhankinnan muotoihin (tuottaminen omaan käyttöön, sähkön toimitussopimukset ja verkkojakelu) ja kaikkiin tuensaajiin kyseisessä jäsenvaltiossa, jotta voitaisiin varmistaa sähkönhankinnan lähteiden tasavertainen kohtelu ja vält</w:t>
          </w:r>
          <w:r w:rsidR="00D1084D">
            <w:t>tää väärinkäyttömahdollisuudet.</w:t>
          </w:r>
        </w:p>
        <w:p w14:paraId="78B0B123" w14:textId="50073324" w:rsidR="009375D4" w:rsidRDefault="009375D4" w:rsidP="00842622">
          <w:pPr>
            <w:pStyle w:val="LLPerustelujenkappalejako"/>
          </w:pPr>
          <w:r>
            <w:t>Päästöoikeuden hinta olisi yksi keskeisiä tekijöitä tuen laskennassa. Kullekin tukivuodelle käytettäisiin päästöoikeuden johdannaistuotteen (DEC) hinnan keskiarvoa tukivuotta edeltävänä vuonna. Keskiarvo laskettaisiin kaupankäynniltään edustavan päästöoikeuspörssin päivän päätöshintojen keskiarvona. Päästöoikeuden hinnan vaikutusta tuen määrään on kuvattu</w:t>
          </w:r>
          <w:r w:rsidR="0016484B">
            <w:t xml:space="preserve"> taloudellisten vaikutusten yhteydessä.</w:t>
          </w:r>
        </w:p>
        <w:p w14:paraId="6F506BA1" w14:textId="46BA1D50" w:rsidR="009A2E02" w:rsidRDefault="00842622" w:rsidP="00842622">
          <w:pPr>
            <w:pStyle w:val="LLPerustelujenkappalejako"/>
          </w:pPr>
          <w:r>
            <w:t xml:space="preserve">Jos komission määrittelemät tuotekohtaiset sähkönkulutuksen vertailuarvot eivät olisi sovellettavissa laitoksessa valmistettaviin tuotteisiin, käytettäisiin tuen määrän laskemisessa toissijaista sähkönkulutuksen tehokkuuden vertailuarvoa ja </w:t>
          </w:r>
          <w:r w:rsidR="00B861E3">
            <w:t>toteutunutta sähkönkulutusta</w:t>
          </w:r>
          <w:r>
            <w:t xml:space="preserve">. </w:t>
          </w:r>
          <w:r w:rsidR="009375D4">
            <w:t xml:space="preserve">Sovellettavia vertailuarvoja </w:t>
          </w:r>
          <w:r w:rsidR="00CB4268">
            <w:t>kuvataan</w:t>
          </w:r>
          <w:r w:rsidR="009375D4">
            <w:t xml:space="preserve"> </w:t>
          </w:r>
          <w:r w:rsidRPr="009375D4">
            <w:t>tarkemmin lakiehdotuksen yksityiskohtaisissa perusteluissa</w:t>
          </w:r>
          <w:r w:rsidR="00CB4268">
            <w:t>, mutta tätä esitystä koskevan lausuntomenettelyn käynnistyessä ei komissio ole näitä vertailuarvoja vielä antanut</w:t>
          </w:r>
          <w:r w:rsidRPr="009375D4">
            <w:t>.</w:t>
          </w:r>
          <w:r w:rsidR="00CB4268">
            <w:t xml:space="preserve"> Esitys täydentyy tältä osin.</w:t>
          </w:r>
        </w:p>
        <w:p w14:paraId="6A69A852" w14:textId="77777777" w:rsidR="00384A1B" w:rsidRDefault="00384A1B" w:rsidP="00842622">
          <w:pPr>
            <w:pStyle w:val="LLPerustelujenkappalejako"/>
            <w:rPr>
              <w:i/>
            </w:rPr>
          </w:pPr>
          <w:r w:rsidRPr="00384A1B">
            <w:rPr>
              <w:i/>
            </w:rPr>
            <w:t xml:space="preserve">Tuen käytölle asetettava ehto </w:t>
          </w:r>
        </w:p>
        <w:p w14:paraId="726B3D3C" w14:textId="3E024750" w:rsidR="009144A7" w:rsidRDefault="00FC09D0" w:rsidP="009144A7">
          <w:pPr>
            <w:pStyle w:val="LLPerustelujenkappalejako"/>
          </w:pPr>
          <w:r>
            <w:t xml:space="preserve">Toiminnanharjoittajien, joille tukea on myönnetty, edellytettäisiin kohdistavan vähintään 50 prosenttia heille myönnetystä tuesta kehittämistoimiin. Kehittämistoimien tulisi joko edistää päästöjen vähentämistä, prosessien sähköistämistä, energiatehokkuutta tai uusiutuvan energian käytön lisäämistä. Tuki tulisi olla kohdistettuna toimiin 31.12.2028 mennessä. Toiminnanharjoittajan tulisi raportoida </w:t>
          </w:r>
          <w:r w:rsidR="006A419B">
            <w:t>kehittämis</w:t>
          </w:r>
          <w:r>
            <w:t>toimista tukiviranomaiselle</w:t>
          </w:r>
          <w:r w:rsidR="008906CA">
            <w:t>. Tu</w:t>
          </w:r>
          <w:r w:rsidR="0082162B" w:rsidRPr="005637DE">
            <w:t xml:space="preserve">en kohdistamisesta kehittämistoimiin, siihen liittyvästä raportointivelvoitteesta sekä tukiviranomaisen menettelyistä </w:t>
          </w:r>
          <w:r w:rsidR="00DB62F9" w:rsidRPr="005637DE">
            <w:t>säädettäisiin</w:t>
          </w:r>
          <w:r w:rsidR="0082162B" w:rsidRPr="005637DE">
            <w:t xml:space="preserve"> tarkemmin sähköistämistukea koskevassa valtioneuvoston asetuksessa.</w:t>
          </w:r>
        </w:p>
        <w:p w14:paraId="171912C5" w14:textId="77777777" w:rsidR="009144A7" w:rsidRPr="009144A7" w:rsidRDefault="009144A7" w:rsidP="009144A7">
          <w:pPr>
            <w:pStyle w:val="LLPerustelujenkappalejako"/>
            <w:rPr>
              <w:i/>
            </w:rPr>
          </w:pPr>
          <w:r w:rsidRPr="009144A7">
            <w:rPr>
              <w:i/>
            </w:rPr>
            <w:t>Viranomaistehtävät ja valvonta</w:t>
          </w:r>
        </w:p>
        <w:p w14:paraId="37F1DFAA" w14:textId="37BF8484" w:rsidR="009144A7" w:rsidRDefault="009144A7" w:rsidP="009144A7">
          <w:pPr>
            <w:pStyle w:val="LLPerustelujenkappalejako"/>
          </w:pPr>
          <w:r>
            <w:t xml:space="preserve">Energiavirasto olisi tuen viranomaistehtävistä vastaava tukiviranomainen. </w:t>
          </w:r>
          <w:r w:rsidR="00FC09D0">
            <w:t>Energiavirasto</w:t>
          </w:r>
          <w:r w:rsidR="00DB62F9">
            <w:t>n</w:t>
          </w:r>
          <w:r w:rsidR="00FC09D0">
            <w:t xml:space="preserve"> vast</w:t>
          </w:r>
          <w:r w:rsidR="00766C98">
            <w:t xml:space="preserve">uulla olisi tarkastaa, että toiminnanharjoittajan ilmoittamat tiedot </w:t>
          </w:r>
          <w:r w:rsidR="00766C98" w:rsidRPr="00766C98">
            <w:t>ovat uskottavia ja luotettavia sekä kattavuudeltaan ja tarkkuudeltaan riittäviä, jotta se voi varmistua, että</w:t>
          </w:r>
          <w:r w:rsidR="00766C98">
            <w:t xml:space="preserve"> tuen myöntämisen perusteet ovat oikein ja toiminnanharjoittaja täyttää tuen käytölle asetetun velvoitteen.</w:t>
          </w:r>
          <w:r w:rsidR="009A2E02">
            <w:t xml:space="preserve"> </w:t>
          </w:r>
          <w:r w:rsidR="009A2E02" w:rsidRPr="009A2E02">
            <w:t xml:space="preserve">Energiavirastolla olisi tukiviranomaisena </w:t>
          </w:r>
          <w:r w:rsidR="009A2E02">
            <w:t xml:space="preserve">tarpeelliset </w:t>
          </w:r>
          <w:r w:rsidR="009A2E02" w:rsidRPr="009A2E02">
            <w:t>tiedonsa</w:t>
          </w:r>
          <w:r w:rsidR="009A2E02">
            <w:t>anti- ja tarkastusoikeudet tämän tarkastelemiseksi.</w:t>
          </w:r>
          <w:r w:rsidR="00766C98">
            <w:t xml:space="preserve"> </w:t>
          </w:r>
          <w:r>
            <w:t>Energia</w:t>
          </w:r>
          <w:r w:rsidR="00766C98">
            <w:t>virasto huolehtisi</w:t>
          </w:r>
          <w:r w:rsidR="00B861E3">
            <w:t xml:space="preserve"> tuen</w:t>
          </w:r>
          <w:r w:rsidR="00766C98">
            <w:t xml:space="preserve"> hakemusmenettelyyn, myöntämiseen, </w:t>
          </w:r>
          <w:r>
            <w:t>maksamiseen</w:t>
          </w:r>
          <w:r w:rsidR="00766C98">
            <w:t xml:space="preserve"> ja käytön seurantaan</w:t>
          </w:r>
          <w:r>
            <w:t xml:space="preserve"> liittyvistä tehtävistä, valvoisi lain noudattamista ja hoitaisi muut laissa sille määrätyt tehtävät.</w:t>
          </w:r>
        </w:p>
        <w:p w14:paraId="494B8635" w14:textId="77777777" w:rsidR="00581F48" w:rsidRDefault="00581F48" w:rsidP="00581F48">
          <w:pPr>
            <w:pStyle w:val="LLNormaali"/>
          </w:pPr>
        </w:p>
        <w:p w14:paraId="551E5D44" w14:textId="77777777" w:rsidR="00044032" w:rsidRDefault="00A939B2" w:rsidP="00044032">
          <w:pPr>
            <w:pStyle w:val="LLP2Otsikkotaso"/>
          </w:pPr>
          <w:bookmarkStart w:id="12" w:name="_Toc75420009"/>
          <w:r>
            <w:t>Pääasialliset vaikutukset</w:t>
          </w:r>
          <w:bookmarkEnd w:id="12"/>
        </w:p>
        <w:p w14:paraId="08ECD1BF" w14:textId="77777777" w:rsidR="00044032" w:rsidRDefault="00044032" w:rsidP="00044032">
          <w:pPr>
            <w:pStyle w:val="LLP3Otsikkotaso"/>
          </w:pPr>
          <w:bookmarkStart w:id="13" w:name="_Toc75420010"/>
          <w:r>
            <w:t>Taloudelliset vaikutukset</w:t>
          </w:r>
          <w:bookmarkEnd w:id="13"/>
        </w:p>
        <w:p w14:paraId="00375047" w14:textId="6A293CDA" w:rsidR="00044032" w:rsidRDefault="00581F48" w:rsidP="00044032">
          <w:pPr>
            <w:pStyle w:val="LLPerustelujenkappalejako"/>
            <w:rPr>
              <w:i/>
            </w:rPr>
          </w:pPr>
          <w:r>
            <w:rPr>
              <w:i/>
            </w:rPr>
            <w:t>Vaikutukset valtiontalouteen</w:t>
          </w:r>
        </w:p>
        <w:p w14:paraId="650F56A2" w14:textId="442D40DF" w:rsidR="00766C98" w:rsidRDefault="0053250E" w:rsidP="00766C98">
          <w:pPr>
            <w:pStyle w:val="LLPerustelujenkappalejako"/>
          </w:pPr>
          <w:r>
            <w:t>Esitys liittyy vuoden 2022</w:t>
          </w:r>
          <w:r w:rsidRPr="0053250E">
            <w:t xml:space="preserve"> </w:t>
          </w:r>
          <w:r w:rsidR="0016484B">
            <w:t>talous</w:t>
          </w:r>
          <w:r>
            <w:t>a</w:t>
          </w:r>
          <w:r w:rsidRPr="0053250E">
            <w:t>rvioesitykseen ja on tarkoitus käsitellä eduskunnassa sen yhteydessä</w:t>
          </w:r>
          <w:r>
            <w:t xml:space="preserve">. </w:t>
          </w:r>
          <w:r w:rsidR="00766C98">
            <w:t xml:space="preserve">Tukiohjelman kustannukset valtiontaloudelle muodostuvat toiminnanharjoittajille maksettavasta tuesta </w:t>
          </w:r>
          <w:r w:rsidR="00766C98" w:rsidRPr="004F315C">
            <w:t xml:space="preserve">sekä tukiviranomaisen </w:t>
          </w:r>
          <w:r w:rsidR="004F315C">
            <w:t>r</w:t>
          </w:r>
          <w:r w:rsidR="00766C98" w:rsidRPr="004F315C">
            <w:t>esurssitarpeista</w:t>
          </w:r>
          <w:r w:rsidR="00766C98">
            <w:t>.</w:t>
          </w:r>
        </w:p>
        <w:p w14:paraId="5295CDB5" w14:textId="106DA3F2" w:rsidR="00766C98" w:rsidRDefault="00766C98" w:rsidP="00FC2461">
          <w:pPr>
            <w:pStyle w:val="LLPerustelujenkappalejako"/>
          </w:pPr>
          <w:r>
            <w:t xml:space="preserve">Alla olevassa taulukossa esitetään arvio toiminnanharjoittajille maksettavasta tuesta maksuvuosittain, tuki-intensiteetin ollessa 25 </w:t>
          </w:r>
          <w:r w:rsidR="0016484B">
            <w:t>prosenttia</w:t>
          </w:r>
          <w:r>
            <w:t>. T</w:t>
          </w:r>
          <w:r w:rsidR="00FC2461">
            <w:t>aulukossa on myös</w:t>
          </w:r>
          <w:r>
            <w:t xml:space="preserve"> </w:t>
          </w:r>
          <w:r w:rsidR="00FC2461">
            <w:t xml:space="preserve">esitetty </w:t>
          </w:r>
          <w:r>
            <w:t>arviossa käytetty päästöoikeuden hintaennuste</w:t>
          </w:r>
          <w:r w:rsidR="00FC2461">
            <w:t xml:space="preserve"> kullekin tukivuodelle</w:t>
          </w:r>
          <w:r>
            <w:t xml:space="preserve">. </w:t>
          </w:r>
          <w:r w:rsidRPr="005637DE">
            <w:t>Päästöoikeuden hinnan ennustamiseen liittyy erittäin suurta epävarmuutta</w:t>
          </w:r>
          <w:r w:rsidR="004F315C" w:rsidRPr="005637DE">
            <w:t xml:space="preserve"> mikä myös luo epävarmuutta myönnettävän tuen määrään vuosittain</w:t>
          </w:r>
          <w:r w:rsidRPr="005637DE">
            <w:t>. Markkinahinta on vuosien 2020 ja 2021 aikana noussut tasolle, minkä sen on aiemmin ennustettu saavuttavan vasta useamman vuoden viiveellä.</w:t>
          </w:r>
          <w:r w:rsidR="0069464A" w:rsidRPr="005637DE">
            <w:t xml:space="preserve"> Vuonna 2022 maksettavan tuen kohdalla </w:t>
          </w:r>
          <w:r w:rsidR="004F315C" w:rsidRPr="005637DE">
            <w:t xml:space="preserve">vastaavaa epävarmuutta ei ole, </w:t>
          </w:r>
          <w:r w:rsidR="0069464A" w:rsidRPr="005637DE">
            <w:t>koska päästöoikeuden hinnan määrittämisessä käytetään tietoja t</w:t>
          </w:r>
          <w:r w:rsidR="004F315C" w:rsidRPr="005637DE">
            <w:t>akautuvasti aiemmalta vuodelta. Toisaalta v</w:t>
          </w:r>
          <w:r w:rsidR="00FC2461" w:rsidRPr="005637DE">
            <w:t>uosittain laskettavan tuen perustana olevaan sähkönkulutukseen liittyy epävarmuut</w:t>
          </w:r>
          <w:r w:rsidR="00585CA8" w:rsidRPr="005637DE">
            <w:t>ta, mikä lisää myös epävarmuutta</w:t>
          </w:r>
          <w:r w:rsidR="00FC2461" w:rsidRPr="005637DE">
            <w:t xml:space="preserve"> </w:t>
          </w:r>
          <w:r w:rsidR="00585CA8" w:rsidRPr="005637DE">
            <w:t xml:space="preserve">myönnettävän </w:t>
          </w:r>
          <w:r w:rsidR="00FC2461" w:rsidRPr="005637DE">
            <w:t>tuen kokonaismäärästä</w:t>
          </w:r>
          <w:r w:rsidR="004F315C" w:rsidRPr="005637DE">
            <w:t xml:space="preserve"> myös vuonna 2022</w:t>
          </w:r>
          <w:r w:rsidR="00FC2461" w:rsidRPr="005637DE">
            <w:t>.</w:t>
          </w:r>
        </w:p>
        <w:tbl>
          <w:tblPr>
            <w:tblStyle w:val="Yksinkertainentaulukko1"/>
            <w:tblpPr w:leftFromText="141" w:rightFromText="141" w:vertAnchor="text" w:horzAnchor="margin" w:tblpY="151"/>
            <w:tblW w:w="0" w:type="auto"/>
            <w:tblLook w:val="04A0" w:firstRow="1" w:lastRow="0" w:firstColumn="1" w:lastColumn="0" w:noHBand="0" w:noVBand="1"/>
          </w:tblPr>
          <w:tblGrid>
            <w:gridCol w:w="2689"/>
            <w:gridCol w:w="850"/>
            <w:gridCol w:w="992"/>
            <w:gridCol w:w="993"/>
            <w:gridCol w:w="850"/>
            <w:gridCol w:w="851"/>
            <w:gridCol w:w="1111"/>
          </w:tblGrid>
          <w:tr w:rsidR="00744EFA" w:rsidRPr="00581F48" w14:paraId="36A522E4" w14:textId="77777777" w:rsidTr="00581F48">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5801821A" w14:textId="77777777" w:rsidR="00744EFA" w:rsidRPr="00581F48" w:rsidRDefault="00744EFA" w:rsidP="00581F48">
                <w:pPr>
                  <w:pStyle w:val="LLNormaali"/>
                  <w:rPr>
                    <w:sz w:val="20"/>
                    <w:szCs w:val="20"/>
                  </w:rPr>
                </w:pPr>
                <w:r w:rsidRPr="00581F48">
                  <w:rPr>
                    <w:sz w:val="20"/>
                    <w:szCs w:val="20"/>
                  </w:rPr>
                  <w:t xml:space="preserve">Tuen maksuvuosi </w:t>
                </w:r>
              </w:p>
            </w:tc>
            <w:tc>
              <w:tcPr>
                <w:tcW w:w="850" w:type="dxa"/>
                <w:vAlign w:val="center"/>
              </w:tcPr>
              <w:p w14:paraId="4CE9081F" w14:textId="77777777" w:rsidR="00744EFA" w:rsidRPr="00581F48" w:rsidRDefault="00744EFA" w:rsidP="00581F48">
                <w:pPr>
                  <w:pStyle w:val="LLNormaali"/>
                  <w:cnfStyle w:val="100000000000" w:firstRow="1" w:lastRow="0" w:firstColumn="0" w:lastColumn="0" w:oddVBand="0" w:evenVBand="0" w:oddHBand="0" w:evenHBand="0" w:firstRowFirstColumn="0" w:firstRowLastColumn="0" w:lastRowFirstColumn="0" w:lastRowLastColumn="0"/>
                  <w:rPr>
                    <w:sz w:val="20"/>
                    <w:szCs w:val="20"/>
                  </w:rPr>
                </w:pPr>
                <w:r w:rsidRPr="00581F48">
                  <w:rPr>
                    <w:sz w:val="20"/>
                    <w:szCs w:val="20"/>
                  </w:rPr>
                  <w:t>2022</w:t>
                </w:r>
              </w:p>
            </w:tc>
            <w:tc>
              <w:tcPr>
                <w:tcW w:w="992" w:type="dxa"/>
                <w:vAlign w:val="center"/>
              </w:tcPr>
              <w:p w14:paraId="22E95D96" w14:textId="77777777" w:rsidR="00744EFA" w:rsidRPr="00581F48" w:rsidRDefault="00744EFA" w:rsidP="00581F48">
                <w:pPr>
                  <w:pStyle w:val="LLNormaali"/>
                  <w:cnfStyle w:val="100000000000" w:firstRow="1" w:lastRow="0" w:firstColumn="0" w:lastColumn="0" w:oddVBand="0" w:evenVBand="0" w:oddHBand="0" w:evenHBand="0" w:firstRowFirstColumn="0" w:firstRowLastColumn="0" w:lastRowFirstColumn="0" w:lastRowLastColumn="0"/>
                  <w:rPr>
                    <w:sz w:val="20"/>
                    <w:szCs w:val="20"/>
                  </w:rPr>
                </w:pPr>
                <w:r w:rsidRPr="00581F48">
                  <w:rPr>
                    <w:sz w:val="20"/>
                    <w:szCs w:val="20"/>
                  </w:rPr>
                  <w:t>2023</w:t>
                </w:r>
              </w:p>
            </w:tc>
            <w:tc>
              <w:tcPr>
                <w:tcW w:w="993" w:type="dxa"/>
                <w:vAlign w:val="center"/>
              </w:tcPr>
              <w:p w14:paraId="6DB8128A" w14:textId="77777777" w:rsidR="00744EFA" w:rsidRPr="00581F48" w:rsidRDefault="00744EFA" w:rsidP="00581F48">
                <w:pPr>
                  <w:pStyle w:val="LLNormaali"/>
                  <w:cnfStyle w:val="100000000000" w:firstRow="1" w:lastRow="0" w:firstColumn="0" w:lastColumn="0" w:oddVBand="0" w:evenVBand="0" w:oddHBand="0" w:evenHBand="0" w:firstRowFirstColumn="0" w:firstRowLastColumn="0" w:lastRowFirstColumn="0" w:lastRowLastColumn="0"/>
                  <w:rPr>
                    <w:sz w:val="20"/>
                    <w:szCs w:val="20"/>
                  </w:rPr>
                </w:pPr>
                <w:r w:rsidRPr="00581F48">
                  <w:rPr>
                    <w:sz w:val="20"/>
                    <w:szCs w:val="20"/>
                  </w:rPr>
                  <w:t>2024</w:t>
                </w:r>
              </w:p>
            </w:tc>
            <w:tc>
              <w:tcPr>
                <w:tcW w:w="850" w:type="dxa"/>
                <w:vAlign w:val="center"/>
              </w:tcPr>
              <w:p w14:paraId="49AC2A2C" w14:textId="77777777" w:rsidR="00744EFA" w:rsidRPr="00581F48" w:rsidRDefault="00744EFA" w:rsidP="00581F48">
                <w:pPr>
                  <w:pStyle w:val="LLNormaali"/>
                  <w:cnfStyle w:val="100000000000" w:firstRow="1" w:lastRow="0" w:firstColumn="0" w:lastColumn="0" w:oddVBand="0" w:evenVBand="0" w:oddHBand="0" w:evenHBand="0" w:firstRowFirstColumn="0" w:firstRowLastColumn="0" w:lastRowFirstColumn="0" w:lastRowLastColumn="0"/>
                  <w:rPr>
                    <w:sz w:val="20"/>
                    <w:szCs w:val="20"/>
                  </w:rPr>
                </w:pPr>
                <w:r w:rsidRPr="00581F48">
                  <w:rPr>
                    <w:sz w:val="20"/>
                    <w:szCs w:val="20"/>
                  </w:rPr>
                  <w:t>2025</w:t>
                </w:r>
              </w:p>
            </w:tc>
            <w:tc>
              <w:tcPr>
                <w:tcW w:w="851" w:type="dxa"/>
                <w:vAlign w:val="center"/>
              </w:tcPr>
              <w:p w14:paraId="6CDAC581" w14:textId="77777777" w:rsidR="00744EFA" w:rsidRPr="00581F48" w:rsidRDefault="00744EFA" w:rsidP="00581F48">
                <w:pPr>
                  <w:pStyle w:val="LLNormaali"/>
                  <w:cnfStyle w:val="100000000000" w:firstRow="1" w:lastRow="0" w:firstColumn="0" w:lastColumn="0" w:oddVBand="0" w:evenVBand="0" w:oddHBand="0" w:evenHBand="0" w:firstRowFirstColumn="0" w:firstRowLastColumn="0" w:lastRowFirstColumn="0" w:lastRowLastColumn="0"/>
                  <w:rPr>
                    <w:sz w:val="20"/>
                    <w:szCs w:val="20"/>
                  </w:rPr>
                </w:pPr>
                <w:r w:rsidRPr="00581F48">
                  <w:rPr>
                    <w:sz w:val="20"/>
                    <w:szCs w:val="20"/>
                  </w:rPr>
                  <w:t>2026</w:t>
                </w:r>
              </w:p>
            </w:tc>
            <w:tc>
              <w:tcPr>
                <w:tcW w:w="1111" w:type="dxa"/>
                <w:vAlign w:val="center"/>
              </w:tcPr>
              <w:p w14:paraId="1FD7D8CE" w14:textId="77777777" w:rsidR="00744EFA" w:rsidRPr="00581F48" w:rsidRDefault="00744EFA" w:rsidP="00581F48">
                <w:pPr>
                  <w:pStyle w:val="LLNormaali"/>
                  <w:cnfStyle w:val="100000000000" w:firstRow="1" w:lastRow="0" w:firstColumn="0" w:lastColumn="0" w:oddVBand="0" w:evenVBand="0" w:oddHBand="0" w:evenHBand="0" w:firstRowFirstColumn="0" w:firstRowLastColumn="0" w:lastRowFirstColumn="0" w:lastRowLastColumn="0"/>
                  <w:rPr>
                    <w:b w:val="0"/>
                    <w:sz w:val="20"/>
                    <w:szCs w:val="20"/>
                  </w:rPr>
                </w:pPr>
                <w:r w:rsidRPr="00581F48">
                  <w:rPr>
                    <w:b w:val="0"/>
                    <w:sz w:val="20"/>
                    <w:szCs w:val="20"/>
                  </w:rPr>
                  <w:t>yhteensä</w:t>
                </w:r>
              </w:p>
            </w:tc>
          </w:tr>
          <w:tr w:rsidR="00744EFA" w:rsidRPr="00581F48" w14:paraId="51C67168" w14:textId="77777777" w:rsidTr="00581F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vAlign w:val="center"/>
              </w:tcPr>
              <w:p w14:paraId="47731829" w14:textId="6392BA3F" w:rsidR="00581F48" w:rsidRDefault="00744EFA" w:rsidP="00581F48">
                <w:pPr>
                  <w:pStyle w:val="LLNormaali"/>
                  <w:rPr>
                    <w:bCs w:val="0"/>
                    <w:sz w:val="20"/>
                    <w:szCs w:val="20"/>
                  </w:rPr>
                </w:pPr>
                <w:r w:rsidRPr="00581F48">
                  <w:rPr>
                    <w:bCs w:val="0"/>
                    <w:sz w:val="20"/>
                    <w:szCs w:val="20"/>
                  </w:rPr>
                  <w:t>Päästöoikeuden hinta</w:t>
                </w:r>
                <w:r w:rsidR="00581F48">
                  <w:rPr>
                    <w:bCs w:val="0"/>
                    <w:sz w:val="20"/>
                    <w:szCs w:val="20"/>
                  </w:rPr>
                  <w:t>-</w:t>
                </w:r>
              </w:p>
              <w:p w14:paraId="78384650" w14:textId="35ACF656" w:rsidR="00744EFA" w:rsidRPr="00581F48" w:rsidRDefault="00744EFA" w:rsidP="00581F48">
                <w:pPr>
                  <w:pStyle w:val="LLNormaali"/>
                  <w:rPr>
                    <w:bCs w:val="0"/>
                    <w:sz w:val="20"/>
                    <w:szCs w:val="20"/>
                  </w:rPr>
                </w:pPr>
                <w:r w:rsidRPr="00581F48">
                  <w:rPr>
                    <w:bCs w:val="0"/>
                    <w:sz w:val="20"/>
                    <w:szCs w:val="20"/>
                  </w:rPr>
                  <w:t>ennuste (euroa)</w:t>
                </w:r>
              </w:p>
            </w:tc>
            <w:tc>
              <w:tcPr>
                <w:tcW w:w="850" w:type="dxa"/>
                <w:shd w:val="clear" w:color="auto" w:fill="auto"/>
                <w:vAlign w:val="center"/>
              </w:tcPr>
              <w:p w14:paraId="21EE61D3" w14:textId="77777777" w:rsidR="00744EFA" w:rsidRPr="00581F48" w:rsidRDefault="00744EFA" w:rsidP="00581F48">
                <w:pPr>
                  <w:pStyle w:val="LLNormaali"/>
                  <w:cnfStyle w:val="000000100000" w:firstRow="0" w:lastRow="0" w:firstColumn="0" w:lastColumn="0" w:oddVBand="0" w:evenVBand="0" w:oddHBand="1" w:evenHBand="0" w:firstRowFirstColumn="0" w:firstRowLastColumn="0" w:lastRowFirstColumn="0" w:lastRowLastColumn="0"/>
                  <w:rPr>
                    <w:sz w:val="20"/>
                    <w:szCs w:val="20"/>
                  </w:rPr>
                </w:pPr>
                <w:r w:rsidRPr="00581F48">
                  <w:rPr>
                    <w:sz w:val="20"/>
                    <w:szCs w:val="20"/>
                  </w:rPr>
                  <w:t>27</w:t>
                </w:r>
              </w:p>
            </w:tc>
            <w:tc>
              <w:tcPr>
                <w:tcW w:w="992" w:type="dxa"/>
                <w:shd w:val="clear" w:color="auto" w:fill="auto"/>
                <w:vAlign w:val="center"/>
              </w:tcPr>
              <w:p w14:paraId="512BB1BF" w14:textId="77777777" w:rsidR="00744EFA" w:rsidRPr="00581F48" w:rsidRDefault="00744EFA" w:rsidP="00581F48">
                <w:pPr>
                  <w:pStyle w:val="LLNormaali"/>
                  <w:cnfStyle w:val="000000100000" w:firstRow="0" w:lastRow="0" w:firstColumn="0" w:lastColumn="0" w:oddVBand="0" w:evenVBand="0" w:oddHBand="1" w:evenHBand="0" w:firstRowFirstColumn="0" w:firstRowLastColumn="0" w:lastRowFirstColumn="0" w:lastRowLastColumn="0"/>
                  <w:rPr>
                    <w:sz w:val="20"/>
                    <w:szCs w:val="20"/>
                  </w:rPr>
                </w:pPr>
                <w:r w:rsidRPr="00581F48">
                  <w:rPr>
                    <w:sz w:val="20"/>
                    <w:szCs w:val="20"/>
                  </w:rPr>
                  <w:t>35</w:t>
                </w:r>
              </w:p>
            </w:tc>
            <w:tc>
              <w:tcPr>
                <w:tcW w:w="993" w:type="dxa"/>
                <w:shd w:val="clear" w:color="auto" w:fill="auto"/>
                <w:vAlign w:val="center"/>
              </w:tcPr>
              <w:p w14:paraId="144EBAEA" w14:textId="77777777" w:rsidR="00744EFA" w:rsidRPr="00581F48" w:rsidRDefault="00744EFA" w:rsidP="00581F48">
                <w:pPr>
                  <w:pStyle w:val="LLNormaali"/>
                  <w:cnfStyle w:val="000000100000" w:firstRow="0" w:lastRow="0" w:firstColumn="0" w:lastColumn="0" w:oddVBand="0" w:evenVBand="0" w:oddHBand="1" w:evenHBand="0" w:firstRowFirstColumn="0" w:firstRowLastColumn="0" w:lastRowFirstColumn="0" w:lastRowLastColumn="0"/>
                  <w:rPr>
                    <w:sz w:val="20"/>
                    <w:szCs w:val="20"/>
                  </w:rPr>
                </w:pPr>
                <w:r w:rsidRPr="00581F48">
                  <w:rPr>
                    <w:sz w:val="20"/>
                    <w:szCs w:val="20"/>
                  </w:rPr>
                  <w:t>37</w:t>
                </w:r>
              </w:p>
            </w:tc>
            <w:tc>
              <w:tcPr>
                <w:tcW w:w="850" w:type="dxa"/>
                <w:shd w:val="clear" w:color="auto" w:fill="auto"/>
                <w:vAlign w:val="center"/>
              </w:tcPr>
              <w:p w14:paraId="2B656446" w14:textId="77777777" w:rsidR="00744EFA" w:rsidRPr="00581F48" w:rsidRDefault="00744EFA" w:rsidP="00581F48">
                <w:pPr>
                  <w:pStyle w:val="LLNormaali"/>
                  <w:cnfStyle w:val="000000100000" w:firstRow="0" w:lastRow="0" w:firstColumn="0" w:lastColumn="0" w:oddVBand="0" w:evenVBand="0" w:oddHBand="1" w:evenHBand="0" w:firstRowFirstColumn="0" w:firstRowLastColumn="0" w:lastRowFirstColumn="0" w:lastRowLastColumn="0"/>
                  <w:rPr>
                    <w:sz w:val="20"/>
                    <w:szCs w:val="20"/>
                  </w:rPr>
                </w:pPr>
                <w:r w:rsidRPr="00581F48">
                  <w:rPr>
                    <w:sz w:val="20"/>
                    <w:szCs w:val="20"/>
                  </w:rPr>
                  <w:t>38</w:t>
                </w:r>
              </w:p>
            </w:tc>
            <w:tc>
              <w:tcPr>
                <w:tcW w:w="851" w:type="dxa"/>
                <w:shd w:val="clear" w:color="auto" w:fill="auto"/>
                <w:vAlign w:val="center"/>
              </w:tcPr>
              <w:p w14:paraId="6BC48CEC" w14:textId="77777777" w:rsidR="00744EFA" w:rsidRPr="00581F48" w:rsidRDefault="00AD4588" w:rsidP="00581F48">
                <w:pPr>
                  <w:pStyle w:val="LLNormaali"/>
                  <w:cnfStyle w:val="000000100000" w:firstRow="0" w:lastRow="0" w:firstColumn="0" w:lastColumn="0" w:oddVBand="0" w:evenVBand="0" w:oddHBand="1" w:evenHBand="0" w:firstRowFirstColumn="0" w:firstRowLastColumn="0" w:lastRowFirstColumn="0" w:lastRowLastColumn="0"/>
                  <w:rPr>
                    <w:sz w:val="20"/>
                    <w:szCs w:val="20"/>
                  </w:rPr>
                </w:pPr>
                <w:r w:rsidRPr="00581F48">
                  <w:rPr>
                    <w:sz w:val="20"/>
                    <w:szCs w:val="20"/>
                  </w:rPr>
                  <w:t>39</w:t>
                </w:r>
              </w:p>
            </w:tc>
            <w:tc>
              <w:tcPr>
                <w:tcW w:w="1111" w:type="dxa"/>
                <w:shd w:val="clear" w:color="auto" w:fill="auto"/>
                <w:vAlign w:val="center"/>
              </w:tcPr>
              <w:p w14:paraId="6E5F1C1D" w14:textId="77777777" w:rsidR="00744EFA" w:rsidRPr="00581F48" w:rsidRDefault="00744EFA" w:rsidP="00581F48">
                <w:pPr>
                  <w:pStyle w:val="LLNormaali"/>
                  <w:cnfStyle w:val="000000100000" w:firstRow="0" w:lastRow="0" w:firstColumn="0" w:lastColumn="0" w:oddVBand="0" w:evenVBand="0" w:oddHBand="1" w:evenHBand="0" w:firstRowFirstColumn="0" w:firstRowLastColumn="0" w:lastRowFirstColumn="0" w:lastRowLastColumn="0"/>
                  <w:rPr>
                    <w:sz w:val="20"/>
                    <w:szCs w:val="20"/>
                  </w:rPr>
                </w:pPr>
              </w:p>
            </w:tc>
          </w:tr>
          <w:tr w:rsidR="00744EFA" w:rsidRPr="00581F48" w14:paraId="2208CC5F" w14:textId="77777777" w:rsidTr="00581F48">
            <w:tc>
              <w:tcPr>
                <w:cnfStyle w:val="001000000000" w:firstRow="0" w:lastRow="0" w:firstColumn="1" w:lastColumn="0" w:oddVBand="0" w:evenVBand="0" w:oddHBand="0" w:evenHBand="0" w:firstRowFirstColumn="0" w:firstRowLastColumn="0" w:lastRowFirstColumn="0" w:lastRowLastColumn="0"/>
                <w:tcW w:w="2689" w:type="dxa"/>
                <w:vAlign w:val="center"/>
              </w:tcPr>
              <w:p w14:paraId="44F979C6" w14:textId="77777777" w:rsidR="00744EFA" w:rsidRPr="00581F48" w:rsidRDefault="00744EFA" w:rsidP="00581F48">
                <w:pPr>
                  <w:pStyle w:val="LLNormaali"/>
                  <w:rPr>
                    <w:bCs w:val="0"/>
                    <w:sz w:val="20"/>
                    <w:szCs w:val="20"/>
                  </w:rPr>
                </w:pPr>
                <w:r w:rsidRPr="00581F48">
                  <w:rPr>
                    <w:bCs w:val="0"/>
                    <w:sz w:val="20"/>
                    <w:szCs w:val="20"/>
                  </w:rPr>
                  <w:t>Arvio myönnettävästä tuen määrästä (miljoonaa euroa)</w:t>
                </w:r>
              </w:p>
            </w:tc>
            <w:tc>
              <w:tcPr>
                <w:tcW w:w="850" w:type="dxa"/>
                <w:vAlign w:val="center"/>
              </w:tcPr>
              <w:p w14:paraId="31C17659" w14:textId="77777777" w:rsidR="00744EFA" w:rsidRPr="00581F48" w:rsidRDefault="00744EFA" w:rsidP="00581F48">
                <w:pPr>
                  <w:pStyle w:val="LLNormaali"/>
                  <w:cnfStyle w:val="000000000000" w:firstRow="0" w:lastRow="0" w:firstColumn="0" w:lastColumn="0" w:oddVBand="0" w:evenVBand="0" w:oddHBand="0" w:evenHBand="0" w:firstRowFirstColumn="0" w:firstRowLastColumn="0" w:lastRowFirstColumn="0" w:lastRowLastColumn="0"/>
                  <w:rPr>
                    <w:sz w:val="20"/>
                    <w:szCs w:val="20"/>
                  </w:rPr>
                </w:pPr>
                <w:r w:rsidRPr="00581F48">
                  <w:rPr>
                    <w:sz w:val="20"/>
                    <w:szCs w:val="20"/>
                  </w:rPr>
                  <w:t>87</w:t>
                </w:r>
              </w:p>
            </w:tc>
            <w:tc>
              <w:tcPr>
                <w:tcW w:w="992" w:type="dxa"/>
                <w:vAlign w:val="center"/>
              </w:tcPr>
              <w:p w14:paraId="65E610DE" w14:textId="77777777" w:rsidR="00744EFA" w:rsidRPr="00581F48" w:rsidRDefault="00744EFA" w:rsidP="00581F48">
                <w:pPr>
                  <w:pStyle w:val="LLNormaali"/>
                  <w:cnfStyle w:val="000000000000" w:firstRow="0" w:lastRow="0" w:firstColumn="0" w:lastColumn="0" w:oddVBand="0" w:evenVBand="0" w:oddHBand="0" w:evenHBand="0" w:firstRowFirstColumn="0" w:firstRowLastColumn="0" w:lastRowFirstColumn="0" w:lastRowLastColumn="0"/>
                  <w:rPr>
                    <w:sz w:val="20"/>
                    <w:szCs w:val="20"/>
                  </w:rPr>
                </w:pPr>
                <w:r w:rsidRPr="00581F48">
                  <w:rPr>
                    <w:sz w:val="20"/>
                    <w:szCs w:val="20"/>
                  </w:rPr>
                  <w:t>113</w:t>
                </w:r>
              </w:p>
            </w:tc>
            <w:tc>
              <w:tcPr>
                <w:tcW w:w="993" w:type="dxa"/>
                <w:vAlign w:val="center"/>
              </w:tcPr>
              <w:p w14:paraId="4621FB00" w14:textId="77777777" w:rsidR="00744EFA" w:rsidRPr="00581F48" w:rsidRDefault="00744EFA" w:rsidP="00581F48">
                <w:pPr>
                  <w:pStyle w:val="LLNormaali"/>
                  <w:cnfStyle w:val="000000000000" w:firstRow="0" w:lastRow="0" w:firstColumn="0" w:lastColumn="0" w:oddVBand="0" w:evenVBand="0" w:oddHBand="0" w:evenHBand="0" w:firstRowFirstColumn="0" w:firstRowLastColumn="0" w:lastRowFirstColumn="0" w:lastRowLastColumn="0"/>
                  <w:rPr>
                    <w:sz w:val="20"/>
                    <w:szCs w:val="20"/>
                  </w:rPr>
                </w:pPr>
                <w:r w:rsidRPr="00581F48">
                  <w:rPr>
                    <w:sz w:val="20"/>
                    <w:szCs w:val="20"/>
                  </w:rPr>
                  <w:t>119</w:t>
                </w:r>
              </w:p>
            </w:tc>
            <w:tc>
              <w:tcPr>
                <w:tcW w:w="850" w:type="dxa"/>
                <w:vAlign w:val="center"/>
              </w:tcPr>
              <w:p w14:paraId="20A70D7D" w14:textId="77777777" w:rsidR="00744EFA" w:rsidRPr="00581F48" w:rsidRDefault="00744EFA" w:rsidP="00581F48">
                <w:pPr>
                  <w:pStyle w:val="LLNormaali"/>
                  <w:cnfStyle w:val="000000000000" w:firstRow="0" w:lastRow="0" w:firstColumn="0" w:lastColumn="0" w:oddVBand="0" w:evenVBand="0" w:oddHBand="0" w:evenHBand="0" w:firstRowFirstColumn="0" w:firstRowLastColumn="0" w:lastRowFirstColumn="0" w:lastRowLastColumn="0"/>
                  <w:rPr>
                    <w:sz w:val="20"/>
                    <w:szCs w:val="20"/>
                  </w:rPr>
                </w:pPr>
                <w:r w:rsidRPr="00581F48">
                  <w:rPr>
                    <w:sz w:val="20"/>
                    <w:szCs w:val="20"/>
                  </w:rPr>
                  <w:t>122</w:t>
                </w:r>
              </w:p>
            </w:tc>
            <w:tc>
              <w:tcPr>
                <w:tcW w:w="851" w:type="dxa"/>
                <w:vAlign w:val="center"/>
              </w:tcPr>
              <w:p w14:paraId="43BD29C2" w14:textId="77777777" w:rsidR="00744EFA" w:rsidRPr="00581F48" w:rsidRDefault="00AD4588" w:rsidP="00581F48">
                <w:pPr>
                  <w:pStyle w:val="LLNormaali"/>
                  <w:cnfStyle w:val="000000000000" w:firstRow="0" w:lastRow="0" w:firstColumn="0" w:lastColumn="0" w:oddVBand="0" w:evenVBand="0" w:oddHBand="0" w:evenHBand="0" w:firstRowFirstColumn="0" w:firstRowLastColumn="0" w:lastRowFirstColumn="0" w:lastRowLastColumn="0"/>
                  <w:rPr>
                    <w:sz w:val="20"/>
                    <w:szCs w:val="20"/>
                  </w:rPr>
                </w:pPr>
                <w:r w:rsidRPr="00581F48">
                  <w:rPr>
                    <w:sz w:val="20"/>
                    <w:szCs w:val="20"/>
                  </w:rPr>
                  <w:t>126</w:t>
                </w:r>
              </w:p>
            </w:tc>
            <w:tc>
              <w:tcPr>
                <w:tcW w:w="1111" w:type="dxa"/>
                <w:vAlign w:val="center"/>
              </w:tcPr>
              <w:p w14:paraId="4AF7DDE7" w14:textId="77777777" w:rsidR="00744EFA" w:rsidRPr="00581F48" w:rsidRDefault="00AD4588" w:rsidP="00581F48">
                <w:pPr>
                  <w:pStyle w:val="LLNormaali"/>
                  <w:cnfStyle w:val="000000000000" w:firstRow="0" w:lastRow="0" w:firstColumn="0" w:lastColumn="0" w:oddVBand="0" w:evenVBand="0" w:oddHBand="0" w:evenHBand="0" w:firstRowFirstColumn="0" w:firstRowLastColumn="0" w:lastRowFirstColumn="0" w:lastRowLastColumn="0"/>
                  <w:rPr>
                    <w:sz w:val="20"/>
                    <w:szCs w:val="20"/>
                  </w:rPr>
                </w:pPr>
                <w:r w:rsidRPr="00581F48">
                  <w:rPr>
                    <w:sz w:val="20"/>
                    <w:szCs w:val="20"/>
                  </w:rPr>
                  <w:t>567</w:t>
                </w:r>
              </w:p>
            </w:tc>
          </w:tr>
        </w:tbl>
        <w:p w14:paraId="4695301A" w14:textId="77777777" w:rsidR="00FC2461" w:rsidRDefault="00FC2461" w:rsidP="00581F48">
          <w:pPr>
            <w:pStyle w:val="LLNormaali"/>
          </w:pPr>
        </w:p>
        <w:p w14:paraId="64633C3F" w14:textId="5C35124A" w:rsidR="00585CA8" w:rsidRDefault="00744EFA" w:rsidP="00FC2461">
          <w:pPr>
            <w:pStyle w:val="LLPerustelujenkappalejako"/>
          </w:pPr>
          <w:r>
            <w:t xml:space="preserve">Epävarmuuteen, mikä liittyy myönnettävän tuen määrään ja siten tukijärjestelmän vaikutuksiin valtiontaloudelle, vastattaisiin </w:t>
          </w:r>
          <w:r w:rsidR="00585CA8" w:rsidRPr="00FC2461">
            <w:t>rajaamalla</w:t>
          </w:r>
          <w:r>
            <w:t xml:space="preserve"> vuosittain myönnettävä tuki korkeimmillaan 150 miljoonaan euroon. Riippumatta päästöoikeuden hinnan vaihtelusta tai muiden tuen määrään vaikuttavien tekijöiden muutoksista, tuen vuosittaiset kokonaiskustannukset o</w:t>
          </w:r>
          <w:r w:rsidR="00CB7DC9">
            <w:t>lisi</w:t>
          </w:r>
          <w:r>
            <w:t>vat enimmillään 150 miljoonaa euroa ja koko tukiohjelman aikana 750 miljoonaa euroa.</w:t>
          </w:r>
        </w:p>
        <w:p w14:paraId="4E0B1ED1" w14:textId="5BA60683" w:rsidR="0053250E" w:rsidRDefault="0069464A" w:rsidP="00FC2461">
          <w:pPr>
            <w:pStyle w:val="LLPerustelujenkappalejako"/>
          </w:pPr>
          <w:r>
            <w:t>Vuoden 2022</w:t>
          </w:r>
          <w:r w:rsidR="0053250E">
            <w:t xml:space="preserve"> talousarvioesityksessä on </w:t>
          </w:r>
          <w:r>
            <w:t>energiaintensiivisen teollisuuden sähköistämis</w:t>
          </w:r>
          <w:r w:rsidR="0053250E">
            <w:t xml:space="preserve">tukea varten momentille </w:t>
          </w:r>
          <w:r w:rsidR="00AA7B20" w:rsidRPr="00AA7B20">
            <w:t xml:space="preserve">32.30.43 </w:t>
          </w:r>
          <w:r>
            <w:t>ehdotettu määrärahaksi 87</w:t>
          </w:r>
          <w:r w:rsidR="0053250E">
            <w:t xml:space="preserve"> miljoonaa euroa.</w:t>
          </w:r>
        </w:p>
        <w:p w14:paraId="1BAA2147" w14:textId="56120E10" w:rsidR="00763B21" w:rsidRDefault="00763B21" w:rsidP="00763B21">
          <w:pPr>
            <w:pStyle w:val="LLPerustelujenkappalejako"/>
          </w:pPr>
          <w:r>
            <w:t>Julkisen taloud</w:t>
          </w:r>
          <w:r w:rsidR="00581F48">
            <w:t>en suunnitelmassa vuosille 2022</w:t>
          </w:r>
          <w:r w:rsidR="00581F48">
            <w:sym w:font="Symbol" w:char="F02D"/>
          </w:r>
          <w:r>
            <w:t>2025 sähköistämistukeen on varattu 87 milj</w:t>
          </w:r>
          <w:r w:rsidR="006240FE">
            <w:t>oonaa</w:t>
          </w:r>
          <w:r>
            <w:t xml:space="preserve"> euroa v</w:t>
          </w:r>
          <w:r w:rsidR="006240FE">
            <w:t>uodelle 2022, 113 miljoonaa</w:t>
          </w:r>
          <w:r>
            <w:t xml:space="preserve"> euroa</w:t>
          </w:r>
          <w:r w:rsidR="006240FE">
            <w:t xml:space="preserve"> vuodelle 2023, 119 miljoonaa</w:t>
          </w:r>
          <w:r>
            <w:t xml:space="preserve"> euroa v</w:t>
          </w:r>
          <w:r w:rsidR="006240FE">
            <w:t>uodelle</w:t>
          </w:r>
          <w:r>
            <w:t xml:space="preserve"> 2024 sekä 122 milj</w:t>
          </w:r>
          <w:r w:rsidR="006240FE">
            <w:t>oonaa euroa vuodelle</w:t>
          </w:r>
          <w:r>
            <w:t xml:space="preserve"> 2025.</w:t>
          </w:r>
          <w:r w:rsidR="00A84DF0">
            <w:t xml:space="preserve"> </w:t>
          </w:r>
        </w:p>
        <w:p w14:paraId="355EC440" w14:textId="3C67DF32" w:rsidR="0082162B" w:rsidRDefault="0082162B" w:rsidP="00763B21">
          <w:pPr>
            <w:pStyle w:val="LLPerustelujenkappalejako"/>
          </w:pPr>
          <w:r w:rsidRPr="005637DE">
            <w:t xml:space="preserve">Päästöoikeuden hintaennustetta on syytä </w:t>
          </w:r>
          <w:r w:rsidR="007B5461" w:rsidRPr="005637DE">
            <w:t xml:space="preserve">arvioida ja tarvittaessa </w:t>
          </w:r>
          <w:r w:rsidRPr="005637DE">
            <w:t>päivittää sen jälkeen, kun komissio o</w:t>
          </w:r>
          <w:r w:rsidR="00581F48">
            <w:t xml:space="preserve">n julkaissut laajan </w:t>
          </w:r>
          <w:proofErr w:type="spellStart"/>
          <w:r w:rsidR="00581F48">
            <w:t>Fit</w:t>
          </w:r>
          <w:proofErr w:type="spellEnd"/>
          <w:r w:rsidR="00581F48">
            <w:t xml:space="preserve"> for 55 -</w:t>
          </w:r>
          <w:r w:rsidRPr="005637DE">
            <w:t xml:space="preserve">paketin ilmastotoimien, mukaan lukien päästökaupan, kunnianhimon lisäämiseksi. Tällä on mahdollisesti </w:t>
          </w:r>
          <w:r w:rsidR="00FA5875" w:rsidRPr="005637DE">
            <w:t xml:space="preserve">nostava </w:t>
          </w:r>
          <w:r w:rsidRPr="005637DE">
            <w:t xml:space="preserve">vaikutus </w:t>
          </w:r>
          <w:r w:rsidR="00FA5875" w:rsidRPr="005637DE">
            <w:t xml:space="preserve">ennusteeseen </w:t>
          </w:r>
          <w:r w:rsidRPr="005637DE">
            <w:t>myönnettävän tuen määr</w:t>
          </w:r>
          <w:r w:rsidR="00FA5875" w:rsidRPr="005637DE">
            <w:t>ästä vuosille 2023-202</w:t>
          </w:r>
          <w:r w:rsidR="007B5461" w:rsidRPr="005637DE">
            <w:t>5</w:t>
          </w:r>
          <w:r w:rsidR="00FA5875" w:rsidRPr="005637DE">
            <w:t>.</w:t>
          </w:r>
          <w:r w:rsidR="00FA5875">
            <w:t xml:space="preserve"> </w:t>
          </w:r>
          <w:r w:rsidR="004F426A" w:rsidRPr="004F426A">
            <w:t>Korkeimmillaan maksettava tukimäärä voi</w:t>
          </w:r>
          <w:r w:rsidR="00034514">
            <w:t>si</w:t>
          </w:r>
          <w:r w:rsidR="004F426A" w:rsidRPr="004F426A">
            <w:t xml:space="preserve"> nousta vuositasolla enintään 150 miljoonaan euroon</w:t>
          </w:r>
          <w:r w:rsidR="004F426A">
            <w:t>.</w:t>
          </w:r>
          <w:r>
            <w:t xml:space="preserve"> </w:t>
          </w:r>
        </w:p>
        <w:p w14:paraId="68CB631A" w14:textId="77777777" w:rsidR="00044032" w:rsidRPr="00131C5B" w:rsidRDefault="00044032" w:rsidP="00044032">
          <w:pPr>
            <w:pStyle w:val="LLPerustelujenkappalejako"/>
          </w:pPr>
          <w:r w:rsidRPr="00131C5B">
            <w:t>Vaikutukset Energiaviraston toimintaan, toimintamenoihin ja henkilöresursseihin</w:t>
          </w:r>
        </w:p>
        <w:p w14:paraId="5DA5D321" w14:textId="59364FD8" w:rsidR="009144A7" w:rsidRDefault="009144A7" w:rsidP="009144A7">
          <w:pPr>
            <w:pStyle w:val="LLPerustelujenkappalejako"/>
          </w:pPr>
          <w:r>
            <w:t>Energiavirasto vastaa kaikista lakiin liittyvistä viranomaistehtävistä ja valvoo lain noudattamista. Energiavirasto muun muassa käsittelee vuosittain toiminnanharjoittajien tukihakemukset, huolehtii sähköistämistuen maksamiseen liittyvistä toimenpiteistä ja tarvittaessa tuen takaisinperinnästä. Energiavirasto vastaa tuen käyttöön liittyvien ehtojen seurannasta ja valvonnasta. Energiaviraston tehtävä on varmistua, että toiminnanharjoittajan ilmoittamat tiedot ovat kattavia, luote</w:t>
          </w:r>
          <w:r w:rsidR="00D1084D">
            <w:t>ttavia, uskottavia ja tarkkoja.</w:t>
          </w:r>
        </w:p>
        <w:p w14:paraId="79E0D118" w14:textId="1B9E935F" w:rsidR="008A6351" w:rsidRPr="00A67A62" w:rsidRDefault="009144A7" w:rsidP="009144A7">
          <w:pPr>
            <w:pStyle w:val="LLPerustelujenkappalejako"/>
            <w:rPr>
              <w:highlight w:val="cyan"/>
            </w:rPr>
          </w:pPr>
          <w:r>
            <w:t>Sähköistämistukihakemuksia arvioidaan saapuvan vuosittain noin 70. Tehtäväkokonaisuuden tehokas ja tarkoituksenmukainen hoitaminen edellyttää, että Energiavirastolla on käytössään tietojärjestelmä, jonka avulla sähköistämistuen hakemiseen, myöntämiseen, maksamiseen ja tuen käytön seurantaan liittyvät prosessit on mahdollista automatisoida mahdollisimman pitkälle.</w:t>
          </w:r>
          <w:r w:rsidR="00131C5B">
            <w:t xml:space="preserve"> </w:t>
          </w:r>
          <w:r w:rsidR="00131C5B" w:rsidRPr="008005CB">
            <w:t xml:space="preserve">Tietojärjestelmän pystyttämisestä ja ylläpidosta </w:t>
          </w:r>
          <w:r w:rsidR="007B5461" w:rsidRPr="008005CB">
            <w:t>tukiohjelman aikana</w:t>
          </w:r>
          <w:r w:rsidR="00536101" w:rsidRPr="008005CB">
            <w:t xml:space="preserve"> </w:t>
          </w:r>
          <w:r w:rsidR="00131C5B" w:rsidRPr="008005CB">
            <w:t xml:space="preserve">aiheutuu </w:t>
          </w:r>
          <w:r w:rsidR="008A6351" w:rsidRPr="008005CB">
            <w:t xml:space="preserve">alustavan arvion mukaan noin </w:t>
          </w:r>
          <w:r w:rsidR="007B5461" w:rsidRPr="008005CB">
            <w:t xml:space="preserve">220 000 </w:t>
          </w:r>
          <w:r w:rsidR="008A6351" w:rsidRPr="008005CB">
            <w:t>euron kustannukset.</w:t>
          </w:r>
          <w:r w:rsidRPr="008005CB">
            <w:t xml:space="preserve"> Hakemuskäsittelystä, tuen käytön valvonnasta ja Energiavirastolle ilmoitettujen tietojen kattavuuden, luotettavuuden, uskottavuuden ja tarkkuuden varmentamisesta </w:t>
          </w:r>
          <w:r w:rsidR="004D55A8" w:rsidRPr="008005CB">
            <w:t xml:space="preserve">aiheutuu </w:t>
          </w:r>
          <w:r w:rsidR="007B5461" w:rsidRPr="008005CB">
            <w:t>aiempaa suuremmat hallinnolliset kustannukset</w:t>
          </w:r>
          <w:r w:rsidR="00536101" w:rsidRPr="008005CB">
            <w:t>,</w:t>
          </w:r>
          <w:r w:rsidR="007B5461" w:rsidRPr="008005CB">
            <w:t xml:space="preserve"> kun verrataan kompensaatiotukijärjestelmää</w:t>
          </w:r>
          <w:r w:rsidR="00536101" w:rsidRPr="008005CB">
            <w:t>n</w:t>
          </w:r>
          <w:r w:rsidR="007B5461" w:rsidRPr="008005CB">
            <w:t>. Tämä johtuu siitä, että tieto</w:t>
          </w:r>
          <w:r w:rsidR="00536101" w:rsidRPr="008005CB">
            <w:t xml:space="preserve">ja ei varmenna 3. osapuoli (todentaja) vaan työn tekee Energiavirasto. Nämä hallinnolliset kustannukset ovat tukiohjelman aikana noin 100 000 euroa. </w:t>
          </w:r>
          <w:r w:rsidR="008A6351" w:rsidRPr="008005CB">
            <w:t>Sähköistämistukeen liittyviin viranomaistehtäviin arvi</w:t>
          </w:r>
          <w:r w:rsidR="00D1084D" w:rsidRPr="008005CB">
            <w:t>oidaan tarvittavan vuosina 202</w:t>
          </w:r>
          <w:r w:rsidR="00536101" w:rsidRPr="008005CB">
            <w:t>2</w:t>
          </w:r>
          <w:r w:rsidR="00581F48">
            <w:sym w:font="Symbol" w:char="F02D"/>
          </w:r>
          <w:r w:rsidR="008A6351" w:rsidRPr="008005CB">
            <w:t xml:space="preserve">2029 keskimäärin </w:t>
          </w:r>
          <w:r w:rsidR="00536101" w:rsidRPr="008005CB">
            <w:t>2</w:t>
          </w:r>
          <w:r w:rsidR="008A6351" w:rsidRPr="008005CB">
            <w:t xml:space="preserve"> henkilötyövuotta (</w:t>
          </w:r>
          <w:proofErr w:type="spellStart"/>
          <w:r w:rsidR="008A6351" w:rsidRPr="008005CB">
            <w:t>htv</w:t>
          </w:r>
          <w:proofErr w:type="spellEnd"/>
          <w:r w:rsidR="008A6351" w:rsidRPr="008005CB">
            <w:t>).</w:t>
          </w:r>
          <w:r w:rsidR="00536101" w:rsidRPr="008005CB">
            <w:t xml:space="preserve"> Tarve on </w:t>
          </w:r>
          <w:r w:rsidR="00581F48">
            <w:t xml:space="preserve">suurempi (2,5 </w:t>
          </w:r>
          <w:proofErr w:type="spellStart"/>
          <w:r w:rsidR="00581F48">
            <w:t>htv</w:t>
          </w:r>
          <w:proofErr w:type="spellEnd"/>
          <w:r w:rsidR="00581F48">
            <w:t>) vuosina 2022</w:t>
          </w:r>
          <w:r w:rsidR="00581F48">
            <w:sym w:font="Symbol" w:char="F02D"/>
          </w:r>
          <w:r w:rsidR="00536101" w:rsidRPr="008005CB">
            <w:t xml:space="preserve">2026. </w:t>
          </w:r>
          <w:r w:rsidR="00631F55" w:rsidRPr="008005CB">
            <w:t>Keskimääräisestä</w:t>
          </w:r>
          <w:r w:rsidR="00536101" w:rsidRPr="008005CB">
            <w:t xml:space="preserve"> tarpeesta 0,5</w:t>
          </w:r>
          <w:r w:rsidR="008A6351" w:rsidRPr="008005CB">
            <w:t xml:space="preserve"> </w:t>
          </w:r>
          <w:proofErr w:type="spellStart"/>
          <w:r w:rsidR="008A6351" w:rsidRPr="008005CB">
            <w:t>htv:ta</w:t>
          </w:r>
          <w:proofErr w:type="spellEnd"/>
          <w:r w:rsidR="008A6351" w:rsidRPr="008005CB">
            <w:t xml:space="preserve"> olisi toteutettavissa resurssien uudelleen kohdennuksella, kun kompensaatiotukijärjestelmään liittyviä viranomaistehtäviä</w:t>
          </w:r>
          <w:r w:rsidR="00711BDB" w:rsidRPr="008005CB">
            <w:t xml:space="preserve"> ei enää olisi Energiaviraston hoidettavana</w:t>
          </w:r>
          <w:r w:rsidR="008A6351" w:rsidRPr="008005CB">
            <w:t xml:space="preserve">. </w:t>
          </w:r>
          <w:r w:rsidR="001518A0">
            <w:t>Sähköistämistukeen liittyvien viranomaistehtävien kokonaiskustannusten arvioidaan olevan 1 750 000 euroa vuoteen 2029 mennessä.</w:t>
          </w:r>
        </w:p>
        <w:p w14:paraId="5830B95C" w14:textId="129699EA" w:rsidR="005A1899" w:rsidRDefault="005A1899" w:rsidP="009144A7">
          <w:pPr>
            <w:pStyle w:val="LLPerustelujenkappalejako"/>
          </w:pPr>
          <w:r w:rsidRPr="008906CA">
            <w:t>Energiav</w:t>
          </w:r>
          <w:r w:rsidR="00A67A62" w:rsidRPr="008906CA">
            <w:t>iraston menojen</w:t>
          </w:r>
          <w:r w:rsidRPr="008906CA">
            <w:t xml:space="preserve"> lisäyksestä ja kasvaneesta h</w:t>
          </w:r>
          <w:r w:rsidR="00A67A62" w:rsidRPr="008906CA">
            <w:t>enkilöresurssitarpeesta syntyviä kustannuksia on mahdollista kattaa Energiaviraston päätöksistä perittävillä maksuilla. Mikäli kaikki kustannukset katettaisiin toiminnanharjoittajilta perittävillä maksuilla, tarkoittaisi tämä alustavan arvion mukaan noin 3500 euron vuosittaista kustannusta per toiminnanharjoittajan laitos.</w:t>
          </w:r>
        </w:p>
        <w:p w14:paraId="1F99882B" w14:textId="77777777" w:rsidR="005640F7" w:rsidRDefault="005640F7" w:rsidP="00A36BCE">
          <w:pPr>
            <w:pStyle w:val="LLNormaali"/>
          </w:pPr>
        </w:p>
        <w:p w14:paraId="7E79646E" w14:textId="4B2D300F" w:rsidR="001D7A63" w:rsidRDefault="001D7A63" w:rsidP="009144A7">
          <w:pPr>
            <w:pStyle w:val="LLPerustelujenkappalejako"/>
            <w:rPr>
              <w:i/>
            </w:rPr>
          </w:pPr>
          <w:r w:rsidRPr="001D7A63">
            <w:rPr>
              <w:i/>
            </w:rPr>
            <w:t>Vaikutukset yritysten toimintaan</w:t>
          </w:r>
        </w:p>
        <w:p w14:paraId="3C5C006A" w14:textId="2816ECBA" w:rsidR="00C5343A" w:rsidRDefault="000A031F" w:rsidP="00C5343A">
          <w:pPr>
            <w:pStyle w:val="LLPerustelujenkappalejako"/>
          </w:pPr>
          <w:r>
            <w:t>S</w:t>
          </w:r>
          <w:r w:rsidR="00C5343A">
            <w:t>ähköistämistuella pyritään parantamaan yritysten kustannuskilpailukykyä ja ehkäisemään riskiä hiilivuodolle. AFRY Consultingin haastattelemien, tuen piiriin kuuluvien yritysten mukaan tuki vaikuttaa positiivisesti laitosten kokonaiskannattavuuden arviointiin. Sähköistämistuella</w:t>
          </w:r>
          <w:r w:rsidR="0081602B">
            <w:t xml:space="preserve"> arvioidaan</w:t>
          </w:r>
          <w:r w:rsidR="00C5343A">
            <w:t xml:space="preserve"> o</w:t>
          </w:r>
          <w:r w:rsidR="0081602B">
            <w:t>levan</w:t>
          </w:r>
          <w:r w:rsidR="00C5343A">
            <w:t xml:space="preserve"> myös positiivisia vaikutuksia, kun kansainväliset konsernit vertailevat eri maissa sijaitsevien laitosten yksikköhintojen eroja ja sitä kautta arvioivat tuotannon sijoittumista eri mai</w:t>
          </w:r>
          <w:r w:rsidR="00A36BCE">
            <w:t>den tuotantolaitosten välillä.</w:t>
          </w:r>
        </w:p>
        <w:p w14:paraId="473A3570" w14:textId="0278D167" w:rsidR="00C5343A" w:rsidRDefault="00C5343A" w:rsidP="00A36BCE">
          <w:pPr>
            <w:pStyle w:val="LLPValiotsikko"/>
          </w:pPr>
          <w:r w:rsidRPr="008E62DA">
            <w:t>Vaikutukset toimialoihin</w:t>
          </w:r>
        </w:p>
        <w:p w14:paraId="120ED171" w14:textId="09CC9E02" w:rsidR="004E74E4" w:rsidRDefault="003C1008" w:rsidP="005A2873">
          <w:pPr>
            <w:pStyle w:val="LLPerustelujenkappalejako"/>
          </w:pPr>
          <w:r>
            <w:t>P</w:t>
          </w:r>
          <w:r w:rsidR="00EF25B7">
            <w:t xml:space="preserve">äästökaupan </w:t>
          </w:r>
          <w:r>
            <w:t>valtiontuki</w:t>
          </w:r>
          <w:r w:rsidR="00EF25B7">
            <w:t>suuntaviivojen toimialaluokitukseen on tullut muutoksia</w:t>
          </w:r>
          <w:r>
            <w:t xml:space="preserve"> verrattuna edellisellä päästökauppakaudella sovellettujen suuntaviivojen toimialaluokitukseen. Tämän</w:t>
          </w:r>
          <w:r w:rsidR="00EF25B7">
            <w:t xml:space="preserve"> seurauksena toimialoja ja yrityksiä tulee jäämään </w:t>
          </w:r>
          <w:r w:rsidR="00C5343A">
            <w:t>sähköistämis</w:t>
          </w:r>
          <w:r w:rsidR="00EF25B7">
            <w:t xml:space="preserve">tuen piiristä pois verrattuna </w:t>
          </w:r>
          <w:r>
            <w:t>kompensaatiotuessa sovellettuun toimialalistaukseen</w:t>
          </w:r>
          <w:r w:rsidR="00EF25B7">
            <w:t xml:space="preserve"> ja vastaavasti uusia toimijoita ja toimialoja on tulossa tuen piiriin. </w:t>
          </w:r>
          <w:r>
            <w:t>AFRY Consulting selvitti tutkimuksessaan suuntaviivojen mukaisia toimialoja Suomessa, mitä toimialoja ja yrityksiä tuen piiristä jää pois verrattuna aiempien suuntaviivojen mukaiseen toimialalistauk</w:t>
          </w:r>
          <w:r w:rsidR="0081602B">
            <w:t>seen ja ketä vastaavasti on tulo</w:t>
          </w:r>
          <w:r>
            <w:t xml:space="preserve">ssa uutena sen piiriin. </w:t>
          </w:r>
          <w:r w:rsidR="00EF25B7">
            <w:t xml:space="preserve">Aiempiin suuntaviivoihin perustuvaa kompensaatiotukea on </w:t>
          </w:r>
          <w:r w:rsidR="00EA29B3">
            <w:t xml:space="preserve">hakenut ja </w:t>
          </w:r>
          <w:r w:rsidR="00EF25B7">
            <w:t>saanut Suomessa noin 60 laitosta. Alla listatut toimialat säilyvät tuen piirissä myös jatkossa</w:t>
          </w:r>
          <w:r w:rsidR="00D56F51">
            <w:t>, laitosl</w:t>
          </w:r>
          <w:r w:rsidR="006240FE">
            <w:t xml:space="preserve">ukumääränä tämä tarkoittaa noin 30 </w:t>
          </w:r>
          <w:r w:rsidR="00D56F51">
            <w:t>laitosta</w:t>
          </w:r>
          <w:r w:rsidR="00EF25B7">
            <w:t xml:space="preserve">. Näistä keskeisimpiä tuensaajia ovat </w:t>
          </w:r>
          <w:r w:rsidR="00D56F51">
            <w:t>metsäteollisuuden toimialat sekä</w:t>
          </w:r>
          <w:r w:rsidR="00EF25B7">
            <w:t xml:space="preserve"> metallin jalostus. </w:t>
          </w:r>
          <w:r w:rsidR="00EA29B3">
            <w:t xml:space="preserve">Toimialalle nahkavaatteiden valmistus kuuluu Tilastokeskuksen tietojen mukaan noin 40 yritystä. Nämä yritykset ovat pääsääntöisesti hyvin pieniä ja </w:t>
          </w:r>
          <w:r>
            <w:t xml:space="preserve">on todennäköistä, että </w:t>
          </w:r>
          <w:r w:rsidR="00EA29B3">
            <w:t>tuen hakemiseen liittyvät kustannukset ovat heille suuremmat kuin tuesta saatava hyöty</w:t>
          </w:r>
          <w:r>
            <w:t xml:space="preserve"> mikä tekee tuen hakemisesta kannattamatonta</w:t>
          </w:r>
          <w:r w:rsidR="00EA29B3">
            <w:t>.</w:t>
          </w:r>
          <w:r>
            <w:t xml:space="preserve"> Kyseiseltä toimialalta ei haettu k</w:t>
          </w:r>
          <w:r w:rsidR="00D1084D">
            <w:t>ompensaatiotukea vuosien 2016</w:t>
          </w:r>
          <w:r w:rsidR="00A36BCE">
            <w:sym w:font="Symbol" w:char="F02D"/>
          </w:r>
          <w:r>
            <w:t>2019 pe</w:t>
          </w:r>
          <w:r w:rsidR="00A36BCE">
            <w:t>rusteella.</w:t>
          </w:r>
        </w:p>
        <w:tbl>
          <w:tblPr>
            <w:tblStyle w:val="Vaaleataulukkoruudukko"/>
            <w:tblpPr w:leftFromText="141" w:rightFromText="141" w:vertAnchor="text" w:horzAnchor="margin" w:tblpY="121"/>
            <w:tblW w:w="8359" w:type="dxa"/>
            <w:tblLook w:val="04A0" w:firstRow="1" w:lastRow="0" w:firstColumn="1" w:lastColumn="0" w:noHBand="0" w:noVBand="1"/>
          </w:tblPr>
          <w:tblGrid>
            <w:gridCol w:w="2268"/>
            <w:gridCol w:w="6091"/>
          </w:tblGrid>
          <w:tr w:rsidR="00EF25B7" w:rsidRPr="00A36BCE" w14:paraId="05C76FDF" w14:textId="77777777" w:rsidTr="008E62DA">
            <w:trPr>
              <w:trHeight w:val="300"/>
            </w:trPr>
            <w:tc>
              <w:tcPr>
                <w:tcW w:w="2268" w:type="dxa"/>
                <w:hideMark/>
              </w:tcPr>
              <w:p w14:paraId="5D858ABB" w14:textId="2D284B5D" w:rsidR="00EF25B7" w:rsidRPr="00A36BCE" w:rsidRDefault="00EF25B7" w:rsidP="00A36BCE">
                <w:pPr>
                  <w:pStyle w:val="LLNormaali"/>
                  <w:rPr>
                    <w:b/>
                    <w:sz w:val="20"/>
                    <w:szCs w:val="20"/>
                  </w:rPr>
                </w:pPr>
                <w:r w:rsidRPr="00A36BCE">
                  <w:rPr>
                    <w:b/>
                    <w:sz w:val="20"/>
                    <w:szCs w:val="20"/>
                  </w:rPr>
                  <w:t xml:space="preserve">NACE -luokka </w:t>
                </w:r>
              </w:p>
            </w:tc>
            <w:tc>
              <w:tcPr>
                <w:tcW w:w="6091" w:type="dxa"/>
                <w:hideMark/>
              </w:tcPr>
              <w:p w14:paraId="672807FD" w14:textId="77777777" w:rsidR="00EF25B7" w:rsidRPr="00A36BCE" w:rsidRDefault="00EF25B7" w:rsidP="00A36BCE">
                <w:pPr>
                  <w:pStyle w:val="LLNormaali"/>
                  <w:rPr>
                    <w:b/>
                    <w:sz w:val="20"/>
                    <w:szCs w:val="20"/>
                  </w:rPr>
                </w:pPr>
                <w:r w:rsidRPr="00A36BCE">
                  <w:rPr>
                    <w:b/>
                    <w:sz w:val="20"/>
                    <w:szCs w:val="20"/>
                  </w:rPr>
                  <w:t>Toimialan nimike</w:t>
                </w:r>
              </w:p>
            </w:tc>
          </w:tr>
          <w:tr w:rsidR="00EF25B7" w:rsidRPr="00A36BCE" w14:paraId="429A3EF9" w14:textId="77777777" w:rsidTr="008E62DA">
            <w:trPr>
              <w:trHeight w:val="283"/>
            </w:trPr>
            <w:tc>
              <w:tcPr>
                <w:tcW w:w="2268" w:type="dxa"/>
                <w:hideMark/>
              </w:tcPr>
              <w:p w14:paraId="4F1B7442" w14:textId="007BD093" w:rsidR="00EF25B7" w:rsidRPr="00A36BCE" w:rsidRDefault="003C1008" w:rsidP="00A36BCE">
                <w:pPr>
                  <w:pStyle w:val="LLNormaali"/>
                  <w:rPr>
                    <w:bCs/>
                    <w:sz w:val="20"/>
                    <w:szCs w:val="20"/>
                  </w:rPr>
                </w:pPr>
                <w:r w:rsidRPr="00A36BCE">
                  <w:rPr>
                    <w:bCs/>
                    <w:sz w:val="20"/>
                    <w:szCs w:val="20"/>
                  </w:rPr>
                  <w:t>14.11</w:t>
                </w:r>
              </w:p>
            </w:tc>
            <w:tc>
              <w:tcPr>
                <w:tcW w:w="6091" w:type="dxa"/>
                <w:hideMark/>
              </w:tcPr>
              <w:p w14:paraId="6B47F54B" w14:textId="77777777" w:rsidR="00EF25B7" w:rsidRPr="00A36BCE" w:rsidRDefault="00EF25B7" w:rsidP="00A36BCE">
                <w:pPr>
                  <w:pStyle w:val="LLNormaali"/>
                  <w:rPr>
                    <w:sz w:val="20"/>
                    <w:szCs w:val="20"/>
                  </w:rPr>
                </w:pPr>
                <w:r w:rsidRPr="00A36BCE">
                  <w:rPr>
                    <w:sz w:val="20"/>
                    <w:szCs w:val="20"/>
                  </w:rPr>
                  <w:t>Nahkavaatteiden valmistus</w:t>
                </w:r>
              </w:p>
            </w:tc>
          </w:tr>
          <w:tr w:rsidR="00EF25B7" w:rsidRPr="00A36BCE" w14:paraId="7466510B" w14:textId="77777777" w:rsidTr="008E62DA">
            <w:trPr>
              <w:trHeight w:val="283"/>
            </w:trPr>
            <w:tc>
              <w:tcPr>
                <w:tcW w:w="2268" w:type="dxa"/>
                <w:hideMark/>
              </w:tcPr>
              <w:p w14:paraId="326EB2B2" w14:textId="60EC371D" w:rsidR="00EF25B7" w:rsidRPr="00A36BCE" w:rsidRDefault="00EF25B7" w:rsidP="00A36BCE">
                <w:pPr>
                  <w:pStyle w:val="LLNormaali"/>
                  <w:rPr>
                    <w:bCs/>
                    <w:sz w:val="20"/>
                    <w:szCs w:val="20"/>
                  </w:rPr>
                </w:pPr>
                <w:r w:rsidRPr="00A36BCE">
                  <w:rPr>
                    <w:bCs/>
                    <w:sz w:val="20"/>
                    <w:szCs w:val="20"/>
                  </w:rPr>
                  <w:t>24.42</w:t>
                </w:r>
              </w:p>
            </w:tc>
            <w:tc>
              <w:tcPr>
                <w:tcW w:w="6091" w:type="dxa"/>
                <w:hideMark/>
              </w:tcPr>
              <w:p w14:paraId="5BCA2124" w14:textId="77777777" w:rsidR="00EF25B7" w:rsidRPr="00A36BCE" w:rsidRDefault="00EF25B7" w:rsidP="00A36BCE">
                <w:pPr>
                  <w:pStyle w:val="LLNormaali"/>
                  <w:rPr>
                    <w:sz w:val="20"/>
                    <w:szCs w:val="20"/>
                  </w:rPr>
                </w:pPr>
                <w:r w:rsidRPr="00A36BCE">
                  <w:rPr>
                    <w:sz w:val="20"/>
                    <w:szCs w:val="20"/>
                  </w:rPr>
                  <w:t>Alumiinin valmistus</w:t>
                </w:r>
              </w:p>
            </w:tc>
          </w:tr>
          <w:tr w:rsidR="00EF25B7" w:rsidRPr="00A36BCE" w14:paraId="03BD5860" w14:textId="77777777" w:rsidTr="008E62DA">
            <w:trPr>
              <w:trHeight w:val="283"/>
            </w:trPr>
            <w:tc>
              <w:tcPr>
                <w:tcW w:w="2268" w:type="dxa"/>
                <w:hideMark/>
              </w:tcPr>
              <w:p w14:paraId="14401393" w14:textId="756DF8FE" w:rsidR="00EF25B7" w:rsidRPr="00A36BCE" w:rsidRDefault="00EF25B7" w:rsidP="00A36BCE">
                <w:pPr>
                  <w:pStyle w:val="LLNormaali"/>
                  <w:rPr>
                    <w:bCs/>
                    <w:sz w:val="20"/>
                    <w:szCs w:val="20"/>
                  </w:rPr>
                </w:pPr>
                <w:r w:rsidRPr="00A36BCE">
                  <w:rPr>
                    <w:bCs/>
                    <w:sz w:val="20"/>
                    <w:szCs w:val="20"/>
                  </w:rPr>
                  <w:t>20.13</w:t>
                </w:r>
              </w:p>
            </w:tc>
            <w:tc>
              <w:tcPr>
                <w:tcW w:w="6091" w:type="dxa"/>
                <w:hideMark/>
              </w:tcPr>
              <w:p w14:paraId="793BBC8D" w14:textId="77777777" w:rsidR="00EF25B7" w:rsidRPr="00A36BCE" w:rsidRDefault="00EF25B7" w:rsidP="00A36BCE">
                <w:pPr>
                  <w:pStyle w:val="LLNormaali"/>
                  <w:rPr>
                    <w:sz w:val="20"/>
                    <w:szCs w:val="20"/>
                  </w:rPr>
                </w:pPr>
                <w:r w:rsidRPr="00A36BCE">
                  <w:rPr>
                    <w:sz w:val="20"/>
                    <w:szCs w:val="20"/>
                  </w:rPr>
                  <w:t>Muiden epäorgaanisten peruskemikaalien valmistus</w:t>
                </w:r>
              </w:p>
            </w:tc>
          </w:tr>
          <w:tr w:rsidR="00EF25B7" w:rsidRPr="00A36BCE" w14:paraId="70FD5188" w14:textId="77777777" w:rsidTr="008E62DA">
            <w:trPr>
              <w:trHeight w:val="283"/>
            </w:trPr>
            <w:tc>
              <w:tcPr>
                <w:tcW w:w="2268" w:type="dxa"/>
                <w:hideMark/>
              </w:tcPr>
              <w:p w14:paraId="11F404C3" w14:textId="6B80BFD0" w:rsidR="00EF25B7" w:rsidRPr="00A36BCE" w:rsidRDefault="00EF25B7" w:rsidP="00A36BCE">
                <w:pPr>
                  <w:pStyle w:val="LLNormaali"/>
                  <w:rPr>
                    <w:bCs/>
                    <w:sz w:val="20"/>
                    <w:szCs w:val="20"/>
                  </w:rPr>
                </w:pPr>
                <w:r w:rsidRPr="00A36BCE">
                  <w:rPr>
                    <w:bCs/>
                    <w:sz w:val="20"/>
                    <w:szCs w:val="20"/>
                  </w:rPr>
                  <w:t>24.43</w:t>
                </w:r>
              </w:p>
            </w:tc>
            <w:tc>
              <w:tcPr>
                <w:tcW w:w="6091" w:type="dxa"/>
                <w:hideMark/>
              </w:tcPr>
              <w:p w14:paraId="596774EB" w14:textId="77777777" w:rsidR="00EF25B7" w:rsidRPr="00A36BCE" w:rsidRDefault="00EF25B7" w:rsidP="00A36BCE">
                <w:pPr>
                  <w:pStyle w:val="LLNormaali"/>
                  <w:rPr>
                    <w:sz w:val="20"/>
                    <w:szCs w:val="20"/>
                  </w:rPr>
                </w:pPr>
                <w:r w:rsidRPr="00A36BCE">
                  <w:rPr>
                    <w:sz w:val="20"/>
                    <w:szCs w:val="20"/>
                  </w:rPr>
                  <w:t>Lyijyn, sinkin ja tinan tuotanto</w:t>
                </w:r>
              </w:p>
            </w:tc>
          </w:tr>
          <w:tr w:rsidR="00EF25B7" w:rsidRPr="00A36BCE" w14:paraId="1EE1E24E" w14:textId="77777777" w:rsidTr="008E62DA">
            <w:trPr>
              <w:trHeight w:val="283"/>
            </w:trPr>
            <w:tc>
              <w:tcPr>
                <w:tcW w:w="2268" w:type="dxa"/>
                <w:noWrap/>
                <w:hideMark/>
              </w:tcPr>
              <w:p w14:paraId="412DB967" w14:textId="47254F46" w:rsidR="00EF25B7" w:rsidRPr="00A36BCE" w:rsidRDefault="00EF25B7" w:rsidP="00A36BCE">
                <w:pPr>
                  <w:pStyle w:val="LLNormaali"/>
                  <w:rPr>
                    <w:bCs/>
                    <w:sz w:val="20"/>
                    <w:szCs w:val="20"/>
                  </w:rPr>
                </w:pPr>
                <w:r w:rsidRPr="00A36BCE">
                  <w:rPr>
                    <w:bCs/>
                    <w:sz w:val="20"/>
                    <w:szCs w:val="20"/>
                  </w:rPr>
                  <w:t>24.10</w:t>
                </w:r>
              </w:p>
            </w:tc>
            <w:tc>
              <w:tcPr>
                <w:tcW w:w="6091" w:type="dxa"/>
                <w:noWrap/>
                <w:hideMark/>
              </w:tcPr>
              <w:p w14:paraId="122E8CF2" w14:textId="77777777" w:rsidR="00EF25B7" w:rsidRPr="00A36BCE" w:rsidRDefault="00EF25B7" w:rsidP="00A36BCE">
                <w:pPr>
                  <w:pStyle w:val="LLNormaali"/>
                  <w:rPr>
                    <w:sz w:val="20"/>
                    <w:szCs w:val="20"/>
                  </w:rPr>
                </w:pPr>
                <w:r w:rsidRPr="00A36BCE">
                  <w:rPr>
                    <w:sz w:val="20"/>
                    <w:szCs w:val="20"/>
                  </w:rPr>
                  <w:t>Raudan, teräksen ja rautaseosten valmistus</w:t>
                </w:r>
              </w:p>
            </w:tc>
          </w:tr>
          <w:tr w:rsidR="00EF25B7" w:rsidRPr="00A36BCE" w14:paraId="597AD4E7" w14:textId="77777777" w:rsidTr="008E62DA">
            <w:trPr>
              <w:trHeight w:val="283"/>
            </w:trPr>
            <w:tc>
              <w:tcPr>
                <w:tcW w:w="2268" w:type="dxa"/>
                <w:hideMark/>
              </w:tcPr>
              <w:p w14:paraId="5AB37B43" w14:textId="594D8A82" w:rsidR="00EF25B7" w:rsidRPr="00A36BCE" w:rsidRDefault="00EF25B7" w:rsidP="00A36BCE">
                <w:pPr>
                  <w:pStyle w:val="LLNormaali"/>
                  <w:rPr>
                    <w:bCs/>
                    <w:sz w:val="20"/>
                    <w:szCs w:val="20"/>
                  </w:rPr>
                </w:pPr>
                <w:r w:rsidRPr="00A36BCE">
                  <w:rPr>
                    <w:bCs/>
                    <w:sz w:val="20"/>
                    <w:szCs w:val="20"/>
                  </w:rPr>
                  <w:t>17.12</w:t>
                </w:r>
              </w:p>
            </w:tc>
            <w:tc>
              <w:tcPr>
                <w:tcW w:w="6091" w:type="dxa"/>
                <w:noWrap/>
                <w:hideMark/>
              </w:tcPr>
              <w:p w14:paraId="328CAAA2" w14:textId="77777777" w:rsidR="00EF25B7" w:rsidRPr="00A36BCE" w:rsidRDefault="00EF25B7" w:rsidP="00A36BCE">
                <w:pPr>
                  <w:pStyle w:val="LLNormaali"/>
                  <w:rPr>
                    <w:sz w:val="20"/>
                    <w:szCs w:val="20"/>
                  </w:rPr>
                </w:pPr>
                <w:r w:rsidRPr="00A36BCE">
                  <w:rPr>
                    <w:sz w:val="20"/>
                    <w:szCs w:val="20"/>
                  </w:rPr>
                  <w:t>Paperin, kartongin ja pahvin valmistus</w:t>
                </w:r>
              </w:p>
            </w:tc>
          </w:tr>
          <w:tr w:rsidR="00EF25B7" w:rsidRPr="00A36BCE" w14:paraId="5BB74BBF" w14:textId="77777777" w:rsidTr="008E62DA">
            <w:trPr>
              <w:trHeight w:val="283"/>
            </w:trPr>
            <w:tc>
              <w:tcPr>
                <w:tcW w:w="2268" w:type="dxa"/>
                <w:noWrap/>
                <w:hideMark/>
              </w:tcPr>
              <w:p w14:paraId="584689C4" w14:textId="0F993BDE" w:rsidR="00EF25B7" w:rsidRPr="00A36BCE" w:rsidRDefault="00EF25B7" w:rsidP="00A36BCE">
                <w:pPr>
                  <w:pStyle w:val="LLNormaali"/>
                  <w:rPr>
                    <w:bCs/>
                    <w:sz w:val="20"/>
                    <w:szCs w:val="20"/>
                  </w:rPr>
                </w:pPr>
                <w:r w:rsidRPr="00A36BCE">
                  <w:rPr>
                    <w:bCs/>
                    <w:sz w:val="20"/>
                    <w:szCs w:val="20"/>
                  </w:rPr>
                  <w:t>17.11</w:t>
                </w:r>
              </w:p>
            </w:tc>
            <w:tc>
              <w:tcPr>
                <w:tcW w:w="6091" w:type="dxa"/>
                <w:noWrap/>
                <w:hideMark/>
              </w:tcPr>
              <w:p w14:paraId="25201AF7" w14:textId="77777777" w:rsidR="00EF25B7" w:rsidRPr="00A36BCE" w:rsidRDefault="00EF25B7" w:rsidP="00A36BCE">
                <w:pPr>
                  <w:pStyle w:val="LLNormaali"/>
                  <w:rPr>
                    <w:sz w:val="20"/>
                    <w:szCs w:val="20"/>
                  </w:rPr>
                </w:pPr>
                <w:r w:rsidRPr="00A36BCE">
                  <w:rPr>
                    <w:sz w:val="20"/>
                    <w:szCs w:val="20"/>
                  </w:rPr>
                  <w:t>Massan valmistus*</w:t>
                </w:r>
              </w:p>
            </w:tc>
          </w:tr>
          <w:tr w:rsidR="00EF25B7" w:rsidRPr="00A36BCE" w14:paraId="1C0DDF1D" w14:textId="77777777" w:rsidTr="008E62DA">
            <w:trPr>
              <w:trHeight w:val="283"/>
            </w:trPr>
            <w:tc>
              <w:tcPr>
                <w:tcW w:w="2268" w:type="dxa"/>
                <w:noWrap/>
                <w:hideMark/>
              </w:tcPr>
              <w:p w14:paraId="21E1CC4F" w14:textId="199B77C5" w:rsidR="00EF25B7" w:rsidRPr="00A36BCE" w:rsidRDefault="00EF25B7" w:rsidP="00A36BCE">
                <w:pPr>
                  <w:pStyle w:val="LLNormaali"/>
                  <w:rPr>
                    <w:bCs/>
                    <w:sz w:val="20"/>
                    <w:szCs w:val="20"/>
                  </w:rPr>
                </w:pPr>
                <w:r w:rsidRPr="00A36BCE">
                  <w:rPr>
                    <w:bCs/>
                    <w:sz w:val="20"/>
                    <w:szCs w:val="20"/>
                  </w:rPr>
                  <w:t>24.44</w:t>
                </w:r>
              </w:p>
            </w:tc>
            <w:tc>
              <w:tcPr>
                <w:tcW w:w="6091" w:type="dxa"/>
                <w:noWrap/>
                <w:hideMark/>
              </w:tcPr>
              <w:p w14:paraId="6E67B815" w14:textId="77777777" w:rsidR="00EF25B7" w:rsidRPr="00A36BCE" w:rsidRDefault="00EF25B7" w:rsidP="00A36BCE">
                <w:pPr>
                  <w:pStyle w:val="LLNormaali"/>
                  <w:rPr>
                    <w:sz w:val="20"/>
                    <w:szCs w:val="20"/>
                  </w:rPr>
                </w:pPr>
                <w:r w:rsidRPr="00A36BCE">
                  <w:rPr>
                    <w:sz w:val="20"/>
                    <w:szCs w:val="20"/>
                  </w:rPr>
                  <w:t>Kuparin tuotanto</w:t>
                </w:r>
              </w:p>
            </w:tc>
          </w:tr>
        </w:tbl>
        <w:p w14:paraId="5B351B26" w14:textId="77777777" w:rsidR="00EF25B7" w:rsidRDefault="00EF25B7" w:rsidP="005A2873">
          <w:pPr>
            <w:pStyle w:val="LLPerustelujenkappalejako"/>
          </w:pPr>
          <w:r w:rsidRPr="00EF25B7">
            <w:rPr>
              <w:sz w:val="20"/>
            </w:rPr>
            <w:t>*aiemmin ollut mekaaninen massa</w:t>
          </w:r>
          <w:r>
            <w:t xml:space="preserve"> </w:t>
          </w:r>
        </w:p>
        <w:p w14:paraId="5888A977" w14:textId="504462B4" w:rsidR="005640F7" w:rsidRDefault="005640F7" w:rsidP="005A2873">
          <w:pPr>
            <w:pStyle w:val="LLPerustelujenkappalejako"/>
          </w:pPr>
          <w:r>
            <w:t>Seuraavassa taulukossa</w:t>
          </w:r>
          <w:r w:rsidR="00AB4F75">
            <w:t xml:space="preserve"> on listattu toimialat ja niiden luokitukset, jotka ovat uusia verrattuna aiempiin suuntaviivoihin</w:t>
          </w:r>
          <w:r w:rsidR="004E74E4">
            <w:t>. Uus</w:t>
          </w:r>
          <w:r w:rsidR="000E5CEE">
            <w:t>ien toimialojen myötä</w:t>
          </w:r>
          <w:r w:rsidR="004E74E4">
            <w:t xml:space="preserve"> 17 laitosta tulee joko osin</w:t>
          </w:r>
          <w:r w:rsidR="000E5CEE">
            <w:t>,</w:t>
          </w:r>
          <w:r w:rsidR="004E74E4">
            <w:t xml:space="preserve"> tai kokonaan uutena tuen piiriin. Osin </w:t>
          </w:r>
          <w:r w:rsidR="000E5CEE">
            <w:t xml:space="preserve">tuen piirissä ovat olleet jo tietyt </w:t>
          </w:r>
          <w:proofErr w:type="spellStart"/>
          <w:r w:rsidR="000E5CEE">
            <w:t>metsäteollisuusintegraatit</w:t>
          </w:r>
          <w:proofErr w:type="spellEnd"/>
          <w:r w:rsidR="004E74E4">
            <w:t>, nyt tuki laajenee myös</w:t>
          </w:r>
          <w:r w:rsidR="00A36BCE">
            <w:t xml:space="preserve"> kemiallisen sellun tuotantoon.</w:t>
          </w:r>
        </w:p>
        <w:tbl>
          <w:tblPr>
            <w:tblStyle w:val="Vaaleataulukkoruudukko"/>
            <w:tblpPr w:leftFromText="141" w:rightFromText="141" w:vertAnchor="text" w:horzAnchor="margin" w:tblpY="121"/>
            <w:tblW w:w="8359" w:type="dxa"/>
            <w:tblLook w:val="04A0" w:firstRow="1" w:lastRow="0" w:firstColumn="1" w:lastColumn="0" w:noHBand="0" w:noVBand="1"/>
          </w:tblPr>
          <w:tblGrid>
            <w:gridCol w:w="2268"/>
            <w:gridCol w:w="6091"/>
          </w:tblGrid>
          <w:tr w:rsidR="004E74E4" w:rsidRPr="00A36BCE" w14:paraId="4B580EED" w14:textId="77777777" w:rsidTr="008E62DA">
            <w:trPr>
              <w:trHeight w:val="283"/>
            </w:trPr>
            <w:tc>
              <w:tcPr>
                <w:tcW w:w="2268" w:type="dxa"/>
                <w:hideMark/>
              </w:tcPr>
              <w:p w14:paraId="295E8F85" w14:textId="066BFCFC" w:rsidR="004E74E4" w:rsidRPr="00A36BCE" w:rsidRDefault="003C1008" w:rsidP="00A36BCE">
                <w:pPr>
                  <w:pStyle w:val="LLNormaali"/>
                  <w:rPr>
                    <w:b/>
                    <w:sz w:val="20"/>
                    <w:szCs w:val="20"/>
                  </w:rPr>
                </w:pPr>
                <w:r w:rsidRPr="00A36BCE">
                  <w:rPr>
                    <w:b/>
                    <w:sz w:val="20"/>
                    <w:szCs w:val="20"/>
                  </w:rPr>
                  <w:t>NACE –luokka</w:t>
                </w:r>
              </w:p>
            </w:tc>
            <w:tc>
              <w:tcPr>
                <w:tcW w:w="6091" w:type="dxa"/>
                <w:hideMark/>
              </w:tcPr>
              <w:p w14:paraId="2BB49F82" w14:textId="77777777" w:rsidR="004E74E4" w:rsidRPr="00A36BCE" w:rsidRDefault="004E74E4" w:rsidP="00A36BCE">
                <w:pPr>
                  <w:pStyle w:val="LLNormaali"/>
                  <w:rPr>
                    <w:b/>
                    <w:sz w:val="20"/>
                    <w:szCs w:val="20"/>
                  </w:rPr>
                </w:pPr>
                <w:r w:rsidRPr="00A36BCE">
                  <w:rPr>
                    <w:b/>
                    <w:sz w:val="20"/>
                    <w:szCs w:val="20"/>
                  </w:rPr>
                  <w:t>Toimialan nimike</w:t>
                </w:r>
              </w:p>
            </w:tc>
          </w:tr>
          <w:tr w:rsidR="004E74E4" w:rsidRPr="00A36BCE" w14:paraId="3157C332" w14:textId="77777777" w:rsidTr="008E62DA">
            <w:trPr>
              <w:trHeight w:val="283"/>
            </w:trPr>
            <w:tc>
              <w:tcPr>
                <w:tcW w:w="2268" w:type="dxa"/>
                <w:noWrap/>
                <w:hideMark/>
              </w:tcPr>
              <w:p w14:paraId="0C4165A1" w14:textId="097F6942" w:rsidR="004E74E4" w:rsidRPr="00A36BCE" w:rsidRDefault="003C1008" w:rsidP="00A36BCE">
                <w:pPr>
                  <w:pStyle w:val="LLNormaali"/>
                  <w:rPr>
                    <w:bCs/>
                    <w:sz w:val="20"/>
                    <w:szCs w:val="20"/>
                  </w:rPr>
                </w:pPr>
                <w:r w:rsidRPr="00A36BCE">
                  <w:rPr>
                    <w:bCs/>
                    <w:sz w:val="20"/>
                    <w:szCs w:val="20"/>
                  </w:rPr>
                  <w:t>17.11</w:t>
                </w:r>
              </w:p>
            </w:tc>
            <w:tc>
              <w:tcPr>
                <w:tcW w:w="6091" w:type="dxa"/>
                <w:noWrap/>
                <w:hideMark/>
              </w:tcPr>
              <w:p w14:paraId="43E48890" w14:textId="77777777" w:rsidR="004E74E4" w:rsidRPr="00A36BCE" w:rsidRDefault="004E74E4" w:rsidP="00A36BCE">
                <w:pPr>
                  <w:pStyle w:val="LLNormaali"/>
                  <w:rPr>
                    <w:bCs/>
                    <w:sz w:val="20"/>
                    <w:szCs w:val="20"/>
                  </w:rPr>
                </w:pPr>
                <w:r w:rsidRPr="00A36BCE">
                  <w:rPr>
                    <w:bCs/>
                    <w:sz w:val="20"/>
                    <w:szCs w:val="20"/>
                  </w:rPr>
                  <w:t>Massan valmistus *</w:t>
                </w:r>
              </w:p>
            </w:tc>
          </w:tr>
          <w:tr w:rsidR="004E74E4" w:rsidRPr="00A36BCE" w14:paraId="7FEC9F0F" w14:textId="77777777" w:rsidTr="008E62DA">
            <w:trPr>
              <w:trHeight w:val="283"/>
            </w:trPr>
            <w:tc>
              <w:tcPr>
                <w:tcW w:w="2268" w:type="dxa"/>
                <w:noWrap/>
                <w:hideMark/>
              </w:tcPr>
              <w:p w14:paraId="0EE82890" w14:textId="7D34B575" w:rsidR="004E74E4" w:rsidRPr="00A36BCE" w:rsidRDefault="003C1008" w:rsidP="00A36BCE">
                <w:pPr>
                  <w:pStyle w:val="LLNormaali"/>
                  <w:rPr>
                    <w:bCs/>
                    <w:sz w:val="20"/>
                    <w:szCs w:val="20"/>
                  </w:rPr>
                </w:pPr>
                <w:r w:rsidRPr="00A36BCE">
                  <w:rPr>
                    <w:bCs/>
                    <w:sz w:val="20"/>
                    <w:szCs w:val="20"/>
                  </w:rPr>
                  <w:t xml:space="preserve">19.20 </w:t>
                </w:r>
              </w:p>
            </w:tc>
            <w:tc>
              <w:tcPr>
                <w:tcW w:w="6091" w:type="dxa"/>
                <w:noWrap/>
                <w:hideMark/>
              </w:tcPr>
              <w:p w14:paraId="7B68D627" w14:textId="77777777" w:rsidR="004E74E4" w:rsidRPr="00A36BCE" w:rsidRDefault="004E74E4" w:rsidP="00A36BCE">
                <w:pPr>
                  <w:pStyle w:val="LLNormaali"/>
                  <w:rPr>
                    <w:bCs/>
                    <w:sz w:val="20"/>
                    <w:szCs w:val="20"/>
                  </w:rPr>
                </w:pPr>
                <w:r w:rsidRPr="00A36BCE">
                  <w:rPr>
                    <w:bCs/>
                    <w:sz w:val="20"/>
                    <w:szCs w:val="20"/>
                  </w:rPr>
                  <w:t>Jalostettujen öljytuotteiden valmistus</w:t>
                </w:r>
              </w:p>
            </w:tc>
          </w:tr>
          <w:tr w:rsidR="004E74E4" w:rsidRPr="00A36BCE" w14:paraId="7C7104BC" w14:textId="77777777" w:rsidTr="008E62DA">
            <w:trPr>
              <w:trHeight w:val="283"/>
            </w:trPr>
            <w:tc>
              <w:tcPr>
                <w:tcW w:w="2268" w:type="dxa"/>
                <w:noWrap/>
                <w:hideMark/>
              </w:tcPr>
              <w:p w14:paraId="339EFD42" w14:textId="634A1451" w:rsidR="004E74E4" w:rsidRPr="00A36BCE" w:rsidRDefault="003C1008" w:rsidP="00A36BCE">
                <w:pPr>
                  <w:pStyle w:val="LLNormaali"/>
                  <w:rPr>
                    <w:bCs/>
                    <w:sz w:val="20"/>
                    <w:szCs w:val="20"/>
                  </w:rPr>
                </w:pPr>
                <w:r w:rsidRPr="00A36BCE">
                  <w:rPr>
                    <w:bCs/>
                    <w:sz w:val="20"/>
                    <w:szCs w:val="20"/>
                  </w:rPr>
                  <w:t>24.45</w:t>
                </w:r>
              </w:p>
            </w:tc>
            <w:tc>
              <w:tcPr>
                <w:tcW w:w="6091" w:type="dxa"/>
                <w:noWrap/>
                <w:hideMark/>
              </w:tcPr>
              <w:p w14:paraId="75669BB9" w14:textId="77777777" w:rsidR="004E74E4" w:rsidRPr="00A36BCE" w:rsidRDefault="004E74E4" w:rsidP="00A36BCE">
                <w:pPr>
                  <w:pStyle w:val="LLNormaali"/>
                  <w:rPr>
                    <w:bCs/>
                    <w:sz w:val="20"/>
                    <w:szCs w:val="20"/>
                  </w:rPr>
                </w:pPr>
                <w:r w:rsidRPr="00A36BCE">
                  <w:rPr>
                    <w:bCs/>
                    <w:sz w:val="20"/>
                    <w:szCs w:val="20"/>
                  </w:rPr>
                  <w:t>Muiden värimetallien tuotanto</w:t>
                </w:r>
              </w:p>
            </w:tc>
          </w:tr>
          <w:tr w:rsidR="004E74E4" w:rsidRPr="00A36BCE" w14:paraId="2873C75E" w14:textId="77777777" w:rsidTr="008E62DA">
            <w:trPr>
              <w:trHeight w:val="283"/>
            </w:trPr>
            <w:tc>
              <w:tcPr>
                <w:tcW w:w="2268" w:type="dxa"/>
                <w:noWrap/>
                <w:hideMark/>
              </w:tcPr>
              <w:p w14:paraId="16CF9C4E" w14:textId="3D400379" w:rsidR="004E74E4" w:rsidRPr="00A36BCE" w:rsidRDefault="004E74E4" w:rsidP="00A36BCE">
                <w:pPr>
                  <w:pStyle w:val="LLNormaali"/>
                  <w:rPr>
                    <w:bCs/>
                    <w:sz w:val="20"/>
                    <w:szCs w:val="20"/>
                  </w:rPr>
                </w:pPr>
                <w:r w:rsidRPr="00A36BCE">
                  <w:rPr>
                    <w:bCs/>
                    <w:sz w:val="20"/>
                    <w:szCs w:val="20"/>
                  </w:rPr>
                  <w:t xml:space="preserve">20.16.40.15 </w:t>
                </w:r>
              </w:p>
            </w:tc>
            <w:tc>
              <w:tcPr>
                <w:tcW w:w="6091" w:type="dxa"/>
                <w:noWrap/>
                <w:hideMark/>
              </w:tcPr>
              <w:p w14:paraId="35AC277D" w14:textId="77777777" w:rsidR="004E74E4" w:rsidRPr="00A36BCE" w:rsidRDefault="004E74E4" w:rsidP="00A36BCE">
                <w:pPr>
                  <w:pStyle w:val="LLNormaali"/>
                  <w:rPr>
                    <w:bCs/>
                    <w:sz w:val="20"/>
                    <w:szCs w:val="20"/>
                  </w:rPr>
                </w:pPr>
                <w:r w:rsidRPr="00A36BCE">
                  <w:rPr>
                    <w:bCs/>
                    <w:sz w:val="20"/>
                    <w:szCs w:val="20"/>
                  </w:rPr>
                  <w:t>Polyeteeni, alkumuodossa</w:t>
                </w:r>
              </w:p>
            </w:tc>
          </w:tr>
          <w:tr w:rsidR="004E74E4" w:rsidRPr="00A36BCE" w14:paraId="3CB3C01D" w14:textId="77777777" w:rsidTr="008E62DA">
            <w:trPr>
              <w:trHeight w:val="283"/>
            </w:trPr>
            <w:tc>
              <w:tcPr>
                <w:tcW w:w="2268" w:type="dxa"/>
                <w:noWrap/>
                <w:hideMark/>
              </w:tcPr>
              <w:p w14:paraId="7CB43CA2" w14:textId="1899A7D3" w:rsidR="004E74E4" w:rsidRPr="00A36BCE" w:rsidRDefault="004E74E4" w:rsidP="00A36BCE">
                <w:pPr>
                  <w:pStyle w:val="LLNormaali"/>
                  <w:rPr>
                    <w:bCs/>
                    <w:sz w:val="20"/>
                    <w:szCs w:val="20"/>
                  </w:rPr>
                </w:pPr>
                <w:r w:rsidRPr="00A36BCE">
                  <w:rPr>
                    <w:bCs/>
                    <w:sz w:val="20"/>
                    <w:szCs w:val="20"/>
                  </w:rPr>
                  <w:t>24</w:t>
                </w:r>
                <w:r w:rsidR="003C1008" w:rsidRPr="00A36BCE">
                  <w:rPr>
                    <w:bCs/>
                    <w:sz w:val="20"/>
                    <w:szCs w:val="20"/>
                  </w:rPr>
                  <w:t xml:space="preserve">.51 </w:t>
                </w:r>
              </w:p>
            </w:tc>
            <w:tc>
              <w:tcPr>
                <w:tcW w:w="6091" w:type="dxa"/>
                <w:noWrap/>
                <w:hideMark/>
              </w:tcPr>
              <w:p w14:paraId="29870ABD" w14:textId="77777777" w:rsidR="004E74E4" w:rsidRPr="00A36BCE" w:rsidRDefault="004E74E4" w:rsidP="00A36BCE">
                <w:pPr>
                  <w:pStyle w:val="LLNormaali"/>
                  <w:rPr>
                    <w:bCs/>
                    <w:sz w:val="20"/>
                    <w:szCs w:val="20"/>
                  </w:rPr>
                </w:pPr>
                <w:r w:rsidRPr="00A36BCE">
                  <w:rPr>
                    <w:bCs/>
                    <w:sz w:val="20"/>
                    <w:szCs w:val="20"/>
                  </w:rPr>
                  <w:t>Raudan valu</w:t>
                </w:r>
              </w:p>
            </w:tc>
          </w:tr>
          <w:tr w:rsidR="004E74E4" w:rsidRPr="00A36BCE" w14:paraId="39481D2B" w14:textId="77777777" w:rsidTr="008E62DA">
            <w:trPr>
              <w:trHeight w:val="283"/>
            </w:trPr>
            <w:tc>
              <w:tcPr>
                <w:tcW w:w="2268" w:type="dxa"/>
                <w:noWrap/>
                <w:hideMark/>
              </w:tcPr>
              <w:p w14:paraId="56DDEF00" w14:textId="5C73FB8B" w:rsidR="004E74E4" w:rsidRPr="00A36BCE" w:rsidRDefault="003C1008" w:rsidP="00A36BCE">
                <w:pPr>
                  <w:pStyle w:val="LLNormaali"/>
                  <w:rPr>
                    <w:bCs/>
                    <w:sz w:val="20"/>
                    <w:szCs w:val="20"/>
                  </w:rPr>
                </w:pPr>
                <w:r w:rsidRPr="00A36BCE">
                  <w:rPr>
                    <w:bCs/>
                    <w:sz w:val="20"/>
                    <w:szCs w:val="20"/>
                  </w:rPr>
                  <w:t xml:space="preserve">23.14.12.10 </w:t>
                </w:r>
              </w:p>
            </w:tc>
            <w:tc>
              <w:tcPr>
                <w:tcW w:w="6091" w:type="dxa"/>
                <w:noWrap/>
                <w:hideMark/>
              </w:tcPr>
              <w:p w14:paraId="1B26C45E" w14:textId="77777777" w:rsidR="004E74E4" w:rsidRPr="00A36BCE" w:rsidRDefault="004E74E4" w:rsidP="00A36BCE">
                <w:pPr>
                  <w:pStyle w:val="LLNormaali"/>
                  <w:rPr>
                    <w:bCs/>
                    <w:sz w:val="20"/>
                    <w:szCs w:val="20"/>
                  </w:rPr>
                </w:pPr>
                <w:r w:rsidRPr="00A36BCE">
                  <w:rPr>
                    <w:bCs/>
                    <w:sz w:val="20"/>
                    <w:szCs w:val="20"/>
                  </w:rPr>
                  <w:t xml:space="preserve">Lasikuitumatot </w:t>
                </w:r>
              </w:p>
            </w:tc>
          </w:tr>
          <w:tr w:rsidR="004E74E4" w:rsidRPr="00A36BCE" w14:paraId="2A1A1517" w14:textId="77777777" w:rsidTr="008E62DA">
            <w:trPr>
              <w:trHeight w:val="283"/>
            </w:trPr>
            <w:tc>
              <w:tcPr>
                <w:tcW w:w="2268" w:type="dxa"/>
                <w:noWrap/>
                <w:hideMark/>
              </w:tcPr>
              <w:p w14:paraId="1E93DE5A" w14:textId="7D6FED31" w:rsidR="004E74E4" w:rsidRPr="00A36BCE" w:rsidRDefault="004E74E4" w:rsidP="00A36BCE">
                <w:pPr>
                  <w:pStyle w:val="LLNormaali"/>
                  <w:rPr>
                    <w:bCs/>
                    <w:sz w:val="20"/>
                    <w:szCs w:val="20"/>
                  </w:rPr>
                </w:pPr>
                <w:r w:rsidRPr="00A36BCE">
                  <w:rPr>
                    <w:bCs/>
                    <w:sz w:val="20"/>
                    <w:szCs w:val="20"/>
                  </w:rPr>
                  <w:t xml:space="preserve">23.14.12.30 </w:t>
                </w:r>
              </w:p>
            </w:tc>
            <w:tc>
              <w:tcPr>
                <w:tcW w:w="6091" w:type="dxa"/>
                <w:noWrap/>
                <w:hideMark/>
              </w:tcPr>
              <w:p w14:paraId="29C5F378" w14:textId="77777777" w:rsidR="004E74E4" w:rsidRPr="00A36BCE" w:rsidRDefault="004E74E4" w:rsidP="00A36BCE">
                <w:pPr>
                  <w:pStyle w:val="LLNormaali"/>
                  <w:rPr>
                    <w:bCs/>
                    <w:sz w:val="20"/>
                    <w:szCs w:val="20"/>
                  </w:rPr>
                </w:pPr>
                <w:r w:rsidRPr="00A36BCE">
                  <w:rPr>
                    <w:bCs/>
                    <w:sz w:val="20"/>
                    <w:szCs w:val="20"/>
                  </w:rPr>
                  <w:t>Lasikuituohutlevyt</w:t>
                </w:r>
              </w:p>
            </w:tc>
          </w:tr>
          <w:tr w:rsidR="004E74E4" w:rsidRPr="00A36BCE" w14:paraId="6F2CCDE5" w14:textId="77777777" w:rsidTr="008E62DA">
            <w:trPr>
              <w:trHeight w:val="283"/>
            </w:trPr>
            <w:tc>
              <w:tcPr>
                <w:tcW w:w="2268" w:type="dxa"/>
                <w:noWrap/>
                <w:hideMark/>
              </w:tcPr>
              <w:p w14:paraId="45A7ECAC" w14:textId="7530402B" w:rsidR="004E74E4" w:rsidRPr="00A36BCE" w:rsidRDefault="004E74E4" w:rsidP="00A36BCE">
                <w:pPr>
                  <w:pStyle w:val="LLNormaali"/>
                  <w:rPr>
                    <w:bCs/>
                    <w:sz w:val="20"/>
                    <w:szCs w:val="20"/>
                  </w:rPr>
                </w:pPr>
                <w:r w:rsidRPr="00A36BCE">
                  <w:rPr>
                    <w:bCs/>
                    <w:sz w:val="20"/>
                    <w:szCs w:val="20"/>
                  </w:rPr>
                  <w:t xml:space="preserve">20.11.11.50 </w:t>
                </w:r>
              </w:p>
            </w:tc>
            <w:tc>
              <w:tcPr>
                <w:tcW w:w="6091" w:type="dxa"/>
                <w:noWrap/>
                <w:hideMark/>
              </w:tcPr>
              <w:p w14:paraId="562F49BD" w14:textId="77777777" w:rsidR="004E74E4" w:rsidRPr="00A36BCE" w:rsidRDefault="004E74E4" w:rsidP="00A36BCE">
                <w:pPr>
                  <w:pStyle w:val="LLNormaali"/>
                  <w:rPr>
                    <w:bCs/>
                    <w:sz w:val="20"/>
                    <w:szCs w:val="20"/>
                  </w:rPr>
                </w:pPr>
                <w:r w:rsidRPr="00A36BCE">
                  <w:rPr>
                    <w:bCs/>
                    <w:sz w:val="20"/>
                    <w:szCs w:val="20"/>
                  </w:rPr>
                  <w:t>Vety</w:t>
                </w:r>
              </w:p>
            </w:tc>
          </w:tr>
          <w:tr w:rsidR="004E74E4" w:rsidRPr="00A36BCE" w14:paraId="1B364FD2" w14:textId="77777777" w:rsidTr="008E62DA">
            <w:trPr>
              <w:trHeight w:val="283"/>
            </w:trPr>
            <w:tc>
              <w:tcPr>
                <w:tcW w:w="2268" w:type="dxa"/>
                <w:noWrap/>
                <w:hideMark/>
              </w:tcPr>
              <w:p w14:paraId="24E3BC29" w14:textId="5699C062" w:rsidR="004E74E4" w:rsidRPr="00A36BCE" w:rsidRDefault="004E74E4" w:rsidP="00A36BCE">
                <w:pPr>
                  <w:pStyle w:val="LLNormaali"/>
                  <w:rPr>
                    <w:bCs/>
                    <w:sz w:val="20"/>
                    <w:szCs w:val="20"/>
                  </w:rPr>
                </w:pPr>
                <w:r w:rsidRPr="00A36BCE">
                  <w:rPr>
                    <w:bCs/>
                    <w:sz w:val="20"/>
                    <w:szCs w:val="20"/>
                  </w:rPr>
                  <w:t xml:space="preserve">20.11.12.90 </w:t>
                </w:r>
              </w:p>
            </w:tc>
            <w:tc>
              <w:tcPr>
                <w:tcW w:w="6091" w:type="dxa"/>
                <w:noWrap/>
                <w:hideMark/>
              </w:tcPr>
              <w:p w14:paraId="4FB62F02" w14:textId="77777777" w:rsidR="004E74E4" w:rsidRPr="00A36BCE" w:rsidRDefault="004E74E4" w:rsidP="00A36BCE">
                <w:pPr>
                  <w:pStyle w:val="LLNormaali"/>
                  <w:rPr>
                    <w:bCs/>
                    <w:sz w:val="20"/>
                    <w:szCs w:val="20"/>
                  </w:rPr>
                </w:pPr>
                <w:r w:rsidRPr="00A36BCE">
                  <w:rPr>
                    <w:bCs/>
                    <w:sz w:val="20"/>
                    <w:szCs w:val="20"/>
                  </w:rPr>
                  <w:t xml:space="preserve">Epäorgaaniset epämetallien happiyhdisteet </w:t>
                </w:r>
              </w:p>
            </w:tc>
          </w:tr>
        </w:tbl>
        <w:p w14:paraId="0DA0FAF1" w14:textId="475940A2" w:rsidR="00AB4F75" w:rsidRDefault="004E74E4" w:rsidP="004E74E4">
          <w:pPr>
            <w:pStyle w:val="LLPerustelujenkappalejako"/>
            <w:rPr>
              <w:sz w:val="18"/>
              <w:szCs w:val="18"/>
            </w:rPr>
          </w:pPr>
          <w:r w:rsidRPr="004E74E4">
            <w:rPr>
              <w:sz w:val="18"/>
              <w:szCs w:val="18"/>
            </w:rPr>
            <w:t>*</w:t>
          </w:r>
          <w:r w:rsidR="00271411">
            <w:rPr>
              <w:sz w:val="18"/>
              <w:szCs w:val="18"/>
            </w:rPr>
            <w:t>uutena kemiallinen massa</w:t>
          </w:r>
        </w:p>
        <w:p w14:paraId="73C7A63F" w14:textId="5C44528C" w:rsidR="00AD4588" w:rsidRPr="00B6562B" w:rsidRDefault="00AD4588" w:rsidP="00AD4588">
          <w:pPr>
            <w:pStyle w:val="LLPerustelujenkappalejako"/>
          </w:pPr>
          <w:r>
            <w:t>Seuraavassa taulukossa on esitetty AFRY Consultingin arvio</w:t>
          </w:r>
          <w:r w:rsidR="00E73A4D">
            <w:t xml:space="preserve"> vuosittaisesta</w:t>
          </w:r>
          <w:r>
            <w:t xml:space="preserve"> tuen määrästä ja sen jakautumisesta toi</w:t>
          </w:r>
          <w:r w:rsidRPr="00B6562B">
            <w:t>mialoittain päästöoi</w:t>
          </w:r>
          <w:r w:rsidR="00271411">
            <w:t>keuden hinnan ollessa 50 euroa.</w:t>
          </w:r>
        </w:p>
        <w:tbl>
          <w:tblPr>
            <w:tblStyle w:val="Vaaleataulukkoruudukko"/>
            <w:tblW w:w="0" w:type="auto"/>
            <w:tblLook w:val="04A0" w:firstRow="1" w:lastRow="0" w:firstColumn="1" w:lastColumn="0" w:noHBand="0" w:noVBand="1"/>
          </w:tblPr>
          <w:tblGrid>
            <w:gridCol w:w="2778"/>
            <w:gridCol w:w="2609"/>
            <w:gridCol w:w="1554"/>
          </w:tblGrid>
          <w:tr w:rsidR="00AD4588" w:rsidRPr="00B6562B" w14:paraId="1092CF2C" w14:textId="77777777" w:rsidTr="005640F7">
            <w:trPr>
              <w:trHeight w:val="283"/>
            </w:trPr>
            <w:tc>
              <w:tcPr>
                <w:tcW w:w="2778" w:type="dxa"/>
                <w:vAlign w:val="center"/>
              </w:tcPr>
              <w:p w14:paraId="4D41AFA7" w14:textId="77777777" w:rsidR="00AD4588" w:rsidRPr="008E62DA" w:rsidRDefault="00AD4588" w:rsidP="005640F7">
                <w:pPr>
                  <w:pStyle w:val="LLPerustelujenkappalejako"/>
                  <w:spacing w:after="0"/>
                  <w:jc w:val="left"/>
                  <w:rPr>
                    <w:b/>
                    <w:sz w:val="20"/>
                  </w:rPr>
                </w:pPr>
              </w:p>
            </w:tc>
            <w:tc>
              <w:tcPr>
                <w:tcW w:w="2609" w:type="dxa"/>
                <w:vAlign w:val="center"/>
              </w:tcPr>
              <w:p w14:paraId="6BFC81BE" w14:textId="77777777" w:rsidR="00AD4588" w:rsidRPr="008E62DA" w:rsidRDefault="00AD4588" w:rsidP="005640F7">
                <w:pPr>
                  <w:pStyle w:val="LLPerustelujenkappalejako"/>
                  <w:spacing w:after="0"/>
                  <w:jc w:val="center"/>
                  <w:rPr>
                    <w:sz w:val="20"/>
                  </w:rPr>
                </w:pPr>
                <w:r w:rsidRPr="008E62DA">
                  <w:rPr>
                    <w:sz w:val="20"/>
                  </w:rPr>
                  <w:t>Tuki (miljoonaa euroa)</w:t>
                </w:r>
              </w:p>
            </w:tc>
            <w:tc>
              <w:tcPr>
                <w:tcW w:w="1554" w:type="dxa"/>
                <w:vAlign w:val="center"/>
              </w:tcPr>
              <w:p w14:paraId="510A3B53" w14:textId="77777777" w:rsidR="00AD4588" w:rsidRPr="008E62DA" w:rsidRDefault="00AD4588" w:rsidP="005640F7">
                <w:pPr>
                  <w:pStyle w:val="LLPerustelujenkappalejako"/>
                  <w:spacing w:after="0"/>
                  <w:jc w:val="center"/>
                  <w:rPr>
                    <w:sz w:val="20"/>
                  </w:rPr>
                </w:pPr>
                <w:r w:rsidRPr="008E62DA">
                  <w:rPr>
                    <w:sz w:val="20"/>
                  </w:rPr>
                  <w:t>Osuus</w:t>
                </w:r>
              </w:p>
            </w:tc>
          </w:tr>
          <w:tr w:rsidR="00AD4588" w:rsidRPr="00B6562B" w14:paraId="49476D28" w14:textId="77777777" w:rsidTr="005640F7">
            <w:trPr>
              <w:trHeight w:val="283"/>
            </w:trPr>
            <w:tc>
              <w:tcPr>
                <w:tcW w:w="2778" w:type="dxa"/>
                <w:vAlign w:val="center"/>
              </w:tcPr>
              <w:p w14:paraId="6B2293AA" w14:textId="77777777" w:rsidR="00AD4588" w:rsidRPr="008E62DA" w:rsidRDefault="00AD4588" w:rsidP="005640F7">
                <w:pPr>
                  <w:pStyle w:val="LLPerustelujenkappalejako"/>
                  <w:spacing w:after="0"/>
                  <w:jc w:val="left"/>
                  <w:rPr>
                    <w:b/>
                    <w:sz w:val="20"/>
                  </w:rPr>
                </w:pPr>
                <w:r w:rsidRPr="008E62DA">
                  <w:rPr>
                    <w:b/>
                    <w:sz w:val="20"/>
                  </w:rPr>
                  <w:t>Metsäteollisuus</w:t>
                </w:r>
              </w:p>
            </w:tc>
            <w:tc>
              <w:tcPr>
                <w:tcW w:w="2609" w:type="dxa"/>
                <w:vAlign w:val="center"/>
              </w:tcPr>
              <w:p w14:paraId="2887C1F1" w14:textId="77777777" w:rsidR="00AD4588" w:rsidRPr="008E62DA" w:rsidRDefault="00AD4588" w:rsidP="005640F7">
                <w:pPr>
                  <w:pStyle w:val="LLPerustelujenkappalejako"/>
                  <w:spacing w:after="0"/>
                  <w:jc w:val="center"/>
                  <w:rPr>
                    <w:sz w:val="20"/>
                  </w:rPr>
                </w:pPr>
                <w:r w:rsidRPr="008E62DA">
                  <w:rPr>
                    <w:sz w:val="20"/>
                  </w:rPr>
                  <w:t>85</w:t>
                </w:r>
              </w:p>
            </w:tc>
            <w:tc>
              <w:tcPr>
                <w:tcW w:w="1554" w:type="dxa"/>
                <w:vAlign w:val="center"/>
              </w:tcPr>
              <w:p w14:paraId="7B2804A7" w14:textId="77777777" w:rsidR="00AD4588" w:rsidRPr="008E62DA" w:rsidRDefault="00AD4588" w:rsidP="005640F7">
                <w:pPr>
                  <w:pStyle w:val="LLPerustelujenkappalejako"/>
                  <w:spacing w:after="0"/>
                  <w:jc w:val="center"/>
                  <w:rPr>
                    <w:sz w:val="20"/>
                  </w:rPr>
                </w:pPr>
                <w:r w:rsidRPr="008E62DA">
                  <w:rPr>
                    <w:sz w:val="20"/>
                  </w:rPr>
                  <w:t>60 %</w:t>
                </w:r>
              </w:p>
            </w:tc>
          </w:tr>
          <w:tr w:rsidR="00AD4588" w:rsidRPr="00B6562B" w14:paraId="2C85633B" w14:textId="77777777" w:rsidTr="005640F7">
            <w:trPr>
              <w:trHeight w:val="283"/>
            </w:trPr>
            <w:tc>
              <w:tcPr>
                <w:tcW w:w="2778" w:type="dxa"/>
                <w:vAlign w:val="center"/>
              </w:tcPr>
              <w:p w14:paraId="54338659" w14:textId="77777777" w:rsidR="00AD4588" w:rsidRPr="008E62DA" w:rsidRDefault="00AD4588" w:rsidP="005640F7">
                <w:pPr>
                  <w:pStyle w:val="LLPerustelujenkappalejako"/>
                  <w:spacing w:after="0"/>
                  <w:jc w:val="left"/>
                  <w:rPr>
                    <w:b/>
                    <w:sz w:val="20"/>
                  </w:rPr>
                </w:pPr>
                <w:r w:rsidRPr="008E62DA">
                  <w:rPr>
                    <w:b/>
                    <w:sz w:val="20"/>
                  </w:rPr>
                  <w:t>Metalliteollisuus</w:t>
                </w:r>
              </w:p>
            </w:tc>
            <w:tc>
              <w:tcPr>
                <w:tcW w:w="2609" w:type="dxa"/>
                <w:vAlign w:val="center"/>
              </w:tcPr>
              <w:p w14:paraId="57B5F6F9" w14:textId="77777777" w:rsidR="00AD4588" w:rsidRPr="008E62DA" w:rsidRDefault="00AD4588" w:rsidP="005640F7">
                <w:pPr>
                  <w:pStyle w:val="LLPerustelujenkappalejako"/>
                  <w:spacing w:after="0"/>
                  <w:jc w:val="center"/>
                  <w:rPr>
                    <w:sz w:val="20"/>
                  </w:rPr>
                </w:pPr>
                <w:r w:rsidRPr="008E62DA">
                  <w:rPr>
                    <w:sz w:val="20"/>
                  </w:rPr>
                  <w:t>37</w:t>
                </w:r>
              </w:p>
            </w:tc>
            <w:tc>
              <w:tcPr>
                <w:tcW w:w="1554" w:type="dxa"/>
                <w:vAlign w:val="center"/>
              </w:tcPr>
              <w:p w14:paraId="7AD084D9" w14:textId="77777777" w:rsidR="00AD4588" w:rsidRPr="008E62DA" w:rsidRDefault="00AD4588" w:rsidP="005640F7">
                <w:pPr>
                  <w:pStyle w:val="LLPerustelujenkappalejako"/>
                  <w:spacing w:after="0"/>
                  <w:jc w:val="center"/>
                  <w:rPr>
                    <w:sz w:val="20"/>
                  </w:rPr>
                </w:pPr>
                <w:r w:rsidRPr="008E62DA">
                  <w:rPr>
                    <w:sz w:val="20"/>
                  </w:rPr>
                  <w:t>26 %</w:t>
                </w:r>
              </w:p>
            </w:tc>
          </w:tr>
          <w:tr w:rsidR="00AD4588" w:rsidRPr="00B6562B" w14:paraId="21C9EDBF" w14:textId="77777777" w:rsidTr="005640F7">
            <w:trPr>
              <w:trHeight w:val="283"/>
            </w:trPr>
            <w:tc>
              <w:tcPr>
                <w:tcW w:w="2778" w:type="dxa"/>
                <w:vAlign w:val="center"/>
              </w:tcPr>
              <w:p w14:paraId="143CA594" w14:textId="23C3A51F" w:rsidR="00AD4588" w:rsidRPr="008E62DA" w:rsidRDefault="00AD4588" w:rsidP="005640F7">
                <w:pPr>
                  <w:pStyle w:val="LLPerustelujenkappalejako"/>
                  <w:spacing w:after="0"/>
                  <w:jc w:val="left"/>
                  <w:rPr>
                    <w:b/>
                    <w:sz w:val="20"/>
                  </w:rPr>
                </w:pPr>
                <w:r w:rsidRPr="008E62DA">
                  <w:rPr>
                    <w:b/>
                    <w:sz w:val="20"/>
                  </w:rPr>
                  <w:t>Kemian</w:t>
                </w:r>
                <w:r w:rsidR="003C1008" w:rsidRPr="008E62DA">
                  <w:rPr>
                    <w:b/>
                    <w:sz w:val="20"/>
                  </w:rPr>
                  <w:t xml:space="preserve"> </w:t>
                </w:r>
                <w:r w:rsidRPr="008E62DA">
                  <w:rPr>
                    <w:b/>
                    <w:sz w:val="20"/>
                  </w:rPr>
                  <w:t>teollisuus</w:t>
                </w:r>
              </w:p>
            </w:tc>
            <w:tc>
              <w:tcPr>
                <w:tcW w:w="2609" w:type="dxa"/>
                <w:vAlign w:val="center"/>
              </w:tcPr>
              <w:p w14:paraId="75A8DBC1" w14:textId="77777777" w:rsidR="00AD4588" w:rsidRPr="008E62DA" w:rsidRDefault="00AD4588" w:rsidP="005640F7">
                <w:pPr>
                  <w:pStyle w:val="LLPerustelujenkappalejako"/>
                  <w:spacing w:after="0"/>
                  <w:jc w:val="center"/>
                  <w:rPr>
                    <w:sz w:val="20"/>
                  </w:rPr>
                </w:pPr>
                <w:r w:rsidRPr="008E62DA">
                  <w:rPr>
                    <w:sz w:val="20"/>
                  </w:rPr>
                  <w:t>17</w:t>
                </w:r>
              </w:p>
            </w:tc>
            <w:tc>
              <w:tcPr>
                <w:tcW w:w="1554" w:type="dxa"/>
                <w:vAlign w:val="center"/>
              </w:tcPr>
              <w:p w14:paraId="6A0375C5" w14:textId="77777777" w:rsidR="00AD4588" w:rsidRPr="008E62DA" w:rsidRDefault="00AD4588" w:rsidP="005640F7">
                <w:pPr>
                  <w:pStyle w:val="LLPerustelujenkappalejako"/>
                  <w:spacing w:after="0"/>
                  <w:jc w:val="center"/>
                  <w:rPr>
                    <w:sz w:val="20"/>
                  </w:rPr>
                </w:pPr>
                <w:r w:rsidRPr="008E62DA">
                  <w:rPr>
                    <w:sz w:val="20"/>
                  </w:rPr>
                  <w:t>14 %</w:t>
                </w:r>
              </w:p>
            </w:tc>
          </w:tr>
          <w:tr w:rsidR="00AD4588" w:rsidRPr="00B6562B" w14:paraId="0C441B4A" w14:textId="77777777" w:rsidTr="005640F7">
            <w:trPr>
              <w:trHeight w:val="283"/>
            </w:trPr>
            <w:tc>
              <w:tcPr>
                <w:tcW w:w="2778" w:type="dxa"/>
                <w:vAlign w:val="center"/>
              </w:tcPr>
              <w:p w14:paraId="5AB2706F" w14:textId="77777777" w:rsidR="00AD4588" w:rsidRPr="008E62DA" w:rsidRDefault="00AD4588" w:rsidP="005640F7">
                <w:pPr>
                  <w:pStyle w:val="LLPerustelujenkappalejako"/>
                  <w:spacing w:after="0"/>
                  <w:jc w:val="left"/>
                  <w:rPr>
                    <w:b/>
                    <w:sz w:val="20"/>
                  </w:rPr>
                </w:pPr>
                <w:r w:rsidRPr="008E62DA">
                  <w:rPr>
                    <w:b/>
                    <w:sz w:val="20"/>
                  </w:rPr>
                  <w:t>Yhteensä</w:t>
                </w:r>
              </w:p>
            </w:tc>
            <w:tc>
              <w:tcPr>
                <w:tcW w:w="2609" w:type="dxa"/>
                <w:vAlign w:val="center"/>
              </w:tcPr>
              <w:p w14:paraId="0A902712" w14:textId="77777777" w:rsidR="00AD4588" w:rsidRPr="008E62DA" w:rsidRDefault="00AD4588" w:rsidP="005640F7">
                <w:pPr>
                  <w:pStyle w:val="LLPerustelujenkappalejako"/>
                  <w:spacing w:after="0"/>
                  <w:jc w:val="center"/>
                  <w:rPr>
                    <w:sz w:val="20"/>
                  </w:rPr>
                </w:pPr>
                <w:r w:rsidRPr="008E62DA">
                  <w:rPr>
                    <w:sz w:val="20"/>
                  </w:rPr>
                  <w:t>141</w:t>
                </w:r>
              </w:p>
            </w:tc>
            <w:tc>
              <w:tcPr>
                <w:tcW w:w="1554" w:type="dxa"/>
                <w:vAlign w:val="center"/>
              </w:tcPr>
              <w:p w14:paraId="5737A1B9" w14:textId="77777777" w:rsidR="00AD4588" w:rsidRPr="008E62DA" w:rsidRDefault="00AD4588" w:rsidP="005640F7">
                <w:pPr>
                  <w:pStyle w:val="LLPerustelujenkappalejako"/>
                  <w:spacing w:after="0"/>
                  <w:jc w:val="center"/>
                  <w:rPr>
                    <w:sz w:val="20"/>
                  </w:rPr>
                </w:pPr>
                <w:r w:rsidRPr="008E62DA">
                  <w:rPr>
                    <w:sz w:val="20"/>
                  </w:rPr>
                  <w:t>100 %</w:t>
                </w:r>
              </w:p>
            </w:tc>
          </w:tr>
        </w:tbl>
        <w:p w14:paraId="2BD79AA2" w14:textId="77777777" w:rsidR="00AD4588" w:rsidRDefault="00AD4588" w:rsidP="00271411">
          <w:pPr>
            <w:pStyle w:val="LLNormaali"/>
          </w:pPr>
        </w:p>
        <w:p w14:paraId="09540DE6" w14:textId="45118A77" w:rsidR="00AB4F75" w:rsidRDefault="00AD4588" w:rsidP="00AB4F75">
          <w:pPr>
            <w:pStyle w:val="LLPerustelujenkappalejako"/>
          </w:pPr>
          <w:r>
            <w:t>Tuen piiristä poistuvat toimialat on</w:t>
          </w:r>
          <w:r w:rsidR="00533C8F">
            <w:t xml:space="preserve"> listattu</w:t>
          </w:r>
          <w:r w:rsidR="00AB4F75">
            <w:t xml:space="preserve"> alla</w:t>
          </w:r>
          <w:r w:rsidR="000E5CEE">
            <w:t>. Tuen</w:t>
          </w:r>
          <w:r w:rsidR="004E74E4" w:rsidRPr="004E74E4">
            <w:t xml:space="preserve"> piiristä poistuu arviolta </w:t>
          </w:r>
          <w:r w:rsidR="00490933">
            <w:t xml:space="preserve">kymmenen </w:t>
          </w:r>
          <w:r w:rsidR="00533C8F">
            <w:t>näillä</w:t>
          </w:r>
          <w:r w:rsidR="004E74E4">
            <w:t xml:space="preserve"> toimialoilla toimivaa </w:t>
          </w:r>
          <w:r w:rsidR="004E74E4" w:rsidRPr="004E74E4">
            <w:t>laitosta</w:t>
          </w:r>
          <w:r w:rsidR="004E74E4">
            <w:t xml:space="preserve">. </w:t>
          </w:r>
          <w:r w:rsidR="004E74E4" w:rsidRPr="004E74E4">
            <w:t>Vuonna 2020 näille lait</w:t>
          </w:r>
          <w:r w:rsidR="00533C8F">
            <w:t>oksille maksettiin vuoden 2019</w:t>
          </w:r>
          <w:r w:rsidR="004E74E4" w:rsidRPr="004E74E4">
            <w:t xml:space="preserve"> perusteella </w:t>
          </w:r>
          <w:r w:rsidR="00533C8F">
            <w:t xml:space="preserve">haettua kompensaatiotukea noin </w:t>
          </w:r>
          <w:r w:rsidR="00490933">
            <w:t>kymmenen</w:t>
          </w:r>
          <w:r w:rsidR="00533C8F">
            <w:t xml:space="preserve"> miljoonaa euroa</w:t>
          </w:r>
          <w:r w:rsidR="004E74E4" w:rsidRPr="004E74E4">
            <w:t>. Kaikki tuen piiristä toimialamuutoksen takia poistuvat laitokset ovat kemian toimialan laitoksia</w:t>
          </w:r>
          <w:r w:rsidR="00533C8F">
            <w:t>.</w:t>
          </w:r>
          <w:r w:rsidR="004E74E4" w:rsidRPr="004E74E4">
            <w:t xml:space="preserve"> </w:t>
          </w:r>
          <w:r w:rsidR="00533C8F">
            <w:t>Tuen ulkopuolelle rajautuvien</w:t>
          </w:r>
          <w:r w:rsidR="004E74E4" w:rsidRPr="004E74E4">
            <w:t xml:space="preserve"> laitosten saama tuki vastasi noin 40</w:t>
          </w:r>
          <w:r w:rsidR="00533C8F">
            <w:t xml:space="preserve"> prosenttia</w:t>
          </w:r>
          <w:r w:rsidR="004E74E4" w:rsidRPr="004E74E4">
            <w:t xml:space="preserve"> koko kemian toimialan yritysten saamasta tuesta. </w:t>
          </w:r>
        </w:p>
        <w:tbl>
          <w:tblPr>
            <w:tblStyle w:val="Vaaleataulukkoruudukko"/>
            <w:tblpPr w:leftFromText="141" w:rightFromText="141" w:vertAnchor="text" w:horzAnchor="margin" w:tblpY="165"/>
            <w:tblW w:w="0" w:type="auto"/>
            <w:tblLook w:val="04A0" w:firstRow="1" w:lastRow="0" w:firstColumn="1" w:lastColumn="0" w:noHBand="0" w:noVBand="1"/>
          </w:tblPr>
          <w:tblGrid>
            <w:gridCol w:w="2193"/>
            <w:gridCol w:w="6143"/>
          </w:tblGrid>
          <w:tr w:rsidR="00AB4F75" w:rsidRPr="00271411" w14:paraId="143AD428" w14:textId="77777777" w:rsidTr="008E62DA">
            <w:trPr>
              <w:trHeight w:val="283"/>
            </w:trPr>
            <w:tc>
              <w:tcPr>
                <w:tcW w:w="2195" w:type="dxa"/>
              </w:tcPr>
              <w:p w14:paraId="78A5EA3F" w14:textId="7705ECB6" w:rsidR="00AB4F75" w:rsidRPr="00271411" w:rsidRDefault="003C1008" w:rsidP="00271411">
                <w:pPr>
                  <w:pStyle w:val="LLNormaali"/>
                  <w:rPr>
                    <w:b/>
                    <w:sz w:val="20"/>
                    <w:szCs w:val="20"/>
                  </w:rPr>
                </w:pPr>
                <w:r w:rsidRPr="00271411">
                  <w:rPr>
                    <w:b/>
                    <w:sz w:val="20"/>
                    <w:szCs w:val="20"/>
                  </w:rPr>
                  <w:t>NACE –luokka</w:t>
                </w:r>
              </w:p>
            </w:tc>
            <w:tc>
              <w:tcPr>
                <w:tcW w:w="6151" w:type="dxa"/>
              </w:tcPr>
              <w:p w14:paraId="10186DD9" w14:textId="77777777" w:rsidR="00AB4F75" w:rsidRPr="00271411" w:rsidRDefault="00AB4F75" w:rsidP="00271411">
                <w:pPr>
                  <w:pStyle w:val="LLNormaali"/>
                  <w:rPr>
                    <w:b/>
                    <w:sz w:val="20"/>
                    <w:szCs w:val="20"/>
                  </w:rPr>
                </w:pPr>
                <w:r w:rsidRPr="00271411">
                  <w:rPr>
                    <w:b/>
                    <w:sz w:val="20"/>
                    <w:szCs w:val="20"/>
                  </w:rPr>
                  <w:t>Toimialan nimike</w:t>
                </w:r>
              </w:p>
            </w:tc>
          </w:tr>
          <w:tr w:rsidR="00AB4F75" w:rsidRPr="00271411" w14:paraId="6449F1D9" w14:textId="77777777" w:rsidTr="008E62DA">
            <w:trPr>
              <w:trHeight w:val="283"/>
            </w:trPr>
            <w:tc>
              <w:tcPr>
                <w:tcW w:w="2195" w:type="dxa"/>
              </w:tcPr>
              <w:p w14:paraId="2FE9D075" w14:textId="0708E8FC" w:rsidR="00AB4F75" w:rsidRPr="00271411" w:rsidRDefault="003C1008" w:rsidP="00271411">
                <w:pPr>
                  <w:pStyle w:val="LLNormaali"/>
                  <w:rPr>
                    <w:sz w:val="20"/>
                    <w:szCs w:val="20"/>
                  </w:rPr>
                </w:pPr>
                <w:r w:rsidRPr="00271411">
                  <w:rPr>
                    <w:sz w:val="20"/>
                    <w:szCs w:val="20"/>
                  </w:rPr>
                  <w:t>14.30</w:t>
                </w:r>
              </w:p>
            </w:tc>
            <w:tc>
              <w:tcPr>
                <w:tcW w:w="6151" w:type="dxa"/>
              </w:tcPr>
              <w:p w14:paraId="37EEEEBF" w14:textId="77777777" w:rsidR="00AB4F75" w:rsidRPr="00271411" w:rsidRDefault="00AB4F75" w:rsidP="00271411">
                <w:pPr>
                  <w:pStyle w:val="LLNormaali"/>
                  <w:rPr>
                    <w:sz w:val="20"/>
                    <w:szCs w:val="20"/>
                  </w:rPr>
                </w:pPr>
                <w:r w:rsidRPr="00271411">
                  <w:rPr>
                    <w:sz w:val="20"/>
                    <w:szCs w:val="20"/>
                  </w:rPr>
                  <w:t>Kemiallisten ja lannoitemineraalien louhinta</w:t>
                </w:r>
              </w:p>
            </w:tc>
          </w:tr>
          <w:tr w:rsidR="00AB4F75" w:rsidRPr="00271411" w14:paraId="66C12ED4" w14:textId="77777777" w:rsidTr="008E62DA">
            <w:trPr>
              <w:trHeight w:val="283"/>
            </w:trPr>
            <w:tc>
              <w:tcPr>
                <w:tcW w:w="2195" w:type="dxa"/>
              </w:tcPr>
              <w:p w14:paraId="03CFF138" w14:textId="46112DEF" w:rsidR="00AB4F75" w:rsidRPr="00271411" w:rsidRDefault="00AB4F75" w:rsidP="00271411">
                <w:pPr>
                  <w:pStyle w:val="LLNormaali"/>
                  <w:rPr>
                    <w:sz w:val="20"/>
                    <w:szCs w:val="20"/>
                  </w:rPr>
                </w:pPr>
                <w:r w:rsidRPr="00271411">
                  <w:rPr>
                    <w:sz w:val="20"/>
                    <w:szCs w:val="20"/>
                  </w:rPr>
                  <w:t>24.15</w:t>
                </w:r>
              </w:p>
            </w:tc>
            <w:tc>
              <w:tcPr>
                <w:tcW w:w="6151" w:type="dxa"/>
              </w:tcPr>
              <w:p w14:paraId="5B65AD96" w14:textId="77777777" w:rsidR="00AB4F75" w:rsidRPr="00271411" w:rsidRDefault="00AB4F75" w:rsidP="00271411">
                <w:pPr>
                  <w:pStyle w:val="LLNormaali"/>
                  <w:rPr>
                    <w:sz w:val="20"/>
                    <w:szCs w:val="20"/>
                  </w:rPr>
                </w:pPr>
                <w:r w:rsidRPr="00271411">
                  <w:rPr>
                    <w:sz w:val="20"/>
                    <w:szCs w:val="20"/>
                  </w:rPr>
                  <w:t>Lannoitteiden ja typpiyhdisteiden valmistus</w:t>
                </w:r>
              </w:p>
            </w:tc>
          </w:tr>
          <w:tr w:rsidR="00AB4F75" w:rsidRPr="00271411" w14:paraId="5E62CA50" w14:textId="77777777" w:rsidTr="008E62DA">
            <w:trPr>
              <w:trHeight w:val="283"/>
            </w:trPr>
            <w:tc>
              <w:tcPr>
                <w:tcW w:w="2195" w:type="dxa"/>
              </w:tcPr>
              <w:p w14:paraId="1C2E64F7" w14:textId="41C7F74E" w:rsidR="00AB4F75" w:rsidRPr="00271411" w:rsidRDefault="00AB4F75" w:rsidP="00271411">
                <w:pPr>
                  <w:pStyle w:val="LLNormaali"/>
                  <w:rPr>
                    <w:sz w:val="20"/>
                    <w:szCs w:val="20"/>
                  </w:rPr>
                </w:pPr>
                <w:r w:rsidRPr="00271411">
                  <w:rPr>
                    <w:sz w:val="20"/>
                    <w:szCs w:val="20"/>
                  </w:rPr>
                  <w:t>24.14</w:t>
                </w:r>
              </w:p>
            </w:tc>
            <w:tc>
              <w:tcPr>
                <w:tcW w:w="6151" w:type="dxa"/>
              </w:tcPr>
              <w:p w14:paraId="3AE42B6D" w14:textId="77777777" w:rsidR="00AB4F75" w:rsidRPr="00271411" w:rsidRDefault="00AB4F75" w:rsidP="00271411">
                <w:pPr>
                  <w:pStyle w:val="LLNormaali"/>
                  <w:rPr>
                    <w:sz w:val="20"/>
                    <w:szCs w:val="20"/>
                  </w:rPr>
                </w:pPr>
                <w:r w:rsidRPr="00271411">
                  <w:rPr>
                    <w:sz w:val="20"/>
                    <w:szCs w:val="20"/>
                  </w:rPr>
                  <w:t>Muiden orgaanisten peruskemikaalien valmistus</w:t>
                </w:r>
              </w:p>
            </w:tc>
          </w:tr>
          <w:tr w:rsidR="00AB4F75" w:rsidRPr="00271411" w14:paraId="104D88A4" w14:textId="77777777" w:rsidTr="008E62DA">
            <w:trPr>
              <w:trHeight w:val="283"/>
            </w:trPr>
            <w:tc>
              <w:tcPr>
                <w:tcW w:w="2195" w:type="dxa"/>
                <w:hideMark/>
              </w:tcPr>
              <w:p w14:paraId="0EF8577A" w14:textId="6E167B2A" w:rsidR="00AB4F75" w:rsidRPr="00271411" w:rsidRDefault="00AB4F75" w:rsidP="00271411">
                <w:pPr>
                  <w:pStyle w:val="LLNormaali"/>
                  <w:rPr>
                    <w:sz w:val="20"/>
                    <w:szCs w:val="20"/>
                  </w:rPr>
                </w:pPr>
                <w:r w:rsidRPr="00271411">
                  <w:rPr>
                    <w:sz w:val="20"/>
                    <w:szCs w:val="20"/>
                  </w:rPr>
                  <w:t>17.11</w:t>
                </w:r>
              </w:p>
            </w:tc>
            <w:tc>
              <w:tcPr>
                <w:tcW w:w="6151" w:type="dxa"/>
                <w:hideMark/>
              </w:tcPr>
              <w:p w14:paraId="684092D3" w14:textId="77777777" w:rsidR="00AB4F75" w:rsidRPr="00271411" w:rsidRDefault="00AB4F75" w:rsidP="00271411">
                <w:pPr>
                  <w:pStyle w:val="LLNormaali"/>
                  <w:rPr>
                    <w:sz w:val="20"/>
                    <w:szCs w:val="20"/>
                  </w:rPr>
                </w:pPr>
                <w:r w:rsidRPr="00271411">
                  <w:rPr>
                    <w:sz w:val="20"/>
                    <w:szCs w:val="20"/>
                  </w:rPr>
                  <w:t>Puuvillatyyppisten kuitujen valmistelu ja kehruu</w:t>
                </w:r>
              </w:p>
            </w:tc>
          </w:tr>
          <w:tr w:rsidR="00AB4F75" w:rsidRPr="00271411" w14:paraId="39EEE8B0" w14:textId="77777777" w:rsidTr="008E62DA">
            <w:trPr>
              <w:trHeight w:val="283"/>
            </w:trPr>
            <w:tc>
              <w:tcPr>
                <w:tcW w:w="2195" w:type="dxa"/>
                <w:hideMark/>
              </w:tcPr>
              <w:p w14:paraId="097FA2D8" w14:textId="70D4AED8" w:rsidR="00AB4F75" w:rsidRPr="00271411" w:rsidRDefault="00AB4F75" w:rsidP="00271411">
                <w:pPr>
                  <w:pStyle w:val="LLNormaali"/>
                  <w:rPr>
                    <w:sz w:val="20"/>
                    <w:szCs w:val="20"/>
                  </w:rPr>
                </w:pPr>
                <w:r w:rsidRPr="00271411">
                  <w:rPr>
                    <w:sz w:val="20"/>
                    <w:szCs w:val="20"/>
                  </w:rPr>
                  <w:t>24.70</w:t>
                </w:r>
              </w:p>
            </w:tc>
            <w:tc>
              <w:tcPr>
                <w:tcW w:w="6151" w:type="dxa"/>
                <w:hideMark/>
              </w:tcPr>
              <w:p w14:paraId="0096F2D8" w14:textId="77777777" w:rsidR="00AB4F75" w:rsidRPr="00271411" w:rsidRDefault="00AB4F75" w:rsidP="00271411">
                <w:pPr>
                  <w:pStyle w:val="LLNormaali"/>
                  <w:rPr>
                    <w:sz w:val="20"/>
                    <w:szCs w:val="20"/>
                  </w:rPr>
                </w:pPr>
                <w:r w:rsidRPr="00271411">
                  <w:rPr>
                    <w:sz w:val="20"/>
                    <w:szCs w:val="20"/>
                  </w:rPr>
                  <w:t>Tekokuitujen valmistus</w:t>
                </w:r>
              </w:p>
            </w:tc>
          </w:tr>
          <w:tr w:rsidR="00AB4F75" w:rsidRPr="00271411" w14:paraId="5F3E7F6D" w14:textId="77777777" w:rsidTr="008E62DA">
            <w:trPr>
              <w:trHeight w:val="283"/>
            </w:trPr>
            <w:tc>
              <w:tcPr>
                <w:tcW w:w="2195" w:type="dxa"/>
                <w:hideMark/>
              </w:tcPr>
              <w:p w14:paraId="1D6185D4" w14:textId="0D5A9291" w:rsidR="00AB4F75" w:rsidRPr="00271411" w:rsidRDefault="00AB4F75" w:rsidP="00271411">
                <w:pPr>
                  <w:pStyle w:val="LLNormaali"/>
                  <w:rPr>
                    <w:sz w:val="20"/>
                    <w:szCs w:val="20"/>
                  </w:rPr>
                </w:pPr>
                <w:r w:rsidRPr="00271411">
                  <w:rPr>
                    <w:sz w:val="20"/>
                    <w:szCs w:val="20"/>
                  </w:rPr>
                  <w:t>13.10</w:t>
                </w:r>
              </w:p>
            </w:tc>
            <w:tc>
              <w:tcPr>
                <w:tcW w:w="6151" w:type="dxa"/>
                <w:hideMark/>
              </w:tcPr>
              <w:p w14:paraId="4157C572" w14:textId="77777777" w:rsidR="00AB4F75" w:rsidRPr="00271411" w:rsidRDefault="00AB4F75" w:rsidP="00271411">
                <w:pPr>
                  <w:pStyle w:val="LLNormaali"/>
                  <w:rPr>
                    <w:sz w:val="20"/>
                    <w:szCs w:val="20"/>
                  </w:rPr>
                </w:pPr>
                <w:r w:rsidRPr="00271411">
                  <w:rPr>
                    <w:sz w:val="20"/>
                    <w:szCs w:val="20"/>
                  </w:rPr>
                  <w:t>Rautamalmien louhinta</w:t>
                </w:r>
              </w:p>
            </w:tc>
          </w:tr>
          <w:tr w:rsidR="00AB4F75" w:rsidRPr="00271411" w14:paraId="23E412CB" w14:textId="77777777" w:rsidTr="008E62DA">
            <w:trPr>
              <w:trHeight w:val="283"/>
            </w:trPr>
            <w:tc>
              <w:tcPr>
                <w:tcW w:w="2195" w:type="dxa"/>
                <w:hideMark/>
              </w:tcPr>
              <w:p w14:paraId="7BAB70B4" w14:textId="243E1876" w:rsidR="00AB4F75" w:rsidRPr="00271411" w:rsidRDefault="00AB4F75" w:rsidP="00271411">
                <w:pPr>
                  <w:pStyle w:val="LLNormaali"/>
                  <w:rPr>
                    <w:sz w:val="20"/>
                    <w:szCs w:val="20"/>
                  </w:rPr>
                </w:pPr>
                <w:r w:rsidRPr="00271411">
                  <w:rPr>
                    <w:sz w:val="20"/>
                    <w:szCs w:val="20"/>
                  </w:rPr>
                  <w:t>24161039</w:t>
                </w:r>
              </w:p>
            </w:tc>
            <w:tc>
              <w:tcPr>
                <w:tcW w:w="6151" w:type="dxa"/>
                <w:hideMark/>
              </w:tcPr>
              <w:p w14:paraId="7B0FB01C" w14:textId="77777777" w:rsidR="00AB4F75" w:rsidRPr="00271411" w:rsidRDefault="00AB4F75" w:rsidP="00271411">
                <w:pPr>
                  <w:pStyle w:val="LLNormaali"/>
                  <w:rPr>
                    <w:sz w:val="20"/>
                    <w:szCs w:val="20"/>
                  </w:rPr>
                </w:pPr>
                <w:r w:rsidRPr="00271411">
                  <w:rPr>
                    <w:sz w:val="20"/>
                    <w:szCs w:val="20"/>
                  </w:rPr>
                  <w:t>Pientiheyspolyeteeni</w:t>
                </w:r>
              </w:p>
            </w:tc>
          </w:tr>
          <w:tr w:rsidR="00AB4F75" w:rsidRPr="00271411" w14:paraId="59E22757" w14:textId="77777777" w:rsidTr="008E62DA">
            <w:trPr>
              <w:trHeight w:val="283"/>
            </w:trPr>
            <w:tc>
              <w:tcPr>
                <w:tcW w:w="2195" w:type="dxa"/>
                <w:hideMark/>
              </w:tcPr>
              <w:p w14:paraId="7FB1A985" w14:textId="0CF0CEFD" w:rsidR="00AB4F75" w:rsidRPr="00271411" w:rsidRDefault="00AB4F75" w:rsidP="00271411">
                <w:pPr>
                  <w:pStyle w:val="LLNormaali"/>
                  <w:rPr>
                    <w:sz w:val="20"/>
                    <w:szCs w:val="20"/>
                  </w:rPr>
                </w:pPr>
                <w:r w:rsidRPr="00271411">
                  <w:rPr>
                    <w:sz w:val="20"/>
                    <w:szCs w:val="20"/>
                  </w:rPr>
                  <w:t>24161035</w:t>
                </w:r>
              </w:p>
            </w:tc>
            <w:tc>
              <w:tcPr>
                <w:tcW w:w="6151" w:type="dxa"/>
                <w:hideMark/>
              </w:tcPr>
              <w:p w14:paraId="5DC140DC" w14:textId="77777777" w:rsidR="00AB4F75" w:rsidRPr="00271411" w:rsidRDefault="00AB4F75" w:rsidP="00271411">
                <w:pPr>
                  <w:pStyle w:val="LLNormaali"/>
                  <w:rPr>
                    <w:sz w:val="20"/>
                    <w:szCs w:val="20"/>
                  </w:rPr>
                </w:pPr>
                <w:r w:rsidRPr="00271411">
                  <w:rPr>
                    <w:sz w:val="20"/>
                    <w:szCs w:val="20"/>
                  </w:rPr>
                  <w:t>Suoraketjuinen pientiheyspolyeteeni</w:t>
                </w:r>
              </w:p>
            </w:tc>
          </w:tr>
          <w:tr w:rsidR="00AB4F75" w:rsidRPr="00271411" w14:paraId="330B26CE" w14:textId="77777777" w:rsidTr="008E62DA">
            <w:trPr>
              <w:trHeight w:val="283"/>
            </w:trPr>
            <w:tc>
              <w:tcPr>
                <w:tcW w:w="2195" w:type="dxa"/>
                <w:hideMark/>
              </w:tcPr>
              <w:p w14:paraId="540C1244" w14:textId="6A70DAA5" w:rsidR="00AB4F75" w:rsidRPr="00271411" w:rsidRDefault="00AB4F75" w:rsidP="00271411">
                <w:pPr>
                  <w:pStyle w:val="LLNormaali"/>
                  <w:rPr>
                    <w:sz w:val="20"/>
                    <w:szCs w:val="20"/>
                  </w:rPr>
                </w:pPr>
                <w:r w:rsidRPr="00271411">
                  <w:rPr>
                    <w:sz w:val="20"/>
                    <w:szCs w:val="20"/>
                  </w:rPr>
                  <w:t>24161050</w:t>
                </w:r>
              </w:p>
            </w:tc>
            <w:tc>
              <w:tcPr>
                <w:tcW w:w="6151" w:type="dxa"/>
                <w:hideMark/>
              </w:tcPr>
              <w:p w14:paraId="6E25967D" w14:textId="77777777" w:rsidR="00AB4F75" w:rsidRPr="00271411" w:rsidRDefault="00AB4F75" w:rsidP="00271411">
                <w:pPr>
                  <w:pStyle w:val="LLNormaali"/>
                  <w:rPr>
                    <w:sz w:val="20"/>
                    <w:szCs w:val="20"/>
                  </w:rPr>
                </w:pPr>
                <w:r w:rsidRPr="00271411">
                  <w:rPr>
                    <w:sz w:val="20"/>
                    <w:szCs w:val="20"/>
                  </w:rPr>
                  <w:t>Suurtiheyspolyeteeni</w:t>
                </w:r>
              </w:p>
            </w:tc>
          </w:tr>
          <w:tr w:rsidR="00AB4F75" w:rsidRPr="00271411" w14:paraId="36FC60C6" w14:textId="77777777" w:rsidTr="008E62DA">
            <w:trPr>
              <w:trHeight w:val="283"/>
            </w:trPr>
            <w:tc>
              <w:tcPr>
                <w:tcW w:w="2195" w:type="dxa"/>
                <w:hideMark/>
              </w:tcPr>
              <w:p w14:paraId="4DDC8E2B" w14:textId="6B1421E6" w:rsidR="00AB4F75" w:rsidRPr="00271411" w:rsidRDefault="00AB4F75" w:rsidP="00271411">
                <w:pPr>
                  <w:pStyle w:val="LLNormaali"/>
                  <w:rPr>
                    <w:sz w:val="20"/>
                    <w:szCs w:val="20"/>
                  </w:rPr>
                </w:pPr>
                <w:r w:rsidRPr="00271411">
                  <w:rPr>
                    <w:sz w:val="20"/>
                    <w:szCs w:val="20"/>
                  </w:rPr>
                  <w:t>24165130</w:t>
                </w:r>
              </w:p>
            </w:tc>
            <w:tc>
              <w:tcPr>
                <w:tcW w:w="6151" w:type="dxa"/>
                <w:hideMark/>
              </w:tcPr>
              <w:p w14:paraId="2146DF97" w14:textId="77777777" w:rsidR="00AB4F75" w:rsidRPr="00271411" w:rsidRDefault="00AB4F75" w:rsidP="00271411">
                <w:pPr>
                  <w:pStyle w:val="LLNormaali"/>
                  <w:rPr>
                    <w:sz w:val="20"/>
                    <w:szCs w:val="20"/>
                  </w:rPr>
                </w:pPr>
                <w:r w:rsidRPr="00271411">
                  <w:rPr>
                    <w:sz w:val="20"/>
                    <w:szCs w:val="20"/>
                  </w:rPr>
                  <w:t>Polypropeeni</w:t>
                </w:r>
              </w:p>
            </w:tc>
          </w:tr>
          <w:tr w:rsidR="00AB4F75" w:rsidRPr="00271411" w14:paraId="23F3D1D0" w14:textId="77777777" w:rsidTr="008E62DA">
            <w:trPr>
              <w:trHeight w:val="283"/>
            </w:trPr>
            <w:tc>
              <w:tcPr>
                <w:tcW w:w="2195" w:type="dxa"/>
                <w:hideMark/>
              </w:tcPr>
              <w:p w14:paraId="0B195942" w14:textId="1B5F577C" w:rsidR="00AB4F75" w:rsidRPr="00271411" w:rsidRDefault="00AB4F75" w:rsidP="00271411">
                <w:pPr>
                  <w:pStyle w:val="LLNormaali"/>
                  <w:rPr>
                    <w:sz w:val="20"/>
                    <w:szCs w:val="20"/>
                  </w:rPr>
                </w:pPr>
                <w:r w:rsidRPr="00271411">
                  <w:rPr>
                    <w:sz w:val="20"/>
                    <w:szCs w:val="20"/>
                  </w:rPr>
                  <w:t>24163010</w:t>
                </w:r>
              </w:p>
            </w:tc>
            <w:tc>
              <w:tcPr>
                <w:tcW w:w="6151" w:type="dxa"/>
                <w:hideMark/>
              </w:tcPr>
              <w:p w14:paraId="6681FDD5" w14:textId="77777777" w:rsidR="00AB4F75" w:rsidRPr="00271411" w:rsidRDefault="00AB4F75" w:rsidP="00271411">
                <w:pPr>
                  <w:pStyle w:val="LLNormaali"/>
                  <w:rPr>
                    <w:sz w:val="20"/>
                    <w:szCs w:val="20"/>
                  </w:rPr>
                </w:pPr>
                <w:proofErr w:type="spellStart"/>
                <w:r w:rsidRPr="00271411">
                  <w:rPr>
                    <w:sz w:val="20"/>
                    <w:szCs w:val="20"/>
                  </w:rPr>
                  <w:t>Polyvinyylikloridi</w:t>
                </w:r>
                <w:proofErr w:type="spellEnd"/>
              </w:p>
            </w:tc>
          </w:tr>
          <w:tr w:rsidR="00AB4F75" w:rsidRPr="00271411" w14:paraId="40CC3302" w14:textId="77777777" w:rsidTr="008E62DA">
            <w:trPr>
              <w:trHeight w:val="283"/>
            </w:trPr>
            <w:tc>
              <w:tcPr>
                <w:tcW w:w="2195" w:type="dxa"/>
                <w:hideMark/>
              </w:tcPr>
              <w:p w14:paraId="5BC4CE96" w14:textId="3AE50066" w:rsidR="00AB4F75" w:rsidRPr="00271411" w:rsidRDefault="00AB4F75" w:rsidP="00271411">
                <w:pPr>
                  <w:pStyle w:val="LLNormaali"/>
                  <w:rPr>
                    <w:sz w:val="20"/>
                    <w:szCs w:val="20"/>
                  </w:rPr>
                </w:pPr>
                <w:r w:rsidRPr="00271411">
                  <w:rPr>
                    <w:sz w:val="20"/>
                    <w:szCs w:val="20"/>
                  </w:rPr>
                  <w:t>24164040</w:t>
                </w:r>
              </w:p>
            </w:tc>
            <w:tc>
              <w:tcPr>
                <w:tcW w:w="6151" w:type="dxa"/>
                <w:hideMark/>
              </w:tcPr>
              <w:p w14:paraId="283628E9" w14:textId="77777777" w:rsidR="00AB4F75" w:rsidRPr="00271411" w:rsidRDefault="00AB4F75" w:rsidP="00271411">
                <w:pPr>
                  <w:pStyle w:val="LLNormaali"/>
                  <w:rPr>
                    <w:sz w:val="20"/>
                    <w:szCs w:val="20"/>
                  </w:rPr>
                </w:pPr>
                <w:proofErr w:type="spellStart"/>
                <w:r w:rsidRPr="00271411">
                  <w:rPr>
                    <w:sz w:val="20"/>
                    <w:szCs w:val="20"/>
                  </w:rPr>
                  <w:t>Polykarbonaatti</w:t>
                </w:r>
                <w:proofErr w:type="spellEnd"/>
              </w:p>
            </w:tc>
          </w:tr>
        </w:tbl>
        <w:p w14:paraId="5DEB3DFC" w14:textId="77777777" w:rsidR="00271411" w:rsidRDefault="00271411" w:rsidP="00271411">
          <w:pPr>
            <w:pStyle w:val="LLNormaali"/>
          </w:pPr>
        </w:p>
        <w:p w14:paraId="7FAF2B0B" w14:textId="54EE24C7" w:rsidR="00C5343A" w:rsidRDefault="00533C8F" w:rsidP="009144A7">
          <w:pPr>
            <w:pStyle w:val="LLPerustelujenkappalejako"/>
          </w:pPr>
          <w:r>
            <w:t>Myönnetty tuki on tarkoitettu korvaamaan toiminnanharjoittajille päästökaupan kustannusta sähkönhinnassa, parantamaan niiden kustannuskilpailukykyä kansainvälisillä markkinoilla ja siten ehkäisemään riskiä hiilivuodolle</w:t>
          </w:r>
          <w:r w:rsidR="005F379C">
            <w:t xml:space="preserve"> sekä kannustamaan toimialoja kehittämään toimintaansa Suomessa ja Suomeen</w:t>
          </w:r>
          <w:r w:rsidR="00271411">
            <w:t>.</w:t>
          </w:r>
        </w:p>
        <w:p w14:paraId="452CB3E2" w14:textId="2F6B9657" w:rsidR="00C5343A" w:rsidRDefault="00271411" w:rsidP="00271411">
          <w:pPr>
            <w:pStyle w:val="LLPValiotsikko"/>
          </w:pPr>
          <w:r>
            <w:t>Tuen käytön vaikutukset</w:t>
          </w:r>
        </w:p>
        <w:p w14:paraId="2EC51528" w14:textId="3CBA9C65" w:rsidR="00533C8F" w:rsidRDefault="00533C8F" w:rsidP="009144A7">
          <w:pPr>
            <w:pStyle w:val="LLPerustelujenkappalejako"/>
          </w:pPr>
          <w:r>
            <w:t xml:space="preserve">Myönnetystä tuesta yritysten tulee </w:t>
          </w:r>
          <w:r w:rsidR="0035299D" w:rsidRPr="0035299D">
            <w:t xml:space="preserve">käyttää </w:t>
          </w:r>
          <w:r>
            <w:t xml:space="preserve">vähintään 50 prosentin osuus kehitystoimiin. </w:t>
          </w:r>
          <w:r w:rsidR="006E0383">
            <w:t>Myönnettävän tuen kokonaismäärän on arvioitu olevan 5</w:t>
          </w:r>
          <w:r w:rsidR="00D1084D">
            <w:t>67 miljoonaa euroa vuosien 2022</w:t>
          </w:r>
          <w:r w:rsidR="00271411">
            <w:sym w:font="Symbol" w:char="F02D"/>
          </w:r>
          <w:r w:rsidR="006E0383">
            <w:t>2026 aikana. Tästä vähintään 284 miljoonaa euroa tulisi kohdistua vuoteen 2029 mennessä kehitystoimiin. Alla taulukossa on esitetty arvio, kuinka paljon tukea toimialoittain kehitystoimiin k</w:t>
          </w:r>
          <w:r w:rsidR="00271411">
            <w:t>ohdistuisi tukiohjelman aikana.</w:t>
          </w:r>
        </w:p>
        <w:tbl>
          <w:tblPr>
            <w:tblStyle w:val="Vaaleataulukkoruudukko"/>
            <w:tblW w:w="0" w:type="auto"/>
            <w:tblLook w:val="04A0" w:firstRow="1" w:lastRow="0" w:firstColumn="1" w:lastColumn="0" w:noHBand="0" w:noVBand="1"/>
          </w:tblPr>
          <w:tblGrid>
            <w:gridCol w:w="2778"/>
            <w:gridCol w:w="2609"/>
            <w:gridCol w:w="1554"/>
          </w:tblGrid>
          <w:tr w:rsidR="006E0383" w:rsidRPr="00B6562B" w14:paraId="261BE518" w14:textId="77777777" w:rsidTr="00510DD8">
            <w:tc>
              <w:tcPr>
                <w:tcW w:w="2778" w:type="dxa"/>
              </w:tcPr>
              <w:p w14:paraId="59C97A58" w14:textId="77777777" w:rsidR="006E0383" w:rsidRPr="00510DD8" w:rsidRDefault="006E0383" w:rsidP="004A7E07">
                <w:pPr>
                  <w:pStyle w:val="LLPerustelujenkappalejako"/>
                  <w:spacing w:after="120"/>
                  <w:jc w:val="left"/>
                  <w:rPr>
                    <w:b/>
                    <w:sz w:val="20"/>
                  </w:rPr>
                </w:pPr>
              </w:p>
            </w:tc>
            <w:tc>
              <w:tcPr>
                <w:tcW w:w="2609" w:type="dxa"/>
              </w:tcPr>
              <w:p w14:paraId="21676181" w14:textId="77777777" w:rsidR="006E0383" w:rsidRPr="00510DD8" w:rsidRDefault="006E0383" w:rsidP="004A7E07">
                <w:pPr>
                  <w:pStyle w:val="LLPerustelujenkappalejako"/>
                  <w:spacing w:after="120"/>
                  <w:jc w:val="center"/>
                  <w:rPr>
                    <w:sz w:val="20"/>
                  </w:rPr>
                </w:pPr>
                <w:r w:rsidRPr="00510DD8">
                  <w:rPr>
                    <w:sz w:val="20"/>
                  </w:rPr>
                  <w:t>Tuki (miljoonaa euroa)</w:t>
                </w:r>
              </w:p>
            </w:tc>
            <w:tc>
              <w:tcPr>
                <w:tcW w:w="1554" w:type="dxa"/>
              </w:tcPr>
              <w:p w14:paraId="16145C0C" w14:textId="77777777" w:rsidR="006E0383" w:rsidRPr="00510DD8" w:rsidRDefault="006E0383" w:rsidP="004A7E07">
                <w:pPr>
                  <w:pStyle w:val="LLPerustelujenkappalejako"/>
                  <w:spacing w:after="120"/>
                  <w:jc w:val="center"/>
                  <w:rPr>
                    <w:sz w:val="20"/>
                  </w:rPr>
                </w:pPr>
                <w:r w:rsidRPr="00510DD8">
                  <w:rPr>
                    <w:sz w:val="20"/>
                  </w:rPr>
                  <w:t>Osuus</w:t>
                </w:r>
              </w:p>
            </w:tc>
          </w:tr>
          <w:tr w:rsidR="006E0383" w:rsidRPr="00B6562B" w14:paraId="1A373B34" w14:textId="77777777" w:rsidTr="00510DD8">
            <w:tc>
              <w:tcPr>
                <w:tcW w:w="2778" w:type="dxa"/>
              </w:tcPr>
              <w:p w14:paraId="17308E0E" w14:textId="77777777" w:rsidR="006E0383" w:rsidRPr="00510DD8" w:rsidRDefault="006E0383" w:rsidP="004A7E07">
                <w:pPr>
                  <w:pStyle w:val="LLPerustelujenkappalejako"/>
                  <w:spacing w:after="120"/>
                  <w:jc w:val="left"/>
                  <w:rPr>
                    <w:b/>
                    <w:sz w:val="20"/>
                  </w:rPr>
                </w:pPr>
                <w:r w:rsidRPr="00510DD8">
                  <w:rPr>
                    <w:b/>
                    <w:sz w:val="20"/>
                  </w:rPr>
                  <w:t>Metsäteollisuus</w:t>
                </w:r>
              </w:p>
            </w:tc>
            <w:tc>
              <w:tcPr>
                <w:tcW w:w="2609" w:type="dxa"/>
              </w:tcPr>
              <w:p w14:paraId="3CC67BBD" w14:textId="77777777" w:rsidR="006E0383" w:rsidRPr="00510DD8" w:rsidRDefault="006E0383" w:rsidP="004A7E07">
                <w:pPr>
                  <w:pStyle w:val="LLPerustelujenkappalejako"/>
                  <w:spacing w:after="120"/>
                  <w:jc w:val="center"/>
                  <w:rPr>
                    <w:sz w:val="20"/>
                  </w:rPr>
                </w:pPr>
                <w:r w:rsidRPr="00510DD8">
                  <w:rPr>
                    <w:sz w:val="20"/>
                  </w:rPr>
                  <w:t>170</w:t>
                </w:r>
              </w:p>
            </w:tc>
            <w:tc>
              <w:tcPr>
                <w:tcW w:w="1554" w:type="dxa"/>
              </w:tcPr>
              <w:p w14:paraId="2585D488" w14:textId="77777777" w:rsidR="006E0383" w:rsidRPr="00510DD8" w:rsidRDefault="006E0383" w:rsidP="004A7E07">
                <w:pPr>
                  <w:pStyle w:val="LLPerustelujenkappalejako"/>
                  <w:spacing w:after="120"/>
                  <w:jc w:val="center"/>
                  <w:rPr>
                    <w:sz w:val="20"/>
                  </w:rPr>
                </w:pPr>
                <w:r w:rsidRPr="00510DD8">
                  <w:rPr>
                    <w:sz w:val="20"/>
                  </w:rPr>
                  <w:t>60 %</w:t>
                </w:r>
              </w:p>
            </w:tc>
          </w:tr>
          <w:tr w:rsidR="006E0383" w:rsidRPr="00B6562B" w14:paraId="4B53DC35" w14:textId="77777777" w:rsidTr="00510DD8">
            <w:tc>
              <w:tcPr>
                <w:tcW w:w="2778" w:type="dxa"/>
              </w:tcPr>
              <w:p w14:paraId="53E6EC8B" w14:textId="77777777" w:rsidR="006E0383" w:rsidRPr="00510DD8" w:rsidRDefault="006E0383" w:rsidP="004A7E07">
                <w:pPr>
                  <w:pStyle w:val="LLPerustelujenkappalejako"/>
                  <w:spacing w:after="120"/>
                  <w:jc w:val="left"/>
                  <w:rPr>
                    <w:b/>
                    <w:sz w:val="20"/>
                  </w:rPr>
                </w:pPr>
                <w:r w:rsidRPr="00510DD8">
                  <w:rPr>
                    <w:b/>
                    <w:sz w:val="20"/>
                  </w:rPr>
                  <w:t>Metalliteollisuus</w:t>
                </w:r>
              </w:p>
            </w:tc>
            <w:tc>
              <w:tcPr>
                <w:tcW w:w="2609" w:type="dxa"/>
              </w:tcPr>
              <w:p w14:paraId="5D0D623E" w14:textId="77777777" w:rsidR="006E0383" w:rsidRPr="00510DD8" w:rsidRDefault="006E0383" w:rsidP="004A7E07">
                <w:pPr>
                  <w:pStyle w:val="LLPerustelujenkappalejako"/>
                  <w:spacing w:after="120"/>
                  <w:jc w:val="center"/>
                  <w:rPr>
                    <w:sz w:val="20"/>
                  </w:rPr>
                </w:pPr>
                <w:r w:rsidRPr="00510DD8">
                  <w:rPr>
                    <w:sz w:val="20"/>
                  </w:rPr>
                  <w:t>74</w:t>
                </w:r>
              </w:p>
            </w:tc>
            <w:tc>
              <w:tcPr>
                <w:tcW w:w="1554" w:type="dxa"/>
              </w:tcPr>
              <w:p w14:paraId="657EC4E1" w14:textId="77777777" w:rsidR="006E0383" w:rsidRPr="00510DD8" w:rsidRDefault="006E0383" w:rsidP="004A7E07">
                <w:pPr>
                  <w:pStyle w:val="LLPerustelujenkappalejako"/>
                  <w:spacing w:after="120"/>
                  <w:jc w:val="center"/>
                  <w:rPr>
                    <w:sz w:val="20"/>
                  </w:rPr>
                </w:pPr>
                <w:r w:rsidRPr="00510DD8">
                  <w:rPr>
                    <w:sz w:val="20"/>
                  </w:rPr>
                  <w:t>26 %</w:t>
                </w:r>
              </w:p>
            </w:tc>
          </w:tr>
          <w:tr w:rsidR="006E0383" w:rsidRPr="00B6562B" w14:paraId="027819D6" w14:textId="77777777" w:rsidTr="00510DD8">
            <w:tc>
              <w:tcPr>
                <w:tcW w:w="2778" w:type="dxa"/>
              </w:tcPr>
              <w:p w14:paraId="6B33A961" w14:textId="77777777" w:rsidR="006E0383" w:rsidRPr="00510DD8" w:rsidRDefault="006E0383" w:rsidP="004A7E07">
                <w:pPr>
                  <w:pStyle w:val="LLPerustelujenkappalejako"/>
                  <w:spacing w:after="120"/>
                  <w:jc w:val="left"/>
                  <w:rPr>
                    <w:b/>
                    <w:sz w:val="20"/>
                  </w:rPr>
                </w:pPr>
                <w:r w:rsidRPr="00510DD8">
                  <w:rPr>
                    <w:b/>
                    <w:sz w:val="20"/>
                  </w:rPr>
                  <w:t>Kemianteollisuus</w:t>
                </w:r>
              </w:p>
            </w:tc>
            <w:tc>
              <w:tcPr>
                <w:tcW w:w="2609" w:type="dxa"/>
              </w:tcPr>
              <w:p w14:paraId="37F5DD0F" w14:textId="77777777" w:rsidR="006E0383" w:rsidRPr="00510DD8" w:rsidRDefault="006E0383" w:rsidP="004A7E07">
                <w:pPr>
                  <w:pStyle w:val="LLPerustelujenkappalejako"/>
                  <w:spacing w:after="120"/>
                  <w:jc w:val="center"/>
                  <w:rPr>
                    <w:sz w:val="20"/>
                  </w:rPr>
                </w:pPr>
                <w:r w:rsidRPr="00510DD8">
                  <w:rPr>
                    <w:sz w:val="20"/>
                  </w:rPr>
                  <w:t>40</w:t>
                </w:r>
              </w:p>
            </w:tc>
            <w:tc>
              <w:tcPr>
                <w:tcW w:w="1554" w:type="dxa"/>
              </w:tcPr>
              <w:p w14:paraId="6E2E54CC" w14:textId="77777777" w:rsidR="006E0383" w:rsidRPr="00510DD8" w:rsidRDefault="006E0383" w:rsidP="004A7E07">
                <w:pPr>
                  <w:pStyle w:val="LLPerustelujenkappalejako"/>
                  <w:spacing w:after="120"/>
                  <w:jc w:val="center"/>
                  <w:rPr>
                    <w:sz w:val="20"/>
                  </w:rPr>
                </w:pPr>
                <w:r w:rsidRPr="00510DD8">
                  <w:rPr>
                    <w:sz w:val="20"/>
                  </w:rPr>
                  <w:t>14 %</w:t>
                </w:r>
              </w:p>
            </w:tc>
          </w:tr>
          <w:tr w:rsidR="006E0383" w:rsidRPr="00B6562B" w14:paraId="28EB590F" w14:textId="77777777" w:rsidTr="00510DD8">
            <w:tc>
              <w:tcPr>
                <w:tcW w:w="2778" w:type="dxa"/>
              </w:tcPr>
              <w:p w14:paraId="5483E6CE" w14:textId="77777777" w:rsidR="006E0383" w:rsidRPr="00510DD8" w:rsidRDefault="006E0383" w:rsidP="004A7E07">
                <w:pPr>
                  <w:pStyle w:val="LLPerustelujenkappalejako"/>
                  <w:spacing w:after="120"/>
                  <w:jc w:val="left"/>
                  <w:rPr>
                    <w:b/>
                    <w:sz w:val="20"/>
                  </w:rPr>
                </w:pPr>
                <w:r w:rsidRPr="00510DD8">
                  <w:rPr>
                    <w:b/>
                    <w:sz w:val="20"/>
                  </w:rPr>
                  <w:t>Yhteensä</w:t>
                </w:r>
              </w:p>
            </w:tc>
            <w:tc>
              <w:tcPr>
                <w:tcW w:w="2609" w:type="dxa"/>
              </w:tcPr>
              <w:p w14:paraId="633A524A" w14:textId="77777777" w:rsidR="006E0383" w:rsidRPr="00510DD8" w:rsidRDefault="006E0383" w:rsidP="004A7E07">
                <w:pPr>
                  <w:pStyle w:val="LLPerustelujenkappalejako"/>
                  <w:spacing w:after="120"/>
                  <w:jc w:val="center"/>
                  <w:rPr>
                    <w:sz w:val="20"/>
                  </w:rPr>
                </w:pPr>
                <w:r w:rsidRPr="00510DD8">
                  <w:rPr>
                    <w:sz w:val="20"/>
                  </w:rPr>
                  <w:t>284</w:t>
                </w:r>
              </w:p>
            </w:tc>
            <w:tc>
              <w:tcPr>
                <w:tcW w:w="1554" w:type="dxa"/>
              </w:tcPr>
              <w:p w14:paraId="4F73CF7A" w14:textId="77777777" w:rsidR="006E0383" w:rsidRPr="00510DD8" w:rsidRDefault="006E0383" w:rsidP="004A7E07">
                <w:pPr>
                  <w:pStyle w:val="LLPerustelujenkappalejako"/>
                  <w:spacing w:after="120"/>
                  <w:jc w:val="center"/>
                  <w:rPr>
                    <w:sz w:val="20"/>
                  </w:rPr>
                </w:pPr>
                <w:r w:rsidRPr="00510DD8">
                  <w:rPr>
                    <w:sz w:val="20"/>
                  </w:rPr>
                  <w:t>100 %</w:t>
                </w:r>
              </w:p>
            </w:tc>
          </w:tr>
        </w:tbl>
        <w:p w14:paraId="67C450D7" w14:textId="77777777" w:rsidR="009A2F95" w:rsidRDefault="009A2F95" w:rsidP="00271411">
          <w:pPr>
            <w:pStyle w:val="LLNormaali"/>
          </w:pPr>
        </w:p>
        <w:p w14:paraId="6F9D5B30" w14:textId="4A2850DF" w:rsidR="00052862" w:rsidRDefault="004A7E07" w:rsidP="009144A7">
          <w:pPr>
            <w:pStyle w:val="LLPerustelujenkappalejako"/>
          </w:pPr>
          <w:r>
            <w:t>Esitettyyn arvioon liittyy epävarmuutta. Arvioitaessa tuen käytön vaikutuksia on huomioitava, että toiminnanharjoittajalle myönnettävä tuen määrä perustuu sen päästökaupan välillisten kustannusten määrään sähkönhinnassa, joka arvioidaan takautuvasti vuosittain. Tuen määrään ei</w:t>
          </w:r>
          <w:r w:rsidR="0035299D">
            <w:t>vät</w:t>
          </w:r>
          <w:r>
            <w:t xml:space="preserve"> vaikuta toiminnanharjoittajan tunnistamat lain tarkoittamat kehitystoimet, </w:t>
          </w:r>
          <w:r w:rsidR="0035299D">
            <w:t>jo</w:t>
          </w:r>
          <w:r>
            <w:t xml:space="preserve">ihin tukea tulee käyttää. </w:t>
          </w:r>
          <w:r w:rsidR="00D20700">
            <w:t>Käytettävä tukimäärä tulee vaihtelemaan toiminnanharjoittajakohtaisesti kymmenistä tuhansista kymmeniin miljooniin euroihin.</w:t>
          </w:r>
          <w:r w:rsidR="005F379C">
            <w:t xml:space="preserve"> Tuen käyttö tullaan arvioimaan tukiviranomaisen toimesta vuoden 2028 jälkeen, mutta on selvää, että tuen käytön vaikutukset esim. päästöjen vähentämiseen, prosessien sähköistämiseen tulevat n</w:t>
          </w:r>
          <w:r w:rsidR="00052862">
            <w:t>äkymään pidemmällä aikavälillä</w:t>
          </w:r>
          <w:r w:rsidR="00D4776A">
            <w:t>.</w:t>
          </w:r>
        </w:p>
        <w:p w14:paraId="4412D27E" w14:textId="6A399759" w:rsidR="00052862" w:rsidRPr="001518A0" w:rsidRDefault="00052862" w:rsidP="00271411">
          <w:pPr>
            <w:pStyle w:val="LLPValiotsikko"/>
          </w:pPr>
          <w:r w:rsidRPr="001518A0">
            <w:t>Tuen hake</w:t>
          </w:r>
          <w:r w:rsidR="00271411">
            <w:t>misesta aiheutuvat kustannukset</w:t>
          </w:r>
        </w:p>
        <w:p w14:paraId="65DD17D8" w14:textId="049C24B1" w:rsidR="00547594" w:rsidRPr="001518A0" w:rsidRDefault="00052862" w:rsidP="00547594">
          <w:pPr>
            <w:pStyle w:val="LLPerustelujenkappalejako"/>
          </w:pPr>
          <w:r w:rsidRPr="001518A0">
            <w:t xml:space="preserve">Sähköistämistuen hakeminen on yrityksille vapaaehtoista. </w:t>
          </w:r>
          <w:r w:rsidR="00CF7D1C" w:rsidRPr="001518A0">
            <w:t xml:space="preserve">Tuen hakemisesta ja </w:t>
          </w:r>
          <w:r w:rsidR="00134100" w:rsidRPr="001518A0">
            <w:t xml:space="preserve">tuen </w:t>
          </w:r>
          <w:r w:rsidR="00CF7D1C" w:rsidRPr="001518A0">
            <w:t xml:space="preserve">käytön raportoinnista </w:t>
          </w:r>
          <w:r w:rsidR="00134100" w:rsidRPr="001518A0">
            <w:t xml:space="preserve">arvioidaan </w:t>
          </w:r>
          <w:r w:rsidR="00CF7D1C" w:rsidRPr="001518A0">
            <w:t>aiheutu</w:t>
          </w:r>
          <w:r w:rsidR="00134100" w:rsidRPr="001518A0">
            <w:t xml:space="preserve">van toiminnanharjoittajille </w:t>
          </w:r>
          <w:r w:rsidR="00CF7D1C" w:rsidRPr="001518A0">
            <w:t>kustannuksia</w:t>
          </w:r>
          <w:r w:rsidR="00134100" w:rsidRPr="001518A0">
            <w:t>, kun tukea haetaan vuosittain Energiaviraston sähköisen asiointijärjestelmän kautta</w:t>
          </w:r>
          <w:r w:rsidR="00CF7D1C" w:rsidRPr="001518A0">
            <w:t xml:space="preserve">. </w:t>
          </w:r>
          <w:r w:rsidR="00134100" w:rsidRPr="001518A0">
            <w:t>Kustannukset syntyvät toiminnanharjoittajan työpanoksesta sekä Energiaviraston perimistä käsittelymaksuista. Alustavan arvion mukaan</w:t>
          </w:r>
          <w:r w:rsidR="00CF7D1C" w:rsidRPr="001518A0">
            <w:t xml:space="preserve"> Energiavira</w:t>
          </w:r>
          <w:r w:rsidR="00134100" w:rsidRPr="001518A0">
            <w:t>ston antaman tukipäätöksen hinta</w:t>
          </w:r>
          <w:r w:rsidR="00CF7D1C" w:rsidRPr="001518A0">
            <w:t xml:space="preserve"> </w:t>
          </w:r>
          <w:r w:rsidR="00134100" w:rsidRPr="001518A0">
            <w:t xml:space="preserve">olisi </w:t>
          </w:r>
          <w:r w:rsidR="00271411">
            <w:t>noin 3000</w:t>
          </w:r>
          <w:r w:rsidR="00271411">
            <w:sym w:font="Symbol" w:char="F02D"/>
          </w:r>
          <w:r w:rsidR="00CF7D1C" w:rsidRPr="001518A0">
            <w:t>4000 euron suuruinen. Lisäksi tuen käytön raportoinnista aiheutuu mahdollisi</w:t>
          </w:r>
          <w:r w:rsidR="00271411">
            <w:t>a lisäkustannuksia vuosina 2026</w:t>
          </w:r>
          <w:r w:rsidR="00271411">
            <w:sym w:font="Symbol" w:char="F02D"/>
          </w:r>
          <w:r w:rsidR="00CF7D1C" w:rsidRPr="001518A0">
            <w:t xml:space="preserve">2028. </w:t>
          </w:r>
          <w:r w:rsidR="00134100" w:rsidRPr="001518A0">
            <w:t>Näiden v</w:t>
          </w:r>
          <w:r w:rsidR="00547594" w:rsidRPr="001518A0">
            <w:t>uosittaisten lisäk</w:t>
          </w:r>
          <w:r w:rsidR="00CF7D1C" w:rsidRPr="001518A0">
            <w:t xml:space="preserve">ustannusten ei arvioida ylittävän tuen myöntämisestä annetun päätöksen hintaa. </w:t>
          </w:r>
          <w:r w:rsidR="00134100" w:rsidRPr="001518A0">
            <w:t xml:space="preserve">Viranomaisen käsittelymaksuista toiminnanharjoittajalle syntyvät kustannukset </w:t>
          </w:r>
          <w:r w:rsidR="00CF7D1C" w:rsidRPr="001518A0">
            <w:t>ovat samat riippumatta yrityksen koosta</w:t>
          </w:r>
          <w:r w:rsidR="00134100" w:rsidRPr="001518A0">
            <w:t>,</w:t>
          </w:r>
          <w:r w:rsidR="00CF7D1C" w:rsidRPr="001518A0">
            <w:t xml:space="preserve"> koska </w:t>
          </w:r>
          <w:r w:rsidR="00134100" w:rsidRPr="001518A0">
            <w:t xml:space="preserve">tukijärjestelmässä edellytettyjen </w:t>
          </w:r>
          <w:r w:rsidR="00CF7D1C" w:rsidRPr="001518A0">
            <w:t>tietojen käsittely o</w:t>
          </w:r>
          <w:r w:rsidR="0035299D" w:rsidRPr="001518A0">
            <w:t>lisi</w:t>
          </w:r>
          <w:r w:rsidR="00CF7D1C" w:rsidRPr="001518A0">
            <w:t xml:space="preserve"> viranomaismenettelynä kaikille samanlainen.</w:t>
          </w:r>
          <w:r w:rsidR="00134100" w:rsidRPr="001518A0">
            <w:t xml:space="preserve"> Näin ollen pienemmille </w:t>
          </w:r>
          <w:r w:rsidR="001518A0" w:rsidRPr="001518A0">
            <w:t>yrityksille hallinnollisten kustannusten</w:t>
          </w:r>
          <w:r w:rsidR="00547594" w:rsidRPr="001518A0">
            <w:t xml:space="preserve"> </w:t>
          </w:r>
          <w:r w:rsidR="00134100" w:rsidRPr="001518A0">
            <w:t>arvioidaan olevan</w:t>
          </w:r>
          <w:r w:rsidR="00547594" w:rsidRPr="001518A0">
            <w:t xml:space="preserve"> suhteessa suuremmat</w:t>
          </w:r>
          <w:r w:rsidR="00134100" w:rsidRPr="001518A0">
            <w:t xml:space="preserve"> kuin suurille</w:t>
          </w:r>
          <w:r w:rsidR="001518A0" w:rsidRPr="001518A0">
            <w:t xml:space="preserve"> yrityksille</w:t>
          </w:r>
          <w:r w:rsidR="00134100" w:rsidRPr="001518A0">
            <w:t>.</w:t>
          </w:r>
        </w:p>
        <w:p w14:paraId="22115E0F" w14:textId="68217459" w:rsidR="00CF7D1C" w:rsidRPr="001518A0" w:rsidRDefault="00547594" w:rsidP="009144A7">
          <w:pPr>
            <w:pStyle w:val="LLPerustelujenkappalejako"/>
          </w:pPr>
          <w:r w:rsidRPr="001518A0">
            <w:t>Järjestelmästä ei aiheu</w:t>
          </w:r>
          <w:r w:rsidR="0035299D" w:rsidRPr="001518A0">
            <w:t>tuisi</w:t>
          </w:r>
          <w:r w:rsidRPr="001518A0">
            <w:t xml:space="preserve"> yrityksille 3. osapuolen varmennukseen liittyviä kustannuksia koska varmentamiseen liittyvät tehtävät o</w:t>
          </w:r>
          <w:r w:rsidR="0035299D" w:rsidRPr="001518A0">
            <w:t>lisi</w:t>
          </w:r>
          <w:r w:rsidRPr="001518A0">
            <w:t xml:space="preserve"> laissa osoitettu Energiavirastolle ja sisälty</w:t>
          </w:r>
          <w:r w:rsidR="0035299D" w:rsidRPr="001518A0">
            <w:t>isi</w:t>
          </w:r>
          <w:r w:rsidRPr="001518A0">
            <w:t>vät Ener</w:t>
          </w:r>
          <w:r w:rsidR="00271411">
            <w:t>giaviraston perimiin maksuihin.</w:t>
          </w:r>
        </w:p>
        <w:p w14:paraId="19C086ED" w14:textId="2579B2D5" w:rsidR="00603E57" w:rsidRPr="001518A0" w:rsidRDefault="00673210" w:rsidP="009144A7">
          <w:pPr>
            <w:pStyle w:val="LLPerustelujenkappalejako"/>
          </w:pPr>
          <w:r w:rsidRPr="001518A0">
            <w:t xml:space="preserve">Tukea ovat oikeutettuja hakemaan kaikki tukeen oikeutetuilla toimialoilla toimivat yritykset, yrityksen koosta tai tuen määrään keskeisesti vaikuttavasta sähkön kulutuksen suuruudesta riippumatta. AFRY Consultingin arvion mukaan hallituksen esityksen mukaisesti myönnetty tuki tarkoittaisi, että 1 </w:t>
          </w:r>
          <w:proofErr w:type="spellStart"/>
          <w:r w:rsidRPr="001518A0">
            <w:t>GWh:n</w:t>
          </w:r>
          <w:proofErr w:type="spellEnd"/>
          <w:r w:rsidRPr="001518A0">
            <w:t xml:space="preserve"> sähkön kulutuksella</w:t>
          </w:r>
          <w:r w:rsidR="00271411">
            <w:t xml:space="preserve"> tuen määrä olisi arviolta 3660</w:t>
          </w:r>
          <w:r w:rsidR="00271411">
            <w:sym w:font="Symbol" w:char="F02D"/>
          </w:r>
          <w:r w:rsidRPr="001518A0">
            <w:t>7320 euroa vuodessa, päästöoikeuden hinnan ollessa välillä 30 – 60 euroa/tCO</w:t>
          </w:r>
          <w:r w:rsidRPr="001518A0">
            <w:rPr>
              <w:vertAlign w:val="subscript"/>
            </w:rPr>
            <w:t>2</w:t>
          </w:r>
          <w:r w:rsidRPr="001518A0">
            <w:t xml:space="preserve">. </w:t>
          </w:r>
          <w:proofErr w:type="spellStart"/>
          <w:r w:rsidRPr="001518A0">
            <w:t>AFRYn</w:t>
          </w:r>
          <w:proofErr w:type="spellEnd"/>
          <w:r w:rsidRPr="001518A0">
            <w:t xml:space="preserve"> arvion mukaan kaikkien tunnistettujen tuen piiriin kuuluvien yritysten sähkönkulutus on yli 1 </w:t>
          </w:r>
          <w:proofErr w:type="spellStart"/>
          <w:r w:rsidRPr="001518A0">
            <w:t>GWh</w:t>
          </w:r>
          <w:proofErr w:type="spellEnd"/>
          <w:r w:rsidRPr="001518A0">
            <w:t xml:space="preserve"> vuodessa, yksittäisiä laitoksia jää tämän rajan alle.</w:t>
          </w:r>
          <w:r w:rsidR="00603E57" w:rsidRPr="001518A0">
            <w:t xml:space="preserve"> Tuen piiriin kuuluvista laitoksista valtaosan vuosittainen sähkönkulutus on yli 10 </w:t>
          </w:r>
          <w:proofErr w:type="spellStart"/>
          <w:r w:rsidR="00603E57" w:rsidRPr="001518A0">
            <w:t>GWh</w:t>
          </w:r>
          <w:proofErr w:type="spellEnd"/>
          <w:r w:rsidR="00603E57" w:rsidRPr="001518A0">
            <w:t xml:space="preserve"> ja lähes 50 ylittää 100 </w:t>
          </w:r>
          <w:proofErr w:type="spellStart"/>
          <w:r w:rsidR="00603E57" w:rsidRPr="001518A0">
            <w:t>GWh</w:t>
          </w:r>
          <w:proofErr w:type="spellEnd"/>
          <w:r w:rsidR="007A7DC3" w:rsidRPr="001518A0">
            <w:t xml:space="preserve"> vuodessa.</w:t>
          </w:r>
          <w:r w:rsidR="00603E57" w:rsidRPr="001518A0">
            <w:t xml:space="preserve"> Toimialalla Nahkavaatteiden valmistus toimivien yritysten sähkönkulutuksen arvioidaan jäävän alle sen, että tu</w:t>
          </w:r>
          <w:r w:rsidR="00271411">
            <w:t>en hakeminen olisi kannattavaa.</w:t>
          </w:r>
        </w:p>
        <w:p w14:paraId="157390AA" w14:textId="3AE552FF" w:rsidR="00C5343A" w:rsidRDefault="00603E57" w:rsidP="009144A7">
          <w:pPr>
            <w:pStyle w:val="LLPerustelujenkappalejako"/>
          </w:pPr>
          <w:r w:rsidRPr="001518A0">
            <w:t>Johtopäätöksenä tuen hakemiseen liittyvistä kustannuksista voidaan todeta, että val</w:t>
          </w:r>
          <w:r w:rsidR="001518A0">
            <w:t>taosalle tuen piiriin kuuluviksi</w:t>
          </w:r>
          <w:r w:rsidRPr="001518A0">
            <w:t xml:space="preserve"> </w:t>
          </w:r>
          <w:r w:rsidR="001518A0">
            <w:t xml:space="preserve">tunnistetuille </w:t>
          </w:r>
          <w:r w:rsidRPr="001518A0">
            <w:t>toimijoi</w:t>
          </w:r>
          <w:r w:rsidR="001518A0">
            <w:t>lle</w:t>
          </w:r>
          <w:r w:rsidRPr="001518A0">
            <w:t xml:space="preserve"> tuen hakeminen ja sen käytöstä raportointi </w:t>
          </w:r>
          <w:r w:rsidR="003B35DA" w:rsidRPr="001518A0">
            <w:t>on kannattavaa</w:t>
          </w:r>
          <w:r w:rsidR="001518A0">
            <w:t xml:space="preserve"> suhteessa arvioituun tuen määrään</w:t>
          </w:r>
          <w:r w:rsidR="003B35DA" w:rsidRPr="001518A0">
            <w:t>. Mikäli tukea hakevan toiminnanharjoittajan laitoksen</w:t>
          </w:r>
          <w:r w:rsidRPr="001518A0">
            <w:t xml:space="preserve"> sähkönkulutus on alle 1 </w:t>
          </w:r>
          <w:proofErr w:type="spellStart"/>
          <w:r w:rsidRPr="001518A0">
            <w:t>GWh</w:t>
          </w:r>
          <w:proofErr w:type="spellEnd"/>
          <w:r w:rsidRPr="001518A0">
            <w:t>/vuosi ja</w:t>
          </w:r>
          <w:r w:rsidR="003B35DA" w:rsidRPr="001518A0">
            <w:t xml:space="preserve"> tuen laskennassa käytettävä päästöoikeuden </w:t>
          </w:r>
          <w:r w:rsidRPr="001518A0">
            <w:t>hin</w:t>
          </w:r>
          <w:r w:rsidR="0035299D" w:rsidRPr="001518A0">
            <w:t>ta</w:t>
          </w:r>
          <w:r w:rsidR="003B35DA" w:rsidRPr="001518A0">
            <w:t>hinta on noin 30 euroa, on nä</w:t>
          </w:r>
          <w:r w:rsidRPr="001518A0">
            <w:t xml:space="preserve">htävissä, että </w:t>
          </w:r>
          <w:r w:rsidR="003B35DA" w:rsidRPr="001518A0">
            <w:t xml:space="preserve">tällöin </w:t>
          </w:r>
          <w:r w:rsidR="00134100" w:rsidRPr="001518A0">
            <w:t>tuen hakemisesta vuosittain syntyvät</w:t>
          </w:r>
          <w:r w:rsidR="003B35DA" w:rsidRPr="001518A0">
            <w:t xml:space="preserve"> kustannukset ovat </w:t>
          </w:r>
          <w:r w:rsidRPr="001518A0">
            <w:t xml:space="preserve">suuremmat kuin mitä </w:t>
          </w:r>
          <w:r w:rsidR="007A7DC3" w:rsidRPr="001518A0">
            <w:t>tuesta saatava taloudellinen hyöty olisi.</w:t>
          </w:r>
        </w:p>
        <w:p w14:paraId="2204135C" w14:textId="4E7B47C2" w:rsidR="001D7A63" w:rsidRDefault="001D7A63" w:rsidP="001D7A63">
          <w:pPr>
            <w:pStyle w:val="LLP3Otsikkotaso"/>
          </w:pPr>
          <w:bookmarkStart w:id="14" w:name="_Toc75420011"/>
          <w:r>
            <w:t>Ympäristövaikutukset</w:t>
          </w:r>
          <w:bookmarkEnd w:id="14"/>
          <w:r>
            <w:t xml:space="preserve"> </w:t>
          </w:r>
        </w:p>
        <w:p w14:paraId="3ACBB317" w14:textId="0FB4FE0D" w:rsidR="0053501C" w:rsidRPr="00D809D5" w:rsidRDefault="0053501C" w:rsidP="00271411">
          <w:pPr>
            <w:pStyle w:val="LLPValiotsikko"/>
          </w:pPr>
          <w:r w:rsidRPr="00D809D5">
            <w:t xml:space="preserve">Ilmastovaikutukset </w:t>
          </w:r>
        </w:p>
        <w:p w14:paraId="20F86248" w14:textId="665F3242" w:rsidR="00637C58" w:rsidRPr="00D809D5" w:rsidRDefault="0053501C" w:rsidP="00A732AF">
          <w:pPr>
            <w:pStyle w:val="LLPerustelujenkappalejako"/>
          </w:pPr>
          <w:r w:rsidRPr="00D809D5">
            <w:t>Päästökaupan välill</w:t>
          </w:r>
          <w:r w:rsidR="00E73A4D" w:rsidRPr="00D809D5">
            <w:t>isten kustannusten</w:t>
          </w:r>
          <w:r w:rsidR="00AD4D11" w:rsidRPr="00D809D5">
            <w:t xml:space="preserve"> korvaamiseen pohjautuvan sähköistämistuen tavoite on pienentää tuettavien toimialojen riskiä hiilivuodolle. Hiilivuodolla tarkoitetaan kasvihuonekaasujen maailmanlaajuista kokonaispäästöjen lisääntymistä seurauksena</w:t>
          </w:r>
          <w:r w:rsidR="0035299D" w:rsidRPr="00D809D5">
            <w:t xml:space="preserve"> siitä</w:t>
          </w:r>
          <w:r w:rsidR="00AD4D11" w:rsidRPr="00D809D5">
            <w:t xml:space="preserve">, </w:t>
          </w:r>
          <w:r w:rsidR="0035299D" w:rsidRPr="00D809D5">
            <w:t>että</w:t>
          </w:r>
          <w:r w:rsidR="00AD4D11" w:rsidRPr="00D809D5">
            <w:t xml:space="preserve"> yritykset siirtävät tai perustavat tuotantoa Euroopan unionin ulkopuolelle, koska ne eivät pysty siirtämään EU:n päästökauppajärjestelmästä aiheutuvia kustannuksia asiakkailleen ilman markkinaosuuden merkittävää vähentymistä. Tuen arvioidaan parantavan toimijoiden kustannuskilpailukykyä suhteessa kansainvälisiin kilpailijoihin ja siten autt</w:t>
          </w:r>
          <w:r w:rsidR="009C2B14" w:rsidRPr="00D809D5">
            <w:t>a</w:t>
          </w:r>
          <w:r w:rsidR="006362E6" w:rsidRPr="00D809D5">
            <w:t>v</w:t>
          </w:r>
          <w:r w:rsidR="00AD4D11" w:rsidRPr="00D809D5">
            <w:t>a</w:t>
          </w:r>
          <w:r w:rsidR="009C2B14" w:rsidRPr="00D809D5">
            <w:t>n</w:t>
          </w:r>
          <w:r w:rsidR="00AD4D11" w:rsidRPr="00D809D5">
            <w:t xml:space="preserve"> ehkäisemään hiilivuo</w:t>
          </w:r>
          <w:r w:rsidR="001069E8" w:rsidRPr="00D809D5">
            <w:t>t</w:t>
          </w:r>
          <w:r w:rsidR="00AD4D11" w:rsidRPr="00D809D5">
            <w:t>o</w:t>
          </w:r>
          <w:r w:rsidR="001069E8" w:rsidRPr="00D809D5">
            <w:t>riskin</w:t>
          </w:r>
          <w:r w:rsidR="00AD4D11" w:rsidRPr="00D809D5">
            <w:t xml:space="preserve"> syntymistä</w:t>
          </w:r>
          <w:r w:rsidR="009C2B14" w:rsidRPr="00D809D5">
            <w:t xml:space="preserve"> ja välillisesti ehkäise</w:t>
          </w:r>
          <w:r w:rsidR="00D446EE" w:rsidRPr="00D809D5">
            <w:t>mään</w:t>
          </w:r>
          <w:r w:rsidR="009C2B14" w:rsidRPr="00D809D5">
            <w:t xml:space="preserve"> negatiivisten ilmastovaikutusten syntymistä</w:t>
          </w:r>
          <w:r w:rsidR="00AD4D11" w:rsidRPr="00D809D5">
            <w:t xml:space="preserve">. </w:t>
          </w:r>
          <w:r w:rsidR="00637C58" w:rsidRPr="00D809D5">
            <w:t>Päästökaupan kustannusvaikutus on viime vuosina kasvanut merkittävästi päästöoikeuksien hintatason noustua 50 euron tuntumaan. Osana valtioneuvoston selvitys- ja tutkimussuunnitelman toimeenpanoa toteutettiin selvitys hiilitullimekanisme</w:t>
          </w:r>
          <w:r w:rsidR="006362E6" w:rsidRPr="00D809D5">
            <w:t>ist</w:t>
          </w:r>
          <w:r w:rsidR="00637C58" w:rsidRPr="00D809D5">
            <w:t>a ja niiden taloudellisi</w:t>
          </w:r>
          <w:r w:rsidR="006362E6" w:rsidRPr="00D809D5">
            <w:t>st</w:t>
          </w:r>
          <w:r w:rsidR="00637C58" w:rsidRPr="00D809D5">
            <w:t>a vaikutuksi</w:t>
          </w:r>
          <w:r w:rsidR="006362E6" w:rsidRPr="00D809D5">
            <w:t>st</w:t>
          </w:r>
          <w:r w:rsidR="00637C58" w:rsidRPr="00D809D5">
            <w:t xml:space="preserve">a EU:ssa ja Suomessa. Selvityksen mukaan viitteitä hiilivuodon toteutumisesta on nähtävissä EU:ssa jo aiemmilla päästökauppakausilla. </w:t>
          </w:r>
          <w:r w:rsidR="009C2B14" w:rsidRPr="00D809D5">
            <w:t>Aiemmilla päästökauppakausilla</w:t>
          </w:r>
          <w:r w:rsidR="00637C58" w:rsidRPr="00D809D5">
            <w:t xml:space="preserve"> päästökaupan hintavaikutus on ollut huomattavasti alhaisempi kuin neljännellä päästökauppakaudella odotetaan olevan.</w:t>
          </w:r>
        </w:p>
        <w:p w14:paraId="11677F1A" w14:textId="3F1E7E80" w:rsidR="00A732AF" w:rsidRPr="00D809D5" w:rsidRDefault="009C2B14" w:rsidP="00A732AF">
          <w:pPr>
            <w:pStyle w:val="LLPerustelujenkappalejako"/>
          </w:pPr>
          <w:r w:rsidRPr="00D809D5">
            <w:t>Sähk</w:t>
          </w:r>
          <w:r w:rsidR="00235336" w:rsidRPr="00D809D5">
            <w:t>öistämistuen käytölle asetetun vaatimuksen</w:t>
          </w:r>
          <w:r w:rsidRPr="00D809D5">
            <w:t xml:space="preserve"> </w:t>
          </w:r>
          <w:r w:rsidR="00613095" w:rsidRPr="00D809D5">
            <w:t xml:space="preserve">seurauksena toiminnanharjoittajien </w:t>
          </w:r>
          <w:r w:rsidR="000A09B7" w:rsidRPr="00D809D5">
            <w:t>tulee</w:t>
          </w:r>
          <w:r w:rsidR="00A732AF" w:rsidRPr="00D809D5">
            <w:t xml:space="preserve"> </w:t>
          </w:r>
          <w:r w:rsidR="001825D2" w:rsidRPr="00D809D5">
            <w:t>kohdist</w:t>
          </w:r>
          <w:r w:rsidR="000A09B7" w:rsidRPr="00D809D5">
            <w:t>aa</w:t>
          </w:r>
          <w:r w:rsidR="00613095" w:rsidRPr="00D809D5">
            <w:t xml:space="preserve"> </w:t>
          </w:r>
          <w:r w:rsidR="000A09B7" w:rsidRPr="00D809D5">
            <w:t xml:space="preserve">arviolta </w:t>
          </w:r>
          <w:r w:rsidR="00613095" w:rsidRPr="00D809D5">
            <w:t xml:space="preserve">noin 280 miljoonaa euroa kehittämistoimiin, joiden arvioidaan </w:t>
          </w:r>
          <w:r w:rsidRPr="00D809D5">
            <w:t>vaikuttavan positiivisesti erilaisten puhtaan tekn</w:t>
          </w:r>
          <w:r w:rsidR="00235336" w:rsidRPr="00D809D5">
            <w:t>ologian ratkaisujen kehit</w:t>
          </w:r>
          <w:r w:rsidR="00613095" w:rsidRPr="00D809D5">
            <w:t>tymiseen</w:t>
          </w:r>
          <w:r w:rsidRPr="00D809D5">
            <w:t xml:space="preserve"> ja käyttöönot</w:t>
          </w:r>
          <w:r w:rsidR="00235336" w:rsidRPr="00D809D5">
            <w:t>t</w:t>
          </w:r>
          <w:r w:rsidRPr="00D809D5">
            <w:t>o</w:t>
          </w:r>
          <w:r w:rsidR="00235336" w:rsidRPr="00D809D5">
            <w:t>on</w:t>
          </w:r>
          <w:r w:rsidRPr="00D809D5">
            <w:t xml:space="preserve"> teollisessa toiminnassa vielä ennen vuotta 2030. Tuella arvioidaan </w:t>
          </w:r>
          <w:r w:rsidR="00A732AF" w:rsidRPr="00D809D5">
            <w:t xml:space="preserve">olevan </w:t>
          </w:r>
          <w:r w:rsidR="00613095" w:rsidRPr="00D809D5">
            <w:t xml:space="preserve">mahdollisia </w:t>
          </w:r>
          <w:r w:rsidR="00D809D5">
            <w:t>myönteisiä</w:t>
          </w:r>
          <w:r w:rsidR="00A732AF" w:rsidRPr="00D809D5">
            <w:t xml:space="preserve"> vaikutuksia yrity</w:t>
          </w:r>
          <w:r w:rsidR="00BD1DBB" w:rsidRPr="00D809D5">
            <w:t>s</w:t>
          </w:r>
          <w:r w:rsidR="004C50D2" w:rsidRPr="00D809D5">
            <w:t>t</w:t>
          </w:r>
          <w:r w:rsidR="00A732AF" w:rsidRPr="00D809D5">
            <w:t>en energiatehok</w:t>
          </w:r>
          <w:r w:rsidR="00104B1A" w:rsidRPr="00D809D5">
            <w:t>kuu</w:t>
          </w:r>
          <w:r w:rsidR="006362E6" w:rsidRPr="00D809D5">
            <w:t>delle</w:t>
          </w:r>
          <w:r w:rsidR="00104B1A" w:rsidRPr="00D809D5">
            <w:t xml:space="preserve"> ja</w:t>
          </w:r>
          <w:r w:rsidR="00A732AF" w:rsidRPr="00D809D5">
            <w:t xml:space="preserve"> </w:t>
          </w:r>
          <w:r w:rsidR="000A09B7" w:rsidRPr="00D809D5">
            <w:t xml:space="preserve">teollisten prosessien sähköistymiseen, </w:t>
          </w:r>
          <w:r w:rsidR="00A732AF" w:rsidRPr="00D809D5">
            <w:t>energiatehok</w:t>
          </w:r>
          <w:r w:rsidR="00613095" w:rsidRPr="00D809D5">
            <w:t>kuuden parantumiseen,</w:t>
          </w:r>
          <w:r w:rsidR="00A732AF" w:rsidRPr="00D809D5">
            <w:t xml:space="preserve"> u</w:t>
          </w:r>
          <w:r w:rsidR="00104B1A" w:rsidRPr="00D809D5">
            <w:t>usiutuvien energ</w:t>
          </w:r>
          <w:r w:rsidR="00235336" w:rsidRPr="00D809D5">
            <w:t>iamuotojen käytön lisääntymise</w:t>
          </w:r>
          <w:r w:rsidR="00104B1A" w:rsidRPr="00D809D5">
            <w:t>e</w:t>
          </w:r>
          <w:r w:rsidR="00235336" w:rsidRPr="00D809D5">
            <w:t>n</w:t>
          </w:r>
          <w:r w:rsidR="00104B1A" w:rsidRPr="00D809D5">
            <w:t>.</w:t>
          </w:r>
          <w:r w:rsidR="00A732AF" w:rsidRPr="00D809D5">
            <w:t xml:space="preserve"> </w:t>
          </w:r>
          <w:r w:rsidR="00104B1A" w:rsidRPr="00D809D5">
            <w:t>Tästä</w:t>
          </w:r>
          <w:r w:rsidR="00A732AF" w:rsidRPr="00D809D5">
            <w:t xml:space="preserve"> seuraa, että </w:t>
          </w:r>
          <w:r w:rsidRPr="00D809D5">
            <w:t>sähköistämis</w:t>
          </w:r>
          <w:r w:rsidR="00A732AF" w:rsidRPr="00D809D5">
            <w:t xml:space="preserve">tuella arvioidaan olevan </w:t>
          </w:r>
          <w:r w:rsidR="000A09B7" w:rsidRPr="00D809D5">
            <w:t xml:space="preserve">mahdollisia </w:t>
          </w:r>
          <w:r w:rsidR="00D809D5">
            <w:t>myönteisiä</w:t>
          </w:r>
          <w:r w:rsidR="00A732AF" w:rsidRPr="00D809D5">
            <w:t xml:space="preserve"> vaikutuksi</w:t>
          </w:r>
          <w:r w:rsidRPr="00D809D5">
            <w:t xml:space="preserve">a </w:t>
          </w:r>
          <w:r w:rsidR="000A09B7" w:rsidRPr="00D809D5">
            <w:t xml:space="preserve">yritysten kasvihuonekaasupäästöjen vähenemiseen ja siten </w:t>
          </w:r>
          <w:r w:rsidRPr="00D809D5">
            <w:t>ilmaston muutoksen hillin</w:t>
          </w:r>
          <w:r w:rsidR="001825D2" w:rsidRPr="00D809D5">
            <w:t>tään</w:t>
          </w:r>
          <w:r w:rsidR="00A732AF" w:rsidRPr="00D809D5">
            <w:t xml:space="preserve">. </w:t>
          </w:r>
          <w:r w:rsidR="000A09B7" w:rsidRPr="00D809D5">
            <w:t xml:space="preserve">Tuen käytölle asetetun vaatimuksen täsmällisiä vaikutuksia on </w:t>
          </w:r>
          <w:r w:rsidR="001825D2" w:rsidRPr="00D809D5">
            <w:t xml:space="preserve">kuitenkin </w:t>
          </w:r>
          <w:r w:rsidR="000A09B7" w:rsidRPr="00D809D5">
            <w:t xml:space="preserve">ennalta vaikea arvioida koska </w:t>
          </w:r>
          <w:r w:rsidR="001825D2" w:rsidRPr="00D809D5">
            <w:t>myönnettävän tuen määrään ja siten myös kehittämistoimiin kohdistuvan rahan määrään liittyy suurta epävarmuutta. Tuen käytön täsmällinen määrittely ennakkoon ei myöskään ole tuen myöntämiselle asetettava ehto vaan tuen saajan on mahdollista suunnitella tehtäviä kehitystoimia myös vasta kun täsmällinen tieto myönnettävän tuen määrästä on tiedossa.</w:t>
          </w:r>
        </w:p>
        <w:p w14:paraId="4B0AC9DC" w14:textId="173B8913" w:rsidR="00892DF3" w:rsidRPr="00D809D5" w:rsidRDefault="00104B1A" w:rsidP="00A732AF">
          <w:pPr>
            <w:pStyle w:val="LLPerustelujenkappalejako"/>
          </w:pPr>
          <w:proofErr w:type="spellStart"/>
          <w:r w:rsidRPr="00D809D5">
            <w:t>Marinin</w:t>
          </w:r>
          <w:proofErr w:type="spellEnd"/>
          <w:r w:rsidRPr="00D809D5">
            <w:t xml:space="preserve"> hallitusohjelman puitteissa 13 toimialaa on valmistellut itselleen työ- ja elinkeinoministeriön koordinoimassa hankkeessa tie</w:t>
          </w:r>
          <w:r w:rsidR="00D1084D" w:rsidRPr="00D809D5">
            <w:t>kartat vähähiilisyyteen. Tiekar</w:t>
          </w:r>
          <w:r w:rsidRPr="00D809D5">
            <w:t>to</w:t>
          </w:r>
          <w:r w:rsidR="00D1084D" w:rsidRPr="00D809D5">
            <w:t xml:space="preserve">issa kukin toimiala </w:t>
          </w:r>
          <w:r w:rsidR="005012DA" w:rsidRPr="00D809D5">
            <w:t xml:space="preserve">on </w:t>
          </w:r>
          <w:r w:rsidR="004C50D2" w:rsidRPr="00D809D5">
            <w:t>e</w:t>
          </w:r>
          <w:r w:rsidR="0093521D" w:rsidRPr="00D809D5">
            <w:t>sitt</w:t>
          </w:r>
          <w:r w:rsidR="005012DA" w:rsidRPr="00D809D5">
            <w:t>änyt</w:t>
          </w:r>
          <w:r w:rsidR="00D1084D" w:rsidRPr="00D809D5">
            <w:t xml:space="preserve"> </w:t>
          </w:r>
          <w:r w:rsidRPr="00D809D5">
            <w:t>oma</w:t>
          </w:r>
          <w:r w:rsidR="004C50D2" w:rsidRPr="00D809D5">
            <w:t>n</w:t>
          </w:r>
          <w:r w:rsidRPr="00D809D5">
            <w:t xml:space="preserve"> arvio</w:t>
          </w:r>
          <w:r w:rsidR="004C50D2" w:rsidRPr="00D809D5">
            <w:t>n</w:t>
          </w:r>
          <w:r w:rsidR="0093521D" w:rsidRPr="00D809D5">
            <w:t>sa</w:t>
          </w:r>
          <w:r w:rsidRPr="00D809D5">
            <w:t xml:space="preserve"> käytössä olevista ja mahdollisista päästövähennysteknologioista ja -keinoista, sekä arvio</w:t>
          </w:r>
          <w:r w:rsidR="004C50D2" w:rsidRPr="00D809D5">
            <w:t>n</w:t>
          </w:r>
          <w:r w:rsidRPr="00D809D5">
            <w:t xml:space="preserve"> saavutettavissa olevista päästövähennyksistä. </w:t>
          </w:r>
          <w:r w:rsidR="009C2B14" w:rsidRPr="00D809D5">
            <w:t>Sähköistämistuen piiriin kuuluvien toimialojen v</w:t>
          </w:r>
          <w:r w:rsidR="004A67A1" w:rsidRPr="00D809D5">
            <w:t>ähähiilitiekartoissa on tunnistettu seuraavia mahdollisuuksia.</w:t>
          </w:r>
        </w:p>
        <w:p w14:paraId="65EA4D45" w14:textId="0792F0BD" w:rsidR="003B6477" w:rsidRPr="00D809D5" w:rsidRDefault="005F379C" w:rsidP="00A75549">
          <w:pPr>
            <w:pStyle w:val="LLPerustelujenkappalejako"/>
          </w:pPr>
          <w:r w:rsidRPr="00D809D5">
            <w:t xml:space="preserve">Metsäteollisuuden </w:t>
          </w:r>
          <w:r w:rsidR="00DB5781" w:rsidRPr="00D809D5">
            <w:t xml:space="preserve">tehdaspäästöt ovat </w:t>
          </w:r>
          <w:r w:rsidR="004A67A1" w:rsidRPr="00D809D5">
            <w:t>vuonna 2020 noin 3 miljoona</w:t>
          </w:r>
          <w:r w:rsidR="006362E6" w:rsidRPr="00D809D5">
            <w:t>a</w:t>
          </w:r>
          <w:r w:rsidR="004A67A1" w:rsidRPr="00D809D5">
            <w:t xml:space="preserve"> hiilidioksiditonnia/vuosi</w:t>
          </w:r>
          <w:r w:rsidR="00DB5781" w:rsidRPr="00D809D5">
            <w:t>,</w:t>
          </w:r>
          <w:r w:rsidR="004A67A1" w:rsidRPr="00D809D5">
            <w:t xml:space="preserve"> </w:t>
          </w:r>
          <w:r w:rsidR="00DB5781" w:rsidRPr="00D809D5">
            <w:t>suotuisan toimintaympäristön vallitessa ne on mahdollista vähentää 0,3</w:t>
          </w:r>
          <w:r w:rsidR="004A67A1" w:rsidRPr="00D809D5">
            <w:t xml:space="preserve"> </w:t>
          </w:r>
          <w:r w:rsidR="00DB5781" w:rsidRPr="00D809D5">
            <w:t>miljoonaan tonniin</w:t>
          </w:r>
          <w:r w:rsidRPr="00D809D5">
            <w:t xml:space="preserve"> vuoteen 2035</w:t>
          </w:r>
          <w:r w:rsidR="004A67A1" w:rsidRPr="00D809D5">
            <w:t xml:space="preserve"> mennessä</w:t>
          </w:r>
          <w:r w:rsidRPr="00D809D5">
            <w:t xml:space="preserve">. </w:t>
          </w:r>
          <w:r w:rsidR="004A67A1" w:rsidRPr="00D809D5">
            <w:t xml:space="preserve">Tämä voitaisiin toteuttaa </w:t>
          </w:r>
          <w:r w:rsidRPr="00D809D5">
            <w:t>fossiilisten</w:t>
          </w:r>
          <w:r w:rsidR="004A67A1" w:rsidRPr="00D809D5">
            <w:t xml:space="preserve"> polttoaineiden käytön lopettamisella,</w:t>
          </w:r>
          <w:r w:rsidRPr="00D809D5">
            <w:t xml:space="preserve"> pieniä varapolttoainemääriä lukuun ottamatta</w:t>
          </w:r>
          <w:r w:rsidR="004A67A1" w:rsidRPr="00D809D5">
            <w:t>,</w:t>
          </w:r>
          <w:r w:rsidRPr="00D809D5">
            <w:t xml:space="preserve"> pitkälti</w:t>
          </w:r>
          <w:r w:rsidR="004A67A1" w:rsidRPr="00D809D5">
            <w:t xml:space="preserve"> </w:t>
          </w:r>
          <w:r w:rsidRPr="00D809D5">
            <w:t>tehtaiden investointien</w:t>
          </w:r>
          <w:r w:rsidR="004A67A1" w:rsidRPr="00D809D5">
            <w:t>, polttolaitoksia uusimalla</w:t>
          </w:r>
          <w:r w:rsidRPr="00D809D5">
            <w:t xml:space="preserve"> ja sähköistymisen myötä. </w:t>
          </w:r>
          <w:r w:rsidR="00892DF3" w:rsidRPr="00D809D5">
            <w:t>Kemianteollisuus</w:t>
          </w:r>
          <w:r w:rsidR="00B34B09" w:rsidRPr="00D809D5">
            <w:t xml:space="preserve"> tavoittelee, että nykyiset 5,7 miljoonan tonnin kasvihuonekaasupäästöt saataisiin mahdollisimman lähelle nollaa tulevien 25 vuoden aikana. Tämä tapahtuisi prosessien ja energiankäytön päästöjä vähentämällä. Sähköistäminen on tavoitteen saavuttamisessa keskeisessä roolissa. </w:t>
          </w:r>
          <w:r w:rsidR="00A75549" w:rsidRPr="00D809D5">
            <w:t>T</w:t>
          </w:r>
          <w:r w:rsidR="00B34B09" w:rsidRPr="00D809D5">
            <w:t>eknologiateollisuuden sektoreilla</w:t>
          </w:r>
          <w:r w:rsidR="00A75549" w:rsidRPr="00D809D5">
            <w:t>, joista tuen piiriin kuuluva metalliteollisuus on keskeisin päästölähde, voitaisiin toimialan t</w:t>
          </w:r>
          <w:r w:rsidR="00B34B09" w:rsidRPr="00D809D5">
            <w:t>iekarttaan sisältyvän nopeutetun teknologisen kehityksen</w:t>
          </w:r>
          <w:r w:rsidR="00A75549" w:rsidRPr="00D809D5">
            <w:t xml:space="preserve"> </w:t>
          </w:r>
          <w:r w:rsidR="00B34B09" w:rsidRPr="00D809D5">
            <w:t xml:space="preserve">mallissa </w:t>
          </w:r>
          <w:r w:rsidR="00A75549" w:rsidRPr="00D809D5">
            <w:t>laskea suoria päästöjä</w:t>
          </w:r>
          <w:r w:rsidR="00B34B09" w:rsidRPr="00D809D5">
            <w:t xml:space="preserve"> 38 prosenttia vuoteen 2035 ja 80 prosenttia vuoteen 2050 mennessä.</w:t>
          </w:r>
          <w:r w:rsidR="00A75549" w:rsidRPr="00D809D5">
            <w:t xml:space="preserve"> </w:t>
          </w:r>
          <w:r w:rsidR="00B34B09" w:rsidRPr="00D809D5">
            <w:t>Päästövähennyskeinoista useimmat perustuvat prosessien ja koneiden sähköistämiseen, energia- ja materiaalitehokkuuden parantamiseen, kiertotalouteen sekä</w:t>
          </w:r>
          <w:r w:rsidR="00A75549" w:rsidRPr="00D809D5">
            <w:t xml:space="preserve"> </w:t>
          </w:r>
          <w:r w:rsidR="00B34B09" w:rsidRPr="00D809D5">
            <w:t xml:space="preserve">digitaalisten ratkaisujen </w:t>
          </w:r>
          <w:r w:rsidR="00271411">
            <w:t>käyttöön.</w:t>
          </w:r>
        </w:p>
        <w:p w14:paraId="3F0598B2" w14:textId="3E1036B6" w:rsidR="001D7A63" w:rsidRPr="00D809D5" w:rsidRDefault="003637FF" w:rsidP="00A75549">
          <w:pPr>
            <w:pStyle w:val="LLPerustelujenkappalejako"/>
          </w:pPr>
          <w:r w:rsidRPr="00D809D5">
            <w:t>Sähköistämistuen käytöstä seuraavien</w:t>
          </w:r>
          <w:r w:rsidR="003B6477" w:rsidRPr="00D809D5">
            <w:t xml:space="preserve"> vaikutusten arviointiin liittyy epävarmuutta koska kehittämistoimiin käytettävä tuen määrä ei ole etukäteen tiedossa. Sitran valmisteilla olevan </w:t>
          </w:r>
          <w:proofErr w:type="spellStart"/>
          <w:r w:rsidR="003B6477" w:rsidRPr="00D809D5">
            <w:t>Enabling</w:t>
          </w:r>
          <w:proofErr w:type="spellEnd"/>
          <w:r w:rsidR="003B6477" w:rsidRPr="00D809D5">
            <w:t xml:space="preserve"> </w:t>
          </w:r>
          <w:proofErr w:type="spellStart"/>
          <w:r w:rsidR="00271411">
            <w:t>cost-efficient</w:t>
          </w:r>
          <w:proofErr w:type="spellEnd"/>
          <w:r w:rsidR="00271411">
            <w:t xml:space="preserve"> </w:t>
          </w:r>
          <w:proofErr w:type="spellStart"/>
          <w:r w:rsidR="00271411">
            <w:t>electrification</w:t>
          </w:r>
          <w:proofErr w:type="spellEnd"/>
          <w:r w:rsidR="00271411">
            <w:t xml:space="preserve"> -</w:t>
          </w:r>
          <w:r w:rsidR="003B6477" w:rsidRPr="00D809D5">
            <w:t>selvityksen ennakkotulosten mukaan teollisuuden sähköistymisen</w:t>
          </w:r>
          <w:r w:rsidR="00645123" w:rsidRPr="00D809D5">
            <w:t xml:space="preserve"> suurimpia</w:t>
          </w:r>
          <w:r w:rsidR="003B6477" w:rsidRPr="00D809D5">
            <w:t xml:space="preserve"> pullonkauloja ovat kannustimien puute investoida uusiin laitteisiin, poltto- ja raaka-aineisiin sekä</w:t>
          </w:r>
          <w:r w:rsidR="00645123" w:rsidRPr="00D809D5">
            <w:t xml:space="preserve"> epävarmuus investointiympäristöstä. Sähköistämistu</w:t>
          </w:r>
          <w:r w:rsidR="005076EA" w:rsidRPr="00D809D5">
            <w:t>ella</w:t>
          </w:r>
          <w:r w:rsidR="00645123" w:rsidRPr="00D809D5">
            <w:t xml:space="preserve"> pyr</w:t>
          </w:r>
          <w:r w:rsidR="005076EA" w:rsidRPr="00D809D5">
            <w:t>itään</w:t>
          </w:r>
          <w:r w:rsidR="00645123" w:rsidRPr="00D809D5">
            <w:t xml:space="preserve"> osaltaan pienentämään ja poistamaan näiden positiivista kehitystä hida</w:t>
          </w:r>
          <w:r w:rsidR="00271411">
            <w:t>stavien tekijöiden vaikutusta.</w:t>
          </w:r>
        </w:p>
        <w:p w14:paraId="63A6A5AB" w14:textId="0A6378BC" w:rsidR="00415FF7" w:rsidRDefault="00892DF3" w:rsidP="00415FF7">
          <w:pPr>
            <w:pStyle w:val="LLPerustelujenkappalejako"/>
          </w:pPr>
          <w:r w:rsidRPr="00D809D5">
            <w:t xml:space="preserve">Lakiehdotuksen mukaan vähintään 50 % tuesta tule kohdentaa kehittämistoimiin 31.12.2028 mennessä. On mahdollista, että kehittämistoimista seuraavia positiivisia ilmastovaikutuksia on tunnistettavissa jo ennen vuotta 2028. Mikäli kehittämistoimet painottuvat tukiohjelman loppuvuosiin on mahdollista, että positiiviset vaikutukset näkyvät vasta vuoden 2028 jälkeen. </w:t>
          </w:r>
          <w:r w:rsidR="00415FF7" w:rsidRPr="00D809D5">
            <w:t xml:space="preserve">Sähköistämistuen käyttöä olisi mahdollista kohdistaa </w:t>
          </w:r>
          <w:r w:rsidR="00F11718">
            <w:t>aineettomiin investointeihin</w:t>
          </w:r>
          <w:r w:rsidR="00415FF7" w:rsidRPr="00D809D5">
            <w:t>, joilla edistetään tiekartoissa tunnistettujen ratkaisujen toteutumista.</w:t>
          </w:r>
          <w:r w:rsidRPr="00D809D5">
            <w:t xml:space="preserve"> Sähköistämistuen käyttöehdosta ei tällöin välttämättä seuraa suoria positiivisia ilmastovaikutuksia vaan vaikutukset ovat välillisiä. On myös mahdollista, että vaikutukset eivät ole kaikilta osin pysyviä.</w:t>
          </w:r>
        </w:p>
        <w:p w14:paraId="54BFCA6A" w14:textId="2F4B6E39" w:rsidR="00A939B2" w:rsidRDefault="00A939B2" w:rsidP="00271411">
          <w:pPr>
            <w:pStyle w:val="LLNormaali"/>
          </w:pPr>
        </w:p>
        <w:p w14:paraId="5CC537F9" w14:textId="77777777" w:rsidR="00A939B2" w:rsidRDefault="00A939B2" w:rsidP="00A939B2">
          <w:pPr>
            <w:pStyle w:val="LLP1Otsikkotaso"/>
          </w:pPr>
          <w:bookmarkStart w:id="15" w:name="_Toc75420012"/>
          <w:r>
            <w:t>Muut toteuttamisvaihtoehdot</w:t>
          </w:r>
          <w:bookmarkEnd w:id="15"/>
        </w:p>
        <w:p w14:paraId="150121C7" w14:textId="77777777" w:rsidR="00A939B2" w:rsidRDefault="00A939B2" w:rsidP="00A939B2">
          <w:pPr>
            <w:pStyle w:val="LLP2Otsikkotaso"/>
          </w:pPr>
          <w:bookmarkStart w:id="16" w:name="_Toc75420013"/>
          <w:r>
            <w:t>Vaihtoehdot ja niiden vaikutukset</w:t>
          </w:r>
          <w:bookmarkEnd w:id="16"/>
        </w:p>
        <w:p w14:paraId="67798C5C" w14:textId="0443AA9B" w:rsidR="00D55D9D" w:rsidRPr="0063649C" w:rsidRDefault="00D55D9D" w:rsidP="0063649C">
          <w:pPr>
            <w:pStyle w:val="LLPerustelujenkappalejako"/>
          </w:pPr>
          <w:r w:rsidRPr="0063649C">
            <w:t>Päästökauppadirektiivin 2003/87/EY 10 a artiklan 6 alakohdassa todetaan, että jäsenvaltioiden olisi otettava käyttöön taloudellisia toimenpiteitä sellaisten toimialojen tai toimialojen osien hyväksi, jotka ovat alttiita todelliselle hiilivuodon riskille sen vuoksi, että sähkön hintoihin siirretyistä kasvihuonekaasupäästöihin liittyvistä kustannuksista aiheutuu tosiasiallisesti merkittäviä välillisiä kustannuksia edellyttäen, että tällaiset taloudelliset toimenpiteet ovat valtiontukisääntöjen mukaisia eivätkä etenkään aiheuta aiheettomia kilpailun vääristymiä. Jäsenvaltiot päättävät tukijärjestelmien käyttöön otost</w:t>
          </w:r>
          <w:r w:rsidR="00656438">
            <w:t xml:space="preserve">a itse. </w:t>
          </w:r>
          <w:proofErr w:type="spellStart"/>
          <w:r w:rsidR="00656438">
            <w:t>Marinin</w:t>
          </w:r>
          <w:proofErr w:type="spellEnd"/>
          <w:r w:rsidR="00656438">
            <w:t xml:space="preserve"> hallitus on 14.</w:t>
          </w:r>
          <w:r w:rsidR="00271411">
            <w:sym w:font="Symbol" w:char="F02D"/>
          </w:r>
          <w:r w:rsidRPr="0063649C">
            <w:t>15.9.2020 käydyissä neuvotteluissa linjannut tu</w:t>
          </w:r>
          <w:r w:rsidR="00656438">
            <w:t>en käyttöönotosta vuosille 2021</w:t>
          </w:r>
          <w:r w:rsidR="00271411">
            <w:sym w:font="Symbol" w:char="F02D"/>
          </w:r>
          <w:r w:rsidR="00271411">
            <w:t>2025.</w:t>
          </w:r>
        </w:p>
        <w:p w14:paraId="3D0A80AF" w14:textId="2AFA707A" w:rsidR="00D55D9D" w:rsidRPr="0063649C" w:rsidRDefault="00D55D9D" w:rsidP="0063649C">
          <w:pPr>
            <w:pStyle w:val="LLPerustelujenkappalejako"/>
          </w:pPr>
          <w:r w:rsidRPr="0063649C">
            <w:t xml:space="preserve">Periaatteet, joiden mukaisesti tukea voi myöntää, on vahvistettu komission </w:t>
          </w:r>
          <w:r w:rsidR="005076EA">
            <w:t xml:space="preserve">laatimissa </w:t>
          </w:r>
          <w:r w:rsidRPr="0063649C">
            <w:t>päästökaupan valtiontukisuuntaviivoissa vuosille 2021</w:t>
          </w:r>
          <w:r w:rsidR="00271411">
            <w:sym w:font="Symbol" w:char="F02D"/>
          </w:r>
          <w:r w:rsidRPr="0063649C">
            <w:t>2030, joita on nouda</w:t>
          </w:r>
          <w:r w:rsidR="00656438">
            <w:t>tettu tämän lain valmistelussa.</w:t>
          </w:r>
        </w:p>
        <w:p w14:paraId="56F79C8E" w14:textId="15CD9952" w:rsidR="00D55D9D" w:rsidRPr="00D55D9D" w:rsidRDefault="00D55D9D" w:rsidP="0063649C">
          <w:pPr>
            <w:pStyle w:val="LLPerustelujenkappalejako"/>
          </w:pPr>
          <w:r w:rsidRPr="0063649C">
            <w:t>Vaihtoehto tukijärjestelmän käyttöön otolle olisi, ettei kyseistä tukea otettaisi käyttöön lainkaan. Tällä olisi vaikutuksia</w:t>
          </w:r>
          <w:r w:rsidR="004B6A42">
            <w:t xml:space="preserve"> valtion budjettiin sekä mahdollisia vaikutuksia</w:t>
          </w:r>
          <w:r w:rsidRPr="0063649C">
            <w:t xml:space="preserve"> tuen piiriin kuuluvien toimialojen kustannuskilpailu</w:t>
          </w:r>
          <w:r w:rsidR="00656438">
            <w:t>kykyyn.</w:t>
          </w:r>
        </w:p>
        <w:p w14:paraId="743DCB66" w14:textId="77777777" w:rsidR="00B274C0" w:rsidRPr="00B274C0" w:rsidRDefault="00B274C0" w:rsidP="00D55D9D">
          <w:pPr>
            <w:pStyle w:val="LLP2Otsikkotaso"/>
          </w:pPr>
          <w:bookmarkStart w:id="17" w:name="_Toc75420014"/>
          <w:r w:rsidRPr="00B274C0">
            <w:t>Muiden jäsenvaltioiden suunnittelemat tai toteuttamat keinot</w:t>
          </w:r>
          <w:bookmarkEnd w:id="17"/>
        </w:p>
        <w:p w14:paraId="01B103C4" w14:textId="38B55820" w:rsidR="00D55D9D" w:rsidRDefault="00D55D9D" w:rsidP="00A939B2">
          <w:pPr>
            <w:pStyle w:val="LLPerustelujenkappalejako"/>
          </w:pPr>
          <w:r>
            <w:t>Valmisteltaessa hallituksen lakiesitystä sähköistämistueksi ei ollut saatavilla varmaa tietoa muiden jäsenmaiden suunnitelmista soveltaa päästökaupan valtiontukisuuntaviivoja. Vahva indikaatio tukijärjestelmän valmistelusta saatiin Norjasta ja Saksasta. Alankomaat ja Belgian Flaami-maa ei ol</w:t>
          </w:r>
          <w:r w:rsidR="00235336">
            <w:t>l</w:t>
          </w:r>
          <w:r>
            <w:t>ut vielä tehnyt päätöstä sen käyttöönotosta. On mahdollista, että</w:t>
          </w:r>
          <w:r w:rsidR="007E2DA7">
            <w:t xml:space="preserve"> tarkempaa</w:t>
          </w:r>
          <w:r>
            <w:t xml:space="preserve"> tietoa on saatavilla, kun sähköistämistukilain hallitukse</w:t>
          </w:r>
          <w:r w:rsidR="00656438">
            <w:t>n esitys annetaan eduskunnalle.</w:t>
          </w:r>
        </w:p>
        <w:p w14:paraId="7EEA257B" w14:textId="1C8395F1" w:rsidR="00C355E6" w:rsidRDefault="00C355E6" w:rsidP="00A939B2">
          <w:pPr>
            <w:pStyle w:val="LLPerustelujenkappalejako"/>
          </w:pPr>
          <w:r>
            <w:t>Alla listatut maat ovat soveltaneet päästökaupan valtiontukisuuntaviivoja myös edeltä</w:t>
          </w:r>
          <w:r w:rsidR="00271411">
            <w:t>vällä päästökauppakaudella 2013</w:t>
          </w:r>
          <w:r w:rsidR="00271411">
            <w:sym w:font="Symbol" w:char="F02D"/>
          </w:r>
          <w:r>
            <w:t xml:space="preserve">2020. Ruotsi ei ole ottanut tukijärjestelmää käyttöön eikä ole tiedossa, että se sellaista valmistelisi </w:t>
          </w:r>
          <w:r w:rsidR="00E54042">
            <w:t xml:space="preserve">myöskään </w:t>
          </w:r>
          <w:r w:rsidR="00656438">
            <w:t>vuosille 2021</w:t>
          </w:r>
          <w:r w:rsidR="00271411">
            <w:sym w:font="Symbol" w:char="F02D"/>
          </w:r>
          <w:r>
            <w:t>2030. Alla on listattu jäsenvaltiot ja tukivuodet, jolloin edellis</w:t>
          </w:r>
          <w:r w:rsidR="00656438">
            <w:t>iä suuntaviivoja on sovellettu.</w:t>
          </w:r>
        </w:p>
        <w:tbl>
          <w:tblPr>
            <w:tblStyle w:val="Vaaleataulukkoruudukko"/>
            <w:tblW w:w="0" w:type="auto"/>
            <w:tblLook w:val="04A0" w:firstRow="1" w:lastRow="0" w:firstColumn="1" w:lastColumn="0" w:noHBand="0" w:noVBand="1"/>
          </w:tblPr>
          <w:tblGrid>
            <w:gridCol w:w="2925"/>
            <w:gridCol w:w="2925"/>
          </w:tblGrid>
          <w:tr w:rsidR="00C355E6" w:rsidRPr="00271411" w14:paraId="0E7DC8E4" w14:textId="77777777" w:rsidTr="00D4776A">
            <w:trPr>
              <w:trHeight w:val="165"/>
            </w:trPr>
            <w:tc>
              <w:tcPr>
                <w:tcW w:w="2925" w:type="dxa"/>
              </w:tcPr>
              <w:p w14:paraId="77ACD120" w14:textId="77777777" w:rsidR="00C355E6" w:rsidRPr="00271411" w:rsidRDefault="00C355E6" w:rsidP="00271411">
                <w:pPr>
                  <w:pStyle w:val="LLNormaali"/>
                  <w:rPr>
                    <w:sz w:val="20"/>
                    <w:szCs w:val="20"/>
                  </w:rPr>
                </w:pPr>
              </w:p>
            </w:tc>
            <w:tc>
              <w:tcPr>
                <w:tcW w:w="2925" w:type="dxa"/>
              </w:tcPr>
              <w:p w14:paraId="3BDFA9B1" w14:textId="77777777" w:rsidR="00C355E6" w:rsidRPr="00271411" w:rsidRDefault="00C355E6" w:rsidP="00271411">
                <w:pPr>
                  <w:pStyle w:val="LLNormaali"/>
                  <w:rPr>
                    <w:sz w:val="20"/>
                    <w:szCs w:val="20"/>
                  </w:rPr>
                </w:pPr>
                <w:r w:rsidRPr="00271411">
                  <w:rPr>
                    <w:sz w:val="20"/>
                    <w:szCs w:val="20"/>
                  </w:rPr>
                  <w:t xml:space="preserve">Tukikausi </w:t>
                </w:r>
              </w:p>
            </w:tc>
          </w:tr>
          <w:tr w:rsidR="00C355E6" w:rsidRPr="00271411" w14:paraId="3239DF71" w14:textId="77777777" w:rsidTr="00D4776A">
            <w:tc>
              <w:tcPr>
                <w:tcW w:w="2925" w:type="dxa"/>
              </w:tcPr>
              <w:p w14:paraId="0A90814A" w14:textId="77777777" w:rsidR="00C355E6" w:rsidRPr="00271411" w:rsidRDefault="00C355E6" w:rsidP="00271411">
                <w:pPr>
                  <w:pStyle w:val="LLNormaali"/>
                  <w:rPr>
                    <w:b/>
                    <w:sz w:val="20"/>
                    <w:szCs w:val="20"/>
                  </w:rPr>
                </w:pPr>
                <w:r w:rsidRPr="00271411">
                  <w:rPr>
                    <w:b/>
                    <w:sz w:val="20"/>
                    <w:szCs w:val="20"/>
                  </w:rPr>
                  <w:t xml:space="preserve">Belgia, </w:t>
                </w:r>
                <w:proofErr w:type="spellStart"/>
                <w:r w:rsidRPr="00271411">
                  <w:rPr>
                    <w:b/>
                    <w:sz w:val="20"/>
                    <w:szCs w:val="20"/>
                  </w:rPr>
                  <w:t>Flanders</w:t>
                </w:r>
                <w:proofErr w:type="spellEnd"/>
              </w:p>
            </w:tc>
            <w:tc>
              <w:tcPr>
                <w:tcW w:w="2925" w:type="dxa"/>
              </w:tcPr>
              <w:p w14:paraId="64BC98AC" w14:textId="77777777" w:rsidR="00C355E6" w:rsidRPr="00271411" w:rsidRDefault="00C355E6" w:rsidP="00271411">
                <w:pPr>
                  <w:pStyle w:val="LLNormaali"/>
                  <w:rPr>
                    <w:sz w:val="20"/>
                    <w:szCs w:val="20"/>
                  </w:rPr>
                </w:pPr>
                <w:r w:rsidRPr="00271411">
                  <w:rPr>
                    <w:sz w:val="20"/>
                    <w:szCs w:val="20"/>
                  </w:rPr>
                  <w:t xml:space="preserve">2013 – 2020 </w:t>
                </w:r>
              </w:p>
            </w:tc>
          </w:tr>
          <w:tr w:rsidR="00C355E6" w:rsidRPr="00271411" w14:paraId="6C0A107B" w14:textId="77777777" w:rsidTr="00D4776A">
            <w:tc>
              <w:tcPr>
                <w:tcW w:w="2925" w:type="dxa"/>
              </w:tcPr>
              <w:p w14:paraId="713DCD89" w14:textId="77777777" w:rsidR="00C355E6" w:rsidRPr="00271411" w:rsidRDefault="00C355E6" w:rsidP="00271411">
                <w:pPr>
                  <w:pStyle w:val="LLNormaali"/>
                  <w:rPr>
                    <w:b/>
                    <w:sz w:val="20"/>
                    <w:szCs w:val="20"/>
                  </w:rPr>
                </w:pPr>
                <w:r w:rsidRPr="00271411">
                  <w:rPr>
                    <w:b/>
                    <w:sz w:val="20"/>
                    <w:szCs w:val="20"/>
                  </w:rPr>
                  <w:t xml:space="preserve">Belgia, </w:t>
                </w:r>
                <w:proofErr w:type="spellStart"/>
                <w:r w:rsidRPr="00271411">
                  <w:rPr>
                    <w:b/>
                    <w:sz w:val="20"/>
                    <w:szCs w:val="20"/>
                  </w:rPr>
                  <w:t>Wallonia</w:t>
                </w:r>
                <w:proofErr w:type="spellEnd"/>
              </w:p>
            </w:tc>
            <w:tc>
              <w:tcPr>
                <w:tcW w:w="2925" w:type="dxa"/>
              </w:tcPr>
              <w:p w14:paraId="6B02F8A7" w14:textId="77777777" w:rsidR="00C355E6" w:rsidRPr="00271411" w:rsidRDefault="00C355E6" w:rsidP="00271411">
                <w:pPr>
                  <w:pStyle w:val="LLNormaali"/>
                  <w:rPr>
                    <w:sz w:val="20"/>
                    <w:szCs w:val="20"/>
                  </w:rPr>
                </w:pPr>
                <w:r w:rsidRPr="00271411">
                  <w:rPr>
                    <w:sz w:val="20"/>
                    <w:szCs w:val="20"/>
                  </w:rPr>
                  <w:t xml:space="preserve">2017 – 2020 </w:t>
                </w:r>
              </w:p>
            </w:tc>
          </w:tr>
          <w:tr w:rsidR="00C355E6" w:rsidRPr="00271411" w14:paraId="355830C9" w14:textId="77777777" w:rsidTr="00D4776A">
            <w:tc>
              <w:tcPr>
                <w:tcW w:w="2925" w:type="dxa"/>
              </w:tcPr>
              <w:p w14:paraId="59273B96" w14:textId="77777777" w:rsidR="00C355E6" w:rsidRPr="00271411" w:rsidRDefault="00C355E6" w:rsidP="00271411">
                <w:pPr>
                  <w:pStyle w:val="LLNormaali"/>
                  <w:rPr>
                    <w:b/>
                    <w:sz w:val="20"/>
                    <w:szCs w:val="20"/>
                  </w:rPr>
                </w:pPr>
                <w:r w:rsidRPr="00271411">
                  <w:rPr>
                    <w:b/>
                    <w:sz w:val="20"/>
                    <w:szCs w:val="20"/>
                  </w:rPr>
                  <w:t>Espanja</w:t>
                </w:r>
              </w:p>
            </w:tc>
            <w:tc>
              <w:tcPr>
                <w:tcW w:w="2925" w:type="dxa"/>
              </w:tcPr>
              <w:p w14:paraId="5125E1E7" w14:textId="77777777" w:rsidR="00C355E6" w:rsidRPr="00271411" w:rsidRDefault="00C355E6" w:rsidP="00271411">
                <w:pPr>
                  <w:pStyle w:val="LLNormaali"/>
                  <w:rPr>
                    <w:sz w:val="20"/>
                    <w:szCs w:val="20"/>
                  </w:rPr>
                </w:pPr>
                <w:r w:rsidRPr="00271411">
                  <w:rPr>
                    <w:sz w:val="20"/>
                    <w:szCs w:val="20"/>
                  </w:rPr>
                  <w:t xml:space="preserve">2013 – 2020 </w:t>
                </w:r>
              </w:p>
            </w:tc>
          </w:tr>
          <w:tr w:rsidR="00C355E6" w:rsidRPr="00271411" w14:paraId="2F3738A5" w14:textId="77777777" w:rsidTr="00D4776A">
            <w:tc>
              <w:tcPr>
                <w:tcW w:w="2925" w:type="dxa"/>
              </w:tcPr>
              <w:p w14:paraId="13546F01" w14:textId="77777777" w:rsidR="00C355E6" w:rsidRPr="00271411" w:rsidRDefault="00C355E6" w:rsidP="00271411">
                <w:pPr>
                  <w:pStyle w:val="LLNormaali"/>
                  <w:rPr>
                    <w:b/>
                    <w:sz w:val="20"/>
                    <w:szCs w:val="20"/>
                  </w:rPr>
                </w:pPr>
                <w:r w:rsidRPr="00271411">
                  <w:rPr>
                    <w:b/>
                    <w:sz w:val="20"/>
                    <w:szCs w:val="20"/>
                  </w:rPr>
                  <w:t>Hollanti</w:t>
                </w:r>
              </w:p>
            </w:tc>
            <w:tc>
              <w:tcPr>
                <w:tcW w:w="2925" w:type="dxa"/>
              </w:tcPr>
              <w:p w14:paraId="293346FE" w14:textId="77777777" w:rsidR="00C355E6" w:rsidRPr="00271411" w:rsidRDefault="00C355E6" w:rsidP="00271411">
                <w:pPr>
                  <w:pStyle w:val="LLNormaali"/>
                  <w:rPr>
                    <w:sz w:val="20"/>
                    <w:szCs w:val="20"/>
                  </w:rPr>
                </w:pPr>
                <w:r w:rsidRPr="00271411">
                  <w:rPr>
                    <w:sz w:val="20"/>
                    <w:szCs w:val="20"/>
                  </w:rPr>
                  <w:t xml:space="preserve">2013 – 2020 </w:t>
                </w:r>
              </w:p>
            </w:tc>
          </w:tr>
          <w:tr w:rsidR="00C355E6" w:rsidRPr="00271411" w14:paraId="11CC0715" w14:textId="77777777" w:rsidTr="00D4776A">
            <w:tc>
              <w:tcPr>
                <w:tcW w:w="2925" w:type="dxa"/>
              </w:tcPr>
              <w:p w14:paraId="7484D885" w14:textId="77777777" w:rsidR="00C355E6" w:rsidRPr="00271411" w:rsidRDefault="00C355E6" w:rsidP="00271411">
                <w:pPr>
                  <w:pStyle w:val="LLNormaali"/>
                  <w:rPr>
                    <w:b/>
                    <w:sz w:val="20"/>
                    <w:szCs w:val="20"/>
                  </w:rPr>
                </w:pPr>
                <w:r w:rsidRPr="00271411">
                  <w:rPr>
                    <w:b/>
                    <w:sz w:val="20"/>
                    <w:szCs w:val="20"/>
                  </w:rPr>
                  <w:t>Kreikka</w:t>
                </w:r>
              </w:p>
            </w:tc>
            <w:tc>
              <w:tcPr>
                <w:tcW w:w="2925" w:type="dxa"/>
              </w:tcPr>
              <w:p w14:paraId="27736A91" w14:textId="77777777" w:rsidR="00C355E6" w:rsidRPr="00271411" w:rsidRDefault="00C355E6" w:rsidP="00271411">
                <w:pPr>
                  <w:pStyle w:val="LLNormaali"/>
                  <w:rPr>
                    <w:sz w:val="20"/>
                    <w:szCs w:val="20"/>
                  </w:rPr>
                </w:pPr>
                <w:r w:rsidRPr="00271411">
                  <w:rPr>
                    <w:sz w:val="20"/>
                    <w:szCs w:val="20"/>
                  </w:rPr>
                  <w:t xml:space="preserve">2013 – 2020 </w:t>
                </w:r>
              </w:p>
            </w:tc>
          </w:tr>
          <w:tr w:rsidR="00C355E6" w:rsidRPr="00271411" w14:paraId="38244269" w14:textId="77777777" w:rsidTr="00D4776A">
            <w:tc>
              <w:tcPr>
                <w:tcW w:w="2925" w:type="dxa"/>
              </w:tcPr>
              <w:p w14:paraId="5B387244" w14:textId="77777777" w:rsidR="00C355E6" w:rsidRPr="00271411" w:rsidRDefault="00C355E6" w:rsidP="00271411">
                <w:pPr>
                  <w:pStyle w:val="LLNormaali"/>
                  <w:rPr>
                    <w:b/>
                    <w:sz w:val="20"/>
                    <w:szCs w:val="20"/>
                  </w:rPr>
                </w:pPr>
                <w:r w:rsidRPr="00271411">
                  <w:rPr>
                    <w:b/>
                    <w:sz w:val="20"/>
                    <w:szCs w:val="20"/>
                  </w:rPr>
                  <w:t>Liettua</w:t>
                </w:r>
              </w:p>
            </w:tc>
            <w:tc>
              <w:tcPr>
                <w:tcW w:w="2925" w:type="dxa"/>
              </w:tcPr>
              <w:p w14:paraId="1F84790A" w14:textId="77777777" w:rsidR="00C355E6" w:rsidRPr="00271411" w:rsidRDefault="00C355E6" w:rsidP="00271411">
                <w:pPr>
                  <w:pStyle w:val="LLNormaali"/>
                  <w:rPr>
                    <w:sz w:val="20"/>
                    <w:szCs w:val="20"/>
                  </w:rPr>
                </w:pPr>
                <w:r w:rsidRPr="00271411">
                  <w:rPr>
                    <w:sz w:val="20"/>
                    <w:szCs w:val="20"/>
                  </w:rPr>
                  <w:t xml:space="preserve">2014 – 2020 </w:t>
                </w:r>
              </w:p>
            </w:tc>
          </w:tr>
          <w:tr w:rsidR="00C355E6" w:rsidRPr="00271411" w14:paraId="12EDDB52" w14:textId="77777777" w:rsidTr="00D4776A">
            <w:tc>
              <w:tcPr>
                <w:tcW w:w="2925" w:type="dxa"/>
              </w:tcPr>
              <w:p w14:paraId="62147E73" w14:textId="77777777" w:rsidR="00C355E6" w:rsidRPr="00271411" w:rsidRDefault="00C355E6" w:rsidP="00271411">
                <w:pPr>
                  <w:pStyle w:val="LLNormaali"/>
                  <w:rPr>
                    <w:b/>
                    <w:sz w:val="20"/>
                    <w:szCs w:val="20"/>
                  </w:rPr>
                </w:pPr>
                <w:r w:rsidRPr="00271411">
                  <w:rPr>
                    <w:b/>
                    <w:sz w:val="20"/>
                    <w:szCs w:val="20"/>
                  </w:rPr>
                  <w:t>Luxemburg</w:t>
                </w:r>
              </w:p>
            </w:tc>
            <w:tc>
              <w:tcPr>
                <w:tcW w:w="2925" w:type="dxa"/>
              </w:tcPr>
              <w:p w14:paraId="4743E67B" w14:textId="77777777" w:rsidR="00C355E6" w:rsidRPr="00271411" w:rsidRDefault="00C355E6" w:rsidP="00271411">
                <w:pPr>
                  <w:pStyle w:val="LLNormaali"/>
                  <w:rPr>
                    <w:sz w:val="20"/>
                    <w:szCs w:val="20"/>
                  </w:rPr>
                </w:pPr>
                <w:r w:rsidRPr="00271411">
                  <w:rPr>
                    <w:sz w:val="20"/>
                    <w:szCs w:val="20"/>
                  </w:rPr>
                  <w:t xml:space="preserve">2017 – 2020 </w:t>
                </w:r>
              </w:p>
            </w:tc>
          </w:tr>
          <w:tr w:rsidR="00C355E6" w:rsidRPr="00271411" w14:paraId="6FF12931" w14:textId="77777777" w:rsidTr="00D4776A">
            <w:tc>
              <w:tcPr>
                <w:tcW w:w="2925" w:type="dxa"/>
              </w:tcPr>
              <w:p w14:paraId="4A039C13" w14:textId="77777777" w:rsidR="00C355E6" w:rsidRPr="00271411" w:rsidRDefault="00C355E6" w:rsidP="00271411">
                <w:pPr>
                  <w:pStyle w:val="LLNormaali"/>
                  <w:rPr>
                    <w:b/>
                    <w:sz w:val="20"/>
                    <w:szCs w:val="20"/>
                  </w:rPr>
                </w:pPr>
                <w:r w:rsidRPr="00271411">
                  <w:rPr>
                    <w:b/>
                    <w:sz w:val="20"/>
                    <w:szCs w:val="20"/>
                  </w:rPr>
                  <w:t>Norja</w:t>
                </w:r>
              </w:p>
            </w:tc>
            <w:tc>
              <w:tcPr>
                <w:tcW w:w="2925" w:type="dxa"/>
              </w:tcPr>
              <w:p w14:paraId="07876317" w14:textId="77777777" w:rsidR="00C355E6" w:rsidRPr="00271411" w:rsidRDefault="00C355E6" w:rsidP="00271411">
                <w:pPr>
                  <w:pStyle w:val="LLNormaali"/>
                  <w:rPr>
                    <w:sz w:val="20"/>
                    <w:szCs w:val="20"/>
                  </w:rPr>
                </w:pPr>
                <w:r w:rsidRPr="00271411">
                  <w:rPr>
                    <w:sz w:val="20"/>
                    <w:szCs w:val="20"/>
                  </w:rPr>
                  <w:t>2013 – 2020</w:t>
                </w:r>
              </w:p>
            </w:tc>
          </w:tr>
          <w:tr w:rsidR="00C355E6" w:rsidRPr="00271411" w14:paraId="442AC516" w14:textId="77777777" w:rsidTr="00D4776A">
            <w:trPr>
              <w:trHeight w:val="283"/>
            </w:trPr>
            <w:tc>
              <w:tcPr>
                <w:tcW w:w="2925" w:type="dxa"/>
              </w:tcPr>
              <w:p w14:paraId="11C633B7" w14:textId="77777777" w:rsidR="00C355E6" w:rsidRPr="00271411" w:rsidRDefault="00C355E6" w:rsidP="00271411">
                <w:pPr>
                  <w:pStyle w:val="LLNormaali"/>
                  <w:rPr>
                    <w:b/>
                    <w:sz w:val="20"/>
                    <w:szCs w:val="20"/>
                  </w:rPr>
                </w:pPr>
                <w:r w:rsidRPr="00271411">
                  <w:rPr>
                    <w:b/>
                    <w:sz w:val="20"/>
                    <w:szCs w:val="20"/>
                  </w:rPr>
                  <w:t>Ranska</w:t>
                </w:r>
              </w:p>
            </w:tc>
            <w:tc>
              <w:tcPr>
                <w:tcW w:w="2925" w:type="dxa"/>
              </w:tcPr>
              <w:p w14:paraId="7BBAB125" w14:textId="77777777" w:rsidR="00C355E6" w:rsidRPr="00271411" w:rsidRDefault="00C355E6" w:rsidP="00271411">
                <w:pPr>
                  <w:pStyle w:val="LLNormaali"/>
                  <w:rPr>
                    <w:sz w:val="20"/>
                    <w:szCs w:val="20"/>
                  </w:rPr>
                </w:pPr>
                <w:r w:rsidRPr="00271411">
                  <w:rPr>
                    <w:sz w:val="20"/>
                    <w:szCs w:val="20"/>
                  </w:rPr>
                  <w:t xml:space="preserve">2015 – 2020 </w:t>
                </w:r>
              </w:p>
            </w:tc>
          </w:tr>
          <w:tr w:rsidR="00C355E6" w:rsidRPr="00271411" w14:paraId="70026DAE" w14:textId="77777777" w:rsidTr="00D4776A">
            <w:tc>
              <w:tcPr>
                <w:tcW w:w="2925" w:type="dxa"/>
              </w:tcPr>
              <w:p w14:paraId="37D7C585" w14:textId="77777777" w:rsidR="00C355E6" w:rsidRPr="00271411" w:rsidRDefault="00C355E6" w:rsidP="00271411">
                <w:pPr>
                  <w:pStyle w:val="LLNormaali"/>
                  <w:rPr>
                    <w:b/>
                    <w:sz w:val="20"/>
                    <w:szCs w:val="20"/>
                  </w:rPr>
                </w:pPr>
                <w:r w:rsidRPr="00271411">
                  <w:rPr>
                    <w:b/>
                    <w:sz w:val="20"/>
                    <w:szCs w:val="20"/>
                  </w:rPr>
                  <w:t>Saksa</w:t>
                </w:r>
              </w:p>
            </w:tc>
            <w:tc>
              <w:tcPr>
                <w:tcW w:w="2925" w:type="dxa"/>
              </w:tcPr>
              <w:p w14:paraId="6BC141B3" w14:textId="77777777" w:rsidR="00C355E6" w:rsidRPr="00271411" w:rsidRDefault="00C355E6" w:rsidP="00271411">
                <w:pPr>
                  <w:pStyle w:val="LLNormaali"/>
                  <w:rPr>
                    <w:sz w:val="20"/>
                    <w:szCs w:val="20"/>
                  </w:rPr>
                </w:pPr>
                <w:r w:rsidRPr="00271411">
                  <w:rPr>
                    <w:sz w:val="20"/>
                    <w:szCs w:val="20"/>
                  </w:rPr>
                  <w:t xml:space="preserve">2013 – 2020 </w:t>
                </w:r>
              </w:p>
            </w:tc>
          </w:tr>
          <w:tr w:rsidR="00C355E6" w:rsidRPr="00271411" w14:paraId="30AF279F" w14:textId="77777777" w:rsidTr="00D4776A">
            <w:tc>
              <w:tcPr>
                <w:tcW w:w="2925" w:type="dxa"/>
              </w:tcPr>
              <w:p w14:paraId="28369D94" w14:textId="77777777" w:rsidR="00C355E6" w:rsidRPr="00271411" w:rsidRDefault="00C355E6" w:rsidP="00271411">
                <w:pPr>
                  <w:pStyle w:val="LLNormaali"/>
                  <w:rPr>
                    <w:b/>
                    <w:sz w:val="20"/>
                    <w:szCs w:val="20"/>
                  </w:rPr>
                </w:pPr>
                <w:r w:rsidRPr="00271411">
                  <w:rPr>
                    <w:b/>
                    <w:sz w:val="20"/>
                    <w:szCs w:val="20"/>
                  </w:rPr>
                  <w:t>Suomi</w:t>
                </w:r>
              </w:p>
            </w:tc>
            <w:tc>
              <w:tcPr>
                <w:tcW w:w="2925" w:type="dxa"/>
              </w:tcPr>
              <w:p w14:paraId="524809DC" w14:textId="77777777" w:rsidR="00C355E6" w:rsidRPr="00271411" w:rsidRDefault="00C355E6" w:rsidP="00271411">
                <w:pPr>
                  <w:pStyle w:val="LLNormaali"/>
                  <w:rPr>
                    <w:sz w:val="20"/>
                    <w:szCs w:val="20"/>
                  </w:rPr>
                </w:pPr>
                <w:r w:rsidRPr="00271411">
                  <w:rPr>
                    <w:sz w:val="20"/>
                    <w:szCs w:val="20"/>
                  </w:rPr>
                  <w:t xml:space="preserve">2016 – 2020 </w:t>
                </w:r>
              </w:p>
            </w:tc>
          </w:tr>
          <w:tr w:rsidR="00C355E6" w:rsidRPr="00271411" w14:paraId="602C8308" w14:textId="77777777" w:rsidTr="00D4776A">
            <w:tc>
              <w:tcPr>
                <w:tcW w:w="2925" w:type="dxa"/>
              </w:tcPr>
              <w:p w14:paraId="4A8FCB6A" w14:textId="77777777" w:rsidR="00C355E6" w:rsidRPr="00271411" w:rsidRDefault="00C355E6" w:rsidP="00271411">
                <w:pPr>
                  <w:pStyle w:val="LLNormaali"/>
                  <w:rPr>
                    <w:b/>
                    <w:sz w:val="20"/>
                    <w:szCs w:val="20"/>
                  </w:rPr>
                </w:pPr>
                <w:r w:rsidRPr="00271411">
                  <w:rPr>
                    <w:b/>
                    <w:sz w:val="20"/>
                    <w:szCs w:val="20"/>
                  </w:rPr>
                  <w:t>Yhdistynyt kuningaskunta</w:t>
                </w:r>
              </w:p>
            </w:tc>
            <w:tc>
              <w:tcPr>
                <w:tcW w:w="2925" w:type="dxa"/>
              </w:tcPr>
              <w:p w14:paraId="097B7462" w14:textId="77777777" w:rsidR="00C355E6" w:rsidRPr="00271411" w:rsidRDefault="00C355E6" w:rsidP="00271411">
                <w:pPr>
                  <w:pStyle w:val="LLNormaali"/>
                  <w:rPr>
                    <w:sz w:val="20"/>
                    <w:szCs w:val="20"/>
                  </w:rPr>
                </w:pPr>
                <w:r w:rsidRPr="00271411">
                  <w:rPr>
                    <w:sz w:val="20"/>
                    <w:szCs w:val="20"/>
                  </w:rPr>
                  <w:t xml:space="preserve">2013 – 2020 </w:t>
                </w:r>
              </w:p>
            </w:tc>
          </w:tr>
        </w:tbl>
        <w:p w14:paraId="26ABA2EC" w14:textId="77777777" w:rsidR="00C355E6" w:rsidRDefault="00C355E6" w:rsidP="00271411">
          <w:pPr>
            <w:pStyle w:val="LLNormaali"/>
          </w:pPr>
        </w:p>
        <w:p w14:paraId="2196097C" w14:textId="77777777" w:rsidR="00A939B2" w:rsidRDefault="007E0CB1" w:rsidP="007E0CB1">
          <w:pPr>
            <w:pStyle w:val="LLP1Otsikkotaso"/>
          </w:pPr>
          <w:bookmarkStart w:id="18" w:name="_Toc75420015"/>
          <w:r>
            <w:t>Lausuntopalaute</w:t>
          </w:r>
          <w:bookmarkEnd w:id="18"/>
        </w:p>
        <w:p w14:paraId="13F6940B" w14:textId="39F13C61" w:rsidR="007E0CB1" w:rsidRDefault="00193CF7" w:rsidP="00193CF7">
          <w:pPr>
            <w:pStyle w:val="LLP2Otsikkotaso"/>
          </w:pPr>
          <w:bookmarkStart w:id="19" w:name="_Toc75420016"/>
          <w:r>
            <w:t>Lausuntopyyntöön saadut vastaukset</w:t>
          </w:r>
          <w:bookmarkEnd w:id="19"/>
          <w:r>
            <w:t xml:space="preserve"> </w:t>
          </w:r>
        </w:p>
        <w:p w14:paraId="76A616A6" w14:textId="77BEBA66" w:rsidR="00193CF7" w:rsidRDefault="00193CF7" w:rsidP="00193CF7">
          <w:pPr>
            <w:pStyle w:val="LLP2Otsikkotaso"/>
          </w:pPr>
          <w:bookmarkStart w:id="20" w:name="_Toc75420017"/>
          <w:r>
            <w:t>Lainsäädännön arviointineuvoston palaute</w:t>
          </w:r>
          <w:bookmarkEnd w:id="20"/>
        </w:p>
        <w:p w14:paraId="6B01D496" w14:textId="77777777" w:rsidR="00193CF7" w:rsidRPr="00193CF7" w:rsidRDefault="00193CF7" w:rsidP="00193CF7">
          <w:pPr>
            <w:pStyle w:val="LLPerustelujenkappalejako"/>
          </w:pPr>
        </w:p>
        <w:p w14:paraId="759A3419" w14:textId="2B6165EB" w:rsidR="007E0CB1" w:rsidRDefault="007E0CB1" w:rsidP="00B966B4">
          <w:pPr>
            <w:pStyle w:val="LLP1Otsikkotaso"/>
          </w:pPr>
          <w:bookmarkStart w:id="21" w:name="_Toc75420018"/>
          <w:r w:rsidRPr="00B966B4">
            <w:t>Säännöskohtaiset</w:t>
          </w:r>
          <w:r>
            <w:t xml:space="preserve"> perustelut</w:t>
          </w:r>
          <w:bookmarkEnd w:id="21"/>
        </w:p>
        <w:p w14:paraId="5B85E310" w14:textId="13F8E0ED" w:rsidR="00144186" w:rsidRDefault="00144186" w:rsidP="00144186">
          <w:pPr>
            <w:pStyle w:val="LLPerustelujenkappalejako"/>
          </w:pPr>
          <w:r w:rsidRPr="00144186">
            <w:rPr>
              <w:b/>
            </w:rPr>
            <w:t xml:space="preserve">1 §. </w:t>
          </w:r>
          <w:r w:rsidRPr="00271411">
            <w:rPr>
              <w:i/>
            </w:rPr>
            <w:t>Lain soveltamisal</w:t>
          </w:r>
          <w:r w:rsidRPr="005C4455">
            <w:rPr>
              <w:i/>
            </w:rPr>
            <w:t>a</w:t>
          </w:r>
          <w:r w:rsidRPr="005C4455">
            <w:t>.</w:t>
          </w:r>
          <w:r>
            <w:rPr>
              <w:b/>
            </w:rPr>
            <w:t xml:space="preserve"> </w:t>
          </w:r>
          <w:r>
            <w:t xml:space="preserve">Pykälässä todettaisiin, että laissa säädetään tuesta, jonka tavoite on estää merkittävä hiilivuodon riski korvaamalla päästökaupasta sähkönhintaan aiheutuvia välillisiä kustannuksia ja </w:t>
          </w:r>
          <w:r w:rsidR="0063033A">
            <w:t xml:space="preserve">ohjaa </w:t>
          </w:r>
          <w:r>
            <w:t xml:space="preserve">tukeen oikeutettuja toimialoja kehittämään tuotantoaan hiilineutraalimmaksi huomioiden niiden kustannuskilpailukyvyn. </w:t>
          </w:r>
        </w:p>
        <w:p w14:paraId="3A64D200" w14:textId="32A94774" w:rsidR="00144186" w:rsidRDefault="00144186" w:rsidP="00144186">
          <w:pPr>
            <w:pStyle w:val="LLPerustelujenkappalejako"/>
          </w:pPr>
          <w:r>
            <w:t>Direktiivin 2003/87/EY 10 a artiklan 6 kohdan nojalla jäsenvaltioiden olisi otettava käyttöön taloudellisia toimenpiteitä sellaisten toimialojen tai toimialojen osien hyväksi, jotka ovat alttiita todelliselle hiilivuodon riskille sen vuoksi, että sähkön hintoihin siirretyistä kasvihuonekaasupäästöihin liittyvistä kustannuksista aiheutuu tosiasiallisesti merkittäviä välillisiä kustannuksia. Hiilivuodolla tarkoitetaan mahdollista kasvihuonekaasujen kokonaispäästöjen lisääntymistä, kun yritykset siirtävät tuotantoa EU:n ulkopuolelle, koska ne eivät pysty siirtämään EU:n päästökauppajärjestelmän kustannuksia asiakkailleen ilman markkinaosuuden merkittävää vähentymistä. Hiilivuodon riskiin puututtaisiin auttamalla toiminnanharjoittajia vähentämään altistumistaan tälle kustannukselle. Tämä palvelee ympäristötavoitetta, koska tuen tarkoituksena olisi estää se, että kasvihuonekaasujen kokonaispäästöt lisääntyvät, kun tuotantoa siirretään EU:n ulkopuolelle eikä kasvihuonekaasupäästöjen vähentämisestä ole tehty sitovaa kansainvälistä sopimusta. Käyttöön otettavien taloudellisten toimenpiteiden on oltava valtiontukisääntöjen mukaisia eivätkä ne saa aiheuttaa aiheettomia kilpailu</w:t>
          </w:r>
          <w:r w:rsidR="00271411">
            <w:t>n vääristymiä sisämarkkinoilla.</w:t>
          </w:r>
        </w:p>
        <w:p w14:paraId="3C4A9EDF" w14:textId="621BEF54" w:rsidR="00144186" w:rsidRDefault="00144186" w:rsidP="00144186">
          <w:pPr>
            <w:pStyle w:val="LLPerustelujenkappalejako"/>
          </w:pPr>
          <w:r>
            <w:t xml:space="preserve">Tukea hakeville toiminnanharjoittajille ja myönnetyn tuen käytölle asetettaisiin ehtoja, joilla varmistuttaisiin, että tuki </w:t>
          </w:r>
          <w:r w:rsidR="0063033A">
            <w:t xml:space="preserve">ohjaa </w:t>
          </w:r>
          <w:r>
            <w:t>siirtymään kohti hiilineutraaleja ja energiatehokkaita tuotantomenetelmiä. Jotta tukea voitaisiin myöntää, tulisi toiminnanharjoittajan noudattaa energiatehokkuuslain luvun 2 mukaista velvoitetta tehdä energiakatselmus, lisäksi toiminnanharjoittajan tulisi osoittaa, että vähintään 30 prosenttia sen sähkönkulutuksesta on hiilettömistä lähteistä tuotettua sähköä. Toiminnanharjoittajan tulisi kohdistaa tämän lain mukaisesti myönnetystä tuesta vähintään 50 prosenttia kehittämistoimiin. Kehittämistoimilla tarkoitettaisiin toiminnanharjoittajan toimia, joilla se edistää kasvihuonekaasupäästöjen vähentymistä, energiankäytön tehostamista, lisää uusiutuvan energian kulutustaan tai sähk</w:t>
          </w:r>
          <w:r w:rsidR="00271411">
            <w:t>öistää teollista toimintaansa.</w:t>
          </w:r>
        </w:p>
        <w:p w14:paraId="528FC415" w14:textId="3C25EF74" w:rsidR="00144186" w:rsidRDefault="00144186" w:rsidP="00144186">
          <w:pPr>
            <w:pStyle w:val="LLPerustelujenkappalejako"/>
          </w:pPr>
          <w:r>
            <w:t xml:space="preserve">Pykälän momentissa 2 säädettäisiin, että tukeen olisi oikeus toiminnanharjoittajalla, joka toimii päästökaupan valtiontukisuuntaviivoissa NACE-koodien mukaisesti luetelluilla toimialoilla tai alatoimialoilla ja valmistaa laitoksellaan tukikelpoisia tuotteita. Näiden sähköintensiivisten toimialojen ja alatoimialojen katsotaan olevan alttiita merkittävälle hiilivuodon riskille EU:n päästökauppajärjestelmän aiheuttamien sähkön hintoihin siirrettyjen kustannusten vuoksi. Tukeen olisivat oikeutettuja kaikki päästökaupan valtiontukisuuntaviivojen I liitteessä luetellut toimialat ja alatoimialat. Tukeen oikeutetut toimialat ja alatoimialat lueteltaisiin lain 1 liitteessä. Tukikelpoiset tuotteet jaoteltaisiin NACE-koodien perusteella. Sovellettavat NACE-koodit olisivat Euroopan yhteisön tilastollisesta toimialaluokituksesta annetun neuvoston asetuksen (ETY) </w:t>
          </w:r>
          <w:proofErr w:type="gramStart"/>
          <w:r>
            <w:t>N:o</w:t>
          </w:r>
          <w:proofErr w:type="gramEnd"/>
          <w:r>
            <w:t xml:space="preserve"> 3037/90 muuttamisesta annetun Euroopan Parlamentin ja neuvoston asetuksen (EY) N:o</w:t>
          </w:r>
          <w:r w:rsidR="00292B58">
            <w:t xml:space="preserve"> </w:t>
          </w:r>
          <w:r>
            <w:t>1893/2006 mukaiset. Tukikelpoisella toimialalla tukea myönnetään yhtenevin periaattein kaikille samalla toimialalla toimiville kilpailijoille, jos ne ovat samanlaisessa tilanteessa.</w:t>
          </w:r>
        </w:p>
        <w:p w14:paraId="79FDAC76" w14:textId="235668DE" w:rsidR="00144186" w:rsidRPr="00144186" w:rsidRDefault="00144186" w:rsidP="00144186">
          <w:pPr>
            <w:pStyle w:val="LLPerustelujenkappalejako"/>
          </w:pPr>
          <w:r w:rsidRPr="00144186">
            <w:rPr>
              <w:b/>
            </w:rPr>
            <w:t xml:space="preserve">2 §. </w:t>
          </w:r>
          <w:r w:rsidRPr="00271411">
            <w:rPr>
              <w:i/>
            </w:rPr>
            <w:t>Suhde muuhun lainsäädäntöön</w:t>
          </w:r>
          <w:r w:rsidRPr="005C4455">
            <w:t>.</w:t>
          </w:r>
          <w:r>
            <w:rPr>
              <w:b/>
            </w:rPr>
            <w:t xml:space="preserve"> </w:t>
          </w:r>
          <w:r w:rsidRPr="00144186">
            <w:t>Pykälässä säädettäisiin lain suhteesta valtionavustuslakiin. Valtionavustuslain 3 §:ssä säädetään valtionavustuslain suhteesta muihin valtionavustuksia koskeviin säännöksiin ja eräitä valtionavustusta lähellä olevia julkisen tuen muotoja koskeviin säännöksiin. Valtionavustuslain 3 §:n 3 momentissa säädetään eräistä julkisen tuen muodoista, joihin valtionavustuslakia ei sovelleta toissijaisena yleislakina. Valtionavustuslain 3 §:n 3 momentin 1 kohdan nojalla valtionavustuslaki ei koske lakisääteistä tukea, korvausta tai muuta etuutta, jos oikeus sen saamiseen perustuu lakiin ja myönnettävän määrän määräytymisperuste säädetään yksityiskohtaisesti laissa.</w:t>
          </w:r>
        </w:p>
        <w:p w14:paraId="679C202E" w14:textId="7484450C" w:rsidR="00144186" w:rsidRPr="00144186" w:rsidRDefault="00144186" w:rsidP="00144186">
          <w:pPr>
            <w:pStyle w:val="LLPerustelujenkappalejako"/>
          </w:pPr>
          <w:r w:rsidRPr="00144186">
            <w:t>Lakiehdotuksen 1 ja 4 §:ssä säädetään yksityiskohtaisesti toiminnanharjoittajan oikeudesta saada tukea. Maksettavan tuen suuruudesta säädetään y</w:t>
          </w:r>
          <w:r w:rsidR="00271411">
            <w:t>ksityiskohtaisesti ehdotuksen 6</w:t>
          </w:r>
          <w:r w:rsidR="00271411">
            <w:sym w:font="Symbol" w:char="F02D"/>
          </w:r>
          <w:r w:rsidRPr="00144186">
            <w:t>9 §:</w:t>
          </w:r>
          <w:proofErr w:type="spellStart"/>
          <w:r w:rsidRPr="00144186">
            <w:t>ssä</w:t>
          </w:r>
          <w:proofErr w:type="spellEnd"/>
          <w:r w:rsidRPr="00144186">
            <w:t>. Energiavirastolla ei olisi tarkoituksenmukaisuuteen tai talousarvion toimeenpanoon liittyvää harkintavaltaa sen päättäessä oikeudesta saada tukea tai maksettavan tuen määrästä.</w:t>
          </w:r>
        </w:p>
        <w:p w14:paraId="601E11B5" w14:textId="525E399D" w:rsidR="00144186" w:rsidRDefault="00144186" w:rsidP="00144186">
          <w:pPr>
            <w:pStyle w:val="LLPerustelujenkappalejako"/>
          </w:pPr>
          <w:r w:rsidRPr="00144186">
            <w:t>Valtionavustuslakia koskevan hallituksen esityksen (HE 63/2001 vp) mukaan laki voisi toimia mallina tukien käyttöä, valvontaa ja tarkastusta sekä palauttamista ja takaisinperintää koskeville säännöksille, vaikka kyse olisi sellaisesta valtionavustuslain 3 §:ssä tarkoitetusta etuudesta, johon lakia ei sovelleta. Edelleen perustelujen mukaan tarvittaessa erityislainsäädännössä voidaan ottaa viittaussäännöksellä sovellettavaksi tarkoitukseen soveltuvat valtionavustuslain</w:t>
          </w:r>
          <w:r>
            <w:t xml:space="preserve"> </w:t>
          </w:r>
          <w:r w:rsidRPr="00144186">
            <w:t>säännökset. Lakiehdotuksen 21 §:n 3 momentissa ja 22 §:ssä on viittaus valtionavustuslain sovellettavaksi tarkoitettuun säännökseen. Muutoin valtionavustuslaki ei tulisi sovellettavaksi.</w:t>
          </w:r>
        </w:p>
        <w:p w14:paraId="4964021E" w14:textId="0F82DC0A" w:rsidR="00144186" w:rsidRDefault="00144186" w:rsidP="00144186">
          <w:pPr>
            <w:pStyle w:val="LLPerustelujenkappalejako"/>
          </w:pPr>
          <w:r w:rsidRPr="00144186">
            <w:rPr>
              <w:b/>
            </w:rPr>
            <w:t xml:space="preserve">3 §. </w:t>
          </w:r>
          <w:r w:rsidRPr="00271411">
            <w:rPr>
              <w:i/>
            </w:rPr>
            <w:t>Määritelmät</w:t>
          </w:r>
          <w:r w:rsidRPr="005C4455">
            <w:t>.</w:t>
          </w:r>
          <w:r>
            <w:t xml:space="preserve"> Pykälän 1 kohdan mukaan toiminnanharjoittajalla tarkoitettaisiin tässä laissa luonnollista henkilöä tai oikeushenkilöä, jolla on tosiasiallinen määräysvalta laitoksen toimin</w:t>
          </w:r>
          <w:r w:rsidR="007355B4">
            <w:t>taan</w:t>
          </w:r>
          <w:r>
            <w:t>. Keskeistä olisi, kuka tai mikä taho vastaisi laitoksen käytöstä tai ohjaisi laitoksen toimintaa käytännössä. Pelkällä yhtiöoikeudellisella järjestelyllä eriytetty toiminta ei poistaisi tosiasiallista määräysvaltaa käyttävän toiminnanharjoittajan velvollisuuksia. Tosiasiallinen määräysvalta laitokseen voi muuttua esimerkiksi yrityskauppojen tai fuusioiden yhteydessä taikka omistusosuuksien muuttuessa. Toiminnanharjoittaja voisi hakea tässä laissa tarkoitettua tukea siltä kalenterivuodelta, jonka lopussa laitos on ollut toiminnanharjoittajan to</w:t>
          </w:r>
          <w:r w:rsidR="000E14C8">
            <w:t>siasiallisessa määräysvallassa.</w:t>
          </w:r>
        </w:p>
        <w:p w14:paraId="7685AE54" w14:textId="0B0FEB66" w:rsidR="00144186" w:rsidRDefault="00144186" w:rsidP="00144186">
          <w:pPr>
            <w:pStyle w:val="LLPerustelujenkappalejako"/>
          </w:pPr>
          <w:r>
            <w:t>Pykälän 2 kohdan mukaan laitoksella tarkoitettaisiin lain soveltamisalaan kuuluvaa laitosta, jonka tietojen perusteella tukea haettaisiin. Laitoksella tarkoitettaisiin kiinteää toiminnallista kokonaisuutta, jossa tuotetaan yhtä tai useampaa lain liitteessä 1 mainittujen toimialojen tuottei</w:t>
          </w:r>
          <w:r w:rsidR="007355B4">
            <w:t>s</w:t>
          </w:r>
          <w:r>
            <w:t>ta, sekä siihen teknisesti ja toiminnallisesti kiinteästi liittyvää toimintaa.</w:t>
          </w:r>
        </w:p>
        <w:p w14:paraId="5212415E" w14:textId="3B4EEFF5" w:rsidR="00144186" w:rsidRDefault="00144186" w:rsidP="00144186">
          <w:pPr>
            <w:pStyle w:val="LLPerustelujenkappalejako"/>
          </w:pPr>
          <w:r>
            <w:t>Pykälän 3 kohdan mukaisesti tarkasteluvuodella tarkoitettaisiin kalenterivuotta, jonka tietojen perusteella tukea haetaan. Päästökaupan valtiontukisuuntaviivojen mukaan tuki voidaan maksaa takautuvasti edellisen vuoden tietojen mukaan.</w:t>
          </w:r>
        </w:p>
        <w:p w14:paraId="5BB68F55" w14:textId="17E93884" w:rsidR="00144186" w:rsidRDefault="00144186" w:rsidP="00144186">
          <w:pPr>
            <w:pStyle w:val="LLPerustelujenkappalejako"/>
          </w:pPr>
          <w:r>
            <w:t>Pykälän 4 kohdan mukaan tuki-intensiteetillä tarkoitettaisiin prosenttiosuutta tuen määrän laskemisen perusteena olevista tiedoista. Kansallisesti päätetty tuki-intensiteetti olisi lähtökohtaisesti 25 prosenttia. Päästöoikeuden hinnan ja tukikelpoisen sähkönkulutuksen vaihtelusta johtuen on tarpeen rajata tuen kokonaiskustannusten ennakoitua suurempaa nousua. Tämän lain perusteella myönnetyn tuen vuosittaiset enimmäismenot valtiolle eivät sa</w:t>
          </w:r>
          <w:r w:rsidR="007355B4">
            <w:t>isi</w:t>
          </w:r>
          <w:r>
            <w:t xml:space="preserve"> ylittää 1</w:t>
          </w:r>
          <w:r w:rsidR="008C2C8E">
            <w:t>50 miljoonaa euroa vuosina 2021</w:t>
          </w:r>
          <w:r w:rsidR="008C2C8E">
            <w:sym w:font="Symbol" w:char="F02D"/>
          </w:r>
          <w:r>
            <w:t>2026. Kansallinen tuki-intensiteetti olisi päästökaupan valtiontukisuuntaviivojen sallittua enimmäisintensiteettiä selvästi alhaisempi. Valtiontuen suuntaviivojen mukaan tuki on oikeasuhteista ja sen kielteiset vaikutukset kilpailuun ja kauppaan ovat riittävän vähäiset, jos se on enintään 75 prosenttia aiheutuneista välillisistä päästökustannuksista. Kansallisesti määritetty, suuntaviivojen enimmäismäärää alhaisempi tuki-intensiteetti rajaa tuen kokonaiskustannusta. Lisäksi voidaan varmistua, että tuki on oikeasuhteista ja sen kielteiset vaikutukset kilpailuun ja kaupp</w:t>
          </w:r>
          <w:r w:rsidR="000E14C8">
            <w:t>aan ovat riittävän vähäiset.</w:t>
          </w:r>
        </w:p>
        <w:p w14:paraId="5632595D" w14:textId="63CE2B48" w:rsidR="008906CA" w:rsidRPr="005640F7" w:rsidRDefault="00144186" w:rsidP="005640F7">
          <w:pPr>
            <w:pStyle w:val="LLPerustelujenkappalejako"/>
          </w:pPr>
          <w:r>
            <w:t xml:space="preserve">Pykälän 5 kohdan mukaan hiilidioksidin päästökertoimella tarkoitettaisiin päästökaupan valtiontukisuuntaviivojen mukaisesti fossiilisista polttoaineista eri maantieteellisillä alueilla tuotetun sähkön hiilidioksidi-intensiteetin painotettua keskiarvoa, joka ilmaistaan tonneina hiilidioksidia megawattituntia kohti (tCO2/MWh). Painotus vastaa näiden fossiilisten polttoaineiden tuotantoyhdistelmää kyseisellä maantieteellisellä alueella. Hiilidioksidin päästökerroin lasketaan jakamalla energiateollisuuden hiilidioksidiekvivalentteina ilmoittama päästöjen määrä fossiilisista polttoaineista saadun sähkön bruttotuotannolla, joka ilmaistaan terawattitunteina </w:t>
          </w:r>
          <w:r w:rsidRPr="00764FA2">
            <w:t>(</w:t>
          </w:r>
          <w:proofErr w:type="spellStart"/>
          <w:r w:rsidRPr="00764FA2">
            <w:t>TWh</w:t>
          </w:r>
          <w:proofErr w:type="spellEnd"/>
          <w:r w:rsidRPr="00764FA2">
            <w:t xml:space="preserve">). Päästökaupan valtiotukisuuntaviivojen mukaisesti maantieteellisiksi alueiksi katsotaan alueet, a) jotka koostuvat sähköpörssien kautta yhteen kytketyistä osamarkkinoista, tai b) joiden sisällä ei ole ilmoitettu ylikuormituksesta, ja molemmissa tapauksissa tuntikohtaiset seuraavaa vuorokautta koskevat sähköpörssien hinnat alueen sisällä poikkeavat toisistaan euroina (Euroopan keskuspankin päivittäiskurssi) enintään yhden prosentin merkittävässä määrässä kaikkia yhden vuoden tunteja. Tällainen alueellinen erottelu osoittaa, miten tärkeitä fossiilisia polttoaineita käyttävät voimalat ovat loppuhinnan määräytymiselle tukkumarkkinoilla ja mikä niiden asema on marginaalilaitoksina. Pelkkä sähkökauppa kahden jäsenvaltion välillä ei tarkoita automaattisesti, että ne muodostavat ylikansallisen alueen. Koska jäsenvaltioiden alueista ei ole tarpeeksi asiaa koskevia tietoja, maantieteellisiin alueisiin kuuluu yhden tai useamman jäsenvaltion koko alue. Suuntaviivojen mukaisesti Suomi ja Ruotsi muodostavat yhdessä maantieteellisen alueen, mihin sovelletaan yhtenevää kerrointa. </w:t>
          </w:r>
          <w:r w:rsidR="008906CA" w:rsidRPr="00764FA2">
            <w:t xml:space="preserve">Sovellettava hiilidioksidin päästökerroin tulee olemaan päästökaupan valtiontukisuuntaviivojen mukainen. </w:t>
          </w:r>
          <w:r w:rsidR="00764FA2" w:rsidRPr="00764FA2">
            <w:t>Komission vaikutustenarvioinnissa koskien valtiontukisuuntaviivoja todetaan, että kertoimet lasketaan vuoden 2019 tietojen perusteella. Vaikutustenarvioinnissa on esitetty hiilidioksidikertoimet määritettynä vuoden 2018 tietojen perusteella. Vaikutustenarvioinnissa Suomessa ja Ruotsissa sovellettaisiin kerrointa 0,61. Hallituksen e</w:t>
          </w:r>
          <w:r w:rsidR="008906CA" w:rsidRPr="00764FA2">
            <w:t xml:space="preserve">sitys täydentyy, kun komissio on julkaissut </w:t>
          </w:r>
          <w:r w:rsidR="007E791F" w:rsidRPr="00764FA2">
            <w:t>suuntaviivojen mukaiset hiilidioksidin päästökertoimet</w:t>
          </w:r>
          <w:r w:rsidR="008906CA" w:rsidRPr="00764FA2">
            <w:t>. Hallituksen esitys täydentyy ennen sen antamista eduskunnalle.</w:t>
          </w:r>
        </w:p>
        <w:p w14:paraId="4E462A92" w14:textId="0C8C2CCD" w:rsidR="00144186" w:rsidRDefault="00144186" w:rsidP="00144186">
          <w:pPr>
            <w:pStyle w:val="LLPerustelujenkappalejako"/>
          </w:pPr>
          <w:r>
            <w:t>Pykälän 6 kohdan mukaan Euroopan unionin päästöoikeuksien termiinihinnalla</w:t>
          </w:r>
          <w:r w:rsidR="00720CF1">
            <w:t xml:space="preserve"> tarkoitettaisiin</w:t>
          </w:r>
          <w:r>
            <w:t xml:space="preserve"> EU:n päästöoikeuksien päivittäisten, toimituksesta tuen myöntämisvuoden joulukuussa maksettavien yhden vuoden termiinihintojen (viimeisin tarjoushinta) keskiarvoa euroina tietyssä EU:n hiilipörssissä tarkasteluvuotta edeltävänä vuonna 1. tammikuuta – 31. joulukuuta. Esimerkiksi tarkasteluvuodelle 2023 myönnettävän tuen osalta se on tietyssä EU:n</w:t>
          </w:r>
          <w:r w:rsidR="000E14C8">
            <w:t xml:space="preserve"> hiilipörssissä 1. tammikuuta–</w:t>
          </w:r>
          <w:r>
            <w:t>31. joulukuuta 2022 tarjottujen joulukuuta 2023 koskevien viimeisimpien tarjoushintojen keskiarvo.</w:t>
          </w:r>
        </w:p>
        <w:p w14:paraId="0CD4FA22" w14:textId="7A2CF345" w:rsidR="00144186" w:rsidRDefault="00144186" w:rsidP="00144186">
          <w:pPr>
            <w:pStyle w:val="LLPerustelujenkappalejako"/>
          </w:pPr>
          <w:r>
            <w:t xml:space="preserve">Pykälän 7 kohdan mukaan sähkönkulutuksen tehokkuuden vertailuarvolla, joka ilmaistaan megawattitunteina tuotostonnilta </w:t>
          </w:r>
          <w:r w:rsidR="00720CF1">
            <w:t>ja määritellään PRODCOM-tasolla</w:t>
          </w:r>
          <w:r w:rsidR="00D809D5">
            <w:t>,</w:t>
          </w:r>
          <w:r w:rsidR="00720CF1">
            <w:t xml:space="preserve"> tarkoitettaisiin</w:t>
          </w:r>
          <w:r>
            <w:t xml:space="preserve"> tuotekohtaista sähkönkulutusta sellaista tuotostonnia kohti, joka on saatu kaikkein sähkötehokkaimm</w:t>
          </w:r>
          <w:r w:rsidR="007355B4">
            <w:t>a</w:t>
          </w:r>
          <w:r>
            <w:t xml:space="preserve">lla, kyseiselle tuotteelle käytettävissä olevalla tuotantomenetelmällä. PRODCOM-tasolla viitataan </w:t>
          </w:r>
          <w:proofErr w:type="spellStart"/>
          <w:r>
            <w:t>Eurostatin</w:t>
          </w:r>
          <w:proofErr w:type="spellEnd"/>
          <w:r>
            <w:t xml:space="preserve"> ylläpitämään luetteloon teollisuuden tuotantonimikkeistä, jota käytetään tilastotietojen keräämisessä. PRODCOM-luettelon tuotenimikkeet ovat 8-numeroisia. Nimikkeiden neljä ensimmäistä numeroa vastaavat EU:n tilastollisen toimialaluokituksen NACE </w:t>
          </w:r>
          <w:proofErr w:type="spellStart"/>
          <w:r>
            <w:t>Rev</w:t>
          </w:r>
          <w:proofErr w:type="spellEnd"/>
          <w:r>
            <w:t xml:space="preserve">. 1.1. koodia. Sähkönkulutuksen tehokkuuden ajantasaisen vertailuarvon on oltava direktiivin 2003/87/EY 10 a artiklan 2 kohdan mukainen. Sellaisten tukikelpoisiin aloihin kuuluvien tuotteiden, joille on vahvistettu polttoaineen ja sähkön vaihdettavuus komission delegoidun asetuksen (EU) 2019/33113 liitteessä I olevassa 2 jaksossa, sähkönkulutuksen tehokkuuden vertailuarvo määriteltäisiin samojen järjestelmän rajojen sisällä siten, että tuen määrää määritettäessä huomioon otettaisiin vain sähkön osuus. Soveltamalla sähkönkulutuksen tehokkuuden vertailuarvoja varmistetaan, että tehottomille tuotantoprosesseille annettu tuki pysyy rajallisena, ja säilytetään energiatehokkaimpien teknologioiden levittämiseen suunnattu kannustava vaikutus. </w:t>
          </w:r>
          <w:r w:rsidRPr="00764FA2">
            <w:t xml:space="preserve">Sovellettavat sähkönkulutuksen tehokkuuden vertailuarvot </w:t>
          </w:r>
          <w:r w:rsidR="007E791F" w:rsidRPr="00764FA2">
            <w:t>tulevat olemaan päästökaupan valtiontukisuuntaviivojen mukaiset. Valtiontukisuuntaviivo</w:t>
          </w:r>
          <w:r w:rsidR="00CB4268" w:rsidRPr="00764FA2">
            <w:t>ja</w:t>
          </w:r>
          <w:r w:rsidR="007E791F" w:rsidRPr="00764FA2">
            <w:t xml:space="preserve"> sovelletta</w:t>
          </w:r>
          <w:r w:rsidR="00CB4268" w:rsidRPr="00764FA2">
            <w:t>essa</w:t>
          </w:r>
          <w:r w:rsidR="007E791F" w:rsidRPr="00764FA2">
            <w:t xml:space="preserve"> </w:t>
          </w:r>
          <w:r w:rsidR="00764FA2" w:rsidRPr="00764FA2">
            <w:t>noudatettavat</w:t>
          </w:r>
          <w:r w:rsidR="00CB4268" w:rsidRPr="00764FA2">
            <w:t xml:space="preserve"> </w:t>
          </w:r>
          <w:r w:rsidR="007E791F" w:rsidRPr="00764FA2">
            <w:t>vertailuarvot tulevat olemaan Direktiivin 2003/87/EY 10 a artiklan kohdan 2 mukaisia, jotka ovat vuosille 2021-2025 on annettu komission täytäntöönpanoasetuksella (EU) 2021/447. Esitys täydentyy, kun komissio on julkaissut suuntaviivojen mukaiset arvot. Hallituksen esitys täydentyy ennen sen antamista eduskunnalle.</w:t>
          </w:r>
        </w:p>
        <w:p w14:paraId="618C99DB" w14:textId="05761C09" w:rsidR="00144186" w:rsidRPr="007E791F" w:rsidRDefault="00144186" w:rsidP="00144186">
          <w:pPr>
            <w:pStyle w:val="LLPerustelujenkappalejako"/>
            <w:rPr>
              <w:i/>
            </w:rPr>
          </w:pPr>
          <w:r>
            <w:t xml:space="preserve">Pykälän 8 kohdan mukaan toissijaisella sähkönkulutuksen tehokkuuden vertailuarvolla tarkoitettaisiin xx prosentin osuutta toteutuneesta sähkönkulutuksesta, mikä on määritetty komission päätöksellä xx yhdessä sähkönkulutuksen tehokkuuden vertailuarvojen kanssa. Se vastaa sähkönkulutuksen tehokkuuden vertailuarvoja soveltamalla saavutettua keskimääräistä vähennyspanosta (vertailuarvon mukainen sähkönkulutus / ennakoitu sähkönkulutus). Sitä sovelletaan kaikkiin tuotteisiin, jotka kuuluvat tukikelpoisiin toimialoihin, mutta joille ei ole määritelty </w:t>
          </w:r>
          <w:r w:rsidRPr="00764FA2">
            <w:t xml:space="preserve">omaa sähkönkulutuksen tehokkuuden vertailuarvoa. </w:t>
          </w:r>
          <w:r w:rsidR="007E791F" w:rsidRPr="00764FA2">
            <w:t xml:space="preserve">Sovellettava toissijainen sähkönkulutuksen vertailuarvo </w:t>
          </w:r>
          <w:r w:rsidR="00CB4268" w:rsidRPr="00764FA2">
            <w:t>olisi</w:t>
          </w:r>
          <w:r w:rsidR="007E791F" w:rsidRPr="00764FA2">
            <w:t xml:space="preserve"> päästökaupan valtiontukisuuntaviivojen mukainen. Esitys täydentyy, kun komissio on julkaissut vertailuarvon.</w:t>
          </w:r>
          <w:r w:rsidR="000E14C8">
            <w:t xml:space="preserve"> Vuosina 2021</w:t>
          </w:r>
          <w:r w:rsidR="000E14C8">
            <w:sym w:font="Symbol" w:char="F02D"/>
          </w:r>
          <w:r w:rsidR="00764FA2">
            <w:t>2020 vastaava sovellettava vertailuarvo oli 0,8.</w:t>
          </w:r>
          <w:r w:rsidR="007E791F" w:rsidRPr="00764FA2">
            <w:t xml:space="preserve"> Hallituksen esitys täydentyy ennen sen antamista eduskunnalle.</w:t>
          </w:r>
        </w:p>
        <w:p w14:paraId="4850479B" w14:textId="77777777" w:rsidR="00144186" w:rsidRDefault="00144186" w:rsidP="00144186">
          <w:pPr>
            <w:pStyle w:val="LLPerustelujenkappalejako"/>
          </w:pPr>
          <w:r>
            <w:t>Pykälän 9 kohdan mukaan toteutuneella tuotoksella tarkoitettaisiin laitoksen toteutunutta tukikelpoisten tuotteiden tuotantoa tarkasteluvuonna ilmaistuna tonneina vuodessa.</w:t>
          </w:r>
        </w:p>
        <w:p w14:paraId="7CC21F6F" w14:textId="59DDCCC7" w:rsidR="00144186" w:rsidRDefault="00144186" w:rsidP="00144186">
          <w:pPr>
            <w:pStyle w:val="LLPerustelujenkappalejako"/>
          </w:pPr>
          <w:r>
            <w:t>Pykälän 10 kohdan mukaan toteutuneella sähkönkulutuksella megawattitunteina ilmaistuna tarkoitettaisiin laitoksen toteutunutta, tukeen oikeuttavaa sähkönkulutusta, mukaan lukien muualle siirretyn, tukikelpoisen tuotannon sähkönkulutus, tarkasteluvuonna. Toteutuneen sähkönkulutuksen määrittämisen tulisi perustua kaikkien tukeen oikeutettujen toimintojen yhteisesti mitatulle sähkönkulutukselle tai toimintokohtaisesti mitatulle sähkönkulutukselle sen mukaan, kumpi tuloksista on tarkempi. Jos kumpaakaan näistä ei voida käyttää, tulee laskennan perustua muulle luotettavasti arvioidulle sähkönkulutukselle.</w:t>
          </w:r>
        </w:p>
        <w:p w14:paraId="2D05DD57" w14:textId="0024C4AF" w:rsidR="00CA6E7C" w:rsidRDefault="00CA6E7C" w:rsidP="00144186">
          <w:pPr>
            <w:pStyle w:val="LLPerustelujenkappalejako"/>
          </w:pPr>
          <w:r>
            <w:t xml:space="preserve">Pykälän 11 kohdan </w:t>
          </w:r>
          <w:r w:rsidR="00692B92">
            <w:t xml:space="preserve">mukaan </w:t>
          </w:r>
          <w:r w:rsidR="00692B92" w:rsidRPr="00692B92">
            <w:t>kehittämistoimella</w:t>
          </w:r>
          <w:r w:rsidR="00356FB8">
            <w:t xml:space="preserve"> tarkoitettaisiin</w:t>
          </w:r>
          <w:r w:rsidR="00692B92" w:rsidRPr="00692B92">
            <w:t xml:space="preserve"> toiminnanharjoittajalle suoria kustannuksia aiheuttavaa investointia tai muuta toimenpidettä, jonka avulla toiminnanharjoittaja kehittää tuotantoaan hiilineutraalimmaksi.</w:t>
          </w:r>
          <w:r w:rsidR="00356FB8">
            <w:t xml:space="preserve"> Investoinneilla tarkoitettaisiin aineettomia investointeja sekä investointej</w:t>
          </w:r>
          <w:r w:rsidR="000E14C8">
            <w:t>a fyysiseen käyttöomaisuuteen.</w:t>
          </w:r>
        </w:p>
        <w:p w14:paraId="5C64161B" w14:textId="77777777" w:rsidR="00144186" w:rsidRDefault="00144186" w:rsidP="00144186">
          <w:pPr>
            <w:pStyle w:val="LLPerustelujenkappalejako"/>
          </w:pPr>
          <w:r w:rsidRPr="00144186">
            <w:rPr>
              <w:b/>
            </w:rPr>
            <w:t xml:space="preserve">4 §. </w:t>
          </w:r>
          <w:r w:rsidRPr="000E14C8">
            <w:rPr>
              <w:i/>
            </w:rPr>
            <w:t>Tuen myöntämisen edellytykset</w:t>
          </w:r>
          <w:r w:rsidRPr="000E14C8">
            <w:t>.</w:t>
          </w:r>
          <w:r>
            <w:t xml:space="preserve"> Pykälässä säädettäisiin tuen kestosta ja tuen myöntämisen edellytyksistä. </w:t>
          </w:r>
        </w:p>
        <w:p w14:paraId="6C1D4D09" w14:textId="67F96DC9" w:rsidR="00144186" w:rsidRDefault="00144186" w:rsidP="00144186">
          <w:pPr>
            <w:pStyle w:val="LLPerustelujenkappalejako"/>
          </w:pPr>
          <w:r>
            <w:t>Pykälän 1 momentissa säädettäisiin, että tukea voidaan</w:t>
          </w:r>
          <w:r w:rsidR="000E14C8">
            <w:t xml:space="preserve"> myöntää tarkasteluvuosien 2021</w:t>
          </w:r>
          <w:r w:rsidR="000E14C8">
            <w:sym w:font="Symbol" w:char="F02D"/>
          </w:r>
          <w:r>
            <w:t>2025 tietojen perusteella. Tuki maksettaisiin takautuvasti tarkasteluvuotta seuraavana vuonna. Ensimmäinen vuosi, jonka tietojen perusteella tukea voitaisiin myöntää, olisi 2021 ja sen perusteella myönnettävä tuki maksettaisiin vuonna 2022. Viimeinen vuosi, jonka tietojen perusteella tukea voitaisiin myöntää, olisi 2025 ja sen perusteella myönnettävä tuki tulisi maksuun vuonna 2026. Päästökaupan valtiontuen suuntaviivoja on mahdollista soveltaa neljännellä päästök</w:t>
          </w:r>
          <w:r w:rsidR="000E14C8">
            <w:t>auppakaudella, eli vuosina 2021</w:t>
          </w:r>
          <w:r w:rsidR="000E14C8">
            <w:sym w:font="Symbol" w:char="F02D"/>
          </w:r>
          <w:r>
            <w:t>2030. Mikäli jäsenvaltio haluaa myöntää tukea lyhyemmäksi ajaksi, sen olisi käytettävä viitejaksona tuensaajien tilikautta ja myönnettävä tukea vuosittain. Suuntaviivoissa todetaan, että kaikkia ilmastoon liittyviä poliittisia välineitä ja etenkin niitä, joista säädetään direktiivissä 2003/87/EY ja joilla on määrä saada aikaan kasvihuonekaasupäästöjen lisävähennyksiä vuoteen 2030 mennessä, tarkastellaan uudelleen ja muutetaan tarvittaessa. Tässä otetaan huomioon ilmastotavoitteita koskeva suunnitelma sekä hiilidioksidipäästöjen tullimekanismin perustamista koskeva aloite. Tämän jälkeen komissio tarkistaa, onko päästökaupan suuntaviivoja tarpeen muuttaa tai mukauttaa sen varmistamiseksi, että ne ovat johdonmukaisia ilmastoneutraaliustavoitteen kanssa ja että niillä edistetään tämän tavoitteen saavuttamista toimintaedellytysten tasapuolisuudesta tinkimättä. 13 §:n mukaisesti toiminnanharjoittajien tulee kohdistaa vähintään 50 % tarkasteluvuosien aikana myönnetystä tuesta kehittämistoimiin, joilla ne edistävät toimintansa siirtymistä kohti hiilineutraalimpaa tuotantotapaa. Näiden kehittämistoimien tulisi olla toteutettuna vuoden 2028 loppuun mennessä.</w:t>
          </w:r>
        </w:p>
        <w:p w14:paraId="0538423B" w14:textId="08330A1A" w:rsidR="00144186" w:rsidRDefault="00144186" w:rsidP="00144186">
          <w:pPr>
            <w:pStyle w:val="LLPerustelujenkappalejako"/>
          </w:pPr>
          <w:r>
            <w:t xml:space="preserve">Päästökaupan valtiontukisuuntaviivojen artiklan 54 mukaisesti jäsenvaltioiden tulee sitoutua varmistamaan, että tuensaaja noudattaa velvoitetta tehdä Euroopan parlamentin ja neuvoston direktiivin 2012/27/EU (energiatehokkuusdirektiivi) 8 artiklassa tarkoitettu energiakatselmus. Energiatehokkuusdirektiivi on pantu kansallisesti täytäntöön energiatehokkuuslailla 1429/2014. Pykälän 2 momentissa säädettäisiin toiminnanharjoittajan velvollisuudesta tehdä energiatehokkuuslain mukainen energiakatselmus tai velvollisuudesta osoittaa, että se on vapautettu energiakatselmuksen tekemisestä energiatehokkuuslain 7 §:n nojalla. Velvoite tulisi täyttää, vaikkei toiminnanharjoittaja olisi energiatehokkuuslain 3 §:n 6 kohdan mukainen suuri yritys. Velvoite katselmoinnin tekoon tulisi uutena muutamille pienille ja keskisuurille yrityksille, jotka ovat oikeutettuja hakemaan sähköistämistukea. Riittäisi, että pienet ja keskisuuret yritykset osoittaisivat täyttäneensä velvoitteen ensimmäistä tuenmyöntämisvuotta seuraavana vuonna. Energiakatselmus kohdistuu aina yritykseen kokonaisuudessaan. Se voi kohdistua myös kahden tai useamman yrityksen muodostamaan konserniin. Siinä selvitetään koko yrityksen tai konsernin energiankulutusprofiili. Yrityksellä voi olla useita yksittäisiä energiankäyttökohteita, kuten rakennuksia, tuotantolaitoksia ja kuljetuksia. Niiden kaikkien energiankäyttö, mukaan lukien muun muassa lämpö, sähkö, polttoaineet, sisältyy </w:t>
          </w:r>
          <w:r w:rsidR="000E14C8">
            <w:t>yrityksen energiakatselmukseen.</w:t>
          </w:r>
        </w:p>
        <w:p w14:paraId="06A0B696" w14:textId="089FB492" w:rsidR="00144186" w:rsidRDefault="00144186" w:rsidP="00144186">
          <w:pPr>
            <w:pStyle w:val="LLPerustelujenkappalejako"/>
          </w:pPr>
          <w:r>
            <w:t>Pykälän 3 momentissa säädettäisiin, että toiminnanharjoittajan tuli</w:t>
          </w:r>
          <w:r w:rsidR="008C2C8E">
            <w:t>si osoittaa, että vähintään 30 prosenttia</w:t>
          </w:r>
          <w:r>
            <w:t xml:space="preserve"> sen kuluttamasta sähköstä on tuotettu hiilettömillä lähteillä. Hiilettömillä lähteillä tarkoitettaisiin sähköä, joka on tuotettu uusiutuvalla energialla tai ydinvoimalla. Päästökaupan valtiontukisuuntaviivat edellyttävät, että niiden mukaista tukea myöntävät jäsenvaltiot sitoutuvat seuraamaan, että tuensaajat, jotka kuuluvat energiatehokkuusdirektiivin 8 artiklan 4 kohdan mukaisesti energiakatselmuksen tekemistä koskevan velvoitteen piiriin, noudattavat valtiontukisuuntaviivojen kohdan 55 vaihtoehtoisia vaatimuksia. Sähköistämistuen edellytyksenä olisi vaihtoehto b: pienentävät sähkönkulutuksensa hiilijalanjälkeä siten, että ne kattavat vähintään 30 prosenttia sähkönkulutuksestaan hiilettömistä lähteistä tuotetulla sähköllä. Suuntaviivojen 55 kohdan vaihtoehtoisia vaatimuksia ja niihin liittyviä kansallisia ominaispiirteitä ja soveltuvuutta Suomen tukijärjestelmään tarkastellaan laajemmin hallituksen esityksen perusteluosiossa. Sähköistämistukijärjestelmässä edellytettäisiin, että toiminnanharjoittajan tulisi 11 §:n mukaisessa hakemuksessa toimittaa selvitys kuluttamansa sähkön</w:t>
          </w:r>
          <w:r w:rsidR="000E14C8">
            <w:t xml:space="preserve"> päästöttömän sähkön osuudesta.</w:t>
          </w:r>
        </w:p>
        <w:p w14:paraId="51F83480" w14:textId="4C75298C" w:rsidR="00144186" w:rsidRDefault="00144186" w:rsidP="00144186">
          <w:pPr>
            <w:pStyle w:val="LLPerustelujenkappalejako"/>
          </w:pPr>
          <w:r>
            <w:t>Pykälän 4 momentissa säädettäisiin tuen myöntämisestä tilanteessa, jossa laitos lopettaa toimintansa. Tukea ei myönnettäisi toiminnanharjoittajalle, jos laitos lopettaa toimintansa ennen tuen myöntämistä. Laitoksen tulee olla toiminnassa ja tuottaa tukikelpoista tuotetta tuen hakemisen sekä myöntämisen ajankohtana. Laitoksen katsottaisiin lopettaneen toimintansa, jos toiminnan uudelleen aloittaminen ei olisi teknisesti mahdollista. Teknisesti mahdotonta olisi aloittaa uudelleen toiminta tilanteissa, joissa laitoksen toiminnan kannalta keskeisiä laitteistoja ei enää pidettäisi toimintakuntoisina. Jos toiminnan aloittaminen olisi teknisesti mahdollista, toiminnanharjoittajan olisi osoitettava, että laitos aloittaisi toimintansa uudelleen kuuden kuukauden kuluessa toiminnan lopettamisesta. Tällöin toiminnanharjoittajalla olisi mahdollista saada tuki edelleen, jos laitoksen toimintaa jatkettaisiin. Tukea ei olisi tarkoituksenmukaista maksaa toimint</w:t>
          </w:r>
          <w:r w:rsidR="000E14C8">
            <w:t>ansa lopettaneelle laitokselle.</w:t>
          </w:r>
        </w:p>
        <w:p w14:paraId="1F4B1F18" w14:textId="3FF2A0CC" w:rsidR="00144186" w:rsidRDefault="00144186" w:rsidP="00144186">
          <w:pPr>
            <w:pStyle w:val="LLPerustelujenkappalejako"/>
          </w:pPr>
          <w:r>
            <w:t>Pykälän 5 momentissa säädettäisiin, ettei tukea myönnettäisi yrityksille, joiden toiminta on taloudellisissa vaikeuksissa.  Kannattamattomien yritysten poistuminen markkinoilta on tavanomainen osa markkinoiden toimintaa, ja niiden tukeminen valtion toimenpitein voi vääristää kilpailua merkittävästi. Tämän takia valtiontuen myöntäminen vaikeuksissa oleville yrityksille on EU:n valtiontukisääntelyn puitteissa mahdollista ainoastaan hyvin rajoitetuissa tilanteissa. Vaikeuksissa olevana pidetään EU:n valtiontukisäännöissä yleisesti ottaen yritystä, jonka toiminnan katsotaan loppuvan lähes varmasti lyhyellä tai keskipitkällä aikavälillä ilman viranomaisten tukitoimia. Valtiontukisäännöissä on määritelty yksityiskohtaiset kriteerit, joiden nojalla yrityksen</w:t>
          </w:r>
          <w:r w:rsidR="000E14C8">
            <w:t xml:space="preserve"> katsotaan olevan vaikeuksissa.</w:t>
          </w:r>
        </w:p>
        <w:p w14:paraId="37CD9593" w14:textId="2B6D8517" w:rsidR="007E0CB1" w:rsidRDefault="00144186" w:rsidP="007E0CB1">
          <w:pPr>
            <w:pStyle w:val="LLPerustelujenkappalejako"/>
          </w:pPr>
          <w:r w:rsidRPr="00891F68">
            <w:rPr>
              <w:b/>
            </w:rPr>
            <w:t xml:space="preserve">5 §. </w:t>
          </w:r>
          <w:r w:rsidRPr="000E14C8">
            <w:rPr>
              <w:i/>
            </w:rPr>
            <w:t>Viranomaistehtävät.</w:t>
          </w:r>
          <w:r>
            <w:t xml:space="preserve"> </w:t>
          </w:r>
          <w:r w:rsidR="00891F68" w:rsidRPr="00891F68">
            <w:t xml:space="preserve">Energiavirasto vastaisi lain noudattamisen valvonnasta. Energiavirasto vastaisi kaikista tuen myöntämiseen ja sen käytön seurataan ja valvontaan liittyvistä viranomaistehtävistä. Energiavirasto vastaisi tuen määrän laskemisesta, myöntämisestä, maksamisesta, tuen käytön valvonnasta, raportoinnista sekä muista ehdotetussa laissa säädetyistä viranomaistehtävistä. Energiavirasto vastaisi toiminnanharjoittajan toimittamien tietojen oikeellisuuden varmistamisesta. Energiavirasto vastaisi lisäksi tukea koskevan vuosittaisen raportin laatimisesta komissiolle vuosittain kertomukset neuvoston asetuksen (EU) 2015/158924 ja komission asetuksen (EY) </w:t>
          </w:r>
          <w:proofErr w:type="gramStart"/>
          <w:r w:rsidR="00891F68" w:rsidRPr="00891F68">
            <w:t>N:o</w:t>
          </w:r>
          <w:proofErr w:type="gramEnd"/>
          <w:r w:rsidR="00891F68" w:rsidRPr="00891F68">
            <w:t xml:space="preserve"> 794/200425 mukaisesti. Edellä mainituissa asetuksissa vahvistettujen vaatimusten lisäksi raportin tulisi sisältää päästökaupan valtiontuen suuntaviivoissa edellytetyt tiedot. Energiavirasto vastaisi myös tukijärjestelmään liittyvien tietojen julkaisusta siten, kun ne on päästökaupan valtiontukisuuntaviivoissa edellytetty. Energiavirasto vastaisi yhteistyössä työ- ja elinkeinoministeriön kanssa direktiivin 2003/87/EY 10 a artiklan 6 kohdan mukaisesti julkaistava</w:t>
          </w:r>
          <w:r w:rsidR="00720CF1">
            <w:t>sta</w:t>
          </w:r>
          <w:r w:rsidR="00891F68" w:rsidRPr="00891F68">
            <w:t xml:space="preserve"> raportista.</w:t>
          </w:r>
        </w:p>
        <w:p w14:paraId="46DDBBFF" w14:textId="32E7FCAB" w:rsidR="00891F68" w:rsidRDefault="00891F68" w:rsidP="00891F68">
          <w:pPr>
            <w:pStyle w:val="LLPerustelujenkappalejako"/>
          </w:pPr>
          <w:r w:rsidRPr="00891F68">
            <w:rPr>
              <w:b/>
            </w:rPr>
            <w:t xml:space="preserve">6 §. </w:t>
          </w:r>
          <w:r w:rsidRPr="000E14C8">
            <w:rPr>
              <w:i/>
            </w:rPr>
            <w:t>Tuen enimmäismäärä.</w:t>
          </w:r>
          <w:r>
            <w:t xml:space="preserve"> Pykälässä säädettäisiin tämän lain nojalla vuosittain myönnettävän tuen enimmäismäärästä ja tuenmäärän laskennassa sovellettavan tuki-intensiteetin määrästä. Päästökaupan valtiontukisuuntaviivojen mukaisesti tuki on oikeasuhteista ja sen kielteiset vaikutukset kilpailuun ja kauppaan ovat riittävän vähäiset, jos se on enintään 75 prosenttia aiheutuneista välillisistä päästökustannuksista. Kansallisesti päätetty tuki-intensiteetti on 25 prosenttia, tuen kokonaismäärän ollessa 150 miljoonaa euroa tai sen alle. Tämä olisi päästökaupan valtiontukisuuntaviivojen sallittua enimmäisintensiteettiä selvästi alhaisempi. Alhainen intensiteetti rajaa tuen kokonaiskustannusta. Vuosittain myönnettävän tuen määrään vaikuttavat keskeisesti päästöoikeuden hintakehitys sekä laitosten kuluttama sähkön määrä. Kumpaankin tekijään liittyy suurta epävarmuutta, mikä lisää epävarmuutta tuen kokonaismäärästä ja siten myös sen vaikutuksista valtion talouteen huolimatta kansallisesti päätetystä tuki-intensiteetin tasosta. Tämän vuoksi ehdotetaan säädettäväksi vuosittainen budjettikatto 150 Me, joka rajaisi tuen kokonaismäärää riippumatta päästöoikeuden hinnan ja tukikelpois</w:t>
          </w:r>
          <w:r w:rsidR="000E14C8">
            <w:t>en sähkönkulutuksen tasosta.</w:t>
          </w:r>
        </w:p>
        <w:p w14:paraId="27B8B6BD" w14:textId="50440428" w:rsidR="00891F68" w:rsidRDefault="00891F68" w:rsidP="00891F68">
          <w:pPr>
            <w:pStyle w:val="LLPerustelujenkappalejako"/>
          </w:pPr>
          <w:r>
            <w:t>Pykälän 2 momentissa säädettäisiin tuki-intensiteetin määrittämisestä tilanteessa, jossa vuosittain haetun tuen kokonaismäärä tuki-intensiteetillä 25 % ylittäisi 150 miljoonaa euroa. Tällöin tulisi Energiaviraston määrittää tuen laskennassa sovellettava tuki-intensiteetti alhaisemmalle tasolle siten, että kyseisenä vuonna myönnettävä tuen kokonaismäärä ei ylittäisi 150 miljoonaa euroa. Määritetty tuki-intensiteetti tulisi pyöristää ala</w:t>
          </w:r>
          <w:r w:rsidR="000E14C8">
            <w:t>späin lähimpään kokonaislukuun.</w:t>
          </w:r>
          <w:r>
            <w:t xml:space="preserve"> Tuen laskennassa sovelletaan kaikille tukea hakeneille toiminnanharjoittajille samaa tuki-intensiteettiä riippumatta sen tasosta. Mahdollinen alhaisempi tuki-intensiteetti ei asettaisi toiminnanharjo</w:t>
          </w:r>
          <w:r w:rsidR="000E14C8">
            <w:t>ittajia eriarvoiseen asemaan.</w:t>
          </w:r>
        </w:p>
        <w:p w14:paraId="528B7DEF" w14:textId="151BD444" w:rsidR="00891F68" w:rsidRDefault="00891F68" w:rsidP="00891F68">
          <w:pPr>
            <w:pStyle w:val="LLPerustelujenkappalejako"/>
          </w:pPr>
          <w:r w:rsidRPr="00891F68">
            <w:rPr>
              <w:b/>
            </w:rPr>
            <w:t xml:space="preserve">7 §. </w:t>
          </w:r>
          <w:r w:rsidRPr="000E14C8">
            <w:rPr>
              <w:i/>
            </w:rPr>
            <w:t>Päästöoikeuksien termiinihinnan määrittäminen.</w:t>
          </w:r>
          <w:r>
            <w:t xml:space="preserve"> Pykälässä säädettäisiin Energiaviraston tehtävästä määrittää vuosittain tuen määrän laskennassa sovellettava päästöoikeuden termiinihinta. Määrityksessä tulisi käyttää kaupankäyntivolyymiltaan mahdollisimman edustavan ETA-alueella sijaitsevan päästöoikeuspörssin kaupankäyntitietoja. Hinta laskettaisiin EU:n päästöoikeuksien päivittäisten, toimituksesta tarkasteluvuoden joulukuussa maksettavien yhden vuoden termiinihintojen keskiarvoa euroina tietyssä EU:n hiilipörssissä tarkasteluvuotta edeltävän</w:t>
          </w:r>
          <w:r w:rsidR="000E14C8">
            <w:t>ä vuonna ajalla 1. tammikuuta–</w:t>
          </w:r>
          <w:r>
            <w:t>31. joulukuuta.</w:t>
          </w:r>
        </w:p>
        <w:p w14:paraId="4D04E456" w14:textId="2F08EFBF" w:rsidR="00DD10DF" w:rsidRDefault="00DD10DF" w:rsidP="00DD10DF">
          <w:pPr>
            <w:pStyle w:val="LLPerustelujenkappalejako"/>
          </w:pPr>
          <w:r w:rsidRPr="00DD10DF">
            <w:rPr>
              <w:b/>
            </w:rPr>
            <w:t xml:space="preserve">8 §. </w:t>
          </w:r>
          <w:r w:rsidRPr="000E14C8">
            <w:rPr>
              <w:i/>
            </w:rPr>
            <w:t>Tuen määrän laskeminen sovellettaessa sähkönkulutuksen tehokkuuden vertailuarvoa.</w:t>
          </w:r>
          <w:r w:rsidRPr="00DD10DF">
            <w:t xml:space="preserve"> </w:t>
          </w:r>
          <w:r>
            <w:t>Pykälässä säädettäisiin laskukaavasta, jonka p</w:t>
          </w:r>
          <w:r w:rsidR="008C2C8E">
            <w:t xml:space="preserve">erusteella </w:t>
          </w:r>
          <w:proofErr w:type="gramStart"/>
          <w:r w:rsidR="008C2C8E">
            <w:t>tuen määrä lasketaan</w:t>
          </w:r>
          <w:proofErr w:type="gramEnd"/>
          <w:r w:rsidR="008C2C8E">
            <w:t>,</w:t>
          </w:r>
          <w:r>
            <w:t xml:space="preserve"> silloin kun laitoksessa valmistettaville tuotteille on käytettävissä komission delegoidun asetuksen (EU) 2019/331 mukaisesti määritelty tuotekohtainen sähkönkulutuksen tehokkuuden vertailuarvo. Sovellettavat vertailuarvot on lueteltu tämän lain 2 liitteessä. Laskukaava perustuu komission päästökaupan valtiontukisuuntaviivoihin, joissa annetaan määräyksiä sallitun tuen enimmäismäärästä. Vuosittaisen tuen määrä laskettaisiin seuraavan kaavan mukaisesti: tuki-intensiteetti tarkasteluvuonna kertaa hiilidioksidin päästökerroin kertaa Euroopan unionin päästöoikeuksien termiinihinta kertaa tuotekohtainen sähkönkulutuksen tehokkuuden vertailuarvo kertaa toteutunut tuotos. Tuen määrä laskettaisiin jokaisen lain soveltamisalaan kuuluvan tuotteen osalta erikseen. Kunkin laitoksessa valmistettavan tuotteen osuus lasketaan suhteellisena osuutena t</w:t>
          </w:r>
          <w:r w:rsidR="00020CF2">
            <w:t>uotannon määrän mukaan.</w:t>
          </w:r>
        </w:p>
        <w:p w14:paraId="75B9CEC6" w14:textId="2AD463F2" w:rsidR="00DD10DF" w:rsidRDefault="00DD10DF" w:rsidP="00DD10DF">
          <w:pPr>
            <w:pStyle w:val="LLPerustelujenkappalejako"/>
          </w:pPr>
          <w:r>
            <w:t>Pykälän 2 momentissa säädettäisiin, että Energiavirasto vastaisi laitoskohtaisen tuen määrän laskennasta 1 momentin mukaisesti. Lisäksi momentissa säädettäisiin, että niiden toimialojen tai toimialojen osien osalta, joille on vahvistettu sähkön ja polttoaineen vaihdettavuus, Energiavirasto määrittelisi sovellettavan sähkönkulutuksen tehokkuuden vertailuarvon tu</w:t>
          </w:r>
          <w:r w:rsidR="00020CF2">
            <w:t>en määrän laskennan yhteydessä.</w:t>
          </w:r>
        </w:p>
        <w:p w14:paraId="0A4E14C3" w14:textId="5610AF74" w:rsidR="00DD10DF" w:rsidRDefault="00DD10DF" w:rsidP="00DD10DF">
          <w:pPr>
            <w:pStyle w:val="LLPerustelujenkappalejako"/>
          </w:pPr>
          <w:r>
            <w:t>Tarkempia säännöksiä tuen määrän laskemisesta voitaisiin antaa valtioneuvoston asetuksella.</w:t>
          </w:r>
        </w:p>
        <w:p w14:paraId="4B716D52" w14:textId="1DCC4995" w:rsidR="002819EA" w:rsidRDefault="002819EA" w:rsidP="002819EA">
          <w:pPr>
            <w:pStyle w:val="LLPerustelujenkappalejako"/>
          </w:pPr>
          <w:r w:rsidRPr="002819EA">
            <w:rPr>
              <w:b/>
            </w:rPr>
            <w:t xml:space="preserve">9 §. </w:t>
          </w:r>
          <w:r w:rsidRPr="00020CF2">
            <w:rPr>
              <w:i/>
            </w:rPr>
            <w:t>Tuen määrän laskeminen sovellettaessa toissijaista sähkönkulutuksen tehokkuuden vertailuarvoa.</w:t>
          </w:r>
          <w:r>
            <w:t xml:space="preserve"> Pykälässä säädettäisiin tuen määrän laskemisesta silloin, kun laitoksessa valmistettavalle tuotteelle tai tuotteille ei ole käytettävissä komission delegoidun asetuksen (EU) 2019/331 mukaisesti määriteltyä tuotekohtaista sähkönkulutuksen tehokkuuden vertailuarvoa, eli tuotetta ei mainita lakiehdotuksen liitteessä 2. Tuen määrä laskettaisiin toissijaisen sähkönkulutuksen tehokkuuden vertailuarvon ja toteutuneen sähkönkulutuksen perusteella vain niissä tapauksissa, joissa tuotekohtaista sähkönkulutuksen tehokkuuden vertailuarvoa ei ole käytettävissä. Tällöin tuen määrä laskettaisiin kullekin laitokselle lain soveltamisalaan kuuluvien tuotteiden valmistuksen yhteisen sähkökulutuksen perusteella. Vuosittaisen tuen määrä laskettaisiin noudattaen seuraavaa kaavaa: tuki-intensiteetti tarkasteluvuonna kertaa hiilidioksidin päästökerroin kertaa Euroopan unionin päästöoikeuksien termiinihinta kertaa toissijainen sähkönkulutuksen tehokkuuden vertailuarvo kertaa toteutunut sähkönkulutus. Jos laitoksessa valmistettaisiin lisäksi tuotteita, jotka eivät kuulu lain soveltamisalaan, tuen määrä laskettaisiin ainoastaan lain soveltamisala</w:t>
          </w:r>
          <w:r w:rsidR="00020CF2">
            <w:t>an kuuluvien tuotteiden osalta.</w:t>
          </w:r>
        </w:p>
        <w:p w14:paraId="7A8EB33A" w14:textId="77777777" w:rsidR="002819EA" w:rsidRDefault="002819EA" w:rsidP="002819EA">
          <w:pPr>
            <w:pStyle w:val="LLPerustelujenkappalejako"/>
          </w:pPr>
          <w:r>
            <w:t>Pykälän 2 momentissa säädettäisiin, että Energiavirasto vastaisi laitoskohtaisen tuen määrän laskennasta 1 momentin mukaisesti.</w:t>
          </w:r>
        </w:p>
        <w:p w14:paraId="4C3F1DDD" w14:textId="77777777" w:rsidR="002819EA" w:rsidRDefault="002819EA" w:rsidP="002819EA">
          <w:pPr>
            <w:pStyle w:val="LLPerustelujenkappalejako"/>
          </w:pPr>
          <w:r>
            <w:t xml:space="preserve">Pykälän 3 momentissa säädettäisiin, että sovellettaessa toissijaista sähkönkulutuksen tehokkuuden vertailuarvoa tulee tuen määrän laskennan perustua yksittäisen laitoksen tukikelpoisten tuotteiden yhteenlaskettuun sähkönkulutukseen. </w:t>
          </w:r>
        </w:p>
        <w:p w14:paraId="5927E0D0" w14:textId="48199BEE" w:rsidR="002819EA" w:rsidRDefault="002819EA" w:rsidP="002819EA">
          <w:pPr>
            <w:pStyle w:val="LLPerustelujenkappalejako"/>
          </w:pPr>
          <w:r>
            <w:t>Tarkempia säännöksiä tuen määrän laskemisesta voitaisiin antaa valtioneuvoston asetuksella.</w:t>
          </w:r>
        </w:p>
        <w:p w14:paraId="4B665810" w14:textId="6E19D142" w:rsidR="007628E3" w:rsidRDefault="002819EA" w:rsidP="007628E3">
          <w:pPr>
            <w:pStyle w:val="LLPerustelujenkappalejako"/>
          </w:pPr>
          <w:r w:rsidRPr="007628E3">
            <w:rPr>
              <w:b/>
            </w:rPr>
            <w:t xml:space="preserve">10 §. </w:t>
          </w:r>
          <w:r w:rsidRPr="00020CF2">
            <w:rPr>
              <w:i/>
            </w:rPr>
            <w:t>Tuen hakeminen</w:t>
          </w:r>
          <w:r w:rsidRPr="007628E3">
            <w:rPr>
              <w:b/>
            </w:rPr>
            <w:t>.</w:t>
          </w:r>
          <w:r>
            <w:t xml:space="preserve"> </w:t>
          </w:r>
          <w:r w:rsidR="007628E3">
            <w:t>Tukea saadakseen toiminnanharjoittajan olisi toimitettava Energiavirastolle hakemus. Päästökaupan valtiotukisuuntaviivojen mukaisesti tuki soveltuu sisämarkkinoille vain, jos sillä on kannustava vaikutus. Jotta tuella olisi kannustava vaikutus ja sillä voitaisiin tosiasiallisesti estää hiilivuotoa, tukea on haettava ja se on maksettava toiminnanharjoittajalle tarkasteluvuonna tai sitä seuraavana vuonna. Näin ollen tukihakemus tulisi toimittaa Energiavirastolle vuosittain valtioneuvoston asetuksessa säädettyyn määräaikaan mennessä, jotta se voitaisiin hyväksyä. Asetetun määräajan jälkeen tulleet hakemukset hylättäisiin. Hakemuksella toiminnanharjoittajan tulisi toimittaa tiedot laitoksesta sekä sen toiminnasta. Hakemuksella toimitettaisiin myös suunnitelma 13 §:n mukaisesta tuen käytöstä.  Hakemusten toimittamista varten Energiavirasto ylläpitää sähköistä järjestelmää, minkä lisäksi hakemus olisi mahdollista toimittaa myös muulla tavalla.</w:t>
          </w:r>
        </w:p>
        <w:p w14:paraId="304D2A3E" w14:textId="4301D279" w:rsidR="007628E3" w:rsidRDefault="007628E3" w:rsidP="007628E3">
          <w:pPr>
            <w:pStyle w:val="LLPerustelujenkappalejako"/>
          </w:pPr>
          <w:r>
            <w:t>Tarkempia säännöksiä tuen hakemisesta, hakemuksesta ja sen liitteistä voitaisiin antaa valtioneuvoston asetuksella. Asetuksessa säädettäisiin muun muassa hakemuksen sisällöstä ja hakemuksen toimittamisesta Energiavirastolle.</w:t>
          </w:r>
        </w:p>
        <w:p w14:paraId="163C143D" w14:textId="77777777" w:rsidR="007628E3" w:rsidRDefault="007628E3" w:rsidP="007628E3">
          <w:pPr>
            <w:pStyle w:val="LLPerustelujenkappalejako"/>
          </w:pPr>
          <w:r w:rsidRPr="00020CF2">
            <w:rPr>
              <w:b/>
            </w:rPr>
            <w:t>11 §.</w:t>
          </w:r>
          <w:r>
            <w:t xml:space="preserve"> </w:t>
          </w:r>
          <w:r w:rsidRPr="00020CF2">
            <w:rPr>
              <w:i/>
            </w:rPr>
            <w:t>Tuen myöntäminen</w:t>
          </w:r>
          <w:r>
            <w:t>. Energiaviraston tulisi 10 § mukaista hakemusta käsitellessään arvioida, että hakemuksella ilmoitetut tiedot ovat uskottavia ja luotettavia sekä kattavuudeltaan ja tarkkuudeltaan riittäviä, jotta se voi varmistua, että 6-9 §:n mukaisesti määritetty tuki on laskettu oikein ja toiminnanharjoittajalla on riittävät edellytykset 13 §:n mukaisen ehdon täyttämiseksi. Energiaviraston tulee varmistua, että arviointia tehdessään sen toimintatavat ja tulkintatavat ovat yhtenevät, jotta varmistutaan toiminnanharjoittajien yhdenmukaisesta ja tasapuolisesta kohtelusta. Energiavirasto voisi varmistusta tehdessään käyttää apunaan myös oman organisaationsa ulkopuolisia asiantuntijoita. Tämä voi olla tarpeen tilanteissa, joissa arvioinnin kohteena on erityistä, yksityiskohtaista toimialakohtaista osaamista vaativa laitos tai sen osa. Tällöinkin kokonaisvastuu toiminnanharjoittajan ilmoittamien tietojen oikeellisuuden arvioinnista on Energiavirastolla.</w:t>
          </w:r>
        </w:p>
        <w:p w14:paraId="4B069A2A" w14:textId="7F74CD29" w:rsidR="007628E3" w:rsidRDefault="007628E3" w:rsidP="007628E3">
          <w:pPr>
            <w:pStyle w:val="LLPerustelujenkappalejako"/>
          </w:pPr>
          <w:r>
            <w:t>Tuki myönnettäisiin vain siltä osin, kun toiminnanharjoittaja pystyy hakemuksessaan luotettavasti osoittamaan laitoksen tukikelpoisuuden. Energiavirasto hyväksyisi hakemuksen, jos siinä on osoitettu, että tässä laissa säädetyt edellytykset täyttyvät ja hyväksymiselle ei ole tässä laissa säädettyä estettä.</w:t>
          </w:r>
        </w:p>
        <w:p w14:paraId="78805370" w14:textId="54C69338" w:rsidR="007628E3" w:rsidRDefault="007628E3" w:rsidP="007628E3">
          <w:pPr>
            <w:pStyle w:val="LLPerustelujenkappalejako"/>
          </w:pPr>
          <w:r>
            <w:t>Ene</w:t>
          </w:r>
          <w:r w:rsidR="00020CF2">
            <w:t>rgiavirasto antaisi päätöksen 6</w:t>
          </w:r>
          <w:r w:rsidR="00020CF2">
            <w:sym w:font="Symbol" w:char="F02D"/>
          </w:r>
          <w:r>
            <w:t>9 §:n mukaisesti lasketun tuen myöntämisestä. Päästökaupan valtiontukisuuntaviivojen mukaisesti, jotta tuella olisi kannustava vaikutus ja sillä voitaisiin tosiasiallisesti estää hiilivuotoa, sitä on haettava ja se on maksettava tuensaajalle tarkasteluvuonna tai sitä seuraavana vuonna. Näin ollen Energiaviraston tulisi käsitellä hakemus siten, että tuki voitaisiin maksaa toiminnanharjoittajalle 12 §:n mukaisest</w:t>
          </w:r>
          <w:r w:rsidR="00020CF2">
            <w:t>i saman kalenterivuoden aikana.</w:t>
          </w:r>
        </w:p>
        <w:p w14:paraId="1164B007" w14:textId="77777777" w:rsidR="00681D63" w:rsidRDefault="007628E3" w:rsidP="00891F68">
          <w:pPr>
            <w:pStyle w:val="LLPerustelujenkappalejako"/>
          </w:pPr>
          <w:r>
            <w:t>Tarkempia säännöksiä tuen myöntämisestä annettavasta päätöksestä voitaisiin antaa valtioneuvoston asetuksella.</w:t>
          </w:r>
        </w:p>
        <w:p w14:paraId="3AE1CD8F" w14:textId="47941215" w:rsidR="00681D63" w:rsidRDefault="00681D63" w:rsidP="00681D63">
          <w:pPr>
            <w:pStyle w:val="LLPerustelujenkappalejako"/>
          </w:pPr>
          <w:r w:rsidRPr="00681D63">
            <w:rPr>
              <w:b/>
            </w:rPr>
            <w:t xml:space="preserve">12 §. </w:t>
          </w:r>
          <w:r w:rsidRPr="00020CF2">
            <w:rPr>
              <w:i/>
            </w:rPr>
            <w:t>Tuen maksaminen.</w:t>
          </w:r>
          <w:r>
            <w:t xml:space="preserve"> Päästökaupan valtiontukisuuntaviivojen mukaisesti, jotta tuella olisi kannustava vaikutus ja sillä voitaisiin tosiasiallisesti estää hiilivuotoa, sitä on haettava ja se on maksettava tuensaajalle tarkasteluvuonna tai sitä seuraavana vuonna. Näin ollen Energiavirasto maksaisi tuen 11 §:n päätöksen mukaisesti viimeistään sen kalenterivuoden lopussa, jona tukea on haettu. Maksettavasta summasta Energiavirasto voisi kuitata takaisinperittävän tai palautettavan tuen taikka sen perusteella perittävän koron tai vi</w:t>
          </w:r>
          <w:r w:rsidR="00020CF2">
            <w:t>ivästyskoron 24 §:n mukaisesti.</w:t>
          </w:r>
        </w:p>
        <w:p w14:paraId="5B3FC3F7" w14:textId="211E2871" w:rsidR="00681D63" w:rsidRDefault="00681D63" w:rsidP="00681D63">
          <w:pPr>
            <w:pStyle w:val="LLPerustelujenkappalejako"/>
          </w:pPr>
          <w:r>
            <w:t>Energiaviraston tulisi jättää tuki maksamatta, jos tuensaajaa koskee Euroopan komission valtiontukien alalla antamaan sellaiseen aikaisempaan päätökseen perustuva maksamaton takaisinperintämääräys, jossa tuki on julistettu sääntöjen vastaiseksi ja sisämarkkinoille soveltumattomaksi.</w:t>
          </w:r>
        </w:p>
        <w:p w14:paraId="563F5C4A" w14:textId="3FFCF70B" w:rsidR="00347EEA" w:rsidRDefault="00681D63" w:rsidP="00347EEA">
          <w:pPr>
            <w:pStyle w:val="LLPerustelujenkappalejako"/>
          </w:pPr>
          <w:r w:rsidRPr="00347EEA">
            <w:rPr>
              <w:b/>
            </w:rPr>
            <w:t xml:space="preserve">13 §. </w:t>
          </w:r>
          <w:r w:rsidRPr="00020CF2">
            <w:rPr>
              <w:i/>
            </w:rPr>
            <w:t xml:space="preserve">Tuen käyttö. </w:t>
          </w:r>
          <w:r w:rsidR="00347EEA">
            <w:t>Kehittämistoimet, joihin toiminnanharjoittajan tulee 1 momentin mukaisesti kohdistaa saamaansa tukea, tulee toteuttaa vuoden 2028 loppuun mennessä. Tukiohjelma on viisivuotinen ja sen mukaista tukea maksetaan viimeisen kerran vuonna 2026. Koska vuosittain myönnettävän tuen määrään liittyy epävarmuutta, on tarpeen varata toiminnanharjoittajalle aikaa vielä vuoden 2026 jälkeen käytt</w:t>
          </w:r>
          <w:r w:rsidR="00020CF2">
            <w:t>ää tuki tarkoituksenmukaisesti.</w:t>
          </w:r>
        </w:p>
        <w:p w14:paraId="7046E497" w14:textId="7855045A" w:rsidR="00347EEA" w:rsidRDefault="00347EEA" w:rsidP="00347EEA">
          <w:pPr>
            <w:pStyle w:val="LLPerustelujenkappalejako"/>
          </w:pPr>
          <w:r>
            <w:t xml:space="preserve">Pykälän 3 momentissa säädettäisiin toiminnanharjoittajan velvoitteesta toimittaa Energiavirastolle tietoja, joilla Energiavirasto voi varmistua, että toiminnanharjoittaja täyttää 1 momentin mukaisen velvoitteen koskien tuen käyttöä. Tiedot tulee toimittaa, jotta Energiavirasto voi arvioida, täyttääkö toiminnanharjoittaja tuensaajalle tässä laissa kohdistetut ehdot. Energiavirasto voi edellyttää toiminnanharjoittajaa toimittamaan tukihakemuksen liitteenä tiedot suunnitelmasta, miten toiminnanharjoittaja </w:t>
          </w:r>
          <w:r w:rsidR="00020CF2">
            <w:t>suunnittelee tukea käyttävänsä.</w:t>
          </w:r>
        </w:p>
        <w:p w14:paraId="081EA1B9" w14:textId="7DCEA15B" w:rsidR="00C7116E" w:rsidRDefault="00347EEA" w:rsidP="00347EEA">
          <w:pPr>
            <w:pStyle w:val="LLPerustelujenkappalejako"/>
          </w:pPr>
          <w:r>
            <w:t>Tarkempia säännöksiä kehittämistoimille asetetuista vaatimuksista, niitä koskevien tietojen toimittamisesta ja käsittelystä Energiavirastossa annettaisi</w:t>
          </w:r>
          <w:r w:rsidR="00020CF2">
            <w:t>in valtioneuvoston asetuksella.</w:t>
          </w:r>
        </w:p>
        <w:p w14:paraId="04659B50" w14:textId="3266C520" w:rsidR="00C7116E" w:rsidRDefault="00C7116E" w:rsidP="00C7116E">
          <w:pPr>
            <w:pStyle w:val="LLPerustelujenkappalejako"/>
          </w:pPr>
          <w:r w:rsidRPr="00C7116E">
            <w:rPr>
              <w:b/>
            </w:rPr>
            <w:t>14</w:t>
          </w:r>
          <w:r w:rsidR="00020CF2">
            <w:rPr>
              <w:b/>
            </w:rPr>
            <w:t xml:space="preserve"> </w:t>
          </w:r>
          <w:r w:rsidRPr="00C7116E">
            <w:rPr>
              <w:b/>
            </w:rPr>
            <w:t xml:space="preserve">§. </w:t>
          </w:r>
          <w:r w:rsidRPr="00020CF2">
            <w:rPr>
              <w:i/>
            </w:rPr>
            <w:t>Tiedonsaantioikeus.</w:t>
          </w:r>
          <w:r w:rsidR="00891F68">
            <w:t xml:space="preserve"> </w:t>
          </w:r>
          <w:r>
            <w:t xml:space="preserve">Tehokas ja tarkoituksenmukainen valvonta edellyttää laissa turvattua oikeutta saada valvontaa varten tarpeellisia tietoja. Energiavirastolla olisi 1 momentin mukaan oikeus saada lain säännösten noudattamisen valvontaa varten tarpeelliset tiedot toiminnanharjoittajilta, sähköntuottajalta, joka toimittaa sähköä toiminnanharjoittajalle sekä verkonhaltijoilta jotka eivät voisi olla antamatta viranomaisen vaatimia tietoja. Valvontaa varten tarpeellisilla tiedoilla tarkoitettaisiin sellaisia tietoja, jotka ovat sisällöllisesti paikkansa pitäviä ja jotka antavat oikean ja riittävän kuvan lain säännösten ja Energiaviraston päätöksissä annettujen määräysten noudattamisesta. Energiavirasto voi määräyksellä velvoittaa antamaan tarvittavat tiedot ja tarvittaessa tehostaa määräystä 17 §:n </w:t>
          </w:r>
          <w:r w:rsidR="00020CF2">
            <w:t>2 momentin nojalla uhkasakolla.</w:t>
          </w:r>
        </w:p>
        <w:p w14:paraId="42F47D4B" w14:textId="48CF4607" w:rsidR="00891F68" w:rsidRDefault="00C7116E" w:rsidP="00C7116E">
          <w:pPr>
            <w:pStyle w:val="LLPerustelujenkappalejako"/>
          </w:pPr>
          <w:r>
            <w:t>Energiavirastolla olisi 2 momentin mukaan oikeus julkisuuslaissa tai muualla laissa säädetyn salassapitovelvollisuuden estämättä saada lain säännösten noudattamisen valvontaa varten välttämättömiä tietoja viranomaisilta. Nämä valvonnan kannalta välttämättömät tiedot voisivat koskea toiminnanharjoittajan tuen alaisten tuotteiden tuottamista tai toiminnanharjoittajaa koskevia muita seikkoja, joilla on olennaista merkitystä tuen määräytymisen, maksamisen, käytön, takaisinperinnän tai tuen saajaan kohdistuvien velvoitteiden kannalta. Kyseisiä tietoja voi esimerkiksi olla veroviranomaisilla, tullilla ja Energiavirastolla itsellään. Julkisuuslaissa ei ole säännöksiä siitä, että salassa pidettäviä tietoja voisi luovuttaa toiselle viranomaiselle tietyn tehtävän suorittamiseksi. Asiasta täytyy säätää erikseen, koska kyseeseen saattaa tulla viranomaisen tiedonsaantitarpeen kannalta keskeinen tieto, joka julkisuuslain n</w:t>
          </w:r>
          <w:r w:rsidR="00020CF2">
            <w:t>ojalla olisi salassa pidettävä.</w:t>
          </w:r>
        </w:p>
        <w:p w14:paraId="32222A67" w14:textId="5483F486" w:rsidR="00C7116E" w:rsidRDefault="00C7116E" w:rsidP="00C7116E">
          <w:pPr>
            <w:pStyle w:val="LLPerustelujenkappalejako"/>
          </w:pPr>
          <w:r w:rsidRPr="00C7116E">
            <w:rPr>
              <w:b/>
            </w:rPr>
            <w:t xml:space="preserve">15 §. </w:t>
          </w:r>
          <w:r w:rsidRPr="00020CF2">
            <w:rPr>
              <w:i/>
            </w:rPr>
            <w:t>Tietojen luovuttaminen.</w:t>
          </w:r>
          <w:r>
            <w:t xml:space="preserve"> </w:t>
          </w:r>
          <w:r w:rsidRPr="00C7116E">
            <w:t>Pykälän mukaan salassapitosäännökset eivät estäisi tietojen luovuttamista Energiavirastolta syyttäjälle ja poliisille rikoksen ehkäisemiseksi ja selvittämiseksi taikka toimivaltaiselle Euroopan unionin toimielimelle tai unionin muulle elimelle, jos Euroopan unionin lainsäädännössä tai muussa Suomen jäsenyyteen Euroopa</w:t>
          </w:r>
          <w:r>
            <w:t>n unionissa liittyvässä velvoit</w:t>
          </w:r>
          <w:r w:rsidRPr="00C7116E">
            <w:t>teessa sitä edellytetään. Tämän pykälän mukaisesti Energiavirasto olisi myös oikeutettu toimittamaan tukihakemuksessa sekä valvonnan yhteydessä saatuja tietoja työ- ja elinkeinoministeriölle. Pykälän 2 kohta liittyy keskeisesti EU:n valtiontukisääntelyn valvontaan, ja vastuutaho asiassa on työ- ja elinkeinoministeriö.</w:t>
          </w:r>
        </w:p>
        <w:p w14:paraId="40391C92" w14:textId="10A9EDBC" w:rsidR="00C7116E" w:rsidRDefault="00C7116E" w:rsidP="00C7116E">
          <w:pPr>
            <w:pStyle w:val="LLPerustelujenkappalejako"/>
          </w:pPr>
          <w:r w:rsidRPr="00C7116E">
            <w:rPr>
              <w:b/>
            </w:rPr>
            <w:t xml:space="preserve">16 §. </w:t>
          </w:r>
          <w:r w:rsidRPr="00020CF2">
            <w:rPr>
              <w:i/>
            </w:rPr>
            <w:t>Viranomaisen tarkastusoikeus.</w:t>
          </w:r>
          <w:r>
            <w:t xml:space="preserve"> Pykälän 1 momentissa varmistettaisiin Energiaviraston tarkastusoikeus laitoksissa, tiloissa ja alueilla, joihin pääsy on laissa tarkoitetun valvonnan kannalta tarpeen. Tämä oikeus käsittäisi kaikki ne tilat ja alueet, joiden olosuhteilla on merkitystä arvioitaessa muun muassa 4 §:ssä säädettyjen edellytysten täyttymistä. Tällaisia tiloja ja alueita voivat olla esimerkiksi toiminnanharjoittajan tukea saavan laitoksen tilat tai alue taikka sähköntuottajan hallitsema tila, joissa säilytetään tietoja toiminnanharjoittajalle toimitetusta sähköstä sekä verkonhaltijan mittarin sijaintipaikka. Energiavirastolla olisi myös oikeus tehdä kyseisissä tiloissa ja alueilla tarkastuksia ja ryhtyä muihin valvonnan edellyttämiin toimenpiteisiin. Perustuslain 10 §:n nojalla on turvattu kotirauha. Lailla voidaan kuitenkin säätää perusoikeuksien turvaamiseksi tai rikosten selvittämiseksi välttämättömistä kotirauhan piiriin ulottuvista toimenpiteistä. Kotirauhan piirissä ovat viranomaistarkastukset mahdollisia, kun on aihetta epäillä tapahtuneen rikos, josta voi seuraamuksena olla vankeusrangaistus. Tämän vuoksi Energiaviraston toimivalta olisi 1 momentin nojalla rajoitettu, kun kyse on pysyväisluonteiseen asumiseen tarkoitetuista tiloista. Tällaisissa tiloissa valvontatoimenpiteet olisivat mahdollisia vain, jos on syytä epäillä, että on tehty rikoslain (39/1889) 16 luvun 8 §:ssä tarkoitettu rikos (väärän todistuksen antaminen viranomaiselle) taikka 29 luvun 5 tai 6 §:ssä tarkoitettu rikos (avustuspetos tai törkeä avustuspetos), ja tarkastus on välttämätön tarkastuksen kohteena olevien seikkojen selvittämiseksi.</w:t>
          </w:r>
        </w:p>
        <w:p w14:paraId="263FB92A" w14:textId="4EDC117A" w:rsidR="00C7116E" w:rsidRDefault="00C7116E" w:rsidP="00C7116E">
          <w:pPr>
            <w:pStyle w:val="LLPerustelujenkappalejako"/>
          </w:pPr>
          <w:r>
            <w:t xml:space="preserve">Energiavirastolla olisi tarkastusta suorittaessaan oikeus ottaa tarkastuksen kohteena olevan toiminnanharjoittajan, sähköntuottajan tai verkonhaltijan aineisto haltuunsa. Haltuunotto voi tulla kyseeseen silloin, kun asiaa ei voida tarkastuksen vaatimalla tavalla selvittää tarkastuksen yhteydessä ja aineiston haltuunotto on siksi tarkastuksen tavoitteiden toteuttamisen kannalta välttämätöntä. Haltuunoton kohteena voivat olla kaikki tarkastusoikeuden piirissä olevat asiakirjat, tallenteet ja muu aineisto. Aineisto olisi palautettava viipymättä, kun sitä ei enää tarvita tarkastuksen suorittamiseksi. Ratkaisevaa tarpeen kannalta on se, tarvitaanko aineistoa tarkastuksen tavoitteen edellyttämien lisätietojen hankkimiseksi tai tietojen oikeellisuuden tarkistamiseksi. </w:t>
          </w:r>
          <w:r w:rsidRPr="008C2C8E">
            <w:t xml:space="preserve">Aineiston haltuunottoa ei </w:t>
          </w:r>
          <w:r w:rsidR="008C2C8E">
            <w:t>esimerkiksi voitaisi</w:t>
          </w:r>
          <w:r w:rsidRPr="008C2C8E">
            <w:t xml:space="preserve"> jatkaa siihen asti, kunnes päätös tuen palauttamis</w:t>
          </w:r>
          <w:r w:rsidR="008C2C8E">
            <w:t>esta</w:t>
          </w:r>
          <w:r w:rsidR="00020CF2" w:rsidRPr="008C2C8E">
            <w:t xml:space="preserve"> on tehty.</w:t>
          </w:r>
        </w:p>
        <w:p w14:paraId="65489EE1" w14:textId="1AB447AD" w:rsidR="00C7116E" w:rsidRDefault="00C7116E" w:rsidP="00C7116E">
          <w:pPr>
            <w:pStyle w:val="LLPerustelujenkappalejako"/>
          </w:pPr>
          <w:r>
            <w:t>Pykälän 3 momentin nojalla tarkastuksen kohteena olevan tulee avustaa Energiavirastoa tarkastuksen suorittamisessa. Tämä tarkoittaa, että toiminnanharjoittajan tai muun tarkastuksen kohteena olevan on toimittava hyvässä yhteistyössä tarkastusta suorittavan kanssa ja annettava kaikki tarkastuksen kannalta tarpeellinen aineisto sekä tarkastuksen suorittamisessa tarpeelliset tiedot ja selvitykset. Tarpeellisina voidaan esimerkiksi pitää tietoja, selvityksiä ja aineistoa, joiden avulla 4 §:ssä säädettyjen edellytysten täyttyminen ja tuen maksamisen perusteet voidaan selvittää.</w:t>
          </w:r>
        </w:p>
        <w:p w14:paraId="17BA9390" w14:textId="51ACA5EF" w:rsidR="00D92D81" w:rsidRDefault="00C7116E" w:rsidP="00D92D81">
          <w:pPr>
            <w:pStyle w:val="LLPerustelujenkappalejako"/>
          </w:pPr>
          <w:r w:rsidRPr="00D92D81">
            <w:rPr>
              <w:b/>
            </w:rPr>
            <w:t xml:space="preserve">17 §. </w:t>
          </w:r>
          <w:r w:rsidRPr="00020CF2">
            <w:rPr>
              <w:i/>
            </w:rPr>
            <w:t>Rikkomuksen tai laiminlyönnin oikaiseminen.</w:t>
          </w:r>
          <w:r>
            <w:t xml:space="preserve"> </w:t>
          </w:r>
          <w:r w:rsidR="00D92D81">
            <w:t>Pykälässä säädettäisiin Energiaviraston käytettävissä olevista keinoista, kun lain säännöksiä taikka lain nojalla annettuja säännöksiä tai määräyksiä ei noudateta. Energiavirasto voisi esimerkiksi vaatia 1 momentin perusteella toiminnanharjoittajaa toimittamaan 16 §:n 2 momentin mukaiset asiakirjat Energiavirastolle. Energiaviraston olisi ennen kiellon tai määräyksen antamista kuultava asianosaista. Kuulemiseen sovelletaan, mitä hallintolaissa säädetään. Kieltoa ja määräystä koskevan päätöksen tiedoksiantoon sovelletaan, mitä hallintolaissa säädetään. Kun päätös sisältää asianosaista velvoittavan ratkaisun, on päätös annettava tiedoksi hallintolain 60 §:n mukaisesti todisteellisena tiedoksiantona. Energiaviraston 1 momentin nojalla antamaa määräystä olisi 26 §:n 2 momentin nojalla muutoksenhausta huolimatta noudatettava, jollei muutoksen</w:t>
          </w:r>
          <w:r w:rsidR="00020CF2">
            <w:t>hakutuomioistuin toisin määrää.</w:t>
          </w:r>
        </w:p>
        <w:p w14:paraId="112E7EA8" w14:textId="1881AD97" w:rsidR="00C7116E" w:rsidRDefault="00D92D81" w:rsidP="00D92D81">
          <w:pPr>
            <w:pStyle w:val="LLPerustelujenkappalejako"/>
          </w:pPr>
          <w:r>
            <w:t xml:space="preserve">Pykälän 2 momentin mukaan Energiavirasto voisi tehostaa 1 momentin nojalla antamaansa kieltoa tai määräystä uhkasakolla taikka </w:t>
          </w:r>
          <w:proofErr w:type="spellStart"/>
          <w:r>
            <w:t>teettämis</w:t>
          </w:r>
          <w:proofErr w:type="spellEnd"/>
          <w:r>
            <w:t>- tai keskeyttämisuhalla siten kuin uhkasakkolaissa (1113/1990) säädetään. Pääsääntöisesti 1 momentin nojalla annettu päävelvoite ja uhkasakko määrättäisiin samalla päätöksellä.</w:t>
          </w:r>
        </w:p>
        <w:p w14:paraId="41ED4862" w14:textId="3949F156" w:rsidR="00D92D81" w:rsidRDefault="00D92D81" w:rsidP="00D92D81">
          <w:pPr>
            <w:pStyle w:val="LLPerustelujenkappalejako"/>
          </w:pPr>
          <w:r w:rsidRPr="00D92D81">
            <w:rPr>
              <w:b/>
            </w:rPr>
            <w:t xml:space="preserve">18 §. </w:t>
          </w:r>
          <w:r w:rsidRPr="00020CF2">
            <w:rPr>
              <w:i/>
            </w:rPr>
            <w:t>Virka-apu.</w:t>
          </w:r>
          <w:r>
            <w:t xml:space="preserve"> </w:t>
          </w:r>
          <w:r w:rsidRPr="00D92D81">
            <w:t>Pykälässä olisi viittaus poliisilain (872/2011) 9 luvun 1 </w:t>
          </w:r>
          <w:proofErr w:type="gramStart"/>
          <w:r w:rsidRPr="00D92D81">
            <w:t>§:</w:t>
          </w:r>
          <w:proofErr w:type="spellStart"/>
          <w:r w:rsidRPr="00D92D81">
            <w:t>ään</w:t>
          </w:r>
          <w:proofErr w:type="spellEnd"/>
          <w:proofErr w:type="gramEnd"/>
          <w:r w:rsidRPr="00D92D81">
            <w:t>, jossa säädetään poliisin velvollisuudesta virka-apuun. Pykälässä annettaisiin tulliviranomaisille toimivaltuudet virka-avun antamiseen.</w:t>
          </w:r>
        </w:p>
        <w:p w14:paraId="64BC49A1" w14:textId="2B560711" w:rsidR="00D92D81" w:rsidRDefault="00D92D81" w:rsidP="00D92D81">
          <w:pPr>
            <w:pStyle w:val="LLPerustelujenkappalejako"/>
          </w:pPr>
          <w:r w:rsidRPr="00D92D81">
            <w:rPr>
              <w:b/>
            </w:rPr>
            <w:t xml:space="preserve">19 §. </w:t>
          </w:r>
          <w:r w:rsidRPr="00020CF2">
            <w:rPr>
              <w:i/>
            </w:rPr>
            <w:t>Viittaus rikoslakiin.</w:t>
          </w:r>
          <w:r>
            <w:t xml:space="preserve"> </w:t>
          </w:r>
          <w:r w:rsidRPr="00D92D81">
            <w:t xml:space="preserve">Pykälässä olisi viittaus rikoslain (39/1889) 16 luvun 8 </w:t>
          </w:r>
          <w:proofErr w:type="gramStart"/>
          <w:r w:rsidRPr="00D92D81">
            <w:t>§:</w:t>
          </w:r>
          <w:proofErr w:type="spellStart"/>
          <w:r w:rsidRPr="00D92D81">
            <w:t>ään</w:t>
          </w:r>
          <w:proofErr w:type="spellEnd"/>
          <w:proofErr w:type="gramEnd"/>
          <w:r w:rsidRPr="00D92D81">
            <w:t>, jossa säädetään rangaistuksesta väärän todistuksen antamisesta ja 29 luvun 5 ja 6 §:</w:t>
          </w:r>
          <w:proofErr w:type="spellStart"/>
          <w:r w:rsidRPr="00D92D81">
            <w:t>ään</w:t>
          </w:r>
          <w:proofErr w:type="spellEnd"/>
          <w:r w:rsidRPr="00D92D81">
            <w:t>, joissa säädetään rangaistuksesta avustuspetoksesta.</w:t>
          </w:r>
        </w:p>
        <w:p w14:paraId="1C8CC49D" w14:textId="290E82D0" w:rsidR="00D92D81" w:rsidRDefault="00D92D81" w:rsidP="00D92D81">
          <w:pPr>
            <w:pStyle w:val="LLPerustelujenkappalejako"/>
          </w:pPr>
          <w:r w:rsidRPr="00D92D81">
            <w:rPr>
              <w:b/>
            </w:rPr>
            <w:t xml:space="preserve">20 §. </w:t>
          </w:r>
          <w:r w:rsidRPr="00020CF2">
            <w:rPr>
              <w:i/>
            </w:rPr>
            <w:t>Palauttaminen.</w:t>
          </w:r>
          <w:r>
            <w:t xml:space="preserve"> Pykälässä säädettäisiin toiminnanharjoittajan velvollisuudesta palauttaa virheellisesti, liikaa tai muutoin ilmeisen perusteetta saamansa tuki taikka sen osa. Toiminnanharjoittajan olisi oma-aloitteisesti ja viipymättä ryhdyttävä toimenpiteisiin saamansa perusteettoman edun palauttamiseksi. Virheellisesti tai liikaa saatuna tukena olisi pidettävä suoritusta, joka maksetaan perusteetta tai liian suurena. Liikaa saatua olisi esimerkiksi virheellisesti liian suureen toteutuneeseen tuotokseen tai toteutuneeseen sähkönkulutukseen perustuva tuki. Syynä virheellisesti, liikaa tai perusteetta maksetulle tuelle voi olla esimerkiksi toiminnanharjoittajan laiminlyönti, huolimattomuus tai vilpillinen menettely. Tällainen tilanne voi tapahtua esimerkiksi silloin, kun toiminnanharjoittaja on rajannut tukikelpoiset toiminnot laitoksellaan virheellisesti. Toiminnanharjoittaja on voinut erehdyksessä tai tarkoituksella antaa Energiavirastolle väärän tai harhaanjohtavan tiedon seikasta, joka on vaikuttanut maksettavan tuen määrään, taikka salannut sellaisen seikan. Väärällä tiedolla tarkoitettaisiin tietoja, jotka eivät vastaa tosiasioita tiedon antamishetkellä, ja harhaanjohtavalla tiedolla tietoja ja esittämistapaa, joiden takia Energiavirasto ei saa olennaisilta osin oikeaa ja riittävää kuvaa maksettavan tuen määrään vaikuttavista seikoista. Perusteettoman edun palauttaminen saataisiin jättää tekemättä, jos palautettava määrä on enintään 100 euroa. Säännös vastaisi tältä osin valtionavustuslain (688/2001) 20 §:ssä ja muualla laissa omaksuttuja periaatteita siitä, milloin määrältään erittäin pieni julkisoikeudellinen maksuvelvollisuus voidaan jättää hoitamatta.</w:t>
          </w:r>
        </w:p>
        <w:p w14:paraId="5F92FB71" w14:textId="7E774452" w:rsidR="009B483F" w:rsidRDefault="009B483F" w:rsidP="009B483F">
          <w:pPr>
            <w:pStyle w:val="LLPerustelujenkappalejako"/>
          </w:pPr>
          <w:r w:rsidRPr="009B483F">
            <w:rPr>
              <w:b/>
            </w:rPr>
            <w:t xml:space="preserve">21 §. </w:t>
          </w:r>
          <w:r w:rsidRPr="00020CF2">
            <w:rPr>
              <w:i/>
            </w:rPr>
            <w:t>Takaisinperintä.</w:t>
          </w:r>
          <w:r>
            <w:t xml:space="preserve"> Pykälässä säädettäisiin tuen takaisinperinnästä sekä siihen lii</w:t>
          </w:r>
          <w:r w:rsidR="00020CF2">
            <w:t>ttyvästä viranomaisharkinnasta.</w:t>
          </w:r>
        </w:p>
        <w:p w14:paraId="24C4F665" w14:textId="748B37A2" w:rsidR="009B483F" w:rsidRDefault="009B483F" w:rsidP="009B483F">
          <w:pPr>
            <w:pStyle w:val="LLPerustelujenkappalejako"/>
          </w:pPr>
          <w:r>
            <w:t>Pykälän 1 momentin mukaan Energiavirastolla ei olisi takaisinperintään ryhtymisen suhteen harkintavaltaa, vaan sen olisi päätöksellään määrättävä jo maksettu tuki perittäväksi takaisin, kun kyse on 22 §:n mukaisen palautusvelvollisuuden laiminlyönnistä. Takaisinperintä on tällöin rajoitettava vastaavasti siihen määrään kuin 22 §:n mukaan olisi palautettava. Energiavirasto voisi tarvittaessa hallintopäätöksellä vahvistaa palautusvelvoll</w:t>
          </w:r>
          <w:r w:rsidR="00020CF2">
            <w:t>isuuden olemassaolon ja määrän.</w:t>
          </w:r>
        </w:p>
        <w:p w14:paraId="691A3D13" w14:textId="746EB0AC" w:rsidR="009B483F" w:rsidRDefault="009B483F" w:rsidP="009B483F">
          <w:pPr>
            <w:pStyle w:val="LLPerustelujenkappalejako"/>
          </w:pPr>
          <w:r>
            <w:t>Pykälän 2 momentissa säädettäisiin tuen harkinnanvaraisesta takaisinperinnästä. Energiavirasto voisi harkita, edellyttääkö julkisen edun turvaaminen takaisinperintää ja onko takaisinperintää pidettävä oikeasuhtaisena laiminlyöntiin nähden. Perusteet liittyvät tuen käyttöön kohdistuviin velvoitteisiin, joita ei aina olisi pidettävä 1 momentissa tarkoitetulla tavalla olennaisina siten, että niiden seurauksena pitäisi järjestelmällisesti olla takaisinperintä. Takaisinperintää olisi harkittava, jos toiminnanharjoittaja on menetellyt 13 §:n vastaisesti. Tällöin takaisinperintää olisi harkittava siltä osin, kun tuen 13 § mukaista käyttöä ei voida osoittaa.  Takaisinperintä voisi tulla kyseeseen tilanteessa, missä olosuhteiden muutoksen johdosta myönnetyn tuen käyttö estyy. Takaisinperinnän perusteena voi olla tuen käytön kohteena olevan toiminnan olennainen supistaminen tai luovuttaminen toiselle. Yleensä tuen käyttötarkoituksen toteuttamisella on merkitystä sille taholle, joka on vastuussa kohteen toiminnasta. Tämän lain mukaisessa tuessa ei siten ole yleensä kysymys edelleen siirrettävissä olevasta taloudellisesta etuudesta. Tuki on voitava periä takaisin, mikäli tuen käytön kohteena oleva toiminta siirretään toiselle henkilölle. Energiavirasto voi kuitenkin päättää jättää avustuksen perimättä takaisin, jos tuki voitaisiin kyseisessä tilanteessa myöntää myös sille, jolle tuen käytön kohteena ollut toiminta on siirretty. Pienissä virheissä tai olosuhteiden muutoksissa tuen takaisinperintä olisi tavoiteltavaan julkiseen etuun nähden liian raskas toimenpide. Suhteellisuusperiaatteen mukaisesti tuen käyttötarkoituksen toteutumista osittain estävän olosuhteiden muutoksen tulee olla hyväksyttävässä ja järk</w:t>
          </w:r>
          <w:r w:rsidR="00020CF2">
            <w:t>evässä suhteessa seuraamukseen.</w:t>
          </w:r>
        </w:p>
        <w:p w14:paraId="429195F5" w14:textId="35BAAAFD" w:rsidR="00681D63" w:rsidRDefault="009B483F" w:rsidP="00681D63">
          <w:pPr>
            <w:pStyle w:val="LLPerustelujenkappalejako"/>
          </w:pPr>
          <w:r>
            <w:t>Pykälän 3 momentissa olisi viittaus valtionavustuslain 21 §:n 3 kohtaan. Energiavirastolla olisi velvollisuus tuen takaisinperintään, jos toiminnanharjoittaja on antanut Energiavirastolle väärän tai harhaanjohtavan tiedon seikasta, joka on ollut omiaan olennaisesti vaikuttamaan tuen saantiin tai määrään taikka salannut sellaisen seikan. Energiaviraston takaisinperintää koskevaan päätökseen olisi 25 §:n nojalla mahdollista hakea oikaisua. Energiaviraston oikaisupyynnön johdosta antamasta päätöksestä olisi mahdollista valittaa hallinto-oikeuteen hallintolainkäyttölaissa säädetyssä järjestyksessä. Energiaviraston päätöstä olisi 26 §:n nojalla muutoksenhausta huolimatta noudatettava, jollei muutoksen</w:t>
          </w:r>
          <w:r w:rsidR="00020CF2">
            <w:t>hakutuomioistuin toisin määrää.</w:t>
          </w:r>
        </w:p>
        <w:p w14:paraId="1E03909A" w14:textId="4A4DF420" w:rsidR="009B483F" w:rsidRDefault="009B483F" w:rsidP="00681D63">
          <w:pPr>
            <w:pStyle w:val="LLPerustelujenkappalejako"/>
          </w:pPr>
          <w:r w:rsidRPr="009B483F">
            <w:rPr>
              <w:b/>
            </w:rPr>
            <w:t xml:space="preserve">22 §. </w:t>
          </w:r>
          <w:r w:rsidRPr="00020CF2">
            <w:rPr>
              <w:i/>
            </w:rPr>
            <w:t>Korko ja viivästyskorko.</w:t>
          </w:r>
          <w:r>
            <w:t xml:space="preserve"> </w:t>
          </w:r>
          <w:r w:rsidRPr="009B483F">
            <w:t xml:space="preserve">Pykälässä olisi viittaus valtionavustuslain 24 ja 25 </w:t>
          </w:r>
          <w:proofErr w:type="gramStart"/>
          <w:r w:rsidRPr="009B483F">
            <w:t>§:</w:t>
          </w:r>
          <w:proofErr w:type="spellStart"/>
          <w:r w:rsidRPr="009B483F">
            <w:t>ään</w:t>
          </w:r>
          <w:proofErr w:type="spellEnd"/>
          <w:proofErr w:type="gramEnd"/>
          <w:r w:rsidRPr="009B483F">
            <w:t xml:space="preserve">. Toiminnanharjoittaja olisi velvollinen maksamaan palautettavalle ja takaisinperittävälle määrälle vuotuista korkoa. Koronmaksuvelvollisuus alkaa </w:t>
          </w:r>
          <w:proofErr w:type="spellStart"/>
          <w:r w:rsidRPr="009B483F">
            <w:t>palauttamis</w:t>
          </w:r>
          <w:proofErr w:type="spellEnd"/>
          <w:r w:rsidRPr="009B483F">
            <w:t>- tai takaisinperintätilanteissa siitä päivästä, jona tuki taikka sen osa on maksettu toiminnanharjoittajalle. Korkoa on maksettava siihen päivään saakka, jona tuki maksetaan takaisin ja enintään Energiaviraston takaisinmaksamiselle määräämään eräpäivään. Korkokanta on korkolain (633/1982) 3 §:n 2 momentissa tarkoitettu korko lisättynä kolmella prosenttiyksiköllä. Takaisin perittävälle määrälle olisi maksettava viivästyskorkoa, kun toiminnanharjoittaja ei ole täyttänyt takaisinmaksuvelvollisuuttaan viimeistään Energiaviraston asettamassa määräajassa. Viivästyskoron korkokanta olisi valtionavustuslain 25 §:n mukaisesti korkolain 4 §:n 1 momentin mukainen yleinen viivästyskoron määrä.</w:t>
          </w:r>
        </w:p>
        <w:p w14:paraId="7429999A" w14:textId="77777777" w:rsidR="009B483F" w:rsidRDefault="009B483F" w:rsidP="009B483F">
          <w:pPr>
            <w:pStyle w:val="LLPerustelujenkappalejako"/>
          </w:pPr>
          <w:r w:rsidRPr="009B483F">
            <w:rPr>
              <w:b/>
            </w:rPr>
            <w:t xml:space="preserve">23 §. </w:t>
          </w:r>
          <w:r w:rsidRPr="00020CF2">
            <w:rPr>
              <w:i/>
            </w:rPr>
            <w:t>Takaisinperinnän ja palauttamisen määräaika sekä vanhentumisaika.</w:t>
          </w:r>
          <w:r>
            <w:t xml:space="preserve"> Energiaviraston tulisi pykälän 1 momentin mukaan tehdä tuen takaisinperintää koskeva päätös viipymättä sen jälkeen, kun sen perusteesta on saatu tieto. Päätöksen tekeminen lähtökohtaisesti viipymättä edellyttäisi, että takaisinperintää koskevan asian käsittelylle annettaisiin etusija verrattuna muihin tässä laissa tarkoitettuihin hallintoasioihin.</w:t>
          </w:r>
        </w:p>
        <w:p w14:paraId="2B9B50E2" w14:textId="194C6F86" w:rsidR="009B483F" w:rsidRDefault="009B483F" w:rsidP="009B483F">
          <w:pPr>
            <w:pStyle w:val="LLPerustelujenkappalejako"/>
          </w:pPr>
          <w:r>
            <w:t>Pykälän 2 momentissa säädettäisiin määräajasta, jonka jälkeen Energiavirasto ei saa enää ryhtyä tuen taikka sille maksettavan koron tai viivästyskoron takaisinperintään. Takaisinperintään ei saisi enää ryhtyä, kun on kulunut kymmenen vuotta kyseisen tuen myöntämisestä 11 §:n nojalla. Takaisinperinnän vanhentumisaika koskisi aina sitä tukimäärää joka toiminnanharjoittajalle on myönnetty kunakin vuonna, sekä sen perusteella perittäviä korkoja sekä viivästyskorkoja. Vastaavasti velvollisuus tuen palauttamiseen 20 §:n nojalla raukeaisi, kun kymmenen vuotta on kulunut kyseisen tuen myöntämisestä.</w:t>
          </w:r>
        </w:p>
        <w:p w14:paraId="3A42F31C" w14:textId="708B28C3" w:rsidR="00EF0A6E" w:rsidRDefault="00EF0A6E" w:rsidP="00EF0A6E">
          <w:pPr>
            <w:pStyle w:val="LLPerustelujenkappalejako"/>
          </w:pPr>
          <w:r w:rsidRPr="00EF0A6E">
            <w:rPr>
              <w:b/>
            </w:rPr>
            <w:t xml:space="preserve">24 §. </w:t>
          </w:r>
          <w:r w:rsidRPr="00020CF2">
            <w:rPr>
              <w:i/>
            </w:rPr>
            <w:t>Kuittaus.</w:t>
          </w:r>
          <w:r>
            <w:t xml:space="preserve"> Pykälän nojalla Energiavirasto voisi päättää, että 20 §:n mukaisesti palautettava tai 21 §:n mukaisesti takaisin perittävä määrä kuitataan Energiaviraston myöntämästä tuesta. Toiminnanharjoittajaa kuultaisiin hallintolain 34 §:n mukaisesti ennen päätöksen tekemistä. Tuki olisi mahdollista periä takaisin myös kuittaamalla se Energiaviraston muusta samalle toiminnanharjoittajalle maksamasta valtiotuesta. Kuittaus ei voisi koskea toiminnanharjoittajan muita erääntyneitä saatavia. Kuittauksessa on siten noudatettava valtion talousarvion tilijaottelussa vahvistettuja talousarvion eri momenttien käyttöoikeuksia.</w:t>
          </w:r>
        </w:p>
        <w:p w14:paraId="245F2F03" w14:textId="733C245E" w:rsidR="009B483F" w:rsidRDefault="00EF0A6E" w:rsidP="00EF0A6E">
          <w:pPr>
            <w:pStyle w:val="LLPerustelujenkappalejako"/>
          </w:pPr>
          <w:r>
            <w:t>Palautettavan tai takaisin perittävän määrän kuittauspäivä olisi päivä, jona päätös on tehty. Palautuskorko sekä viivästysseuraamukset laskettaisiin kuittauspäivään saakka. Muilta osin menettelyssä noudatettaisiin hallintolakia. Energiaviraston tulisi selvittää, onko kuittausperusteet riittävät ja perustella kuittauspäätös. Energiaviraston päätökseen tyytymätön toiminnanharjoittaja saisi hakea siihen oikaisua 25 §:n nojalla. Energiaviraston oikaisun johdosta tekemään päätökseen saisi hakea muutosta hallintolainkäyttölain mukaisesti. Energiaviraston tekemä päätös voitaisiin 26 §:n nojalla muutoksenhausta huolimatta panna täytäntöön, jollei muutoksen</w:t>
          </w:r>
          <w:r w:rsidR="00020CF2">
            <w:t>hakutuomioistuin toisin määrää.</w:t>
          </w:r>
        </w:p>
        <w:p w14:paraId="4B25034D" w14:textId="457D2492" w:rsidR="00EF0A6E" w:rsidRDefault="00EF0A6E" w:rsidP="00EF0A6E">
          <w:pPr>
            <w:pStyle w:val="LLPerustelujenkappalejako"/>
          </w:pPr>
          <w:r w:rsidRPr="00EF0A6E">
            <w:rPr>
              <w:b/>
            </w:rPr>
            <w:t xml:space="preserve">25 §. </w:t>
          </w:r>
          <w:r w:rsidRPr="00020CF2">
            <w:rPr>
              <w:i/>
            </w:rPr>
            <w:t>Oikaisuvaatimus ja muutoksenhaku.</w:t>
          </w:r>
          <w:r w:rsidRPr="00EF0A6E">
            <w:rPr>
              <w:b/>
            </w:rPr>
            <w:t xml:space="preserve"> </w:t>
          </w:r>
          <w:r>
            <w:t>Pykälän 1 momentin mukaan asianosainen voisi tehdä oikaisuvaatimuksen Energiavirastolle Energiaviraston 11 §:n nojalla tekemästä päätöksestä koskien tuen myöntämistä, 21 §:n mukaisesta päätöksestä tuen takaisinperinnästä ja 24 §:n mukaisesta päätöksestä tuen kuittauksesta. Energiaviraston olisi liitettävä päätöksiinsä oikaisuvaatimusohjeet. Yleiset säännökset oikaisuvaatimusmenettelystä</w:t>
          </w:r>
          <w:r w:rsidR="00020CF2">
            <w:t xml:space="preserve"> ovat hallintolain 7 a luvussa.</w:t>
          </w:r>
        </w:p>
        <w:p w14:paraId="20EF5287" w14:textId="761AECD0" w:rsidR="00EF0A6E" w:rsidRDefault="00EF0A6E" w:rsidP="00EF0A6E">
          <w:pPr>
            <w:pStyle w:val="LLPerustelujenkappalejako"/>
          </w:pPr>
          <w:r>
            <w:t xml:space="preserve">Pykälän 2 momentin mukaan muutoksenhakuun sovellettaisiin oikeudenkäynnistä hallintoasioissa annettua lakia (808/2019). Valitusoikeus määräytyisi oikeudenkäynnistä hallintoasioissa annetun </w:t>
          </w:r>
          <w:r w:rsidR="00020CF2">
            <w:t>lain (808/2019) 7 §:n nojalla.</w:t>
          </w:r>
        </w:p>
        <w:p w14:paraId="240A76E9" w14:textId="77777777" w:rsidR="00D50BEF" w:rsidRDefault="00EF0A6E" w:rsidP="00D50BEF">
          <w:pPr>
            <w:pStyle w:val="LLPerustelujenkappalejako"/>
          </w:pPr>
          <w:r w:rsidRPr="00D50BEF">
            <w:rPr>
              <w:b/>
            </w:rPr>
            <w:t xml:space="preserve">26 §. </w:t>
          </w:r>
          <w:r w:rsidR="00D50BEF" w:rsidRPr="00020CF2">
            <w:rPr>
              <w:i/>
            </w:rPr>
            <w:t>Päätöksen täytäntöönpano.</w:t>
          </w:r>
          <w:r w:rsidR="00D50BEF">
            <w:t xml:space="preserve"> Energiaviraston 24 §:n 1 momentin nojalla tekemä kuittausta koskeva päätös olisi 1 momentin mukaan pantavissa täytäntöön, vaikka asianosainen olisikin tehnyt oikaisuvaatimuksen asiassa. </w:t>
          </w:r>
        </w:p>
        <w:p w14:paraId="12DA1212" w14:textId="719453C4" w:rsidR="00EF0A6E" w:rsidRDefault="00D50BEF" w:rsidP="00D50BEF">
          <w:pPr>
            <w:pStyle w:val="LLPerustelujenkappalejako"/>
          </w:pPr>
          <w:r>
            <w:t>Vastaavasti 2 momentin mukaan Energiaviraston 17 §:n 1 nojalla antamaa kieltoa tai määräystä koskevaa päätöstä sekä 21 §:n nojalla tekemää päätöstä tuen takaisinperinnästä olisi muutoksenhausta huolimatta noudatettava. Muutoksenhakutuomioistuin voisi kuitenkin kieltää Energiaviraston 1 tai 2 momentissa tarkoitetun päätöksen täytäntöönpanon taikka määrätä sen keskeytettäväksi tai antaa muun täytäntöönpanoa koskevan määräyksen.</w:t>
          </w:r>
        </w:p>
        <w:p w14:paraId="0F13F422" w14:textId="4ADCD590" w:rsidR="00D50BEF" w:rsidRDefault="00D50BEF" w:rsidP="00D50BEF">
          <w:pPr>
            <w:pStyle w:val="LLPerustelujenkappalejako"/>
          </w:pPr>
          <w:r w:rsidRPr="00D50BEF">
            <w:rPr>
              <w:b/>
            </w:rPr>
            <w:t xml:space="preserve">27 §. </w:t>
          </w:r>
          <w:r w:rsidRPr="00B40587">
            <w:rPr>
              <w:i/>
            </w:rPr>
            <w:t>Maksut.</w:t>
          </w:r>
          <w:r>
            <w:t xml:space="preserve"> Pykälän 1 momentissa olisi informatiivinen viittaus valtion maksuperustelakiin (150/1992), jonka nojalla Energiaviraston suoritteiden maksullisuuden ja suoritteista perittävien maksujen suuruuden yleiset perusteet sekä maksujen muut perusteet määräytyvät. Energiaviraston maksullisista suoritteista säädettäisiin työ- ja elinkeinoministeriön asetuksessa 1241/2019.</w:t>
          </w:r>
        </w:p>
        <w:p w14:paraId="2E34BC56" w14:textId="68F0CACC" w:rsidR="00891F68" w:rsidRDefault="00D50BEF" w:rsidP="00D50BEF">
          <w:pPr>
            <w:pStyle w:val="LLPerustelujenkappalejako"/>
          </w:pPr>
          <w:r>
            <w:t>Pykälän 2 momentin nojalla tämän lain mukaiset maksut ja kustannukset saataisiin periä ilman tuomiota tai päätöstä siinä järjestyksessä kuin verojen ja maksujen täytäntöönpanosta annetussa laissa (706/2007) säädetään. Siten esimerkiksi Energiaviraston tuen myöntämistä koskevista päätöksistä perittävät maksut olisivat suoraan ulosottokelpoisia.</w:t>
          </w:r>
        </w:p>
        <w:p w14:paraId="04EC29C4" w14:textId="2749D0F4" w:rsidR="00341089" w:rsidRDefault="00D50BEF" w:rsidP="00341089">
          <w:pPr>
            <w:pStyle w:val="LLPerustelujenkappalejako"/>
          </w:pPr>
          <w:r w:rsidRPr="00341089">
            <w:rPr>
              <w:b/>
            </w:rPr>
            <w:t>28 §.</w:t>
          </w:r>
          <w:r w:rsidR="00341089" w:rsidRPr="00341089">
            <w:rPr>
              <w:b/>
            </w:rPr>
            <w:t xml:space="preserve"> </w:t>
          </w:r>
          <w:r w:rsidR="00341089" w:rsidRPr="00B40587">
            <w:rPr>
              <w:i/>
            </w:rPr>
            <w:t>Tietojen säilyttäminen.</w:t>
          </w:r>
          <w:r w:rsidR="00341089">
            <w:t xml:space="preserve"> Pykälän 1 momentissa säädettäisiin toiminnanharjoittajan velvollisuudesta säilyttää tukeen liittyvä aineisto, muun muassa tuotantotiedot, sähkökulutustiedot sekä tuen käyttöön liittyvät tiedot. Tukeen liittyvän aineiston säilytysaika olisi kymmenen vuotta myöntämisajankohdasta. Säilytysajat olisivat vastaavat kuin 23 §:ssä tuen sekä niille maksettavan koron ja viivästyskoron takaisinperinnän vanhentumisaika. Säilytystavasta ei säädettäisi tarkemmin, mutta pykälässä tarkoitetun aineiston tulisi olla saatavilla pykälässä säädetyn ajan.</w:t>
          </w:r>
        </w:p>
        <w:p w14:paraId="78A0F55C" w14:textId="4833D836" w:rsidR="00D50BEF" w:rsidRDefault="00341089" w:rsidP="00341089">
          <w:pPr>
            <w:pStyle w:val="LLPerustelujenkappalejako"/>
          </w:pPr>
          <w:r>
            <w:t>Pykälän 2 momentissa säädettäisiin Energiaviraston velvollisuudesta pitää yksityiskohtaista kirjanpitoa tuen myöntämisen kaikista toimenpiteistä päästökaupan valtiontukisuuntaviivojen edellyttämällä tavalla.</w:t>
          </w:r>
        </w:p>
        <w:p w14:paraId="2D340287" w14:textId="77777777" w:rsidR="00F90193" w:rsidRDefault="00341089" w:rsidP="00F90193">
          <w:pPr>
            <w:pStyle w:val="LLPerustelujenkappalejako"/>
          </w:pPr>
          <w:r w:rsidRPr="00F90193">
            <w:rPr>
              <w:b/>
            </w:rPr>
            <w:t xml:space="preserve">29 §. </w:t>
          </w:r>
          <w:r w:rsidR="00F90193" w:rsidRPr="00B40587">
            <w:rPr>
              <w:i/>
            </w:rPr>
            <w:t>Voimaantulo.</w:t>
          </w:r>
          <w:r w:rsidR="00F90193">
            <w:t xml:space="preserve"> Pykälän 1 momentti sisältäisi lain voimaan tulosäädöksen. Lain voimaan saattaminen edellyttää, että Euroopan komissio on hyväksynyt lakiehdotukseen sisältyvät valtiontuet.</w:t>
          </w:r>
        </w:p>
        <w:p w14:paraId="1EB0DDCB" w14:textId="77777777" w:rsidR="007E791F" w:rsidRDefault="00F90193" w:rsidP="00F90193">
          <w:pPr>
            <w:pStyle w:val="LLPerustelujenkappalejako"/>
          </w:pPr>
          <w:r>
            <w:t xml:space="preserve">Pykälän 2 momentissa säädettäisiin, että lakia ei sovellettaisi </w:t>
          </w:r>
          <w:r w:rsidR="00CA6E7C" w:rsidRPr="00CA6E7C">
            <w:t>kehittämistoimiin, joista ei aiheudu</w:t>
          </w:r>
          <w:r w:rsidR="00CA6E7C">
            <w:t xml:space="preserve"> toiminnanharjoittajalle kustan</w:t>
          </w:r>
          <w:r w:rsidR="00CA6E7C" w:rsidRPr="00CA6E7C">
            <w:t>nuksia lainvoimaantulon jälkeen.</w:t>
          </w:r>
        </w:p>
        <w:p w14:paraId="07FA65DD" w14:textId="68339A3C" w:rsidR="00341089" w:rsidRDefault="00F90193" w:rsidP="00F90193">
          <w:pPr>
            <w:pStyle w:val="LLPerustelujenkappalejako"/>
          </w:pPr>
          <w:r>
            <w:t>Pykälän 3 momentilla kumottaisiin laki päästökaupasta johtuvien epäsuorien kustannusten kompensoimisesta (138/2017). Kyseisen lain mukaista tukea myönnetään viimeisen kerran vuonna 2021.</w:t>
          </w:r>
        </w:p>
        <w:p w14:paraId="5F39CD75" w14:textId="77777777" w:rsidR="00F90193" w:rsidRDefault="00F90193" w:rsidP="00B40587">
          <w:pPr>
            <w:pStyle w:val="LLNormaali"/>
          </w:pPr>
        </w:p>
        <w:p w14:paraId="64EFF0DB" w14:textId="77777777" w:rsidR="007E0CB1" w:rsidRDefault="007E0CB1" w:rsidP="007E0CB1">
          <w:pPr>
            <w:pStyle w:val="LLP1Otsikkotaso"/>
          </w:pPr>
          <w:bookmarkStart w:id="22" w:name="_Toc75420019"/>
          <w:r>
            <w:t>Lakia alemman asteinen sääntely</w:t>
          </w:r>
          <w:bookmarkEnd w:id="22"/>
        </w:p>
        <w:p w14:paraId="63F7F432" w14:textId="180FE71A" w:rsidR="00A805D0" w:rsidRPr="0063649C" w:rsidRDefault="00603C5E" w:rsidP="0063649C">
          <w:pPr>
            <w:pStyle w:val="LLPerustelujenkappalejako"/>
          </w:pPr>
          <w:r w:rsidRPr="0063649C">
            <w:t>Lain nojalla o</w:t>
          </w:r>
          <w:r w:rsidR="00DB3754">
            <w:t>n</w:t>
          </w:r>
          <w:r w:rsidRPr="0063649C">
            <w:t xml:space="preserve"> tarkoitus antaa valtioneuvoston asetus, joka sisältäisi menettelyihin ja lain soveltamiseen liittyviä tarkempia säännö</w:t>
          </w:r>
          <w:r w:rsidR="007A7D50" w:rsidRPr="0063649C">
            <w:t>ksiä</w:t>
          </w:r>
          <w:r w:rsidR="00A805D0" w:rsidRPr="0063649C">
            <w:t>. Lakiehdotuksessa esitetään asetuksenantovaltuuksia lain 8 §:n 4 momenttiin, 9 §:n 4 momenttiin, 10 §:n 2 momenttiin, 11 §:n 5 momenttiin ja 13 §:n 5 momenttiin.</w:t>
          </w:r>
          <w:r w:rsidR="00D31F74">
            <w:t xml:space="preserve"> Asetuksessa säädettäisiin </w:t>
          </w:r>
          <w:r w:rsidR="00DB3754">
            <w:t>tuen määrän laskemisesta yhtäältä sovellettaessa sähkönkulutuksen tehokkuuden vertailuarvoa, toisaalta sovellettaessa toissijaista sähkönkulutuksen tehokkuuden vertailuarvoa, sekä tuen hakemisess</w:t>
          </w:r>
          <w:r w:rsidR="00B40587">
            <w:t>a noudatettavasta menettelystä.</w:t>
          </w:r>
        </w:p>
        <w:p w14:paraId="0E9CEEA8" w14:textId="77777777" w:rsidR="007E0CB1" w:rsidRDefault="007E0CB1" w:rsidP="00B40587">
          <w:pPr>
            <w:pStyle w:val="LLNormaali"/>
          </w:pPr>
        </w:p>
        <w:p w14:paraId="357C66D8" w14:textId="77777777" w:rsidR="007E0CB1" w:rsidRDefault="007E0CB1" w:rsidP="007E0CB1">
          <w:pPr>
            <w:pStyle w:val="LLP1Otsikkotaso"/>
          </w:pPr>
          <w:bookmarkStart w:id="23" w:name="_Toc75420020"/>
          <w:r>
            <w:t>Voimaantulo</w:t>
          </w:r>
          <w:bookmarkEnd w:id="23"/>
        </w:p>
        <w:p w14:paraId="00822EB6" w14:textId="1EE63C4E" w:rsidR="00DF0592" w:rsidRPr="00DF0592" w:rsidRDefault="008819C9" w:rsidP="00DF0592">
          <w:pPr>
            <w:pStyle w:val="LLPerustelujenkappalejako"/>
          </w:pPr>
          <w:r>
            <w:t>Ehdotetaan, että la</w:t>
          </w:r>
          <w:r w:rsidR="00656438">
            <w:t>ki tulee voimaan talvella 2022.</w:t>
          </w:r>
        </w:p>
        <w:p w14:paraId="37DCAEC6" w14:textId="229C27E8" w:rsidR="003D729C" w:rsidRDefault="003D729C" w:rsidP="00B40587">
          <w:pPr>
            <w:pStyle w:val="LLNormaali"/>
          </w:pPr>
        </w:p>
        <w:p w14:paraId="2829B926" w14:textId="77777777" w:rsidR="003D729C" w:rsidRDefault="003D729C" w:rsidP="003D729C">
          <w:pPr>
            <w:pStyle w:val="LLP1Otsikkotaso"/>
          </w:pPr>
          <w:bookmarkStart w:id="24" w:name="_Toc75420021"/>
          <w:r>
            <w:t>Suhde muihin esityksiin</w:t>
          </w:r>
          <w:bookmarkEnd w:id="24"/>
        </w:p>
        <w:p w14:paraId="20156B9E" w14:textId="77777777" w:rsidR="003D729C" w:rsidRDefault="003D729C" w:rsidP="003D729C">
          <w:pPr>
            <w:pStyle w:val="LLP2Otsikkotaso"/>
          </w:pPr>
          <w:bookmarkStart w:id="25" w:name="_Toc75420022"/>
          <w:r>
            <w:t>Suhde talousarvioesitykseen</w:t>
          </w:r>
          <w:bookmarkEnd w:id="25"/>
        </w:p>
        <w:p w14:paraId="70CE50A8" w14:textId="5715320A" w:rsidR="003D729C" w:rsidRDefault="007A7D50" w:rsidP="003D729C">
          <w:pPr>
            <w:pStyle w:val="LLPerustelujenkappalejako"/>
          </w:pPr>
          <w:r w:rsidRPr="007A7D50">
            <w:t>Esitys liittyy esitykseen valtion vuoden 202</w:t>
          </w:r>
          <w:r>
            <w:t>2</w:t>
          </w:r>
          <w:r w:rsidRPr="007A7D50">
            <w:t xml:space="preserve"> talousarvioksi ja on tarkoitettu käsiteltäväksi sen yhteydessä.</w:t>
          </w:r>
        </w:p>
        <w:p w14:paraId="632D9E72" w14:textId="77777777" w:rsidR="00D4776A" w:rsidRDefault="00D4776A" w:rsidP="00B40587">
          <w:pPr>
            <w:pStyle w:val="LLNormaali"/>
          </w:pPr>
        </w:p>
        <w:p w14:paraId="35F92914" w14:textId="77777777" w:rsidR="00E90994" w:rsidRDefault="006461AD" w:rsidP="00381628">
          <w:pPr>
            <w:pStyle w:val="LLP1Otsikkotaso"/>
          </w:pPr>
          <w:bookmarkStart w:id="26" w:name="_Toc75420023"/>
          <w:r>
            <w:t>Suhde perustuslakiin ja säätämisjärjesty</w:t>
          </w:r>
          <w:r w:rsidR="00A805D0">
            <w:t>s</w:t>
          </w:r>
          <w:bookmarkEnd w:id="26"/>
        </w:p>
        <w:p w14:paraId="761B4586" w14:textId="1690D81B" w:rsidR="00DB3754" w:rsidRDefault="00E90994" w:rsidP="00DB3754">
          <w:pPr>
            <w:pStyle w:val="LLPerustelujenkappalejako"/>
          </w:pPr>
          <w:r>
            <w:t xml:space="preserve">Perustuslain 80 §:n mukaan tasavallan presidentti, valtioneuvosto </w:t>
          </w:r>
          <w:r w:rsidR="00A805D0">
            <w:t>ja ministeriö voivat antaa ase</w:t>
          </w:r>
          <w:r w:rsidR="004E047C">
            <w:t>t</w:t>
          </w:r>
          <w:r>
            <w:t xml:space="preserve">uksia tässä perustuslaissa tai muussa laissa säädetyn valtuuden </w:t>
          </w:r>
          <w:r w:rsidR="00A805D0">
            <w:t>nojalla. Lailla on kuitenkin säädet</w:t>
          </w:r>
          <w:r>
            <w:t>tävä yksilön oikeuksien ja velvollisuuksien perusteista sekä asioista, jotka perustuslain mukaan muuten kuuluvat lain alaan.</w:t>
          </w:r>
          <w:r w:rsidR="00DB3754" w:rsidRPr="00DB3754">
            <w:t xml:space="preserve"> Lakiehdotuksessa esitetään asetuksenantovaltuuksia lain</w:t>
          </w:r>
          <w:r w:rsidR="00DB3754">
            <w:t xml:space="preserve"> 8 §:n 4 momenttiin, 9 §:n 4 mo</w:t>
          </w:r>
          <w:r w:rsidR="00DB3754" w:rsidRPr="00DB3754">
            <w:t>menttiin, 10 §:n 2 momenttiin, 11 §:n 5 momenttiin ja 13 §:n 5 momenttiin.</w:t>
          </w:r>
        </w:p>
        <w:p w14:paraId="194B4D7C" w14:textId="0CBAD21C" w:rsidR="00DB3754" w:rsidRDefault="00DB3754" w:rsidP="00DB3754">
          <w:pPr>
            <w:pStyle w:val="LLPerustelujenkappalejako"/>
          </w:pPr>
          <w:r>
            <w:t>Lain 8 §:ssä säädettäisiin tuen määrän laskemisesta sovellettaessa sähkönkulutuksen tehokkuuden vertailuarvoa. Valtioneuvoston asetuksella voitaisiin antaa tarkempia säännöksiä tuen määrän laskemisesta.</w:t>
          </w:r>
        </w:p>
        <w:p w14:paraId="78E85E4B" w14:textId="77777777" w:rsidR="00DB3754" w:rsidRDefault="00DB3754" w:rsidP="00DB3754">
          <w:pPr>
            <w:pStyle w:val="LLPerustelujenkappalejako"/>
          </w:pPr>
          <w:r>
            <w:t>Lain 9 §:ssä säädettäisiin tuen määrän laskemisesta sovellettaessa toissijaista sähkönkulutuksen tehokkuuden vertailuarvoa. Valtioneuvoston asetuksella voitaisiin antaa tarkempia säännöksiä tuen määrän laskemisesta.</w:t>
          </w:r>
        </w:p>
        <w:p w14:paraId="32A9BB69" w14:textId="3C425B69" w:rsidR="00A805D0" w:rsidRDefault="00DB3754" w:rsidP="00E90994">
          <w:pPr>
            <w:pStyle w:val="LLPerustelujenkappalejako"/>
          </w:pPr>
          <w:r>
            <w:t>Lain 10 §:ssä säädettäisiin tuen hakemisessa noudatettavasta menettelystä. Valtioneuvoston asetuksella säädettäisiin hakemuksen toimittamisesta ja sisällöstä.</w:t>
          </w:r>
        </w:p>
        <w:p w14:paraId="7A7F4EA3" w14:textId="77777777" w:rsidR="00DB3754" w:rsidRDefault="00DB3754" w:rsidP="00DB3754">
          <w:pPr>
            <w:pStyle w:val="LLPerustelujenkappalejako"/>
          </w:pPr>
          <w:r>
            <w:t>Lain 11 §:ssä säädettäisiin tuen myöntämisestä. Valtioneuvoston asetuksella voitaisiin antaa tarkempia säännöksiä tuen myöntämistä koskevasta päätöksestä.</w:t>
          </w:r>
        </w:p>
        <w:p w14:paraId="00F8A9B9" w14:textId="77777777" w:rsidR="00DB3754" w:rsidRDefault="00DB3754" w:rsidP="00DB3754">
          <w:pPr>
            <w:pStyle w:val="LLPerustelujenkappalejako"/>
          </w:pPr>
          <w:r>
            <w:t>Lain 13 §:ssä säädettäisiin myönnetyn tuen käyttämisestä. Valtioneuvoston asetuksella voitaisiin säätää tuen käytölle asetetuista vaatimuksista ja käyttöä koskevien tietojen toimittamisesta.</w:t>
          </w:r>
        </w:p>
        <w:p w14:paraId="3E04F01F" w14:textId="5E93BDE6" w:rsidR="00DB3754" w:rsidRDefault="00DB3754" w:rsidP="00DB3754">
          <w:pPr>
            <w:pStyle w:val="LLPerustelujenkappalejako"/>
          </w:pPr>
          <w:r>
            <w:t>Energiaviraston maksullisista suoritteista annetussa työ- ja elinkeinoministeriön asetuksessa (869/2016) olisi tarpeen säätää tukiviranomaisen päätösten hinnoista.</w:t>
          </w:r>
        </w:p>
        <w:p w14:paraId="34876823" w14:textId="4ED76305" w:rsidR="00E90994" w:rsidRDefault="00E90994" w:rsidP="00E90994">
          <w:pPr>
            <w:pStyle w:val="LLPerustelujenkappalejako"/>
          </w:pPr>
          <w:r>
            <w:t>Perustuslakivaliokunta on käytännössään kohdistanut asetuksena</w:t>
          </w:r>
          <w:r w:rsidR="00A805D0">
            <w:t>ntovaltuuksiin vaatimuksia sään</w:t>
          </w:r>
          <w:r>
            <w:t xml:space="preserve">telyn täsmällisyydestä ja tarkkarajaisuudesta, ja korostanut paitsi sitä, ettei asetuksenantovaltuus saa olla liian avoin, myös riittävän tarkan laintasoisen perussäännöksen merkitystä valtuuksien tukemisessa lakiin (ks. </w:t>
          </w:r>
          <w:proofErr w:type="spellStart"/>
          <w:r>
            <w:t>PeVL</w:t>
          </w:r>
          <w:proofErr w:type="spellEnd"/>
          <w:r>
            <w:t xml:space="preserve"> 17/2018 vp, </w:t>
          </w:r>
          <w:proofErr w:type="spellStart"/>
          <w:r>
            <w:t>PeVL</w:t>
          </w:r>
          <w:proofErr w:type="spellEnd"/>
          <w:r>
            <w:t xml:space="preserve"> 15/2018 vp, s. 59, </w:t>
          </w:r>
          <w:proofErr w:type="spellStart"/>
          <w:r>
            <w:t>PeVL</w:t>
          </w:r>
          <w:proofErr w:type="spellEnd"/>
          <w:r>
            <w:t xml:space="preserve"> 45/2017, </w:t>
          </w:r>
          <w:proofErr w:type="spellStart"/>
          <w:r>
            <w:t>PeVL</w:t>
          </w:r>
          <w:proofErr w:type="spellEnd"/>
          <w:r>
            <w:t xml:space="preserve"> 26/2017, s. 26).</w:t>
          </w:r>
        </w:p>
        <w:p w14:paraId="49B2DB02" w14:textId="0DAF290D" w:rsidR="00E90994" w:rsidRDefault="00E90994" w:rsidP="00E90994">
          <w:pPr>
            <w:pStyle w:val="LLPerustelujenkappalejako"/>
          </w:pPr>
          <w:r>
            <w:t xml:space="preserve">Valiokunta on myös kiinnittänyt huomiota siihen, että perustuslain säännökset rajoittavat suoraan valtuussäännösten tulkintaa samoin kuin valtuuksien nojalla annettavien säännösten ja määräysten sisältöä (ks. </w:t>
          </w:r>
          <w:proofErr w:type="spellStart"/>
          <w:r>
            <w:t>PeVL</w:t>
          </w:r>
          <w:proofErr w:type="spellEnd"/>
          <w:r>
            <w:t xml:space="preserve"> 21/2018 vp, s. 2). Valiokunta on katsonut tämän</w:t>
          </w:r>
          <w:r w:rsidR="000348A0">
            <w:t xml:space="preserve"> merkitsevän sitä, että kun ase</w:t>
          </w:r>
          <w:r>
            <w:t>tuksia voidaan antaa vain laissa säädetyn valtuuden nojalla eikä asetuksenantovaltaa voida antaa asioissa, joista perustuslain mukaan on säädettävä lailla, on lakiin otettava asetuksenantovaltuus laadittava niin, että valtuuden sisältö selvästi ilmenee laista, ja että se rajataan riittävän tarkasti.</w:t>
          </w:r>
        </w:p>
        <w:p w14:paraId="6D88C2D3" w14:textId="02731531" w:rsidR="00E90994" w:rsidRDefault="00E90994" w:rsidP="00E90994">
          <w:pPr>
            <w:pStyle w:val="LLPerustelujenkappalejako"/>
          </w:pPr>
          <w:r>
            <w:t>Perustuslain 80 §:n takia on olennaista, että säänneltävästä asiasta on riittävät perussäännökset laissa ja että valtuus on syytä sijoittaa pääsääntöisesti lain asi</w:t>
          </w:r>
          <w:r w:rsidR="00D1084D">
            <w:t>anomaisen perussäännöksen yhtey</w:t>
          </w:r>
          <w:r>
            <w:t xml:space="preserve">teen (ks. </w:t>
          </w:r>
          <w:proofErr w:type="spellStart"/>
          <w:r>
            <w:t>PeVL</w:t>
          </w:r>
          <w:proofErr w:type="spellEnd"/>
          <w:r>
            <w:t xml:space="preserve"> 26/2017 vp, s. 26, </w:t>
          </w:r>
          <w:proofErr w:type="spellStart"/>
          <w:r>
            <w:t>PeVL</w:t>
          </w:r>
          <w:proofErr w:type="spellEnd"/>
          <w:r>
            <w:t xml:space="preserve"> 10/2016 vp, s. 5 ja </w:t>
          </w:r>
          <w:proofErr w:type="spellStart"/>
          <w:r>
            <w:t>PeVL</w:t>
          </w:r>
          <w:proofErr w:type="spellEnd"/>
          <w:r>
            <w:t xml:space="preserve"> 49/2014 vp, s. 6).</w:t>
          </w:r>
        </w:p>
        <w:p w14:paraId="32A71675" w14:textId="59B4CDE0" w:rsidR="008414FE" w:rsidRPr="00EA29B3" w:rsidRDefault="00E90994" w:rsidP="0007388F">
          <w:pPr>
            <w:pStyle w:val="LLPerustelujenkappalejako"/>
          </w:pPr>
          <w:r>
            <w:t>Tässä esityksessä asetuksella säädettäviksi ehdotetut asiat eivät ko</w:t>
          </w:r>
          <w:r w:rsidR="00EA29B3">
            <w:t>sketa yksilön oikeuksien ja vel</w:t>
          </w:r>
          <w:r>
            <w:t>vollisuuksien perusteita, vaan tuen määrän laskemisen ja hakemuksen toimittamiseen liittyvien teknisluontoisten yksityiskohtien kaltaisia seikkoja. Myös muilta osin perustuslakivaliokunnan lausuntokäytännössään linjaamaa on noudatettu. Esitykseen ei sisälly sellaisia ehdotuksia, joiden vuoksi se tulisi käsitellä perustuslainsäätämisjärjestyksessä. Siten ei</w:t>
          </w:r>
          <w:r w:rsidR="00EA29B3">
            <w:t xml:space="preserve"> ole esteitä sille, että esityk</w:t>
          </w:r>
          <w:r>
            <w:t>seen sisältyvä laki käsitellään tavallisessa lainsäätämisjärjestyksessä.</w:t>
          </w:r>
        </w:p>
      </w:sdtContent>
    </w:sdt>
    <w:p w14:paraId="4F155F71" w14:textId="77777777" w:rsidR="004A648F" w:rsidRDefault="004A648F" w:rsidP="004A648F">
      <w:pPr>
        <w:pStyle w:val="LLNormaali"/>
      </w:pPr>
    </w:p>
    <w:p w14:paraId="7A4FE7B0" w14:textId="77777777" w:rsidR="00D4776A" w:rsidRDefault="00D4776A" w:rsidP="00257518">
      <w:pPr>
        <w:pStyle w:val="LLPonsi"/>
        <w:rPr>
          <w:i/>
        </w:rPr>
      </w:pPr>
    </w:p>
    <w:p w14:paraId="01FB6332" w14:textId="713ADD7D" w:rsidR="0022764C" w:rsidRPr="00257518" w:rsidRDefault="0022764C" w:rsidP="00257518">
      <w:pPr>
        <w:pStyle w:val="LLPonsi"/>
        <w:rPr>
          <w:i/>
        </w:rPr>
      </w:pPr>
      <w:r w:rsidRPr="00257518">
        <w:rPr>
          <w:i/>
        </w:rPr>
        <w:t>Ponsi</w:t>
      </w:r>
    </w:p>
    <w:p w14:paraId="24193348" w14:textId="77777777" w:rsidR="00370114" w:rsidRDefault="00944981" w:rsidP="009C4545">
      <w:pPr>
        <w:pStyle w:val="LLPonsi"/>
      </w:pPr>
      <w:r>
        <w:t>Edellä esitetyn peruste</w:t>
      </w:r>
      <w:r w:rsidR="002D7B09">
        <w:t>e</w:t>
      </w:r>
      <w:r>
        <w:t xml:space="preserve">lla annetaan eduskunnan hyväksyttäväksi </w:t>
      </w:r>
      <w:r w:rsidR="006461AD">
        <w:t>seuraava lakiehdotus:</w:t>
      </w:r>
    </w:p>
    <w:p w14:paraId="75D11AE3" w14:textId="77777777" w:rsidR="004A648F" w:rsidRDefault="004A648F" w:rsidP="00370114">
      <w:pPr>
        <w:pStyle w:val="LLNormaali"/>
      </w:pPr>
    </w:p>
    <w:p w14:paraId="72015D1D" w14:textId="77777777" w:rsidR="00393B53" w:rsidRPr="009C4545" w:rsidRDefault="00EA5FF7" w:rsidP="00370114">
      <w:pPr>
        <w:pStyle w:val="LLNormaali"/>
      </w:pPr>
      <w:r w:rsidRPr="009C4545">
        <w:br w:type="page"/>
      </w:r>
    </w:p>
    <w:bookmarkStart w:id="27" w:name="_Toc75420024"/>
    <w:p w14:paraId="395E1C0B" w14:textId="77777777" w:rsidR="00646DE3" w:rsidRDefault="001A4DAD" w:rsidP="00646DE3">
      <w:pPr>
        <w:pStyle w:val="LLLakiehdotukset"/>
      </w:pPr>
      <w:sdt>
        <w:sdtPr>
          <w:alias w:val="Lakiehdotukset"/>
          <w:tag w:val="CCLakiehdotukset"/>
          <w:id w:val="1834638829"/>
          <w:placeholder>
            <w:docPart w:val="D0AA7A3393C645F7A000C2E0F6FE2C0F"/>
          </w:placeholder>
          <w15:color w:val="00FFFF"/>
          <w:dropDownList>
            <w:listItem w:value="Valitse kohde."/>
            <w:listItem w:displayText="Lakiehdotus" w:value="Lakiehdotus"/>
            <w:listItem w:displayText="Lakiehdotukset" w:value="Lakiehdotukset"/>
          </w:dropDownList>
        </w:sdtPr>
        <w:sdtEndPr/>
        <w:sdtContent>
          <w:r w:rsidR="00DD2981">
            <w:t>Lakiehdotus</w:t>
          </w:r>
        </w:sdtContent>
      </w:sdt>
      <w:bookmarkEnd w:id="27"/>
    </w:p>
    <w:sdt>
      <w:sdtPr>
        <w:alias w:val="Lakiehdotus"/>
        <w:tag w:val="CCLakiehdotus"/>
        <w:id w:val="1695884352"/>
        <w:placeholder>
          <w:docPart w:val="904E2FC8DE434470A60715B095942DB6"/>
        </w:placeholder>
        <w15:color w:val="00FFFF"/>
      </w:sdtPr>
      <w:sdtEndPr/>
      <w:sdtContent>
        <w:p w14:paraId="6A66AB3C" w14:textId="77777777" w:rsidR="009167E1" w:rsidRPr="009167E1" w:rsidRDefault="009167E1" w:rsidP="00534B1F">
          <w:pPr>
            <w:pStyle w:val="LLNormaali"/>
          </w:pPr>
        </w:p>
        <w:p w14:paraId="7FC40372" w14:textId="77777777" w:rsidR="00A805D0" w:rsidRDefault="009167E1" w:rsidP="00A805D0">
          <w:pPr>
            <w:pStyle w:val="LLLaki"/>
          </w:pPr>
          <w:r w:rsidRPr="00F36633">
            <w:t>Laki</w:t>
          </w:r>
        </w:p>
        <w:p w14:paraId="1DC526C6" w14:textId="09CFE9A5" w:rsidR="009167E1" w:rsidRPr="009167E1" w:rsidRDefault="00F76E29" w:rsidP="00656438">
          <w:pPr>
            <w:pStyle w:val="LLSaadoksenNimi"/>
          </w:pPr>
          <w:bookmarkStart w:id="28" w:name="_Toc75420025"/>
          <w:r w:rsidRPr="00F76E29">
            <w:t>energiaintensiivise</w:t>
          </w:r>
          <w:r w:rsidR="0081602B">
            <w:t>n</w:t>
          </w:r>
          <w:r w:rsidRPr="00F76E29">
            <w:t xml:space="preserve"> teollisuude</w:t>
          </w:r>
          <w:r w:rsidR="0081602B">
            <w:t>n</w:t>
          </w:r>
          <w:r w:rsidRPr="00F76E29">
            <w:t xml:space="preserve"> sähköistämistuesta</w:t>
          </w:r>
          <w:bookmarkEnd w:id="28"/>
        </w:p>
        <w:p w14:paraId="2F6D453C" w14:textId="77777777" w:rsidR="0000497A" w:rsidRDefault="009167E1" w:rsidP="00656438">
          <w:pPr>
            <w:pStyle w:val="LLJohtolauseKappaleet"/>
          </w:pPr>
          <w:r w:rsidRPr="009167E1">
            <w:t>Eduskunnan päätöksen mu</w:t>
          </w:r>
          <w:r w:rsidR="001E0F95">
            <w:t>kaisesti säädetään:</w:t>
          </w:r>
        </w:p>
        <w:p w14:paraId="0E05D755" w14:textId="77777777" w:rsidR="00F76E29" w:rsidRDefault="00F76E29" w:rsidP="0094164A">
          <w:pPr>
            <w:pStyle w:val="LLNormaali"/>
          </w:pPr>
        </w:p>
        <w:p w14:paraId="112284C4" w14:textId="77777777" w:rsidR="002E4D62" w:rsidRDefault="002E4D62" w:rsidP="001E30D2">
          <w:pPr>
            <w:pStyle w:val="LLLuku"/>
          </w:pPr>
          <w:r>
            <w:t xml:space="preserve">1 luku </w:t>
          </w:r>
        </w:p>
        <w:p w14:paraId="744BFF1C" w14:textId="77777777" w:rsidR="002E4D62" w:rsidRPr="002E4D62" w:rsidRDefault="002E4D62" w:rsidP="0075210B">
          <w:pPr>
            <w:pStyle w:val="LLLuvunOtsikko"/>
          </w:pPr>
          <w:r w:rsidRPr="002E4D62">
            <w:t>Yleiset säännökset</w:t>
          </w:r>
        </w:p>
        <w:p w14:paraId="2286BFF2" w14:textId="77777777" w:rsidR="009167E1" w:rsidRDefault="00F76E29" w:rsidP="00BA71BD">
          <w:pPr>
            <w:pStyle w:val="LLPykala"/>
          </w:pPr>
          <w:r w:rsidRPr="002E4D62">
            <w:t>1</w:t>
          </w:r>
          <w:r w:rsidR="009167E1" w:rsidRPr="002E4D62">
            <w:t xml:space="preserve"> §</w:t>
          </w:r>
        </w:p>
        <w:p w14:paraId="267E7A9C" w14:textId="77777777" w:rsidR="002E4D62" w:rsidRPr="002E4D62" w:rsidRDefault="002E4D62" w:rsidP="001E30D2">
          <w:pPr>
            <w:pStyle w:val="LLPykalanOtsikko"/>
          </w:pPr>
          <w:r w:rsidRPr="002E4D62">
            <w:t>Lain tavoite ja soveltamisala</w:t>
          </w:r>
        </w:p>
        <w:p w14:paraId="5D328863" w14:textId="26A72650" w:rsidR="00F76E29" w:rsidRDefault="00F76E29" w:rsidP="001E30D2">
          <w:pPr>
            <w:pStyle w:val="LLKappalejako"/>
          </w:pPr>
          <w:r>
            <w:t>Tässä laissa säädetään tuesta, joka korvaa päästökaupasta aiheutuvia välillisiä kustannuksia lain soveltamisalaan kuuluville toiminnanharjoittajille</w:t>
          </w:r>
          <w:r w:rsidR="00235336">
            <w:t xml:space="preserve">, </w:t>
          </w:r>
          <w:r w:rsidR="00235336" w:rsidRPr="00235336">
            <w:t>jotka ovat alttiita merkittävälle hiilivuodon riskille</w:t>
          </w:r>
          <w:r>
            <w:t xml:space="preserve">. Lain tavoite on </w:t>
          </w:r>
          <w:r w:rsidR="0063033A">
            <w:t xml:space="preserve">ohjata </w:t>
          </w:r>
          <w:r>
            <w:t>toiminnanharjoittajia kehittämään teollista tuotantoaan hiilineutraalimmaksi.</w:t>
          </w:r>
        </w:p>
        <w:p w14:paraId="76A7365F" w14:textId="77777777" w:rsidR="00F76E29" w:rsidRDefault="00F76E29" w:rsidP="00456103">
          <w:pPr>
            <w:pStyle w:val="LLKappalejako"/>
          </w:pPr>
          <w:r>
            <w:t xml:space="preserve">Tätä lakia sovelletaan tämän lain liitteessä </w:t>
          </w:r>
          <w:r w:rsidR="002E4D62">
            <w:t>1</w:t>
          </w:r>
          <w:r>
            <w:t xml:space="preserve"> lueteltuihin toimialoihin.</w:t>
          </w:r>
        </w:p>
        <w:p w14:paraId="07DDD6BF" w14:textId="77777777" w:rsidR="00D46F8B" w:rsidRDefault="00D46F8B" w:rsidP="003F3898">
          <w:pPr>
            <w:pStyle w:val="LLNormaali"/>
          </w:pPr>
        </w:p>
        <w:p w14:paraId="64841728" w14:textId="77777777" w:rsidR="00F76E29" w:rsidRDefault="00F76E29" w:rsidP="00F76E29">
          <w:pPr>
            <w:pStyle w:val="LLPykala"/>
          </w:pPr>
          <w:r>
            <w:t>2</w:t>
          </w:r>
          <w:r w:rsidRPr="009167E1">
            <w:t xml:space="preserve"> §</w:t>
          </w:r>
        </w:p>
        <w:p w14:paraId="3A793518" w14:textId="77777777" w:rsidR="00F76E29" w:rsidRPr="002E4D62" w:rsidRDefault="002E4D62" w:rsidP="00456103">
          <w:pPr>
            <w:pStyle w:val="LLPykalanOtsikko"/>
          </w:pPr>
          <w:r w:rsidRPr="002E4D62">
            <w:t>Suhde muuhun lainsäädäntöön</w:t>
          </w:r>
        </w:p>
        <w:p w14:paraId="56F6B235" w14:textId="77777777" w:rsidR="00F76E29" w:rsidRDefault="00F76E29" w:rsidP="00456103">
          <w:pPr>
            <w:pStyle w:val="LLKappalejako"/>
          </w:pPr>
          <w:r w:rsidRPr="00F76E29">
            <w:t>Tämän lain nojalla ma</w:t>
          </w:r>
          <w:r>
            <w:t>ksettavaa tukea ei pidetä valti</w:t>
          </w:r>
          <w:r w:rsidRPr="00F76E29">
            <w:t>onavustuslaissa (688/</w:t>
          </w:r>
          <w:r>
            <w:t>2001) tarkoitettuna valtionavus</w:t>
          </w:r>
          <w:r w:rsidRPr="00F76E29">
            <w:t>tuksena.</w:t>
          </w:r>
        </w:p>
        <w:p w14:paraId="511F88F3" w14:textId="77777777" w:rsidR="00F76E29" w:rsidRDefault="00F76E29" w:rsidP="00456103">
          <w:pPr>
            <w:pStyle w:val="LLNormaali"/>
          </w:pPr>
        </w:p>
        <w:p w14:paraId="41D5A91F" w14:textId="77777777" w:rsidR="00F76E29" w:rsidRDefault="00D46F8B" w:rsidP="00456103">
          <w:pPr>
            <w:pStyle w:val="LLPykala"/>
          </w:pPr>
          <w:r w:rsidRPr="002E4D62">
            <w:t>3</w:t>
          </w:r>
          <w:r w:rsidR="00F76E29" w:rsidRPr="002E4D62">
            <w:t xml:space="preserve"> §</w:t>
          </w:r>
        </w:p>
        <w:p w14:paraId="3CC5D1BE" w14:textId="22F29E23" w:rsidR="002E4D62" w:rsidRDefault="002E4D62" w:rsidP="00456103">
          <w:pPr>
            <w:pStyle w:val="LLPykalanOtsikko"/>
          </w:pPr>
          <w:r w:rsidRPr="002E4D62">
            <w:t>Määritelmät</w:t>
          </w:r>
        </w:p>
        <w:p w14:paraId="50A96F1E" w14:textId="2FF66B72" w:rsidR="00351BE4" w:rsidRPr="00351BE4" w:rsidRDefault="00351BE4" w:rsidP="00351BE4">
          <w:pPr>
            <w:rPr>
              <w:lang w:eastAsia="fi-FI"/>
            </w:rPr>
          </w:pPr>
          <w:r>
            <w:rPr>
              <w:lang w:eastAsia="fi-FI"/>
            </w:rPr>
            <w:t>Tässä laissa tarkoitetaan:</w:t>
          </w:r>
        </w:p>
        <w:p w14:paraId="0C0C4ACE" w14:textId="77777777" w:rsidR="00D46F8B" w:rsidRDefault="00D46F8B" w:rsidP="001774FE">
          <w:pPr>
            <w:pStyle w:val="LLKappalejako"/>
          </w:pPr>
          <w:r>
            <w:t xml:space="preserve">1) </w:t>
          </w:r>
          <w:r w:rsidRPr="00D46F8B">
            <w:rPr>
              <w:i/>
            </w:rPr>
            <w:t>toiminnanharjoittajalla</w:t>
          </w:r>
          <w:r>
            <w:t xml:space="preserve"> luonnollista henkilöä tai oikeushenkilöä, jolla on tosiasiallinen määräysvalta tukeen oikeutetun laitoksen toiminnasta</w:t>
          </w:r>
          <w:r w:rsidR="002E4D62">
            <w:t>;</w:t>
          </w:r>
        </w:p>
        <w:p w14:paraId="4E9E8013" w14:textId="2442D744" w:rsidR="00D46F8B" w:rsidRDefault="002E4D62" w:rsidP="001774FE">
          <w:pPr>
            <w:pStyle w:val="LLKappalejako"/>
          </w:pPr>
          <w:r>
            <w:t xml:space="preserve">2) </w:t>
          </w:r>
          <w:r w:rsidR="00D46F8B" w:rsidRPr="002E4D62">
            <w:rPr>
              <w:i/>
            </w:rPr>
            <w:t>laitoksella</w:t>
          </w:r>
          <w:r w:rsidR="00D46F8B">
            <w:t xml:space="preserve"> toiminnanharjoittajan määräysvallassa olevaa kiinteää toiminnallista kokonaisuutta, jonka tietojen perusteella tukea haeta</w:t>
          </w:r>
          <w:r w:rsidR="00351BE4">
            <w:t>a</w:t>
          </w:r>
          <w:r w:rsidR="00D46F8B">
            <w:t>n</w:t>
          </w:r>
        </w:p>
        <w:p w14:paraId="31A43E6E" w14:textId="77777777" w:rsidR="00D46F8B" w:rsidRDefault="002E4D62" w:rsidP="001774FE">
          <w:pPr>
            <w:pStyle w:val="LLKappalejako"/>
          </w:pPr>
          <w:r>
            <w:t xml:space="preserve">3) </w:t>
          </w:r>
          <w:r w:rsidR="00D46F8B" w:rsidRPr="002E4D62">
            <w:rPr>
              <w:i/>
            </w:rPr>
            <w:t>tarkasteluvuodella</w:t>
          </w:r>
          <w:r w:rsidR="00D46F8B">
            <w:t xml:space="preserve"> kalenterivuotta, jonka tietojen perusteella tukea haetaan</w:t>
          </w:r>
        </w:p>
        <w:p w14:paraId="04FBE086" w14:textId="77777777" w:rsidR="00D46F8B" w:rsidRDefault="002E4D62" w:rsidP="001774FE">
          <w:pPr>
            <w:pStyle w:val="LLKappalejako"/>
          </w:pPr>
          <w:r>
            <w:t xml:space="preserve">4) </w:t>
          </w:r>
          <w:r w:rsidR="00D46F8B" w:rsidRPr="002E4D62">
            <w:rPr>
              <w:i/>
            </w:rPr>
            <w:t>tuki-intensiteetillä</w:t>
          </w:r>
          <w:r w:rsidR="00D46F8B">
            <w:t xml:space="preserve"> prosenttiosuutta tuen määrän laskemisen perusteena olevista tiedoista</w:t>
          </w:r>
          <w:r>
            <w:t>;</w:t>
          </w:r>
        </w:p>
        <w:p w14:paraId="4DE130FF" w14:textId="77777777" w:rsidR="00D46F8B" w:rsidRDefault="002E4D62" w:rsidP="001774FE">
          <w:pPr>
            <w:pStyle w:val="LLKappalejako"/>
          </w:pPr>
          <w:r>
            <w:t xml:space="preserve">5) </w:t>
          </w:r>
          <w:r w:rsidR="00D46F8B" w:rsidRPr="002E4D62">
            <w:rPr>
              <w:i/>
            </w:rPr>
            <w:t>hiilidioksidin päästökertoimella</w:t>
          </w:r>
          <w:r w:rsidR="00D46F8B">
            <w:t xml:space="preserve"> arvoa 0,</w:t>
          </w:r>
          <w:r w:rsidR="00D46F8B" w:rsidRPr="002E4D62">
            <w:t>6x</w:t>
          </w:r>
          <w:r>
            <w:t>;</w:t>
          </w:r>
        </w:p>
        <w:p w14:paraId="532188F1" w14:textId="77777777" w:rsidR="00D46F8B" w:rsidRDefault="002E4D62" w:rsidP="001774FE">
          <w:pPr>
            <w:pStyle w:val="LLKappalejako"/>
          </w:pPr>
          <w:r>
            <w:t xml:space="preserve">6) </w:t>
          </w:r>
          <w:r w:rsidR="00D46F8B" w:rsidRPr="002E4D62">
            <w:rPr>
              <w:i/>
            </w:rPr>
            <w:t>Euroopan unionin päästöoikeuksien termiinihinnalla</w:t>
          </w:r>
          <w:r w:rsidR="00D46F8B">
            <w:t xml:space="preserve"> Euroopan unionin päästöoikeuden joulukuussa erääntyvän yhden vuoden johdannaissopimuksen päivittäisten päätöshintojen keskiarvoa euroina kaupankäyntivolyymiltaan merkittävässä Euroopan talousalueella toimivassa päästökauppapörssissä tarkasteluvuotta edeltävänä kalenterivuonna;</w:t>
          </w:r>
        </w:p>
        <w:p w14:paraId="488F6B61" w14:textId="77777777" w:rsidR="00D46F8B" w:rsidRDefault="002E4D62" w:rsidP="001774FE">
          <w:pPr>
            <w:pStyle w:val="LLKappalejako"/>
          </w:pPr>
          <w:r>
            <w:t xml:space="preserve">7) </w:t>
          </w:r>
          <w:r w:rsidR="00D46F8B" w:rsidRPr="002E4D62">
            <w:rPr>
              <w:i/>
            </w:rPr>
            <w:t>sähkönkulutuksen tehokkuuden vertailuarvolla</w:t>
          </w:r>
          <w:r w:rsidR="00D46F8B">
            <w:t xml:space="preserve"> tuotekohtaista sähkönkulutusta megawattitunteina tuotostonnia kohti liitteessä x luetelluille tuotteille; jos tuotteen vertailuarvo ilmoitetaan hiilidioksiditonneina tuotostonnia kohti, arvo muunnetaan sähkönkulutuksen vertailuarvoksi liitteessä x kuvatulla tavalla;</w:t>
          </w:r>
        </w:p>
        <w:p w14:paraId="41173C4F" w14:textId="77777777" w:rsidR="00D46F8B" w:rsidRDefault="002E4D62" w:rsidP="001774FE">
          <w:pPr>
            <w:pStyle w:val="LLKappalejako"/>
          </w:pPr>
          <w:r>
            <w:t xml:space="preserve">8) </w:t>
          </w:r>
          <w:r w:rsidR="00D46F8B" w:rsidRPr="002E4D62">
            <w:rPr>
              <w:i/>
            </w:rPr>
            <w:t>toissijaisella sähkönkulutuksen tehokkuuden vertailuarvolla</w:t>
          </w:r>
          <w:r w:rsidR="00D46F8B">
            <w:t xml:space="preserve"> arvoa </w:t>
          </w:r>
          <w:proofErr w:type="gramStart"/>
          <w:r w:rsidR="00D46F8B">
            <w:t>0,</w:t>
          </w:r>
          <w:r>
            <w:t>x</w:t>
          </w:r>
          <w:proofErr w:type="gramEnd"/>
          <w:r>
            <w:t>;</w:t>
          </w:r>
        </w:p>
        <w:p w14:paraId="337174E6" w14:textId="77777777" w:rsidR="00D46F8B" w:rsidRDefault="002E4D62" w:rsidP="001774FE">
          <w:pPr>
            <w:pStyle w:val="LLKappalejako"/>
          </w:pPr>
          <w:r>
            <w:t xml:space="preserve">9) </w:t>
          </w:r>
          <w:r w:rsidR="00D46F8B" w:rsidRPr="002E4D62">
            <w:rPr>
              <w:i/>
            </w:rPr>
            <w:t>toteutuneella tuotoksella</w:t>
          </w:r>
          <w:r w:rsidR="00D46F8B">
            <w:t xml:space="preserve"> laitoksen toteutunutta tuotantoa tarkasteluvuonna ilmaistuna tonneina vuodessa</w:t>
          </w:r>
          <w:r>
            <w:t>;</w:t>
          </w:r>
        </w:p>
        <w:p w14:paraId="229E58FF" w14:textId="33FC5CF8" w:rsidR="00D46F8B" w:rsidRDefault="002E4D62" w:rsidP="001774FE">
          <w:pPr>
            <w:pStyle w:val="LLKappalejako"/>
          </w:pPr>
          <w:r>
            <w:t xml:space="preserve">10) </w:t>
          </w:r>
          <w:r w:rsidR="00D46F8B" w:rsidRPr="002E4D62">
            <w:rPr>
              <w:i/>
            </w:rPr>
            <w:t>toteutuneella sähkönkulutuksella</w:t>
          </w:r>
          <w:r w:rsidR="00D46F8B">
            <w:t xml:space="preserve"> laitoksen toteutunutta sähkönkulutusta tarkasteluvuonna megawattitunteina ilmaistuna</w:t>
          </w:r>
        </w:p>
        <w:p w14:paraId="7387697C" w14:textId="116996C6" w:rsidR="004109EC" w:rsidRPr="004109EC" w:rsidRDefault="004109EC" w:rsidP="001774FE">
          <w:pPr>
            <w:pStyle w:val="LLKappalejako"/>
          </w:pPr>
          <w:r>
            <w:t xml:space="preserve">11) </w:t>
          </w:r>
          <w:r>
            <w:rPr>
              <w:i/>
            </w:rPr>
            <w:t>kehittämistoimella</w:t>
          </w:r>
          <w:r w:rsidR="0001231F" w:rsidRPr="007E791F">
            <w:t xml:space="preserve"> </w:t>
          </w:r>
          <w:r w:rsidR="00F11718" w:rsidRPr="00F11718">
            <w:t>toiminnanharjoittajalle suoria kustannuksia aiheuttava</w:t>
          </w:r>
          <w:r w:rsidR="002840FB">
            <w:t>a</w:t>
          </w:r>
          <w:r w:rsidR="00F11718" w:rsidRPr="00F11718">
            <w:t xml:space="preserve"> investointi</w:t>
          </w:r>
          <w:r w:rsidR="002840FB">
            <w:t>a</w:t>
          </w:r>
          <w:r w:rsidR="00692B92">
            <w:t xml:space="preserve"> </w:t>
          </w:r>
          <w:r w:rsidR="00F11718" w:rsidRPr="00F11718">
            <w:t>tai muu</w:t>
          </w:r>
          <w:r w:rsidR="00692B92">
            <w:t>ta</w:t>
          </w:r>
          <w:r w:rsidR="00F11718" w:rsidRPr="00F11718">
            <w:t xml:space="preserve"> toimenpide</w:t>
          </w:r>
          <w:r w:rsidR="00692B92">
            <w:t>ttä</w:t>
          </w:r>
          <w:r w:rsidR="00F11718" w:rsidRPr="00F11718">
            <w:t>, jonka avulla toiminnanharjoittaja kehittää tuotantoaan hiilineutraalimmaksi.</w:t>
          </w:r>
        </w:p>
        <w:p w14:paraId="2FC90661" w14:textId="77777777" w:rsidR="00F76E29" w:rsidRDefault="00F76E29" w:rsidP="00456103">
          <w:pPr>
            <w:pStyle w:val="LLNormaali"/>
          </w:pPr>
        </w:p>
        <w:p w14:paraId="4E06859D" w14:textId="77777777" w:rsidR="002E4D62" w:rsidRPr="00456103" w:rsidRDefault="002E4D62" w:rsidP="00456103">
          <w:pPr>
            <w:pStyle w:val="LLPykala"/>
          </w:pPr>
          <w:r>
            <w:t>4</w:t>
          </w:r>
          <w:r w:rsidR="00F76E29" w:rsidRPr="009167E1">
            <w:t xml:space="preserve"> §</w:t>
          </w:r>
        </w:p>
        <w:p w14:paraId="6B40B1B9" w14:textId="77777777" w:rsidR="00F76E29" w:rsidRDefault="00456103" w:rsidP="00456103">
          <w:pPr>
            <w:pStyle w:val="LLPykalanOtsikko"/>
          </w:pPr>
          <w:r>
            <w:t>Tuen myöntämisen edellytykset</w:t>
          </w:r>
        </w:p>
        <w:p w14:paraId="2BEEF04F" w14:textId="109D5DD8" w:rsidR="002E4D62" w:rsidRDefault="002E4D62" w:rsidP="00456103">
          <w:pPr>
            <w:pStyle w:val="LLKappalejako"/>
          </w:pPr>
          <w:r>
            <w:t>Tukea voidaan myöntää toiminnanharjoi</w:t>
          </w:r>
          <w:r w:rsidR="00456103">
            <w:t>ttajalle tarkasteluvuosien 2021</w:t>
          </w:r>
          <w:r w:rsidR="004F1F38">
            <w:t>-</w:t>
          </w:r>
          <w:r>
            <w:t>2025 tietojen perusteella.</w:t>
          </w:r>
        </w:p>
        <w:p w14:paraId="0885C1F9" w14:textId="77777777" w:rsidR="002E4D62" w:rsidRDefault="002E4D62" w:rsidP="00456103">
          <w:pPr>
            <w:pStyle w:val="LLKappalejako"/>
          </w:pPr>
          <w:r>
            <w:t>Tuen myöntämisen edellytyksenä on, että toiminnanharjoittaja on tehnyt energiatehokkuuslain (1429/2014) 2 luvun mukaisen energiakatselmuksen tai että se on vapautettu energiakatselmuksen tekemisestä energiatehokkuuslain 7 §:n nojalla. Muun kuin energiatehokkuuslain 3 §:n 6 kohdan mukaisen suuren yrityksen tulee täyttää velvoite viimeistään tuen myöntämistä seuraavana vuonna tukea haettaessa ensimmäisen kerran.</w:t>
          </w:r>
        </w:p>
        <w:p w14:paraId="0E6F1493" w14:textId="77777777" w:rsidR="002E4D62" w:rsidRDefault="002E4D62" w:rsidP="00456103">
          <w:pPr>
            <w:pStyle w:val="LLKappalejako"/>
          </w:pPr>
          <w:r>
            <w:t>Tuen myöntämisen edellytyksenä on, että toiminnanharjoittaja kattaa vähintään 30 prosenttia sähkönkulutuksestaan hiilettömistä lähteistä tuotetulla sähköllä.</w:t>
          </w:r>
        </w:p>
        <w:p w14:paraId="5674F7D5" w14:textId="77777777" w:rsidR="002E4D62" w:rsidRDefault="002E4D62" w:rsidP="002E4D62">
          <w:pPr>
            <w:pStyle w:val="LLKappalejako"/>
          </w:pPr>
          <w:r>
            <w:t>Tukea ei myönnetä, jos laitos, jonka tietojen perusteella tukea haetaan, lopettaa toimintansa ennen tuen myöntämistä. Laitoksen katsotaan lopettaneen toimintansa, jos:</w:t>
          </w:r>
        </w:p>
        <w:p w14:paraId="60549B91" w14:textId="77777777" w:rsidR="002E4D62" w:rsidRDefault="002E4D62" w:rsidP="002E4D62">
          <w:pPr>
            <w:pStyle w:val="LLKappalejako"/>
          </w:pPr>
          <w:r>
            <w:t>1) toiminnan uudelleen aloittaminen ei ole teknisesti mahdollista; taikka</w:t>
          </w:r>
        </w:p>
        <w:p w14:paraId="28E0E6D0" w14:textId="77777777" w:rsidR="002E4D62" w:rsidRDefault="002E4D62" w:rsidP="00456103">
          <w:pPr>
            <w:pStyle w:val="LLKappalejako"/>
          </w:pPr>
          <w:r>
            <w:t>2) toiminnanharjoittaja ei voi osoittaa, että laitos aloittaa toimintansa uudelleen kuuden kuukauden kuluessa toiminnan lopettamisesta.</w:t>
          </w:r>
        </w:p>
        <w:p w14:paraId="57038AEF" w14:textId="77777777" w:rsidR="002E4D62" w:rsidRDefault="002E4D62" w:rsidP="00456103">
          <w:pPr>
            <w:pStyle w:val="LLKappalejako"/>
          </w:pPr>
          <w:r>
            <w:t>Tukea ei myönnetä Euroopan unionin valtiontukisääntelyssä tarkoitetuille vaikeuksissa oleville yrityksille.</w:t>
          </w:r>
        </w:p>
        <w:p w14:paraId="3DF5D6B4" w14:textId="77777777" w:rsidR="00F76E29" w:rsidRDefault="00F76E29" w:rsidP="00F06DEC">
          <w:pPr>
            <w:pStyle w:val="LLKappalejako"/>
          </w:pPr>
        </w:p>
        <w:p w14:paraId="1B3A961A" w14:textId="77777777" w:rsidR="002E4D62" w:rsidRPr="002E4D62" w:rsidRDefault="002E4D62" w:rsidP="00456103">
          <w:pPr>
            <w:pStyle w:val="LLPykala"/>
          </w:pPr>
          <w:r>
            <w:t>5</w:t>
          </w:r>
          <w:r w:rsidR="00F76E29" w:rsidRPr="009167E1">
            <w:t xml:space="preserve"> §</w:t>
          </w:r>
        </w:p>
        <w:p w14:paraId="319D2DB3" w14:textId="77777777" w:rsidR="002E4D62" w:rsidRPr="002E4D62" w:rsidRDefault="002E4D62" w:rsidP="00456103">
          <w:pPr>
            <w:pStyle w:val="LLPykalanOtsikko"/>
          </w:pPr>
          <w:r w:rsidRPr="002E4D62">
            <w:t xml:space="preserve">Viranomaistehtävät </w:t>
          </w:r>
        </w:p>
        <w:p w14:paraId="75EF0617" w14:textId="77777777" w:rsidR="00F76E29" w:rsidRDefault="002E4D62" w:rsidP="00F06DEC">
          <w:pPr>
            <w:pStyle w:val="LLKappalejako"/>
          </w:pPr>
          <w:r w:rsidRPr="002E4D62">
            <w:t>Energiavirasto valvoo tämän lain noudattamista ja vastaa tässä laissa säädetyistä viranomaistehtävistä.</w:t>
          </w:r>
        </w:p>
        <w:p w14:paraId="6DC986EE" w14:textId="77777777" w:rsidR="001E4FEB" w:rsidRDefault="001E4FEB" w:rsidP="00BD1C0B">
          <w:pPr>
            <w:pStyle w:val="LLNormaali"/>
          </w:pPr>
        </w:p>
        <w:p w14:paraId="674A4BEC" w14:textId="77777777" w:rsidR="001E4FEB" w:rsidRDefault="001E4FEB" w:rsidP="00BD1C0B">
          <w:pPr>
            <w:pStyle w:val="LLLuku"/>
          </w:pPr>
          <w:r>
            <w:t xml:space="preserve">2 luku </w:t>
          </w:r>
        </w:p>
        <w:p w14:paraId="284F997E" w14:textId="77777777" w:rsidR="00F76E29" w:rsidRDefault="001E4FEB" w:rsidP="00BD1C0B">
          <w:pPr>
            <w:pStyle w:val="LLLuvunOtsikko"/>
          </w:pPr>
          <w:r>
            <w:t>Tuen määrä</w:t>
          </w:r>
        </w:p>
        <w:p w14:paraId="10C03AD0" w14:textId="77777777" w:rsidR="00F76E29" w:rsidRDefault="002E4D62" w:rsidP="00BD1C0B">
          <w:pPr>
            <w:pStyle w:val="LLPykala"/>
          </w:pPr>
          <w:r>
            <w:t>6</w:t>
          </w:r>
          <w:r w:rsidR="00F76E29" w:rsidRPr="009167E1">
            <w:t xml:space="preserve"> §</w:t>
          </w:r>
        </w:p>
        <w:p w14:paraId="399CEE57" w14:textId="77777777" w:rsidR="001E4FEB" w:rsidRPr="001E4FEB" w:rsidRDefault="001E4FEB" w:rsidP="00456103">
          <w:pPr>
            <w:pStyle w:val="LLPykalanOtsikko"/>
          </w:pPr>
          <w:r>
            <w:t>Tuen enimmäismäärä</w:t>
          </w:r>
        </w:p>
        <w:p w14:paraId="547062F6" w14:textId="77777777" w:rsidR="001E4FEB" w:rsidRDefault="001E4FEB" w:rsidP="001E4FEB">
          <w:pPr>
            <w:pStyle w:val="LLKappalejako"/>
          </w:pPr>
          <w:r>
            <w:t>Vuosittain haetun tuen kokonaismäärän ollessa 150 miljoonaa euroa tai sen alle on sovell</w:t>
          </w:r>
          <w:r w:rsidR="001774FE">
            <w:t>ettava tuki-intensiteetti 25 %.</w:t>
          </w:r>
        </w:p>
        <w:p w14:paraId="76914BA9" w14:textId="77777777" w:rsidR="00F76E29" w:rsidRDefault="001E4FEB" w:rsidP="001E4FEB">
          <w:pPr>
            <w:pStyle w:val="LLKappalejako"/>
          </w:pPr>
          <w:r>
            <w:t>Mikäli vuosittain haetun tuen kokonaismäärä tuki-intensiteetillä 25 % ylittää 150 miljoonaa euroa, määrittää Energiavirasto sovellettavan tuki-intensiteetin siten, että myönnettävän tuen kokonaismäärä ei kyseisenä vuonna ylitä 150 miljoonaa euroa.</w:t>
          </w:r>
        </w:p>
        <w:p w14:paraId="3F10797F" w14:textId="77777777" w:rsidR="00F76E29" w:rsidRDefault="00F76E29" w:rsidP="00BD1C0B">
          <w:pPr>
            <w:pStyle w:val="LLNormaali"/>
          </w:pPr>
        </w:p>
        <w:p w14:paraId="7611D493" w14:textId="77777777" w:rsidR="00F76E29" w:rsidRDefault="001E4FEB" w:rsidP="00F76E29">
          <w:pPr>
            <w:pStyle w:val="LLPykala"/>
          </w:pPr>
          <w:r>
            <w:t>7</w:t>
          </w:r>
          <w:r w:rsidR="00F76E29" w:rsidRPr="009167E1">
            <w:t xml:space="preserve"> §</w:t>
          </w:r>
        </w:p>
        <w:p w14:paraId="25150AA2" w14:textId="77777777" w:rsidR="001E4FEB" w:rsidRPr="001E4FEB" w:rsidRDefault="001E4FEB" w:rsidP="00BD1C0B">
          <w:pPr>
            <w:pStyle w:val="LLPykalanOtsikko"/>
          </w:pPr>
          <w:r w:rsidRPr="001E4FEB">
            <w:t>Päästöoikeuksien termiinihinnan määrittäminen</w:t>
          </w:r>
        </w:p>
        <w:p w14:paraId="3345ACD0" w14:textId="77777777" w:rsidR="00F76E29" w:rsidRDefault="001E4FEB" w:rsidP="00F76E29">
          <w:pPr>
            <w:pStyle w:val="LLKappalejako"/>
          </w:pPr>
          <w:r w:rsidRPr="001E4FEB">
            <w:t>Energiavirasto määrittelee vuosittain tuen määrän laskennassa käytettävän Euroopan unionin päästöoikeuksien termiinihinnan.</w:t>
          </w:r>
        </w:p>
        <w:p w14:paraId="130377BD" w14:textId="77777777" w:rsidR="00F76E29" w:rsidRDefault="00F76E29" w:rsidP="00BD1C0B">
          <w:pPr>
            <w:pStyle w:val="LLNormaali"/>
          </w:pPr>
        </w:p>
        <w:p w14:paraId="07154EC7" w14:textId="77777777" w:rsidR="00F76E29" w:rsidRDefault="001E4FEB" w:rsidP="00F76E29">
          <w:pPr>
            <w:pStyle w:val="LLPykala"/>
          </w:pPr>
          <w:r>
            <w:t>8</w:t>
          </w:r>
          <w:r w:rsidR="00F76E29" w:rsidRPr="009167E1">
            <w:t xml:space="preserve"> §</w:t>
          </w:r>
        </w:p>
        <w:p w14:paraId="577BD5D9" w14:textId="77777777" w:rsidR="001E4FEB" w:rsidRDefault="001E4FEB" w:rsidP="00BD1C0B">
          <w:pPr>
            <w:pStyle w:val="LLPykalanOtsikko"/>
          </w:pPr>
          <w:r w:rsidRPr="001E4FEB">
            <w:t>Tuen määrän laskemin</w:t>
          </w:r>
          <w:r>
            <w:t>en sovellettaessa sähkönkulutuk</w:t>
          </w:r>
          <w:r w:rsidRPr="001E4FEB">
            <w:t>sen tehokkuuden vertailuarvoa</w:t>
          </w:r>
        </w:p>
        <w:p w14:paraId="44C7D074" w14:textId="6CB8FB40" w:rsidR="001E4FEB" w:rsidRDefault="001E4FEB" w:rsidP="001E4FEB">
          <w:pPr>
            <w:pStyle w:val="LLKappalejako"/>
          </w:pPr>
          <w:r>
            <w:t xml:space="preserve">Kun laitoksessa valmistettaville tuotteille on käytettävissä </w:t>
          </w:r>
          <w:r w:rsidR="00FC4088">
            <w:t xml:space="preserve">2 </w:t>
          </w:r>
          <w:r>
            <w:t>liitteen mukainen sähkönkulutuksen tehokkuuden vertailuarvo, vuosittaisen tuen määrä lasketaan kertomalla keskenään</w:t>
          </w:r>
        </w:p>
        <w:p w14:paraId="4094DE30" w14:textId="77777777" w:rsidR="001E4FEB" w:rsidRDefault="00BD1C0B" w:rsidP="001E4FEB">
          <w:pPr>
            <w:pStyle w:val="LLKappalejako"/>
          </w:pPr>
          <w:r>
            <w:t>1) tuki-intensiteetti,</w:t>
          </w:r>
        </w:p>
        <w:p w14:paraId="2A1CAE6E" w14:textId="77777777" w:rsidR="001E4FEB" w:rsidRDefault="001E4FEB" w:rsidP="001E4FEB">
          <w:pPr>
            <w:pStyle w:val="LLKappalejako"/>
          </w:pPr>
          <w:r>
            <w:t>2</w:t>
          </w:r>
          <w:r w:rsidR="00BD1C0B">
            <w:t>) hiilidioksidin päästökerroin,</w:t>
          </w:r>
        </w:p>
        <w:p w14:paraId="295C8762" w14:textId="77777777" w:rsidR="001E4FEB" w:rsidRDefault="001E4FEB" w:rsidP="001E4FEB">
          <w:pPr>
            <w:pStyle w:val="LLKappalejako"/>
          </w:pPr>
          <w:r>
            <w:t xml:space="preserve">3) Euroopan unionin </w:t>
          </w:r>
          <w:r w:rsidR="00BD1C0B">
            <w:t>päästöoikeuksien termiinihinta,</w:t>
          </w:r>
        </w:p>
        <w:p w14:paraId="5DC270C6" w14:textId="77777777" w:rsidR="001E4FEB" w:rsidRDefault="001E4FEB" w:rsidP="001E4FEB">
          <w:pPr>
            <w:pStyle w:val="LLKappalejako"/>
          </w:pPr>
          <w:r>
            <w:t>4) sovellettava tuotekohtainen sähkönkulutuksen tehokkuuden vertailuarvo sekä</w:t>
          </w:r>
        </w:p>
        <w:p w14:paraId="076D4249" w14:textId="77777777" w:rsidR="001E4FEB" w:rsidRDefault="001E4FEB" w:rsidP="00BD1C0B">
          <w:pPr>
            <w:pStyle w:val="LLKappalejako"/>
          </w:pPr>
          <w:r>
            <w:t>5) toteutunut tuotos</w:t>
          </w:r>
          <w:r w:rsidR="00BD1C0B">
            <w:t>.</w:t>
          </w:r>
        </w:p>
        <w:p w14:paraId="0594A2A5" w14:textId="77777777" w:rsidR="001E4FEB" w:rsidRDefault="001E4FEB" w:rsidP="00BD1C0B">
          <w:pPr>
            <w:pStyle w:val="LLKappalejako"/>
          </w:pPr>
          <w:r>
            <w:t>Energiavirasto vastaa tuen määrän laskennasta. Niille toimialoille tai niiden osille, joille on vahvistettu sähkön ja polttoaineen vaihdettavuus, Energiavirasto määrittelee sähkönkulutuksen tehokkuuden vertailuarvon.</w:t>
          </w:r>
        </w:p>
        <w:p w14:paraId="01788250" w14:textId="77777777" w:rsidR="001E4FEB" w:rsidRDefault="001E4FEB" w:rsidP="001E4FEB">
          <w:pPr>
            <w:pStyle w:val="LLKappalejako"/>
          </w:pPr>
          <w:r>
            <w:t>Tarkempia säännöksiä tuen määrän laskemisesta voidaan antaa valtioneuvoston asetuksella.</w:t>
          </w:r>
        </w:p>
        <w:p w14:paraId="072BF628" w14:textId="77777777" w:rsidR="00F76E29" w:rsidRDefault="00F76E29" w:rsidP="00BD1C0B">
          <w:pPr>
            <w:pStyle w:val="LLNormaali"/>
          </w:pPr>
        </w:p>
        <w:p w14:paraId="3C8F0DC3" w14:textId="77777777" w:rsidR="001E4FEB" w:rsidRDefault="001E4FEB" w:rsidP="00BD1C0B">
          <w:pPr>
            <w:pStyle w:val="LLPykala"/>
          </w:pPr>
          <w:r>
            <w:t>9</w:t>
          </w:r>
          <w:r w:rsidR="00F76E29" w:rsidRPr="009167E1">
            <w:t xml:space="preserve"> §</w:t>
          </w:r>
        </w:p>
        <w:p w14:paraId="570FBDC7" w14:textId="1F9F3A9C" w:rsidR="001E4FEB" w:rsidRPr="001E4FEB" w:rsidRDefault="001E4FEB" w:rsidP="00BD1C0B">
          <w:pPr>
            <w:pStyle w:val="LLPykalanOtsikko"/>
          </w:pPr>
          <w:r w:rsidRPr="001E4FEB">
            <w:t xml:space="preserve">Tuen määrän laskeminen sovellettaessa toissijaista sähkönkulutuksen </w:t>
          </w:r>
          <w:r w:rsidR="002819EA">
            <w:t xml:space="preserve">tehokkuuden </w:t>
          </w:r>
          <w:r w:rsidRPr="001E4FEB">
            <w:t>vertailuarvoa</w:t>
          </w:r>
        </w:p>
        <w:p w14:paraId="11F06BD7" w14:textId="77777777" w:rsidR="001E4FEB" w:rsidRDefault="001E4FEB" w:rsidP="001E4FEB">
          <w:pPr>
            <w:pStyle w:val="LLKappalejako"/>
          </w:pPr>
          <w:r>
            <w:t>Kun laitoksessa valmistettaville tuotteille ei ole käytettävissä sähkönkulutuksen tehokkuuden vertailuarvoa, vuosittaisen tuen määrä lasketaan kertomalla keskenään</w:t>
          </w:r>
        </w:p>
        <w:p w14:paraId="4F65C3D6" w14:textId="77777777" w:rsidR="001E4FEB" w:rsidRDefault="001E4FEB" w:rsidP="001E4FEB">
          <w:pPr>
            <w:pStyle w:val="LLKappalejako"/>
          </w:pPr>
          <w:r>
            <w:t>1) tuki-intensiteetti,</w:t>
          </w:r>
        </w:p>
        <w:p w14:paraId="0E16D372" w14:textId="77777777" w:rsidR="001E4FEB" w:rsidRDefault="001E4FEB" w:rsidP="001E4FEB">
          <w:pPr>
            <w:pStyle w:val="LLKappalejako"/>
          </w:pPr>
          <w:r>
            <w:t>2</w:t>
          </w:r>
          <w:r w:rsidR="00BD1C0B">
            <w:t>) hiilidioksidin päästökerroin,</w:t>
          </w:r>
        </w:p>
        <w:p w14:paraId="1CBA62B4" w14:textId="77777777" w:rsidR="001E4FEB" w:rsidRDefault="001E4FEB" w:rsidP="001E4FEB">
          <w:pPr>
            <w:pStyle w:val="LLKappalejako"/>
          </w:pPr>
          <w:r>
            <w:t xml:space="preserve">3) Euroopan unionin </w:t>
          </w:r>
          <w:r w:rsidR="00BD1C0B">
            <w:t>päästöoikeuksien termiinihinta,</w:t>
          </w:r>
        </w:p>
        <w:p w14:paraId="35696643" w14:textId="77777777" w:rsidR="001E4FEB" w:rsidRDefault="001E4FEB" w:rsidP="001E4FEB">
          <w:pPr>
            <w:pStyle w:val="LLKappalejako"/>
          </w:pPr>
          <w:r>
            <w:t>4) toissijainen sähkönkulutukse</w:t>
          </w:r>
          <w:r w:rsidR="00BD1C0B">
            <w:t>n tehokkuuden vertailuarvo sekä</w:t>
          </w:r>
        </w:p>
        <w:p w14:paraId="2784EE22" w14:textId="77777777" w:rsidR="001E4FEB" w:rsidRDefault="001E4FEB" w:rsidP="001E4FEB">
          <w:pPr>
            <w:pStyle w:val="LLKappalejako"/>
          </w:pPr>
          <w:r>
            <w:t>5) toteutunut sähkönkulutus.</w:t>
          </w:r>
        </w:p>
        <w:p w14:paraId="577A52E5" w14:textId="77777777" w:rsidR="001E4FEB" w:rsidRDefault="001E4FEB" w:rsidP="00BD1C0B">
          <w:pPr>
            <w:pStyle w:val="LLKappalejako"/>
          </w:pPr>
          <w:r>
            <w:t xml:space="preserve">Energiavirasto </w:t>
          </w:r>
          <w:r w:rsidR="00BD1C0B">
            <w:t>vastaa tuen määrän laskennasta.</w:t>
          </w:r>
        </w:p>
        <w:p w14:paraId="0ACAFB8E" w14:textId="77777777" w:rsidR="001E4FEB" w:rsidRDefault="001E4FEB" w:rsidP="00BD1C0B">
          <w:pPr>
            <w:pStyle w:val="LLKappalejako"/>
          </w:pPr>
          <w:r>
            <w:t>Tuen määrän perusteena tulee olla yksittäisen laitoksen tuotteiden valmistuksen yhteenlaskettu toteutunut sähkökulutus.</w:t>
          </w:r>
        </w:p>
        <w:p w14:paraId="28211A54" w14:textId="77777777" w:rsidR="001E4FEB" w:rsidRDefault="001E4FEB" w:rsidP="001E4FEB">
          <w:pPr>
            <w:pStyle w:val="LLKappalejako"/>
          </w:pPr>
          <w:r>
            <w:t>Tarkempia säännöksiä tuen määrän laskemisesta voidaan antaa valtioneuvoston asetuksella.</w:t>
          </w:r>
        </w:p>
        <w:p w14:paraId="18FBD4A5" w14:textId="77777777" w:rsidR="001E4FEB" w:rsidRDefault="001E4FEB" w:rsidP="00BD1C0B">
          <w:pPr>
            <w:pStyle w:val="LLNormaali"/>
          </w:pPr>
        </w:p>
        <w:p w14:paraId="10198666" w14:textId="77777777" w:rsidR="001E4FEB" w:rsidRDefault="001E4FEB" w:rsidP="00BD1C0B">
          <w:pPr>
            <w:pStyle w:val="LLLuku"/>
          </w:pPr>
          <w:r>
            <w:t xml:space="preserve">3 luku </w:t>
          </w:r>
        </w:p>
        <w:p w14:paraId="3E45C355" w14:textId="77777777" w:rsidR="001E4FEB" w:rsidRPr="00AD6AA5" w:rsidRDefault="001E4FEB" w:rsidP="00AD6AA5">
          <w:pPr>
            <w:pStyle w:val="LLLuvunOtsikko"/>
          </w:pPr>
          <w:r>
            <w:t>Tuen hakeminen ja käyttö</w:t>
          </w:r>
        </w:p>
        <w:p w14:paraId="15636A46" w14:textId="77777777" w:rsidR="00F76E29" w:rsidRDefault="001E4FEB" w:rsidP="00AD6AA5">
          <w:pPr>
            <w:pStyle w:val="LLPykala"/>
          </w:pPr>
          <w:r>
            <w:t>10</w:t>
          </w:r>
          <w:r w:rsidR="00F76E29" w:rsidRPr="009167E1">
            <w:t xml:space="preserve"> §</w:t>
          </w:r>
        </w:p>
        <w:p w14:paraId="21F0C377" w14:textId="77777777" w:rsidR="001E4FEB" w:rsidRDefault="001E4FEB" w:rsidP="001E4FEB">
          <w:pPr>
            <w:pStyle w:val="LLKappalejako"/>
            <w:jc w:val="center"/>
          </w:pPr>
        </w:p>
        <w:p w14:paraId="2C878360" w14:textId="77777777" w:rsidR="00F76E29" w:rsidRDefault="001E4FEB" w:rsidP="00AD6AA5">
          <w:pPr>
            <w:pStyle w:val="LLPykalanOtsikko"/>
          </w:pPr>
          <w:r>
            <w:t xml:space="preserve">Tuen hakeminen </w:t>
          </w:r>
        </w:p>
        <w:p w14:paraId="65C7B6DD" w14:textId="77777777" w:rsidR="001E4FEB" w:rsidRDefault="001E4FEB" w:rsidP="00AD6AA5">
          <w:pPr>
            <w:pStyle w:val="LLKappalejako"/>
          </w:pPr>
          <w:r>
            <w:t>Tukea haetaan toimittamalla hakemus Energiavirastolle. Hakemus voidaan toimittaa Energiaviraston ylläpitämän sähköisen järjestelmän kautta.</w:t>
          </w:r>
        </w:p>
        <w:p w14:paraId="39BF36F2" w14:textId="77777777" w:rsidR="00F76E29" w:rsidRDefault="001E4FEB" w:rsidP="001E4FEB">
          <w:pPr>
            <w:pStyle w:val="LLKappalejako"/>
          </w:pPr>
          <w:r>
            <w:t>Tukihakemuksen toimittamisesta ja sisällöstä säädetään valtioneuvoston asetuksella.</w:t>
          </w:r>
        </w:p>
        <w:p w14:paraId="77ABA2A6" w14:textId="77777777" w:rsidR="001E4FEB" w:rsidRDefault="001E4FEB" w:rsidP="001E4FEB">
          <w:pPr>
            <w:pStyle w:val="LLKappalejako"/>
          </w:pPr>
        </w:p>
        <w:p w14:paraId="0E8BB81D" w14:textId="77777777" w:rsidR="00F76E29" w:rsidRDefault="001E4FEB" w:rsidP="00F76E29">
          <w:pPr>
            <w:pStyle w:val="LLPykala"/>
          </w:pPr>
          <w:r>
            <w:t>11</w:t>
          </w:r>
          <w:r w:rsidR="00F76E29" w:rsidRPr="009167E1">
            <w:t xml:space="preserve"> §</w:t>
          </w:r>
        </w:p>
        <w:p w14:paraId="2122E31D" w14:textId="77777777" w:rsidR="001E4FEB" w:rsidRDefault="001E4FEB" w:rsidP="001E4FEB">
          <w:pPr>
            <w:jc w:val="center"/>
            <w:rPr>
              <w:i/>
              <w:lang w:eastAsia="fi-FI"/>
            </w:rPr>
          </w:pPr>
        </w:p>
        <w:p w14:paraId="526F9A50" w14:textId="77777777" w:rsidR="00F76E29" w:rsidRDefault="001E4FEB" w:rsidP="00AD6AA5">
          <w:pPr>
            <w:pStyle w:val="LLPykalanOtsikko"/>
          </w:pPr>
          <w:r>
            <w:t>Tuen myöntäminen</w:t>
          </w:r>
        </w:p>
        <w:p w14:paraId="1E7FD38B" w14:textId="77777777" w:rsidR="001E4FEB" w:rsidRDefault="001E4FEB" w:rsidP="00AD6AA5">
          <w:pPr>
            <w:pStyle w:val="LLKappalejako"/>
          </w:pPr>
          <w:r>
            <w:t>Energiaviraston tulee varmistua toiminnanharjoittajan 10 §:n mukaisessa hakemuksessa ilmoittamien tietojen kattavuudesta, luotettavuudesta, u</w:t>
          </w:r>
          <w:r w:rsidR="00AD6AA5">
            <w:t>skottavuudesta ja tarkkuudesta.</w:t>
          </w:r>
        </w:p>
        <w:p w14:paraId="28E3453A" w14:textId="77777777" w:rsidR="001E4FEB" w:rsidRDefault="001E4FEB" w:rsidP="00AD6AA5">
          <w:pPr>
            <w:pStyle w:val="LLKappalejako"/>
          </w:pPr>
          <w:r>
            <w:t xml:space="preserve">Tuki myönnetään, jos hakemuksessa on osoitettu, että tässä laissa säädetyt edellytykset täyttyvät ja hyväksymiselle ei ole </w:t>
          </w:r>
          <w:r w:rsidR="00AD6AA5">
            <w:t>tässä laissa säädettyä estettä.</w:t>
          </w:r>
        </w:p>
        <w:p w14:paraId="31E391B8" w14:textId="77777777" w:rsidR="001E4FEB" w:rsidRDefault="001E4FEB" w:rsidP="00AD6AA5">
          <w:pPr>
            <w:pStyle w:val="LLKappalejako"/>
          </w:pPr>
          <w:r>
            <w:t>Energiavirasto tekee hakemuksen perusteella päätöksen tämän lain mukaisen tuen myöntäm</w:t>
          </w:r>
          <w:r w:rsidR="00AD6AA5">
            <w:t>isestä toiminnanharjoittajalle.</w:t>
          </w:r>
        </w:p>
        <w:p w14:paraId="025A1CE9" w14:textId="77777777" w:rsidR="001E4FEB" w:rsidRDefault="001E4FEB" w:rsidP="00AD6AA5">
          <w:pPr>
            <w:pStyle w:val="LLKappalejako"/>
          </w:pPr>
          <w:r>
            <w:t>Energiaviraston päätöksestä on käytävä ilmi tukea saava toiminnanharjoittaja ja laitos, tukimäärä sekä tuen määrään vaikuttaneet seikat toimialoittain sekä toimialan osittain.</w:t>
          </w:r>
        </w:p>
        <w:p w14:paraId="5613BAAF" w14:textId="77777777" w:rsidR="00F76E29" w:rsidRDefault="001E4FEB" w:rsidP="001E4FEB">
          <w:pPr>
            <w:pStyle w:val="LLKappalejako"/>
          </w:pPr>
          <w:r>
            <w:t>Tarkempia säännöksiä tuen myöntämisestä annettavasta päätöksestä voidaan antaa valtioneuvoston asetuksella.</w:t>
          </w:r>
        </w:p>
        <w:p w14:paraId="4DEDB394" w14:textId="77777777" w:rsidR="001E4FEB" w:rsidRDefault="001E4FEB" w:rsidP="00AD6AA5">
          <w:pPr>
            <w:pStyle w:val="LLNormaali"/>
          </w:pPr>
        </w:p>
        <w:p w14:paraId="330F03BE" w14:textId="77777777" w:rsidR="001E4FEB" w:rsidRDefault="001E4FEB" w:rsidP="00AD6AA5">
          <w:pPr>
            <w:pStyle w:val="LLPykala"/>
          </w:pPr>
          <w:r>
            <w:t>12</w:t>
          </w:r>
          <w:r w:rsidR="00F76E29" w:rsidRPr="009167E1">
            <w:t xml:space="preserve"> §</w:t>
          </w:r>
        </w:p>
        <w:p w14:paraId="620F54BB" w14:textId="77777777" w:rsidR="00F76E29" w:rsidRDefault="001E4FEB" w:rsidP="00AD6AA5">
          <w:pPr>
            <w:pStyle w:val="LLPykalanOtsikko"/>
          </w:pPr>
          <w:r>
            <w:t xml:space="preserve">Tuen maksaminen </w:t>
          </w:r>
        </w:p>
        <w:p w14:paraId="0132796E" w14:textId="77777777" w:rsidR="001E4FEB" w:rsidRDefault="001E4FEB" w:rsidP="00AD6AA5">
          <w:pPr>
            <w:pStyle w:val="LLKappalejako"/>
          </w:pPr>
          <w:r>
            <w:t>Energiavirasto maksaa tuen 11 §:n päätöksen mukaisesti viimeistään sen kalenterivuoden loppuun mennessä, jona tukea on haettu.</w:t>
          </w:r>
        </w:p>
        <w:p w14:paraId="08692F3B" w14:textId="77777777" w:rsidR="001E4FEB" w:rsidRDefault="001E4FEB" w:rsidP="001E4FEB">
          <w:pPr>
            <w:pStyle w:val="LLKappalejako"/>
          </w:pPr>
          <w:r>
            <w:t>Tukea ei makseta, jos Euroopan Unionin komissio on Euroopan unionin toiminnasta tehdyn sopimuksen 108 artiklan soveltamista koskevista yksityiskohtaisista säännöistä annetun neuvoston asetuksen (EU) 2015/1589 mukaisesti keskeyttänyt tukea hakeneen toiminnanharjoittajan osalta tuen maksamisen.</w:t>
          </w:r>
        </w:p>
        <w:p w14:paraId="46459BBD" w14:textId="77777777" w:rsidR="00F76E29" w:rsidRDefault="00F76E29" w:rsidP="00AD6AA5">
          <w:pPr>
            <w:pStyle w:val="LLNormaali"/>
          </w:pPr>
        </w:p>
        <w:p w14:paraId="77747491" w14:textId="77777777" w:rsidR="001E4FEB" w:rsidRDefault="001E4FEB" w:rsidP="00AD6AA5">
          <w:pPr>
            <w:pStyle w:val="LLPykala"/>
          </w:pPr>
          <w:r>
            <w:t>13</w:t>
          </w:r>
          <w:r w:rsidR="00F76E29" w:rsidRPr="009167E1">
            <w:t xml:space="preserve"> §</w:t>
          </w:r>
        </w:p>
        <w:p w14:paraId="49A8CB2C" w14:textId="77777777" w:rsidR="00F76E29" w:rsidRDefault="001E4FEB" w:rsidP="00AD6AA5">
          <w:pPr>
            <w:pStyle w:val="LLPykalanOtsikko"/>
          </w:pPr>
          <w:r>
            <w:t>Tuen käyttö</w:t>
          </w:r>
        </w:p>
        <w:p w14:paraId="6B87316C" w14:textId="1B7C31BF" w:rsidR="001E4FEB" w:rsidRDefault="001E4FEB" w:rsidP="00AD6AA5">
          <w:pPr>
            <w:pStyle w:val="LLKappalejako"/>
          </w:pPr>
          <w:r>
            <w:t>Toiminnanharjoittajan tulee käyttää tämän lain 11 §:n mukaisesti myönnetystä tuesta vähi</w:t>
          </w:r>
          <w:r w:rsidR="00830D35">
            <w:t xml:space="preserve">ntään 50 prosenttia </w:t>
          </w:r>
          <w:r>
            <w:t>kehittämistoimiin</w:t>
          </w:r>
          <w:r w:rsidR="00BA66F7">
            <w:t>, joilla edistetään lain 1 §:n mukais</w:t>
          </w:r>
          <w:r w:rsidR="0071285A">
            <w:t xml:space="preserve">ten </w:t>
          </w:r>
          <w:r w:rsidR="00BA66F7">
            <w:t>t</w:t>
          </w:r>
          <w:r w:rsidR="0071285A">
            <w:t>avoitteiden</w:t>
          </w:r>
          <w:r w:rsidR="00BA66F7">
            <w:t xml:space="preserve"> tot</w:t>
          </w:r>
          <w:r w:rsidR="0071285A">
            <w:t>eutumista</w:t>
          </w:r>
          <w:r>
            <w:t>. Tuen käytön tulee kohdistua toiminnanharjoittajan kehittämistoimi</w:t>
          </w:r>
          <w:r w:rsidR="00AD6AA5">
            <w:t>in, jotka sijaitsevat Suomessa.</w:t>
          </w:r>
        </w:p>
        <w:p w14:paraId="3C7FDF4A" w14:textId="77777777" w:rsidR="001E4FEB" w:rsidRDefault="001E4FEB" w:rsidP="00AD6AA5">
          <w:pPr>
            <w:pStyle w:val="LLKappalejako"/>
          </w:pPr>
          <w:r>
            <w:t>Kehittämistoimien tulee olla toteutettuina viimeistään 31.12.2028.</w:t>
          </w:r>
        </w:p>
        <w:p w14:paraId="10A5F8D2" w14:textId="61E34628" w:rsidR="001E4FEB" w:rsidRDefault="001E4FEB" w:rsidP="00AD6AA5">
          <w:pPr>
            <w:pStyle w:val="LLKappalejako"/>
          </w:pPr>
          <w:r>
            <w:t>Toiminnanharjoittajan tulee toimittaa Energiavira</w:t>
          </w:r>
          <w:r w:rsidR="00656438">
            <w:t xml:space="preserve">stolle tiedot tuen </w:t>
          </w:r>
          <w:r w:rsidR="00FC4088">
            <w:t xml:space="preserve">1 – 2 </w:t>
          </w:r>
          <w:r w:rsidR="00656438">
            <w:t xml:space="preserve">momenttien </w:t>
          </w:r>
          <w:r w:rsidR="004F1F38">
            <w:t>-</w:t>
          </w:r>
          <w:r>
            <w:t xml:space="preserve">mukaisesta käytöstä. </w:t>
          </w:r>
        </w:p>
        <w:p w14:paraId="4A474916" w14:textId="0FB828DE" w:rsidR="00F76E29" w:rsidRDefault="001E4FEB" w:rsidP="001E4FEB">
          <w:pPr>
            <w:pStyle w:val="LLKappalejako"/>
          </w:pPr>
          <w:r>
            <w:t>Kehittämistoimille asetetuista vaatimuksista</w:t>
          </w:r>
          <w:r w:rsidR="004433D8">
            <w:t>,</w:t>
          </w:r>
          <w:r>
            <w:t xml:space="preserve"> niitä koskevien tietojen toimittamisesta </w:t>
          </w:r>
          <w:r w:rsidR="004433D8">
            <w:t xml:space="preserve">ja käsittelystä </w:t>
          </w:r>
          <w:r>
            <w:t>annetaan tarkempia säännöksiä valtioneuvoston asetuksella.</w:t>
          </w:r>
        </w:p>
        <w:p w14:paraId="2BCB9EB2" w14:textId="77777777" w:rsidR="001E4FEB" w:rsidRDefault="001E4FEB" w:rsidP="00AD6AA5">
          <w:pPr>
            <w:pStyle w:val="LLKappalejako"/>
            <w:ind w:firstLine="0"/>
          </w:pPr>
        </w:p>
        <w:p w14:paraId="3D93D401" w14:textId="77777777" w:rsidR="001E4FEB" w:rsidRDefault="00E43799" w:rsidP="00AD6AA5">
          <w:pPr>
            <w:pStyle w:val="LLLuku"/>
          </w:pPr>
          <w:r>
            <w:t>4</w:t>
          </w:r>
          <w:r w:rsidR="001E4FEB">
            <w:t xml:space="preserve"> luku </w:t>
          </w:r>
        </w:p>
        <w:p w14:paraId="6B38ECD3" w14:textId="77777777" w:rsidR="001E4FEB" w:rsidRDefault="001E4FEB" w:rsidP="00AD6AA5">
          <w:pPr>
            <w:pStyle w:val="LLLuvunOtsikko"/>
          </w:pPr>
          <w:r>
            <w:t>Valvonta</w:t>
          </w:r>
        </w:p>
        <w:p w14:paraId="01E238EB" w14:textId="77777777" w:rsidR="001E4FEB" w:rsidRDefault="001E4FEB" w:rsidP="00AD6AA5">
          <w:pPr>
            <w:pStyle w:val="LLNormaali"/>
          </w:pPr>
        </w:p>
        <w:p w14:paraId="5EAE2FF7" w14:textId="77777777" w:rsidR="00F76E29" w:rsidRDefault="000D6C65" w:rsidP="00AD6AA5">
          <w:pPr>
            <w:pStyle w:val="LLPykala"/>
          </w:pPr>
          <w:r>
            <w:t>14</w:t>
          </w:r>
          <w:r w:rsidR="00F76E29" w:rsidRPr="009167E1">
            <w:t xml:space="preserve"> §</w:t>
          </w:r>
        </w:p>
        <w:p w14:paraId="5B72F118" w14:textId="77777777" w:rsidR="000D6C65" w:rsidRDefault="000D6C65" w:rsidP="00AD6AA5">
          <w:pPr>
            <w:pStyle w:val="LLPykalanOtsikko"/>
          </w:pPr>
          <w:r>
            <w:t xml:space="preserve">Tiedonsaantioikeus </w:t>
          </w:r>
        </w:p>
        <w:p w14:paraId="639818CF" w14:textId="77777777" w:rsidR="000D6C65" w:rsidRDefault="000D6C65" w:rsidP="00AD6AA5">
          <w:pPr>
            <w:pStyle w:val="LLKappalejako"/>
          </w:pPr>
          <w:r>
            <w:t>Energiavirastolla on oikeus saada salassapitosäännösten estämättä tämän lain säännösten noudattamisen valvontaa varten tarpeelliset tiedot toiminnanharjoittajalta, sähkön tuottajalta, joka toimittaa sähköä toiminnanharjoittajalle, sekä verkonhaltijalta.</w:t>
          </w:r>
        </w:p>
        <w:p w14:paraId="5CFC9709" w14:textId="73C97BFC" w:rsidR="000D6C65" w:rsidRDefault="000D6C65" w:rsidP="00AD6AA5">
          <w:pPr>
            <w:pStyle w:val="LLKappalejako"/>
          </w:pPr>
          <w:r>
            <w:t>Energiavirastolla on oikeus salassapitosäännösten estämättä saada viranomaisilta tämän lain säännösten noudattamisen valvontaa varten tarpeellisia tietoja:</w:t>
          </w:r>
        </w:p>
        <w:p w14:paraId="613B2C4E" w14:textId="6A353CBC" w:rsidR="000D6C65" w:rsidRDefault="000D6C65" w:rsidP="00AD6AA5">
          <w:pPr>
            <w:pStyle w:val="LLKappalejako"/>
          </w:pPr>
          <w:r>
            <w:t>1) toiminnanharjoittajan sähkönkulutuksesta, tuotannosta ja tuen käytöstä;</w:t>
          </w:r>
        </w:p>
        <w:p w14:paraId="361F85BA" w14:textId="77777777" w:rsidR="000D6C65" w:rsidRDefault="000D6C65" w:rsidP="00AD6AA5">
          <w:pPr>
            <w:pStyle w:val="LLKappalejako"/>
          </w:pPr>
          <w:r>
            <w:t>2) toiminnanharjoittajan saamista investointituista ja muista valtiontuista;</w:t>
          </w:r>
        </w:p>
        <w:p w14:paraId="7259FECB" w14:textId="77777777" w:rsidR="00F76E29" w:rsidRDefault="000D6C65" w:rsidP="000D6C65">
          <w:pPr>
            <w:pStyle w:val="LLKappalejako"/>
          </w:pPr>
          <w:r>
            <w:t>3) toiminnanharjoittajaa koskevista muista seikoista, joilla on olennaista merkitystä tässä laissa tarkoitetun tuen myöntämisen, tuen määräytymisen, maksamisen, tuensaajaan kohdistuvien ehtojen tai takaisinperinnän kannalta.</w:t>
          </w:r>
        </w:p>
        <w:p w14:paraId="0190A3DE" w14:textId="77777777" w:rsidR="000D6C65" w:rsidRDefault="000D6C65" w:rsidP="00AD6AA5">
          <w:pPr>
            <w:pStyle w:val="LLNormaali"/>
          </w:pPr>
        </w:p>
        <w:p w14:paraId="24EB2157" w14:textId="77777777" w:rsidR="000D6C65" w:rsidRDefault="00E43799" w:rsidP="000D6C65">
          <w:pPr>
            <w:pStyle w:val="LLPykala"/>
          </w:pPr>
          <w:r>
            <w:t>15</w:t>
          </w:r>
          <w:r w:rsidR="000D6C65" w:rsidRPr="009167E1">
            <w:t xml:space="preserve"> §</w:t>
          </w:r>
        </w:p>
        <w:p w14:paraId="6B6AC817" w14:textId="77777777" w:rsidR="000D6C65" w:rsidRDefault="00E43799" w:rsidP="00AD6AA5">
          <w:pPr>
            <w:pStyle w:val="LLPykalanOtsikko"/>
          </w:pPr>
          <w:r w:rsidRPr="00E43799">
            <w:t>Tietojen luovuttaminen</w:t>
          </w:r>
        </w:p>
        <w:p w14:paraId="7A8B1C9D" w14:textId="77777777" w:rsidR="00E43799" w:rsidRDefault="00E43799" w:rsidP="00AD6AA5">
          <w:pPr>
            <w:pStyle w:val="LLKappalejako"/>
          </w:pPr>
          <w:r>
            <w:t>Energiavirastolla on salassapitosäännösten estämättä oikeus luovuttaa tässä laissa tarkoitettuja tehtäviä hoitaessaan saamiaan tietoja:</w:t>
          </w:r>
        </w:p>
        <w:p w14:paraId="45D5BE2D" w14:textId="77777777" w:rsidR="00E43799" w:rsidRDefault="00E43799" w:rsidP="00AD6AA5">
          <w:pPr>
            <w:pStyle w:val="LLKappalejako"/>
          </w:pPr>
          <w:r>
            <w:t>1) syyttäjälle ja poliisille rikoksen ehkäisemiseksi ja selvittämiseksi;</w:t>
          </w:r>
        </w:p>
        <w:p w14:paraId="33EDAA07" w14:textId="77777777" w:rsidR="000D6C65" w:rsidRDefault="00E43799" w:rsidP="00E43799">
          <w:pPr>
            <w:pStyle w:val="LLKappalejako"/>
          </w:pPr>
          <w:r>
            <w:t>2) työ- ja elinkeinoministeriölle ja toimivaltaiselle Euroopan unionin toimielimelle tai unionin muulle elimelle, jos Euroopan unionin lainsäädännössä tai muussa Suomen jäsenyyteen Euroopan unionissa liittyvässä velvoitteessa sitä edellytetään.</w:t>
          </w:r>
        </w:p>
        <w:p w14:paraId="3FA094AD" w14:textId="77777777" w:rsidR="000D6C65" w:rsidRDefault="000D6C65" w:rsidP="00AD6AA5">
          <w:pPr>
            <w:pStyle w:val="LLNormaali"/>
          </w:pPr>
        </w:p>
        <w:p w14:paraId="0E748B4A" w14:textId="77777777" w:rsidR="00E43799" w:rsidRDefault="00E43799" w:rsidP="00AD6AA5">
          <w:pPr>
            <w:pStyle w:val="LLPykala"/>
          </w:pPr>
          <w:r>
            <w:t>16</w:t>
          </w:r>
          <w:r w:rsidR="000D6C65" w:rsidRPr="009167E1">
            <w:t xml:space="preserve"> §</w:t>
          </w:r>
        </w:p>
        <w:p w14:paraId="28105294" w14:textId="77777777" w:rsidR="000D6C65" w:rsidRDefault="00E43799" w:rsidP="00AD6AA5">
          <w:pPr>
            <w:pStyle w:val="LLPykalanOtsikko"/>
          </w:pPr>
          <w:r>
            <w:t xml:space="preserve">Viranomaisen tarkastusoikeus </w:t>
          </w:r>
        </w:p>
        <w:p w14:paraId="153CB031" w14:textId="77777777" w:rsidR="00E43799" w:rsidRDefault="00E43799" w:rsidP="00AD6AA5">
          <w:pPr>
            <w:pStyle w:val="LLKappalejako"/>
          </w:pPr>
          <w:r>
            <w:t>Energiavirastolla on oikeus päästä toiminnanharjoittajan, hallinnassa oleviin laitoksiin, tiloihin ja alueille, jos se on tässä laissa tarkoitetun valvonnan kannalta tarpeen, sekä tehdä siellä tarkastuksia ja ryhtyä muihin valvonnan edellyttämiin toimenpiteisiin. Pysyväisluonteiseen asumiseen tarkoitettuihin tiloihin valvontatoimenpiteet voidaan kuitenkin ulottaa vain, jos on syytä epäillä, että on tehty rikoslain (39/1889) 16 luvun 8 §:ssä taikka 29 luvun 5 tai 6 §:ssä tarkoitettu rikos, ja tarkastus on välttämätön tarkastuksen kohteena olevien seikkojen selvittämiseksi.</w:t>
          </w:r>
        </w:p>
        <w:p w14:paraId="543FF2A9" w14:textId="77777777" w:rsidR="00E43799" w:rsidRDefault="00E43799" w:rsidP="00AD6AA5">
          <w:pPr>
            <w:pStyle w:val="LLKappalejako"/>
          </w:pPr>
          <w:r>
            <w:t>Energiavirastolla on tarkastusta suorittaessaan oikeus ottaa toiminnanharjoittajan, sähkön tuottajan ja verkonhaltijan asiakirjat ja muuta aineistoa haltuunsa, jos se on tarkastuksen tavoitteiden toteuttamisen kannalta välttämätöntä. Aineisto tulee palauttaa viipymättä, kun tarkastuksen suorittaminen ei enää edellytä aineiston hallussapitoa.</w:t>
          </w:r>
        </w:p>
        <w:p w14:paraId="344D1357" w14:textId="77777777" w:rsidR="000D6C65" w:rsidRDefault="00E43799" w:rsidP="00AD6AA5">
          <w:pPr>
            <w:pStyle w:val="LLKappalejako"/>
          </w:pPr>
          <w:r>
            <w:t>Toiminnanharjoittajan tulee avustaa Energiavirastoa tarkastuksen suorittamisessa.</w:t>
          </w:r>
        </w:p>
        <w:p w14:paraId="0BEBB132" w14:textId="77777777" w:rsidR="000D6C65" w:rsidRDefault="000D6C65" w:rsidP="00AD6AA5">
          <w:pPr>
            <w:pStyle w:val="LLNormaali"/>
          </w:pPr>
        </w:p>
        <w:p w14:paraId="6BF994AB" w14:textId="77777777" w:rsidR="00E43799" w:rsidRDefault="00E43799" w:rsidP="00AD6AA5">
          <w:pPr>
            <w:pStyle w:val="LLPykala"/>
          </w:pPr>
          <w:r>
            <w:t>17</w:t>
          </w:r>
          <w:r w:rsidR="000D6C65" w:rsidRPr="009167E1">
            <w:t xml:space="preserve"> §</w:t>
          </w:r>
        </w:p>
        <w:p w14:paraId="60C9453A" w14:textId="77777777" w:rsidR="000D6C65" w:rsidRDefault="00E43799" w:rsidP="00AD6AA5">
          <w:pPr>
            <w:pStyle w:val="LLPykalanOtsikko"/>
          </w:pPr>
          <w:r w:rsidRPr="00E43799">
            <w:t>Rikkomuksen tai laiminlyönnin oikaiseminen</w:t>
          </w:r>
        </w:p>
        <w:p w14:paraId="2471AB7F" w14:textId="77777777" w:rsidR="00E43799" w:rsidRDefault="00E43799" w:rsidP="00AD6AA5">
          <w:pPr>
            <w:pStyle w:val="LLKappalejako"/>
          </w:pPr>
          <w:r>
            <w:t>Energiavirasto voi määrätä sen, joka rikkoo tätä lakia taikka sen nojalla annettua säännöstä tai määräystä, täyttämään velvollisuutensa.</w:t>
          </w:r>
        </w:p>
        <w:p w14:paraId="37CCF06B" w14:textId="77777777" w:rsidR="000D6C65" w:rsidRDefault="00E43799" w:rsidP="00E43799">
          <w:pPr>
            <w:pStyle w:val="LLKappalejako"/>
          </w:pPr>
          <w:r>
            <w:t xml:space="preserve">Energiavirasto voi tehostaa tämän lain nojalla antamaansa kieltoa tai määräystä uhkasakolla taikka </w:t>
          </w:r>
          <w:proofErr w:type="spellStart"/>
          <w:r>
            <w:t>teettämis</w:t>
          </w:r>
          <w:proofErr w:type="spellEnd"/>
          <w:r>
            <w:t>- tai keskeyttämisuhalla siten kuin uhkasakkolaissa (1113/1990) säädetään.</w:t>
          </w:r>
        </w:p>
        <w:p w14:paraId="4C300513" w14:textId="77777777" w:rsidR="000D6C65" w:rsidRDefault="000D6C65" w:rsidP="00AD6AA5">
          <w:pPr>
            <w:pStyle w:val="LLNormaali"/>
          </w:pPr>
        </w:p>
        <w:p w14:paraId="693F7953" w14:textId="77777777" w:rsidR="000D6C65" w:rsidRDefault="00E43799" w:rsidP="000D6C65">
          <w:pPr>
            <w:pStyle w:val="LLPykala"/>
          </w:pPr>
          <w:r>
            <w:t>18</w:t>
          </w:r>
          <w:r w:rsidR="000D6C65" w:rsidRPr="009167E1">
            <w:t xml:space="preserve"> §</w:t>
          </w:r>
        </w:p>
        <w:p w14:paraId="431E53AC" w14:textId="77777777" w:rsidR="000D6C65" w:rsidRDefault="00E43799" w:rsidP="00AD6AA5">
          <w:pPr>
            <w:pStyle w:val="LLPykalanOtsikko"/>
          </w:pPr>
          <w:r>
            <w:t>Virka-apu</w:t>
          </w:r>
        </w:p>
        <w:p w14:paraId="7D7CC43F" w14:textId="77777777" w:rsidR="000D6C65" w:rsidRDefault="00E43799" w:rsidP="00AD6AA5">
          <w:pPr>
            <w:pStyle w:val="LLKappalejako"/>
          </w:pPr>
          <w:r w:rsidRPr="00E43799">
            <w:t>Poliisin velvollisuudesta antaa virka-apua säädetään poliisilain (872/2011) 9 luvun 1 §:</w:t>
          </w:r>
          <w:proofErr w:type="spellStart"/>
          <w:r w:rsidRPr="00E43799">
            <w:t>ssä</w:t>
          </w:r>
          <w:proofErr w:type="spellEnd"/>
          <w:r w:rsidRPr="00E43799">
            <w:t>. Tulliviranomaiset ovat toimialallaan tarvittaessa velvollisia antamaan virka-apua tämän lain sekä sen nojalla annettujen säännösten ja määräysten sekä valtiontukisääntöjen noudattamisen valvomiseksi.</w:t>
          </w:r>
        </w:p>
        <w:p w14:paraId="3681B221" w14:textId="77777777" w:rsidR="000D6C65" w:rsidRDefault="00E43799" w:rsidP="000D6C65">
          <w:pPr>
            <w:pStyle w:val="LLPykala"/>
          </w:pPr>
          <w:r>
            <w:t>19</w:t>
          </w:r>
          <w:r w:rsidR="000D6C65" w:rsidRPr="009167E1">
            <w:t xml:space="preserve"> §</w:t>
          </w:r>
        </w:p>
        <w:p w14:paraId="289B5E9A" w14:textId="77777777" w:rsidR="000D6C65" w:rsidRDefault="00E43799" w:rsidP="00AD6AA5">
          <w:pPr>
            <w:pStyle w:val="LLPykalanOtsikko"/>
          </w:pPr>
          <w:r>
            <w:t>Viittaus rikoslakiin</w:t>
          </w:r>
        </w:p>
        <w:p w14:paraId="6B88FFC7" w14:textId="77777777" w:rsidR="00E43799" w:rsidRDefault="00E43799" w:rsidP="00AD6AA5">
          <w:pPr>
            <w:pStyle w:val="LLKappalejako"/>
          </w:pPr>
          <w:r w:rsidRPr="00E43799">
            <w:t>Rangaistus väärän todistuksen antamisesta säädetään rikoslain (39/1889) 16 luvun 8 §:ssä ja rangaistus avustuspetoksesta rikoslain 29 luvun 5 ja 6 §:</w:t>
          </w:r>
          <w:proofErr w:type="spellStart"/>
          <w:r w:rsidRPr="00E43799">
            <w:t>ssä</w:t>
          </w:r>
          <w:proofErr w:type="spellEnd"/>
          <w:r w:rsidRPr="00E43799">
            <w:t>.</w:t>
          </w:r>
        </w:p>
        <w:p w14:paraId="01C95A3A" w14:textId="77777777" w:rsidR="00E43799" w:rsidRDefault="00E43799" w:rsidP="00AD6AA5">
          <w:pPr>
            <w:pStyle w:val="LLNormaali"/>
          </w:pPr>
        </w:p>
        <w:p w14:paraId="249709F6" w14:textId="77777777" w:rsidR="00E43799" w:rsidRDefault="00E43799" w:rsidP="00AD6AA5">
          <w:pPr>
            <w:pStyle w:val="LLLuku"/>
          </w:pPr>
          <w:r>
            <w:t xml:space="preserve">5 luku </w:t>
          </w:r>
        </w:p>
        <w:p w14:paraId="5165E042" w14:textId="77777777" w:rsidR="00E43799" w:rsidRDefault="00E43799" w:rsidP="00AD6AA5">
          <w:pPr>
            <w:pStyle w:val="LLLuvunOtsikko"/>
          </w:pPr>
          <w:r>
            <w:t>Tuen palauttaminen ja takaisinperintä</w:t>
          </w:r>
        </w:p>
        <w:p w14:paraId="4C59362B" w14:textId="77777777" w:rsidR="00E43799" w:rsidRDefault="00E43799" w:rsidP="00AD6AA5">
          <w:pPr>
            <w:pStyle w:val="LLNormaali"/>
          </w:pPr>
        </w:p>
        <w:p w14:paraId="157FE292" w14:textId="77777777" w:rsidR="00E43799" w:rsidRDefault="00E43799" w:rsidP="00E43799">
          <w:pPr>
            <w:pStyle w:val="LLPykala"/>
          </w:pPr>
          <w:r>
            <w:t>20</w:t>
          </w:r>
          <w:r w:rsidRPr="009167E1">
            <w:t xml:space="preserve"> §</w:t>
          </w:r>
        </w:p>
        <w:p w14:paraId="6623B16F" w14:textId="77777777" w:rsidR="00E43799" w:rsidRDefault="00E43799" w:rsidP="00AD6AA5">
          <w:pPr>
            <w:pStyle w:val="LLPykalanOtsikko"/>
          </w:pPr>
          <w:r>
            <w:t xml:space="preserve">Palauttaminen </w:t>
          </w:r>
        </w:p>
        <w:p w14:paraId="025AEA96" w14:textId="77777777" w:rsidR="00E43799" w:rsidRDefault="00E43799" w:rsidP="000D6C65">
          <w:pPr>
            <w:pStyle w:val="LLKappalejako"/>
          </w:pPr>
          <w:r w:rsidRPr="00E43799">
            <w:t>Toiminnanharjoittajan tulee viipymättä palauttaa virheellisesti, liikaa tai ilmeisen perusteettomasti saamansa tässä laissa tarkoitettu tuki tai sen osa. Jos palautettava määrä on enintään 100 euroa, se saadaan jättää palauttamatta.</w:t>
          </w:r>
        </w:p>
        <w:p w14:paraId="74E6283F" w14:textId="77777777" w:rsidR="00E43799" w:rsidRDefault="00E43799" w:rsidP="00AD6AA5">
          <w:pPr>
            <w:pStyle w:val="LLNormaali"/>
          </w:pPr>
        </w:p>
        <w:p w14:paraId="3CA2FC17" w14:textId="77777777" w:rsidR="00E43799" w:rsidRDefault="00E43799" w:rsidP="00AD6AA5">
          <w:pPr>
            <w:pStyle w:val="LLPykala"/>
          </w:pPr>
          <w:r>
            <w:t>21</w:t>
          </w:r>
          <w:r w:rsidRPr="009167E1">
            <w:t xml:space="preserve"> §</w:t>
          </w:r>
        </w:p>
        <w:p w14:paraId="53ADCADB" w14:textId="77777777" w:rsidR="00E43799" w:rsidRDefault="00E43799" w:rsidP="00AD6AA5">
          <w:pPr>
            <w:pStyle w:val="LLPykalanOtsikko"/>
          </w:pPr>
          <w:r>
            <w:t>Takaisinperintä</w:t>
          </w:r>
        </w:p>
        <w:p w14:paraId="4D4C1EDB" w14:textId="77777777" w:rsidR="00E43799" w:rsidRDefault="00E43799" w:rsidP="00AD6AA5">
          <w:pPr>
            <w:pStyle w:val="LLKappalejako"/>
          </w:pPr>
          <w:r>
            <w:t>Energiaviraston on päätöksellään määrättävä jo maksettu tässä laissa tarkoitettu tuki tai sen osa perittäväksi takaisin, jos toiminnanharjoittaja on jättänyt palauttamatta sellaisen tässä laissa tarkoitetun tuen tai sen osan, joka 20 §:n mukaan on palautettava.</w:t>
          </w:r>
        </w:p>
        <w:p w14:paraId="7C489597" w14:textId="77777777" w:rsidR="00E43799" w:rsidRDefault="00E43799" w:rsidP="00AD6AA5">
          <w:pPr>
            <w:pStyle w:val="LLKappalejako"/>
          </w:pPr>
          <w:r>
            <w:t>Energiavirasto voi määrätä maksetun tuen osan perittäväksi takaisin, jos toiminnanharjoittaja on menetellyt 13 §:n vastaisesti.</w:t>
          </w:r>
        </w:p>
        <w:p w14:paraId="079FC07D" w14:textId="36A1A2EB" w:rsidR="00E43799" w:rsidRDefault="00E43799" w:rsidP="00AD6AA5">
          <w:pPr>
            <w:pStyle w:val="LLKappalejako"/>
          </w:pPr>
          <w:r>
            <w:t>Takaisinperintään so</w:t>
          </w:r>
          <w:r w:rsidR="000348A0">
            <w:t>velletaan lisäksi, mitä valtion</w:t>
          </w:r>
          <w:r>
            <w:t>avustuslain 21 §:n 3 kohdassa säädetään valtionavustuksen perimisestä takaisin.</w:t>
          </w:r>
        </w:p>
        <w:p w14:paraId="16A82DFD" w14:textId="77777777" w:rsidR="00E43799" w:rsidRDefault="00E43799" w:rsidP="00AD6AA5">
          <w:pPr>
            <w:pStyle w:val="LLNormaali"/>
          </w:pPr>
        </w:p>
        <w:p w14:paraId="4CF90DB0" w14:textId="77777777" w:rsidR="00E43799" w:rsidRDefault="00E43799" w:rsidP="00E43799">
          <w:pPr>
            <w:pStyle w:val="LLPykala"/>
          </w:pPr>
          <w:r>
            <w:t>22</w:t>
          </w:r>
          <w:r w:rsidRPr="009167E1">
            <w:t xml:space="preserve"> §</w:t>
          </w:r>
        </w:p>
        <w:p w14:paraId="098EFD6C" w14:textId="77777777" w:rsidR="00E43799" w:rsidRDefault="00E43799" w:rsidP="00AD6AA5">
          <w:pPr>
            <w:pStyle w:val="LLPykalanOtsikko"/>
          </w:pPr>
          <w:r>
            <w:t>Korko ja viivästyskorko</w:t>
          </w:r>
        </w:p>
        <w:p w14:paraId="4D9CBB9A" w14:textId="77777777" w:rsidR="00E43799" w:rsidRDefault="00E43799" w:rsidP="00AD6AA5">
          <w:pPr>
            <w:pStyle w:val="LLKappalejako"/>
          </w:pPr>
          <w:r w:rsidRPr="00E43799">
            <w:t>Palautettavalle ja ta</w:t>
          </w:r>
          <w:r>
            <w:t>kaisinperittävälle määrälle mak</w:t>
          </w:r>
          <w:r w:rsidRPr="00E43799">
            <w:t>settavaan korkoon ja viivästyskorkoon sovelletaan, mitä valtionavustuslain 24 ja 25 §:ssä säädetään palautettavalle ja takaisin perittävälle valtionavustuksen määrälle maksettavasta korosta ja viivästyskorosta.</w:t>
          </w:r>
        </w:p>
        <w:p w14:paraId="10D5D299" w14:textId="77777777" w:rsidR="00E43799" w:rsidRDefault="00E43799" w:rsidP="005B38FE">
          <w:pPr>
            <w:pStyle w:val="LLNormaali"/>
          </w:pPr>
        </w:p>
        <w:p w14:paraId="75FCEE47" w14:textId="77777777" w:rsidR="00E43799" w:rsidRDefault="00E43799" w:rsidP="00E43799">
          <w:pPr>
            <w:pStyle w:val="LLPykala"/>
          </w:pPr>
          <w:r>
            <w:t>23</w:t>
          </w:r>
          <w:r w:rsidRPr="009167E1">
            <w:t xml:space="preserve"> §</w:t>
          </w:r>
        </w:p>
        <w:p w14:paraId="034E0A90" w14:textId="77777777" w:rsidR="00E43799" w:rsidRPr="005B38FE" w:rsidRDefault="00E43799" w:rsidP="005B38FE">
          <w:pPr>
            <w:pStyle w:val="LLPykalanOtsikko"/>
          </w:pPr>
          <w:r w:rsidRPr="00E43799">
            <w:t>Takaisinperinnän ja palauttamisen määräaika sekä vanhentumisaika</w:t>
          </w:r>
        </w:p>
        <w:p w14:paraId="63F7F806" w14:textId="77777777" w:rsidR="00E43799" w:rsidRPr="00E43799" w:rsidRDefault="00E43799" w:rsidP="005B38FE">
          <w:pPr>
            <w:pStyle w:val="LLKappalejako"/>
            <w:rPr>
              <w:rFonts w:eastAsia="Calibri"/>
              <w:szCs w:val="22"/>
              <w:lang w:eastAsia="en-US"/>
            </w:rPr>
          </w:pPr>
          <w:r w:rsidRPr="00E43799">
            <w:rPr>
              <w:rFonts w:eastAsia="Calibri"/>
              <w:szCs w:val="22"/>
              <w:lang w:eastAsia="en-US"/>
            </w:rPr>
            <w:t>Energiaviraston on tehtävä tuen takaisinperintää koskeva päätös viipymättä sen jälkeen, kun Energiaviraston tietoon on tull</w:t>
          </w:r>
          <w:r w:rsidR="005B38FE">
            <w:rPr>
              <w:rFonts w:eastAsia="Calibri"/>
              <w:szCs w:val="22"/>
              <w:lang w:eastAsia="en-US"/>
            </w:rPr>
            <w:t>ut 21 §:ssä tarkoitettu seikka.</w:t>
          </w:r>
        </w:p>
        <w:p w14:paraId="3AF2E37C" w14:textId="77777777" w:rsidR="00E43799" w:rsidRDefault="00E43799" w:rsidP="005B38FE">
          <w:pPr>
            <w:pStyle w:val="LLKappalejako"/>
            <w:rPr>
              <w:rFonts w:eastAsia="Calibri"/>
              <w:szCs w:val="22"/>
              <w:lang w:eastAsia="en-US"/>
            </w:rPr>
          </w:pPr>
          <w:r w:rsidRPr="00E43799">
            <w:rPr>
              <w:rFonts w:eastAsia="Calibri"/>
              <w:szCs w:val="22"/>
              <w:lang w:eastAsia="en-US"/>
            </w:rPr>
            <w:t>Tuen taikka sille maksettavan koron tai viivästyskoron takaisinperintään ei saa enää ryhtyä, kun kymmenen vuotta on kulunut kyseisen tuen myöntämisestä. Vastaavasti velvollisuus tuen palauttamiseen 20 §:n nojalla raukeaa, kun kymmenen vuotta on kulunut kyseisen tuen myöntämisestä.</w:t>
          </w:r>
        </w:p>
        <w:p w14:paraId="130DECB5" w14:textId="77777777" w:rsidR="005B38FE" w:rsidRDefault="005B38FE" w:rsidP="005B38FE">
          <w:pPr>
            <w:pStyle w:val="LLNormaali"/>
          </w:pPr>
        </w:p>
        <w:p w14:paraId="183E9B5F" w14:textId="77777777" w:rsidR="00E43799" w:rsidRDefault="00E43799" w:rsidP="005B38FE">
          <w:pPr>
            <w:pStyle w:val="LLPykala"/>
          </w:pPr>
          <w:r>
            <w:t>24</w:t>
          </w:r>
          <w:r w:rsidRPr="009167E1">
            <w:t xml:space="preserve"> §</w:t>
          </w:r>
        </w:p>
        <w:p w14:paraId="34DB4728" w14:textId="77777777" w:rsidR="00E43799" w:rsidRDefault="00E43799" w:rsidP="00E43799">
          <w:pPr>
            <w:rPr>
              <w:lang w:eastAsia="fi-FI"/>
            </w:rPr>
          </w:pPr>
        </w:p>
        <w:p w14:paraId="5B45937C" w14:textId="77777777" w:rsidR="00E43799" w:rsidRDefault="00E43799" w:rsidP="005B38FE">
          <w:pPr>
            <w:pStyle w:val="LLPykalanOtsikko"/>
          </w:pPr>
          <w:r>
            <w:t>Kuittaus</w:t>
          </w:r>
        </w:p>
        <w:p w14:paraId="1737E09A" w14:textId="77777777" w:rsidR="00E43799" w:rsidRDefault="00E43799" w:rsidP="005B38FE">
          <w:pPr>
            <w:pStyle w:val="LLKappalejako"/>
          </w:pPr>
          <w:r>
            <w:t>Energiavirasto voi päättää, että 20 §:n mukaisesti palautettava tai 21 §:n mukaisesti takaisin perittävä määrä kuitataan Energiaviraston myöntämästä tuesta. Toiminnanharjoittajaa kuullaan hallintolain 34 §:n mukaisesti ennen päätöksen tekemistä.</w:t>
          </w:r>
        </w:p>
        <w:p w14:paraId="55B044A4" w14:textId="2BF0F22C" w:rsidR="00E43799" w:rsidRDefault="00E43799" w:rsidP="005B38FE">
          <w:pPr>
            <w:pStyle w:val="LLKappalejako"/>
          </w:pPr>
          <w:r>
            <w:t>Palautettavan tai taka</w:t>
          </w:r>
          <w:r w:rsidR="000348A0">
            <w:t>isin perittävän määrän kuittaus</w:t>
          </w:r>
          <w:r>
            <w:t>päivä on päivä, jona päätös on tehty. Palautuskorko sekä viivästysseuraamukset lasketaan kuittauspäivään.</w:t>
          </w:r>
        </w:p>
        <w:p w14:paraId="66463978" w14:textId="77777777" w:rsidR="00E43799" w:rsidRDefault="00E43799" w:rsidP="00E43799">
          <w:pPr>
            <w:pStyle w:val="LLKappalejako"/>
          </w:pPr>
          <w:r>
            <w:t>Muilta osin menettelyssä noudatetaan hallintolakia.</w:t>
          </w:r>
        </w:p>
        <w:p w14:paraId="2F178E08" w14:textId="77777777" w:rsidR="00E43799" w:rsidRDefault="00E43799" w:rsidP="005B38FE">
          <w:pPr>
            <w:pStyle w:val="LLNormaali"/>
          </w:pPr>
        </w:p>
        <w:p w14:paraId="35B08FCA" w14:textId="77777777" w:rsidR="00E43799" w:rsidRDefault="00E43799" w:rsidP="005B38FE">
          <w:pPr>
            <w:pStyle w:val="LLLuku"/>
          </w:pPr>
          <w:r>
            <w:t xml:space="preserve">6 luku </w:t>
          </w:r>
        </w:p>
        <w:p w14:paraId="51890BC7" w14:textId="77777777" w:rsidR="00E43799" w:rsidRDefault="00E43799" w:rsidP="005B38FE">
          <w:pPr>
            <w:pStyle w:val="LLLuvunOtsikko"/>
          </w:pPr>
          <w:r>
            <w:t>Erinäiset säännökset</w:t>
          </w:r>
        </w:p>
        <w:p w14:paraId="1195B181" w14:textId="77777777" w:rsidR="00E43799" w:rsidRDefault="00E43799" w:rsidP="005B38FE">
          <w:pPr>
            <w:pStyle w:val="LLNormaali"/>
          </w:pPr>
        </w:p>
        <w:p w14:paraId="36C75E08" w14:textId="77777777" w:rsidR="00E43799" w:rsidRDefault="00E43799" w:rsidP="00E43799">
          <w:pPr>
            <w:pStyle w:val="LLPykala"/>
          </w:pPr>
          <w:r>
            <w:t>25</w:t>
          </w:r>
          <w:r w:rsidRPr="009167E1">
            <w:t xml:space="preserve"> §</w:t>
          </w:r>
        </w:p>
        <w:p w14:paraId="196F2D47" w14:textId="77777777" w:rsidR="00E43799" w:rsidRDefault="00016672" w:rsidP="005B38FE">
          <w:pPr>
            <w:pStyle w:val="LLPykalanOtsikko"/>
          </w:pPr>
          <w:r>
            <w:t>Oikaisuvaatimus ja muutoksenhaku</w:t>
          </w:r>
        </w:p>
        <w:p w14:paraId="5928C480" w14:textId="77777777" w:rsidR="00016672" w:rsidRDefault="00016672" w:rsidP="005B38FE">
          <w:pPr>
            <w:pStyle w:val="LLKappalejako"/>
          </w:pPr>
          <w:r>
            <w:t>Tämän lain 11 §:n, 21 §:n tai 24 §:n mukaiseen päätökseen saa vaatia oikaisua. Oikaisuvaatimuksesta säädetään hallintolaissa (434/2003).</w:t>
          </w:r>
        </w:p>
        <w:p w14:paraId="0C0735D3" w14:textId="77777777" w:rsidR="00016672" w:rsidRDefault="00016672" w:rsidP="00016672">
          <w:pPr>
            <w:pStyle w:val="LLKappalejako"/>
          </w:pPr>
          <w:r>
            <w:t>Muutoksenhausta hallintotuomioistuimeen säädetään laissa oikeudenkäynnistä hallintoasioissa (808/2019).</w:t>
          </w:r>
        </w:p>
        <w:p w14:paraId="0BA89288" w14:textId="77777777" w:rsidR="00016672" w:rsidRDefault="00016672" w:rsidP="005B38FE">
          <w:pPr>
            <w:pStyle w:val="LLNormaali"/>
          </w:pPr>
        </w:p>
        <w:p w14:paraId="5D0A2BB1" w14:textId="77777777" w:rsidR="00E43799" w:rsidRDefault="00016672" w:rsidP="00E43799">
          <w:pPr>
            <w:pStyle w:val="LLPykala"/>
          </w:pPr>
          <w:r>
            <w:t>26</w:t>
          </w:r>
          <w:r w:rsidR="00E43799" w:rsidRPr="009167E1">
            <w:t xml:space="preserve"> §</w:t>
          </w:r>
        </w:p>
        <w:p w14:paraId="6A3B1FA8" w14:textId="77777777" w:rsidR="00016672" w:rsidRPr="005B38FE" w:rsidRDefault="00016672" w:rsidP="005B38FE">
          <w:pPr>
            <w:pStyle w:val="LLPykalanOtsikko"/>
          </w:pPr>
          <w:r>
            <w:t>Päätöksen täytäntöönpano</w:t>
          </w:r>
        </w:p>
        <w:p w14:paraId="793A619F" w14:textId="77777777" w:rsidR="00016672" w:rsidRDefault="00016672" w:rsidP="005B38FE">
          <w:pPr>
            <w:pStyle w:val="LLKappalejako"/>
          </w:pPr>
          <w:r>
            <w:t>Energiaviraston 24 §:n 1 momentin nojalla antama päätös voidaan panna täytäntöön muutoksenhausta huolimatta, jollei muutoksenhakutuomioistuin toisin määrää.</w:t>
          </w:r>
        </w:p>
        <w:p w14:paraId="4FBFF8B0" w14:textId="77777777" w:rsidR="00016672" w:rsidRDefault="00016672" w:rsidP="00016672">
          <w:pPr>
            <w:pStyle w:val="LLKappalejako"/>
          </w:pPr>
          <w:r>
            <w:t>Energiaviraston 17 §:n 1 momentin taikka 21 §:n nojalla tekemää päätöstä on muutoksenhausta huolimatta noudatettava, jollei muutoksenhakuviranomainen toisin määrää.</w:t>
          </w:r>
        </w:p>
        <w:p w14:paraId="12B44F62" w14:textId="77777777" w:rsidR="00016672" w:rsidRDefault="00016672" w:rsidP="005B38FE">
          <w:pPr>
            <w:pStyle w:val="LLNormaali"/>
          </w:pPr>
        </w:p>
        <w:p w14:paraId="2A56151B" w14:textId="77777777" w:rsidR="00E43799" w:rsidRDefault="00016672" w:rsidP="00E43799">
          <w:pPr>
            <w:pStyle w:val="LLPykala"/>
          </w:pPr>
          <w:r>
            <w:t>27</w:t>
          </w:r>
          <w:r w:rsidR="00E43799" w:rsidRPr="009167E1">
            <w:t xml:space="preserve"> §</w:t>
          </w:r>
        </w:p>
        <w:p w14:paraId="4374709E" w14:textId="77777777" w:rsidR="00E43799" w:rsidRDefault="00016672" w:rsidP="005B38FE">
          <w:pPr>
            <w:pStyle w:val="LLPykalanOtsikko"/>
          </w:pPr>
          <w:r>
            <w:t xml:space="preserve">Maksut </w:t>
          </w:r>
        </w:p>
        <w:p w14:paraId="651145FF" w14:textId="77777777" w:rsidR="00016672" w:rsidRDefault="00016672" w:rsidP="005B38FE">
          <w:pPr>
            <w:pStyle w:val="LLKappalejako"/>
          </w:pPr>
          <w:r>
            <w:t>Tämän lain mukaisten Energiaviraston suoritteiden maksullisuuden ja suoritteista perittävien maksujen suuruuden yleisistä perusteista sekä maksujen muista perusteista säädetään valtion maksuperustelaissa (150/1992).</w:t>
          </w:r>
        </w:p>
        <w:p w14:paraId="62B7375A" w14:textId="77777777" w:rsidR="00016672" w:rsidRDefault="00016672" w:rsidP="00016672">
          <w:pPr>
            <w:pStyle w:val="LLKappalejako"/>
          </w:pPr>
          <w:r>
            <w:t>Tämän lain mukaiset maksut ja kustannukset saadaan periä ilman tuomiota tai päätöstä siinä järjestyksessä kuin verojen ja maksujen täytäntöönpanosta annetussa laissa (706/2007) säädetään.</w:t>
          </w:r>
        </w:p>
        <w:p w14:paraId="29D3713B" w14:textId="77777777" w:rsidR="00016672" w:rsidRDefault="00016672" w:rsidP="005B38FE">
          <w:pPr>
            <w:pStyle w:val="LLNormaali"/>
          </w:pPr>
        </w:p>
        <w:p w14:paraId="2FABAFBD" w14:textId="77777777" w:rsidR="00E43799" w:rsidRDefault="00016672" w:rsidP="00E43799">
          <w:pPr>
            <w:pStyle w:val="LLPykala"/>
          </w:pPr>
          <w:r>
            <w:t>28</w:t>
          </w:r>
          <w:r w:rsidR="00E43799" w:rsidRPr="009167E1">
            <w:t xml:space="preserve"> §</w:t>
          </w:r>
        </w:p>
        <w:p w14:paraId="6881AE30" w14:textId="77777777" w:rsidR="00016672" w:rsidRDefault="00016672" w:rsidP="005B38FE">
          <w:pPr>
            <w:pStyle w:val="LLPykalanOtsikko"/>
          </w:pPr>
          <w:r>
            <w:t>Tietojen säilyttäminen</w:t>
          </w:r>
        </w:p>
        <w:p w14:paraId="5204610C" w14:textId="77777777" w:rsidR="00016672" w:rsidRDefault="00016672" w:rsidP="005B38FE">
          <w:pPr>
            <w:pStyle w:val="LLKappalejako"/>
          </w:pPr>
          <w:r>
            <w:t>Toiminnanharjoittaja on velvollinen säilyttämään tukeen liittyvän aineiston kymmenen vuotta tuen myöntämisajankohdasta.</w:t>
          </w:r>
        </w:p>
        <w:p w14:paraId="0D0BDBA2" w14:textId="77777777" w:rsidR="00E43799" w:rsidRDefault="00016672" w:rsidP="00016672">
          <w:pPr>
            <w:pStyle w:val="LLKappalejako"/>
          </w:pPr>
          <w:r>
            <w:t>Energiavirasto on velvollinen pitämään tuen myöntämisen kaikista toimenpiteistä yksityiskohtaista kirjanpitoa. Kirjanpidon on sisällettävä kaikki tarvittavat tiedot sen osoittamiseksi, että tukikelpoisia kustannuksia ja tuen sallittua enimmäisinte</w:t>
          </w:r>
          <w:r w:rsidR="001774FE">
            <w:t>nsiteettiä koske</w:t>
          </w:r>
          <w:r>
            <w:t>via ehtoja on noudatettu. Tiedot on säilytettävä kymmenen vuoden ajan tuen myöntämisajankohdasta ja ne on toimitettava komissiolle pyynnöstä.</w:t>
          </w:r>
        </w:p>
        <w:p w14:paraId="1AF59A44" w14:textId="77777777" w:rsidR="00016672" w:rsidRDefault="00016672" w:rsidP="005B38FE">
          <w:pPr>
            <w:pStyle w:val="LLNormaali"/>
          </w:pPr>
        </w:p>
        <w:p w14:paraId="5B2BCFF5" w14:textId="77777777" w:rsidR="00016672" w:rsidRDefault="00016672" w:rsidP="00EF43CE">
          <w:pPr>
            <w:pStyle w:val="LLPykala"/>
          </w:pPr>
          <w:r>
            <w:t>29</w:t>
          </w:r>
          <w:r w:rsidRPr="009167E1">
            <w:t xml:space="preserve"> §</w:t>
          </w:r>
        </w:p>
        <w:p w14:paraId="3AD5DF1E" w14:textId="77777777" w:rsidR="005B38FE" w:rsidRPr="005B38FE" w:rsidRDefault="00016672" w:rsidP="00EF43CE">
          <w:pPr>
            <w:pStyle w:val="LLPykalanOtsikko"/>
          </w:pPr>
          <w:r>
            <w:t>Voimaantulo</w:t>
          </w:r>
        </w:p>
        <w:p w14:paraId="39DD5811" w14:textId="77777777" w:rsidR="00016672" w:rsidRDefault="00016672" w:rsidP="00C67EA8">
          <w:pPr>
            <w:pStyle w:val="LLKappalejako"/>
          </w:pPr>
          <w:r>
            <w:t>Tämä laki tulee voimaan xx päivänä xx kuuta 2022.</w:t>
          </w:r>
        </w:p>
        <w:p w14:paraId="7B8859AA" w14:textId="0CFA2BC7" w:rsidR="00016672" w:rsidRDefault="00016672" w:rsidP="005B38FE">
          <w:pPr>
            <w:pStyle w:val="LLKappalejako"/>
          </w:pPr>
          <w:r>
            <w:t xml:space="preserve">Tätä lakia </w:t>
          </w:r>
          <w:r w:rsidR="00F90193">
            <w:t>ei sovelleta</w:t>
          </w:r>
          <w:r>
            <w:t xml:space="preserve"> kehittämistoimiin,</w:t>
          </w:r>
          <w:r w:rsidR="00F90193">
            <w:t xml:space="preserve"> </w:t>
          </w:r>
          <w:r w:rsidR="0080115D">
            <w:t xml:space="preserve">joista ei aiheudu </w:t>
          </w:r>
          <w:r w:rsidR="008D243D">
            <w:t xml:space="preserve">toiminnanharjoittajalle </w:t>
          </w:r>
          <w:r w:rsidR="0080115D">
            <w:t xml:space="preserve">kustannuksia lainvoimaantulon jälkeen. </w:t>
          </w:r>
        </w:p>
        <w:p w14:paraId="38E4D8A0" w14:textId="77777777" w:rsidR="00016672" w:rsidRDefault="00016672" w:rsidP="00016672">
          <w:pPr>
            <w:pStyle w:val="LLKappalejako"/>
          </w:pPr>
          <w:r>
            <w:t>Tällä lailla kumotaan laki päästökaupasta johtuvien epäsuorien kustannusten kompensoimisesta (138/2017).</w:t>
          </w:r>
        </w:p>
        <w:p w14:paraId="7A8BE08F" w14:textId="74043D45" w:rsidR="00BA71BD" w:rsidRDefault="00BA71BD" w:rsidP="00CC5ECE">
          <w:pPr>
            <w:pStyle w:val="LLNormaali"/>
            <w:jc w:val="center"/>
          </w:pPr>
        </w:p>
        <w:p w14:paraId="6332C622" w14:textId="77777777" w:rsidR="003E4E0F" w:rsidRDefault="001B572B" w:rsidP="001B572B">
          <w:pPr>
            <w:pStyle w:val="LLNormaali"/>
            <w:jc w:val="center"/>
          </w:pPr>
          <w:r>
            <w:t>—————</w:t>
          </w:r>
        </w:p>
        <w:p w14:paraId="2DE7EDAE" w14:textId="77777777" w:rsidR="004A648F" w:rsidRDefault="001A4DAD" w:rsidP="003E4E0F">
          <w:pPr>
            <w:pStyle w:val="LLNormaali"/>
          </w:pPr>
        </w:p>
      </w:sdtContent>
    </w:sdt>
    <w:p w14:paraId="3595F232" w14:textId="77777777" w:rsidR="00B0425D" w:rsidRDefault="00B0425D" w:rsidP="004A648F">
      <w:pPr>
        <w:pStyle w:val="LLNormaali"/>
      </w:pPr>
    </w:p>
    <w:p w14:paraId="547934AA" w14:textId="77777777" w:rsidR="00196A1D" w:rsidRPr="00302A46" w:rsidRDefault="00196A1D" w:rsidP="004A648F">
      <w:pPr>
        <w:pStyle w:val="LLNormaali"/>
      </w:pPr>
    </w:p>
    <w:p w14:paraId="48E6490E" w14:textId="77777777" w:rsidR="004A648F" w:rsidRPr="00302A46" w:rsidRDefault="004A648F" w:rsidP="007435F3">
      <w:pPr>
        <w:pStyle w:val="LLNormaali"/>
      </w:pPr>
    </w:p>
    <w:p w14:paraId="458D7C1F" w14:textId="77777777" w:rsidR="00137260" w:rsidRPr="00302A46" w:rsidRDefault="00137260" w:rsidP="007435F3">
      <w:pPr>
        <w:pStyle w:val="LLNormaali"/>
      </w:pPr>
    </w:p>
    <w:sdt>
      <w:sdtPr>
        <w:alias w:val="Päiväys"/>
        <w:tag w:val="CCPaivays"/>
        <w:id w:val="-857742363"/>
        <w:lock w:val="sdtLocked"/>
        <w:placeholder>
          <w:docPart w:val="0A75C9D3F1664B74AF2F4FA32E7ED492"/>
        </w:placeholder>
        <w15:color w:val="33CCCC"/>
        <w:text/>
      </w:sdtPr>
      <w:sdtEndPr/>
      <w:sdtContent>
        <w:p w14:paraId="5FDF8987" w14:textId="77777777" w:rsidR="005F6E65" w:rsidRPr="00302A46" w:rsidRDefault="00DD2981" w:rsidP="005F6E65">
          <w:pPr>
            <w:pStyle w:val="LLPaivays"/>
          </w:pPr>
          <w:r>
            <w:t>Helsingissä x.x.20xx</w:t>
          </w:r>
        </w:p>
      </w:sdtContent>
    </w:sdt>
    <w:p w14:paraId="1DABD8D6" w14:textId="77777777" w:rsidR="005F6E65" w:rsidRPr="00030BA9" w:rsidRDefault="005F6E65" w:rsidP="00267E16">
      <w:pPr>
        <w:pStyle w:val="LLNormaali"/>
      </w:pPr>
    </w:p>
    <w:sdt>
      <w:sdtPr>
        <w:alias w:val="Allekirjoittajan asema"/>
        <w:tag w:val="CCAllekirjoitus"/>
        <w:id w:val="1565067034"/>
        <w:lock w:val="sdtLocked"/>
        <w:placeholder>
          <w:docPart w:val="0A75C9D3F1664B74AF2F4FA32E7ED492"/>
        </w:placeholder>
        <w15:color w:val="00FFFF"/>
      </w:sdtPr>
      <w:sdtEndPr/>
      <w:sdtContent>
        <w:p w14:paraId="64AA4695" w14:textId="77777777" w:rsidR="005F6E65" w:rsidRPr="008D7BC7" w:rsidRDefault="0087446D" w:rsidP="005F6E65">
          <w:pPr>
            <w:pStyle w:val="LLAllekirjoitus"/>
          </w:pPr>
          <w:r>
            <w:t>Pääministeri</w:t>
          </w:r>
        </w:p>
      </w:sdtContent>
    </w:sdt>
    <w:p w14:paraId="7362AED9" w14:textId="77777777" w:rsidR="005F6E65" w:rsidRPr="00385A06" w:rsidRDefault="00746B85" w:rsidP="00385A06">
      <w:pPr>
        <w:pStyle w:val="LLNimenselvennys"/>
      </w:pPr>
      <w:r>
        <w:t>Sanna Marin</w:t>
      </w:r>
    </w:p>
    <w:p w14:paraId="2BDAAA2D" w14:textId="77777777" w:rsidR="005F6E65" w:rsidRPr="00385A06" w:rsidRDefault="005F6E65" w:rsidP="00267E16">
      <w:pPr>
        <w:pStyle w:val="LLNormaali"/>
      </w:pPr>
    </w:p>
    <w:p w14:paraId="7EBF5730" w14:textId="77777777" w:rsidR="005F6E65" w:rsidRPr="00385A06" w:rsidRDefault="005F6E65" w:rsidP="00267E16">
      <w:pPr>
        <w:pStyle w:val="LLNormaali"/>
      </w:pPr>
    </w:p>
    <w:p w14:paraId="0D80BA49" w14:textId="77777777" w:rsidR="005F6E65" w:rsidRPr="00385A06" w:rsidRDefault="005F6E65" w:rsidP="00267E16">
      <w:pPr>
        <w:pStyle w:val="LLNormaali"/>
      </w:pPr>
    </w:p>
    <w:p w14:paraId="1E774116" w14:textId="77777777" w:rsidR="005F6E65" w:rsidRPr="00385A06" w:rsidRDefault="005F6E65" w:rsidP="00267E16">
      <w:pPr>
        <w:pStyle w:val="LLNormaali"/>
      </w:pPr>
    </w:p>
    <w:p w14:paraId="26157CF5" w14:textId="61586765" w:rsidR="00656438" w:rsidRDefault="00371EB9" w:rsidP="00F621E8">
      <w:pPr>
        <w:pStyle w:val="LLVarmennus"/>
      </w:pPr>
      <w:proofErr w:type="gramStart"/>
      <w:r>
        <w:t>..</w:t>
      </w:r>
      <w:proofErr w:type="gramEnd"/>
      <w:r w:rsidR="00031114">
        <w:t>ministeri</w:t>
      </w:r>
      <w:r w:rsidR="00385A06">
        <w:t xml:space="preserve"> </w:t>
      </w:r>
      <w:r w:rsidR="00B356D4">
        <w:t>Etunimi Sukunimi</w:t>
      </w:r>
    </w:p>
    <w:p w14:paraId="17837E89" w14:textId="0934897F" w:rsidR="00F621E8" w:rsidRDefault="00F621E8" w:rsidP="00F621E8">
      <w:pPr>
        <w:rPr>
          <w:lang w:eastAsia="fi-FI"/>
        </w:rPr>
      </w:pPr>
    </w:p>
    <w:p w14:paraId="135A2D61" w14:textId="75B64BE5" w:rsidR="00F621E8" w:rsidRDefault="00F621E8" w:rsidP="00F621E8">
      <w:pPr>
        <w:spacing w:line="240" w:lineRule="auto"/>
        <w:rPr>
          <w:lang w:eastAsia="fi-FI"/>
        </w:rPr>
      </w:pPr>
      <w:r>
        <w:rPr>
          <w:lang w:eastAsia="fi-FI"/>
        </w:rPr>
        <w:br w:type="page"/>
      </w:r>
    </w:p>
    <w:p w14:paraId="1B0023E9" w14:textId="77777777" w:rsidR="00F621E8" w:rsidRPr="00F621E8" w:rsidRDefault="00F621E8" w:rsidP="00F621E8">
      <w:pPr>
        <w:rPr>
          <w:lang w:eastAsia="fi-FI"/>
        </w:rPr>
        <w:sectPr w:rsidR="00F621E8" w:rsidRPr="00F621E8" w:rsidSect="00F621E8">
          <w:headerReference w:type="even" r:id="rId8"/>
          <w:headerReference w:type="default" r:id="rId9"/>
          <w:footerReference w:type="even" r:id="rId10"/>
          <w:footerReference w:type="default" r:id="rId11"/>
          <w:headerReference w:type="first" r:id="rId12"/>
          <w:footerReference w:type="first" r:id="rId13"/>
          <w:pgSz w:w="11906" w:h="16838" w:code="9"/>
          <w:pgMar w:top="1701" w:right="1780" w:bottom="2155" w:left="1780" w:header="1701" w:footer="1911" w:gutter="0"/>
          <w:cols w:space="720"/>
          <w:formProt w:val="0"/>
          <w:titlePg/>
          <w:docGrid w:linePitch="360"/>
        </w:sectPr>
      </w:pPr>
    </w:p>
    <w:p w14:paraId="61C0706E" w14:textId="061A678F" w:rsidR="00F60BB3" w:rsidRDefault="00F621E8" w:rsidP="00F621E8">
      <w:pPr>
        <w:pStyle w:val="LLLiite"/>
      </w:pPr>
      <w:bookmarkStart w:id="29" w:name="_Toc75420026"/>
      <w:r>
        <w:t>Liite 1</w:t>
      </w:r>
      <w:bookmarkEnd w:id="29"/>
    </w:p>
    <w:p w14:paraId="3E039E2F" w14:textId="2BD8449F" w:rsidR="00F621E8" w:rsidRDefault="00F621E8" w:rsidP="00F621E8">
      <w:pPr>
        <w:pStyle w:val="LLNormaali"/>
        <w:rPr>
          <w:lang w:eastAsia="fi-FI"/>
        </w:rPr>
      </w:pPr>
    </w:p>
    <w:p w14:paraId="22CD4F8C" w14:textId="369D8539" w:rsidR="00F621E8" w:rsidRDefault="00F621E8" w:rsidP="00F621E8">
      <w:pPr>
        <w:pStyle w:val="LLNormaali"/>
        <w:rPr>
          <w:lang w:eastAsia="fi-FI"/>
        </w:rPr>
      </w:pPr>
    </w:p>
    <w:p w14:paraId="5CCF7751" w14:textId="77777777" w:rsidR="00330529" w:rsidRPr="008C2C8E" w:rsidRDefault="00330529" w:rsidP="00330529">
      <w:pPr>
        <w:pStyle w:val="LLNormaali"/>
        <w:rPr>
          <w:rFonts w:eastAsia="Times New Roman"/>
          <w:i/>
          <w:sz w:val="18"/>
          <w:szCs w:val="18"/>
          <w:lang w:eastAsia="fi-FI"/>
        </w:rPr>
      </w:pPr>
      <w:r w:rsidRPr="008C2C8E">
        <w:rPr>
          <w:i/>
        </w:rPr>
        <w:t>Tukeen oikeutetut merkittävälle hiilivuodon riskille alttiit toimialat tai alatoimialat</w:t>
      </w:r>
    </w:p>
    <w:p w14:paraId="540CBB3D" w14:textId="053281CB" w:rsidR="00F621E8" w:rsidRDefault="00F621E8" w:rsidP="00F621E8">
      <w:pPr>
        <w:pStyle w:val="LLNormaali"/>
      </w:pPr>
    </w:p>
    <w:tbl>
      <w:tblPr>
        <w:tblStyle w:val="Vaaleataulukkoruudukko"/>
        <w:tblpPr w:leftFromText="141" w:rightFromText="141" w:vertAnchor="text" w:horzAnchor="margin" w:tblpY="121"/>
        <w:tblW w:w="7372" w:type="dxa"/>
        <w:tblLook w:val="04A0" w:firstRow="1" w:lastRow="0" w:firstColumn="1" w:lastColumn="0" w:noHBand="0" w:noVBand="1"/>
      </w:tblPr>
      <w:tblGrid>
        <w:gridCol w:w="1863"/>
        <w:gridCol w:w="5509"/>
      </w:tblGrid>
      <w:tr w:rsidR="00330529" w:rsidRPr="00330529" w14:paraId="4D110EC0" w14:textId="77777777" w:rsidTr="00D4776A">
        <w:trPr>
          <w:trHeight w:val="340"/>
        </w:trPr>
        <w:tc>
          <w:tcPr>
            <w:tcW w:w="0" w:type="auto"/>
            <w:vAlign w:val="center"/>
            <w:hideMark/>
          </w:tcPr>
          <w:p w14:paraId="2CBDE02E" w14:textId="77777777" w:rsidR="00330529" w:rsidRPr="00D4776A" w:rsidRDefault="00330529" w:rsidP="00D4776A">
            <w:pPr>
              <w:pStyle w:val="LLNormaali"/>
              <w:rPr>
                <w:b/>
              </w:rPr>
            </w:pPr>
            <w:r w:rsidRPr="00D4776A">
              <w:rPr>
                <w:b/>
              </w:rPr>
              <w:t xml:space="preserve">NACE -luokka </w:t>
            </w:r>
          </w:p>
        </w:tc>
        <w:tc>
          <w:tcPr>
            <w:tcW w:w="0" w:type="auto"/>
            <w:vAlign w:val="center"/>
            <w:hideMark/>
          </w:tcPr>
          <w:p w14:paraId="0B4E11E4" w14:textId="77777777" w:rsidR="00330529" w:rsidRPr="00D4776A" w:rsidRDefault="00330529" w:rsidP="00D4776A">
            <w:pPr>
              <w:pStyle w:val="LLNormaali"/>
              <w:rPr>
                <w:b/>
              </w:rPr>
            </w:pPr>
            <w:r w:rsidRPr="00D4776A">
              <w:rPr>
                <w:b/>
              </w:rPr>
              <w:t>Toimialan nimike</w:t>
            </w:r>
          </w:p>
        </w:tc>
      </w:tr>
      <w:tr w:rsidR="00330529" w:rsidRPr="00330529" w14:paraId="3957CD74" w14:textId="77777777" w:rsidTr="00D4776A">
        <w:trPr>
          <w:trHeight w:val="340"/>
        </w:trPr>
        <w:tc>
          <w:tcPr>
            <w:tcW w:w="0" w:type="auto"/>
            <w:vAlign w:val="center"/>
            <w:hideMark/>
          </w:tcPr>
          <w:p w14:paraId="226FBB10" w14:textId="77777777" w:rsidR="00330529" w:rsidRPr="00D4776A" w:rsidRDefault="00330529" w:rsidP="00D4776A">
            <w:pPr>
              <w:pStyle w:val="LLNormaali"/>
            </w:pPr>
            <w:r w:rsidRPr="00D4776A">
              <w:t xml:space="preserve">14.11 </w:t>
            </w:r>
          </w:p>
        </w:tc>
        <w:tc>
          <w:tcPr>
            <w:tcW w:w="0" w:type="auto"/>
            <w:vAlign w:val="center"/>
            <w:hideMark/>
          </w:tcPr>
          <w:p w14:paraId="33680A16" w14:textId="77777777" w:rsidR="00330529" w:rsidRPr="00330529" w:rsidRDefault="00330529" w:rsidP="00D4776A">
            <w:pPr>
              <w:pStyle w:val="LLNormaali"/>
            </w:pPr>
            <w:r w:rsidRPr="00330529">
              <w:t>Nahkavaatteiden valmistus</w:t>
            </w:r>
          </w:p>
        </w:tc>
      </w:tr>
      <w:tr w:rsidR="00330529" w:rsidRPr="00330529" w14:paraId="30ED09F8" w14:textId="77777777" w:rsidTr="00D4776A">
        <w:trPr>
          <w:trHeight w:val="340"/>
        </w:trPr>
        <w:tc>
          <w:tcPr>
            <w:tcW w:w="0" w:type="auto"/>
            <w:vAlign w:val="center"/>
            <w:hideMark/>
          </w:tcPr>
          <w:p w14:paraId="78719E59" w14:textId="77777777" w:rsidR="00330529" w:rsidRPr="00D4776A" w:rsidRDefault="00330529" w:rsidP="00D4776A">
            <w:pPr>
              <w:pStyle w:val="LLNormaali"/>
            </w:pPr>
            <w:r w:rsidRPr="00D4776A">
              <w:t>24.42</w:t>
            </w:r>
          </w:p>
        </w:tc>
        <w:tc>
          <w:tcPr>
            <w:tcW w:w="0" w:type="auto"/>
            <w:vAlign w:val="center"/>
            <w:hideMark/>
          </w:tcPr>
          <w:p w14:paraId="39D4B9EA" w14:textId="77777777" w:rsidR="00330529" w:rsidRPr="00330529" w:rsidRDefault="00330529" w:rsidP="00D4776A">
            <w:pPr>
              <w:pStyle w:val="LLNormaali"/>
            </w:pPr>
            <w:r w:rsidRPr="00330529">
              <w:t>Alumiinin valmistus</w:t>
            </w:r>
          </w:p>
        </w:tc>
      </w:tr>
      <w:tr w:rsidR="00330529" w:rsidRPr="00330529" w14:paraId="347FE7A2" w14:textId="77777777" w:rsidTr="00D4776A">
        <w:trPr>
          <w:trHeight w:val="340"/>
        </w:trPr>
        <w:tc>
          <w:tcPr>
            <w:tcW w:w="0" w:type="auto"/>
            <w:vAlign w:val="center"/>
            <w:hideMark/>
          </w:tcPr>
          <w:p w14:paraId="10A43F45" w14:textId="77777777" w:rsidR="00330529" w:rsidRPr="00D4776A" w:rsidRDefault="00330529" w:rsidP="00D4776A">
            <w:pPr>
              <w:pStyle w:val="LLNormaali"/>
            </w:pPr>
            <w:r w:rsidRPr="00D4776A">
              <w:t>20.13</w:t>
            </w:r>
          </w:p>
        </w:tc>
        <w:tc>
          <w:tcPr>
            <w:tcW w:w="0" w:type="auto"/>
            <w:vAlign w:val="center"/>
            <w:hideMark/>
          </w:tcPr>
          <w:p w14:paraId="081BFB2F" w14:textId="77777777" w:rsidR="00330529" w:rsidRPr="00330529" w:rsidRDefault="00330529" w:rsidP="00D4776A">
            <w:pPr>
              <w:pStyle w:val="LLNormaali"/>
            </w:pPr>
            <w:r w:rsidRPr="00330529">
              <w:t>Muiden epäorgaanisten peruskemikaalien valmistus</w:t>
            </w:r>
          </w:p>
        </w:tc>
      </w:tr>
      <w:tr w:rsidR="00330529" w:rsidRPr="00330529" w14:paraId="30ED4756" w14:textId="77777777" w:rsidTr="00D4776A">
        <w:trPr>
          <w:trHeight w:val="340"/>
        </w:trPr>
        <w:tc>
          <w:tcPr>
            <w:tcW w:w="0" w:type="auto"/>
            <w:vAlign w:val="center"/>
            <w:hideMark/>
          </w:tcPr>
          <w:p w14:paraId="29E5F61D" w14:textId="77777777" w:rsidR="00330529" w:rsidRPr="00D4776A" w:rsidRDefault="00330529" w:rsidP="00D4776A">
            <w:pPr>
              <w:pStyle w:val="LLNormaali"/>
            </w:pPr>
            <w:r w:rsidRPr="00D4776A">
              <w:t>24.43</w:t>
            </w:r>
          </w:p>
        </w:tc>
        <w:tc>
          <w:tcPr>
            <w:tcW w:w="0" w:type="auto"/>
            <w:vAlign w:val="center"/>
            <w:hideMark/>
          </w:tcPr>
          <w:p w14:paraId="761F7C37" w14:textId="77777777" w:rsidR="00330529" w:rsidRPr="00330529" w:rsidRDefault="00330529" w:rsidP="00D4776A">
            <w:pPr>
              <w:pStyle w:val="LLNormaali"/>
            </w:pPr>
            <w:r w:rsidRPr="00330529">
              <w:t>Lyijyn, sinkin ja tinan tuotanto</w:t>
            </w:r>
          </w:p>
        </w:tc>
      </w:tr>
      <w:tr w:rsidR="00330529" w:rsidRPr="00330529" w14:paraId="7673E8B3" w14:textId="77777777" w:rsidTr="00D4776A">
        <w:trPr>
          <w:trHeight w:val="340"/>
        </w:trPr>
        <w:tc>
          <w:tcPr>
            <w:tcW w:w="0" w:type="auto"/>
            <w:noWrap/>
            <w:vAlign w:val="center"/>
            <w:hideMark/>
          </w:tcPr>
          <w:p w14:paraId="19D683BD" w14:textId="77777777" w:rsidR="00330529" w:rsidRPr="00D4776A" w:rsidRDefault="00330529" w:rsidP="00D4776A">
            <w:pPr>
              <w:pStyle w:val="LLNormaali"/>
            </w:pPr>
            <w:r w:rsidRPr="00D4776A">
              <w:t>24.10</w:t>
            </w:r>
          </w:p>
        </w:tc>
        <w:tc>
          <w:tcPr>
            <w:tcW w:w="0" w:type="auto"/>
            <w:noWrap/>
            <w:vAlign w:val="center"/>
            <w:hideMark/>
          </w:tcPr>
          <w:p w14:paraId="5588A6CD" w14:textId="77777777" w:rsidR="00330529" w:rsidRPr="00330529" w:rsidRDefault="00330529" w:rsidP="00D4776A">
            <w:pPr>
              <w:pStyle w:val="LLNormaali"/>
            </w:pPr>
            <w:r w:rsidRPr="00330529">
              <w:t>Raudan, teräksen ja rautaseosten valmistus</w:t>
            </w:r>
          </w:p>
        </w:tc>
      </w:tr>
      <w:tr w:rsidR="00330529" w:rsidRPr="00330529" w14:paraId="4107F39D" w14:textId="77777777" w:rsidTr="00D4776A">
        <w:trPr>
          <w:trHeight w:val="340"/>
        </w:trPr>
        <w:tc>
          <w:tcPr>
            <w:tcW w:w="0" w:type="auto"/>
            <w:vAlign w:val="center"/>
            <w:hideMark/>
          </w:tcPr>
          <w:p w14:paraId="57B32040" w14:textId="77777777" w:rsidR="00330529" w:rsidRPr="00D4776A" w:rsidRDefault="00330529" w:rsidP="00D4776A">
            <w:pPr>
              <w:pStyle w:val="LLNormaali"/>
            </w:pPr>
            <w:r w:rsidRPr="00D4776A">
              <w:t>17.12</w:t>
            </w:r>
          </w:p>
        </w:tc>
        <w:tc>
          <w:tcPr>
            <w:tcW w:w="0" w:type="auto"/>
            <w:noWrap/>
            <w:vAlign w:val="center"/>
            <w:hideMark/>
          </w:tcPr>
          <w:p w14:paraId="0DE90F98" w14:textId="77777777" w:rsidR="00330529" w:rsidRPr="00330529" w:rsidRDefault="00330529" w:rsidP="00D4776A">
            <w:pPr>
              <w:pStyle w:val="LLNormaali"/>
            </w:pPr>
            <w:r w:rsidRPr="00330529">
              <w:t>Paperin, kartongin ja pahvin valmistus</w:t>
            </w:r>
          </w:p>
        </w:tc>
      </w:tr>
      <w:tr w:rsidR="00330529" w:rsidRPr="00330529" w14:paraId="134AB019" w14:textId="77777777" w:rsidTr="00D4776A">
        <w:trPr>
          <w:trHeight w:val="340"/>
        </w:trPr>
        <w:tc>
          <w:tcPr>
            <w:tcW w:w="0" w:type="auto"/>
            <w:noWrap/>
            <w:vAlign w:val="center"/>
            <w:hideMark/>
          </w:tcPr>
          <w:p w14:paraId="6919AD1E" w14:textId="77777777" w:rsidR="00330529" w:rsidRPr="00D4776A" w:rsidRDefault="00330529" w:rsidP="00D4776A">
            <w:pPr>
              <w:pStyle w:val="LLNormaali"/>
            </w:pPr>
            <w:r w:rsidRPr="00D4776A">
              <w:t>17.11</w:t>
            </w:r>
          </w:p>
        </w:tc>
        <w:tc>
          <w:tcPr>
            <w:tcW w:w="0" w:type="auto"/>
            <w:noWrap/>
            <w:vAlign w:val="center"/>
            <w:hideMark/>
          </w:tcPr>
          <w:p w14:paraId="191344FF" w14:textId="77777777" w:rsidR="00330529" w:rsidRPr="00330529" w:rsidRDefault="00330529" w:rsidP="00D4776A">
            <w:pPr>
              <w:pStyle w:val="LLNormaali"/>
            </w:pPr>
            <w:r w:rsidRPr="00330529">
              <w:t>Massan valmistus</w:t>
            </w:r>
          </w:p>
        </w:tc>
      </w:tr>
      <w:tr w:rsidR="00330529" w:rsidRPr="00330529" w14:paraId="479B2AD5" w14:textId="77777777" w:rsidTr="00D4776A">
        <w:trPr>
          <w:trHeight w:val="340"/>
        </w:trPr>
        <w:tc>
          <w:tcPr>
            <w:tcW w:w="0" w:type="auto"/>
            <w:noWrap/>
            <w:vAlign w:val="center"/>
            <w:hideMark/>
          </w:tcPr>
          <w:p w14:paraId="3352712B" w14:textId="77777777" w:rsidR="00330529" w:rsidRPr="00D4776A" w:rsidRDefault="00330529" w:rsidP="00D4776A">
            <w:pPr>
              <w:pStyle w:val="LLNormaali"/>
            </w:pPr>
            <w:r w:rsidRPr="00D4776A">
              <w:t>19.20</w:t>
            </w:r>
          </w:p>
        </w:tc>
        <w:tc>
          <w:tcPr>
            <w:tcW w:w="0" w:type="auto"/>
            <w:noWrap/>
            <w:vAlign w:val="center"/>
            <w:hideMark/>
          </w:tcPr>
          <w:p w14:paraId="7CCC6066" w14:textId="77777777" w:rsidR="00330529" w:rsidRPr="00330529" w:rsidRDefault="00330529" w:rsidP="00D4776A">
            <w:pPr>
              <w:pStyle w:val="LLNormaali"/>
            </w:pPr>
            <w:r w:rsidRPr="00330529">
              <w:t>Jalostettujen öljytuotteiden valmistus</w:t>
            </w:r>
          </w:p>
        </w:tc>
      </w:tr>
      <w:tr w:rsidR="00330529" w:rsidRPr="00330529" w14:paraId="53192E25" w14:textId="77777777" w:rsidTr="00D4776A">
        <w:trPr>
          <w:trHeight w:val="340"/>
        </w:trPr>
        <w:tc>
          <w:tcPr>
            <w:tcW w:w="0" w:type="auto"/>
            <w:noWrap/>
            <w:vAlign w:val="center"/>
            <w:hideMark/>
          </w:tcPr>
          <w:p w14:paraId="26C6F7EF" w14:textId="77777777" w:rsidR="00330529" w:rsidRPr="00D4776A" w:rsidRDefault="00330529" w:rsidP="00D4776A">
            <w:pPr>
              <w:pStyle w:val="LLNormaali"/>
            </w:pPr>
            <w:r w:rsidRPr="00D4776A">
              <w:t>24.44</w:t>
            </w:r>
          </w:p>
        </w:tc>
        <w:tc>
          <w:tcPr>
            <w:tcW w:w="0" w:type="auto"/>
            <w:noWrap/>
            <w:vAlign w:val="center"/>
            <w:hideMark/>
          </w:tcPr>
          <w:p w14:paraId="3A225B66" w14:textId="77777777" w:rsidR="00330529" w:rsidRPr="00330529" w:rsidRDefault="00330529" w:rsidP="00D4776A">
            <w:pPr>
              <w:pStyle w:val="LLNormaali"/>
            </w:pPr>
            <w:r w:rsidRPr="00330529">
              <w:t>Kuparin tuotanto</w:t>
            </w:r>
          </w:p>
        </w:tc>
      </w:tr>
      <w:tr w:rsidR="00330529" w:rsidRPr="00330529" w14:paraId="5B7D72EF" w14:textId="77777777" w:rsidTr="00D4776A">
        <w:trPr>
          <w:trHeight w:val="340"/>
        </w:trPr>
        <w:tc>
          <w:tcPr>
            <w:tcW w:w="0" w:type="auto"/>
            <w:noWrap/>
            <w:vAlign w:val="center"/>
            <w:hideMark/>
          </w:tcPr>
          <w:p w14:paraId="080C3655" w14:textId="77777777" w:rsidR="00330529" w:rsidRPr="00D4776A" w:rsidRDefault="00330529" w:rsidP="00D4776A">
            <w:pPr>
              <w:pStyle w:val="LLNormaali"/>
            </w:pPr>
            <w:r w:rsidRPr="00D4776A">
              <w:t>24.45</w:t>
            </w:r>
          </w:p>
        </w:tc>
        <w:tc>
          <w:tcPr>
            <w:tcW w:w="0" w:type="auto"/>
            <w:noWrap/>
            <w:vAlign w:val="center"/>
            <w:hideMark/>
          </w:tcPr>
          <w:p w14:paraId="578D1C24" w14:textId="77777777" w:rsidR="00330529" w:rsidRPr="00330529" w:rsidRDefault="00330529" w:rsidP="00D4776A">
            <w:pPr>
              <w:pStyle w:val="LLNormaali"/>
            </w:pPr>
            <w:r w:rsidRPr="00330529">
              <w:t>Muiden värimetallien tuotanto</w:t>
            </w:r>
          </w:p>
        </w:tc>
      </w:tr>
      <w:tr w:rsidR="00330529" w:rsidRPr="00330529" w14:paraId="1FBE6FE3" w14:textId="77777777" w:rsidTr="00D4776A">
        <w:trPr>
          <w:trHeight w:val="340"/>
        </w:trPr>
        <w:tc>
          <w:tcPr>
            <w:tcW w:w="0" w:type="auto"/>
            <w:noWrap/>
            <w:vAlign w:val="center"/>
            <w:hideMark/>
          </w:tcPr>
          <w:p w14:paraId="76AF1D34" w14:textId="77777777" w:rsidR="00330529" w:rsidRPr="00D4776A" w:rsidRDefault="00330529" w:rsidP="00D4776A">
            <w:pPr>
              <w:pStyle w:val="LLNormaali"/>
            </w:pPr>
            <w:r w:rsidRPr="00D4776A">
              <w:t xml:space="preserve">20.16.40.15 </w:t>
            </w:r>
          </w:p>
        </w:tc>
        <w:tc>
          <w:tcPr>
            <w:tcW w:w="0" w:type="auto"/>
            <w:noWrap/>
            <w:vAlign w:val="center"/>
            <w:hideMark/>
          </w:tcPr>
          <w:p w14:paraId="370040B0" w14:textId="77777777" w:rsidR="00330529" w:rsidRPr="00330529" w:rsidRDefault="00330529" w:rsidP="00D4776A">
            <w:pPr>
              <w:pStyle w:val="LLNormaali"/>
            </w:pPr>
            <w:r w:rsidRPr="00330529">
              <w:t>Polyeteeni, alkumuodossa</w:t>
            </w:r>
          </w:p>
        </w:tc>
      </w:tr>
      <w:tr w:rsidR="00330529" w:rsidRPr="00330529" w14:paraId="43B4B9B9" w14:textId="77777777" w:rsidTr="00D4776A">
        <w:trPr>
          <w:trHeight w:val="340"/>
        </w:trPr>
        <w:tc>
          <w:tcPr>
            <w:tcW w:w="0" w:type="auto"/>
            <w:noWrap/>
            <w:vAlign w:val="center"/>
            <w:hideMark/>
          </w:tcPr>
          <w:p w14:paraId="67D72A09" w14:textId="77777777" w:rsidR="00330529" w:rsidRPr="00D4776A" w:rsidRDefault="00330529" w:rsidP="00D4776A">
            <w:pPr>
              <w:pStyle w:val="LLNormaali"/>
            </w:pPr>
            <w:r w:rsidRPr="00D4776A">
              <w:t xml:space="preserve">24.51 </w:t>
            </w:r>
          </w:p>
        </w:tc>
        <w:tc>
          <w:tcPr>
            <w:tcW w:w="0" w:type="auto"/>
            <w:noWrap/>
            <w:vAlign w:val="center"/>
            <w:hideMark/>
          </w:tcPr>
          <w:p w14:paraId="44747B8D" w14:textId="77777777" w:rsidR="00330529" w:rsidRPr="00330529" w:rsidRDefault="00330529" w:rsidP="00D4776A">
            <w:pPr>
              <w:pStyle w:val="LLNormaali"/>
            </w:pPr>
            <w:r w:rsidRPr="00330529">
              <w:t>Raudan valu</w:t>
            </w:r>
          </w:p>
        </w:tc>
      </w:tr>
      <w:tr w:rsidR="00330529" w:rsidRPr="00330529" w14:paraId="6A0E884A" w14:textId="77777777" w:rsidTr="00D4776A">
        <w:trPr>
          <w:trHeight w:val="340"/>
        </w:trPr>
        <w:tc>
          <w:tcPr>
            <w:tcW w:w="0" w:type="auto"/>
            <w:noWrap/>
            <w:vAlign w:val="center"/>
            <w:hideMark/>
          </w:tcPr>
          <w:p w14:paraId="0745BE76" w14:textId="77777777" w:rsidR="00330529" w:rsidRPr="00D4776A" w:rsidRDefault="00330529" w:rsidP="00D4776A">
            <w:pPr>
              <w:pStyle w:val="LLNormaali"/>
            </w:pPr>
            <w:r w:rsidRPr="00D4776A">
              <w:t xml:space="preserve">23.14.12.10 </w:t>
            </w:r>
          </w:p>
        </w:tc>
        <w:tc>
          <w:tcPr>
            <w:tcW w:w="0" w:type="auto"/>
            <w:noWrap/>
            <w:vAlign w:val="center"/>
            <w:hideMark/>
          </w:tcPr>
          <w:p w14:paraId="19A85696" w14:textId="77777777" w:rsidR="00330529" w:rsidRPr="00330529" w:rsidRDefault="00330529" w:rsidP="00D4776A">
            <w:pPr>
              <w:pStyle w:val="LLNormaali"/>
            </w:pPr>
            <w:r w:rsidRPr="00330529">
              <w:t xml:space="preserve">Lasikuitumatot </w:t>
            </w:r>
          </w:p>
        </w:tc>
      </w:tr>
      <w:tr w:rsidR="00330529" w:rsidRPr="00330529" w14:paraId="28E58417" w14:textId="77777777" w:rsidTr="00D4776A">
        <w:trPr>
          <w:trHeight w:val="340"/>
        </w:trPr>
        <w:tc>
          <w:tcPr>
            <w:tcW w:w="0" w:type="auto"/>
            <w:noWrap/>
            <w:vAlign w:val="center"/>
            <w:hideMark/>
          </w:tcPr>
          <w:p w14:paraId="4A8F69E1" w14:textId="77777777" w:rsidR="00330529" w:rsidRPr="00D4776A" w:rsidRDefault="00330529" w:rsidP="00D4776A">
            <w:pPr>
              <w:pStyle w:val="LLNormaali"/>
            </w:pPr>
            <w:r w:rsidRPr="00D4776A">
              <w:t xml:space="preserve">23.14.12.30 </w:t>
            </w:r>
          </w:p>
        </w:tc>
        <w:tc>
          <w:tcPr>
            <w:tcW w:w="0" w:type="auto"/>
            <w:noWrap/>
            <w:vAlign w:val="center"/>
            <w:hideMark/>
          </w:tcPr>
          <w:p w14:paraId="7ADDC543" w14:textId="77777777" w:rsidR="00330529" w:rsidRPr="00330529" w:rsidRDefault="00330529" w:rsidP="00D4776A">
            <w:pPr>
              <w:pStyle w:val="LLNormaali"/>
            </w:pPr>
            <w:r w:rsidRPr="00330529">
              <w:t>Lasikuituohutlevyt</w:t>
            </w:r>
          </w:p>
        </w:tc>
      </w:tr>
      <w:tr w:rsidR="00330529" w:rsidRPr="00330529" w14:paraId="0FFDA1A2" w14:textId="77777777" w:rsidTr="00D4776A">
        <w:trPr>
          <w:trHeight w:val="340"/>
        </w:trPr>
        <w:tc>
          <w:tcPr>
            <w:tcW w:w="0" w:type="auto"/>
            <w:noWrap/>
            <w:vAlign w:val="center"/>
            <w:hideMark/>
          </w:tcPr>
          <w:p w14:paraId="08093DCD" w14:textId="77777777" w:rsidR="00330529" w:rsidRPr="00D4776A" w:rsidRDefault="00330529" w:rsidP="00D4776A">
            <w:pPr>
              <w:pStyle w:val="LLNormaali"/>
            </w:pPr>
            <w:r w:rsidRPr="00D4776A">
              <w:t xml:space="preserve">20.11.11.50 </w:t>
            </w:r>
          </w:p>
        </w:tc>
        <w:tc>
          <w:tcPr>
            <w:tcW w:w="0" w:type="auto"/>
            <w:noWrap/>
            <w:vAlign w:val="center"/>
            <w:hideMark/>
          </w:tcPr>
          <w:p w14:paraId="659493F9" w14:textId="77777777" w:rsidR="00330529" w:rsidRPr="00330529" w:rsidRDefault="00330529" w:rsidP="00D4776A">
            <w:pPr>
              <w:pStyle w:val="LLNormaali"/>
            </w:pPr>
            <w:r w:rsidRPr="00330529">
              <w:t>Vety</w:t>
            </w:r>
          </w:p>
        </w:tc>
      </w:tr>
      <w:tr w:rsidR="00330529" w:rsidRPr="00330529" w14:paraId="6044BE49" w14:textId="77777777" w:rsidTr="00D4776A">
        <w:trPr>
          <w:trHeight w:val="340"/>
        </w:trPr>
        <w:tc>
          <w:tcPr>
            <w:tcW w:w="0" w:type="auto"/>
            <w:noWrap/>
            <w:vAlign w:val="center"/>
            <w:hideMark/>
          </w:tcPr>
          <w:p w14:paraId="102E8617" w14:textId="77777777" w:rsidR="00330529" w:rsidRPr="00D4776A" w:rsidRDefault="00330529" w:rsidP="00D4776A">
            <w:pPr>
              <w:pStyle w:val="LLNormaali"/>
            </w:pPr>
            <w:r w:rsidRPr="00D4776A">
              <w:t xml:space="preserve">20.11.12.90 </w:t>
            </w:r>
          </w:p>
        </w:tc>
        <w:tc>
          <w:tcPr>
            <w:tcW w:w="0" w:type="auto"/>
            <w:noWrap/>
            <w:vAlign w:val="center"/>
            <w:hideMark/>
          </w:tcPr>
          <w:p w14:paraId="63DAE9B5" w14:textId="77777777" w:rsidR="00330529" w:rsidRPr="00330529" w:rsidRDefault="00330529" w:rsidP="00D4776A">
            <w:pPr>
              <w:pStyle w:val="LLNormaali"/>
            </w:pPr>
            <w:r w:rsidRPr="00330529">
              <w:t xml:space="preserve">Epäorgaaniset epämetallien happiyhdisteet </w:t>
            </w:r>
          </w:p>
        </w:tc>
      </w:tr>
    </w:tbl>
    <w:p w14:paraId="7DA9F147" w14:textId="77777777" w:rsidR="00330529" w:rsidRPr="00330529" w:rsidRDefault="00330529" w:rsidP="00F621E8">
      <w:pPr>
        <w:pStyle w:val="LLNormaali"/>
      </w:pPr>
    </w:p>
    <w:p w14:paraId="78A62CAA" w14:textId="77777777" w:rsidR="00F621E8" w:rsidRDefault="00F621E8">
      <w:pPr>
        <w:spacing w:line="240" w:lineRule="auto"/>
        <w:rPr>
          <w:lang w:eastAsia="fi-FI"/>
        </w:rPr>
      </w:pPr>
      <w:r>
        <w:rPr>
          <w:lang w:eastAsia="fi-FI"/>
        </w:rPr>
        <w:br w:type="page"/>
      </w:r>
    </w:p>
    <w:p w14:paraId="0ABABFEE" w14:textId="2EECB526" w:rsidR="00F621E8" w:rsidRDefault="00F621E8" w:rsidP="00F621E8">
      <w:pPr>
        <w:pStyle w:val="LLLiite"/>
      </w:pPr>
      <w:bookmarkStart w:id="30" w:name="_Toc75420027"/>
      <w:r>
        <w:t>Liite 2</w:t>
      </w:r>
      <w:bookmarkEnd w:id="30"/>
    </w:p>
    <w:p w14:paraId="49EE50FD" w14:textId="1682AB71" w:rsidR="00F621E8" w:rsidRDefault="00F621E8" w:rsidP="00F621E8">
      <w:pPr>
        <w:pStyle w:val="LLNormaali"/>
        <w:rPr>
          <w:lang w:eastAsia="fi-FI"/>
        </w:rPr>
      </w:pPr>
    </w:p>
    <w:p w14:paraId="2DF7DA54" w14:textId="2538086D" w:rsidR="00F621E8" w:rsidRDefault="00F621E8" w:rsidP="00F621E8">
      <w:pPr>
        <w:pStyle w:val="LLNormaali"/>
        <w:rPr>
          <w:lang w:eastAsia="fi-FI"/>
        </w:rPr>
      </w:pPr>
    </w:p>
    <w:p w14:paraId="71A7FAD0" w14:textId="125B5033" w:rsidR="00F621E8" w:rsidRDefault="00F621E8" w:rsidP="00F621E8">
      <w:pPr>
        <w:pStyle w:val="LLNormaali"/>
        <w:rPr>
          <w:lang w:eastAsia="fi-FI"/>
        </w:rPr>
      </w:pPr>
    </w:p>
    <w:p w14:paraId="54207890" w14:textId="07E8E8B2" w:rsidR="00F621E8" w:rsidRPr="008C2C8E" w:rsidRDefault="00EC11B9" w:rsidP="00F621E8">
      <w:pPr>
        <w:pStyle w:val="LLNormaali"/>
        <w:rPr>
          <w:i/>
          <w:lang w:eastAsia="fi-FI"/>
        </w:rPr>
      </w:pPr>
      <w:r w:rsidRPr="008C2C8E">
        <w:rPr>
          <w:i/>
          <w:lang w:eastAsia="fi-FI"/>
        </w:rPr>
        <w:t>Sähkönkulutuksen tehokkuuden vertailuarvot tuotteille, jotka kuuluvat liitteessä I esitettyihin NACE-koodeihin</w:t>
      </w:r>
    </w:p>
    <w:p w14:paraId="0D33A5E5" w14:textId="32DD315F" w:rsidR="00193CF7" w:rsidRDefault="00193CF7" w:rsidP="00F621E8">
      <w:pPr>
        <w:pStyle w:val="LLNormaali"/>
        <w:rPr>
          <w:lang w:eastAsia="fi-FI"/>
        </w:rPr>
      </w:pPr>
    </w:p>
    <w:p w14:paraId="6ABBC84D" w14:textId="11711DB1" w:rsidR="00193CF7" w:rsidRPr="00CC5ECE" w:rsidRDefault="00193CF7" w:rsidP="00F621E8">
      <w:pPr>
        <w:pStyle w:val="LLNormaali"/>
        <w:rPr>
          <w:lang w:eastAsia="fi-FI"/>
        </w:rPr>
      </w:pPr>
      <w:r w:rsidRPr="00CC5ECE">
        <w:rPr>
          <w:lang w:eastAsia="fi-FI"/>
        </w:rPr>
        <w:t>Liit</w:t>
      </w:r>
      <w:r w:rsidR="008D243D" w:rsidRPr="00CC5ECE">
        <w:rPr>
          <w:lang w:eastAsia="fi-FI"/>
        </w:rPr>
        <w:t>teen tiedot tulevat olemaan päästökaupan valtiontukisuuntaviivojen mukaiset. Liit</w:t>
      </w:r>
      <w:r w:rsidRPr="00CC5ECE">
        <w:rPr>
          <w:lang w:eastAsia="fi-FI"/>
        </w:rPr>
        <w:t>e täydentyy, kun komissio on julkaissut sovellettavat vertailuarvot.</w:t>
      </w:r>
      <w:r w:rsidR="008D243D" w:rsidRPr="00CC5ECE">
        <w:rPr>
          <w:lang w:eastAsia="fi-FI"/>
        </w:rPr>
        <w:t xml:space="preserve"> </w:t>
      </w:r>
      <w:r w:rsidR="0080115D" w:rsidRPr="00CC5ECE">
        <w:rPr>
          <w:lang w:eastAsia="fi-FI"/>
        </w:rPr>
        <w:t xml:space="preserve">Liite täydentyy ennen </w:t>
      </w:r>
      <w:r w:rsidR="008D243D" w:rsidRPr="00CC5ECE">
        <w:rPr>
          <w:lang w:eastAsia="fi-FI"/>
        </w:rPr>
        <w:t xml:space="preserve">hallituksen esityksen </w:t>
      </w:r>
      <w:r w:rsidR="0080115D" w:rsidRPr="00CC5ECE">
        <w:rPr>
          <w:lang w:eastAsia="fi-FI"/>
        </w:rPr>
        <w:t>antamista eduskunnalle</w:t>
      </w:r>
      <w:r w:rsidR="008D243D" w:rsidRPr="00CC5ECE">
        <w:rPr>
          <w:lang w:eastAsia="fi-FI"/>
        </w:rPr>
        <w:t>.</w:t>
      </w:r>
    </w:p>
    <w:p w14:paraId="3EF28525" w14:textId="13CDA8CC" w:rsidR="00F621E8" w:rsidRDefault="00F621E8" w:rsidP="00F621E8">
      <w:pPr>
        <w:pStyle w:val="LLNormaali"/>
        <w:rPr>
          <w:lang w:eastAsia="fi-FI"/>
        </w:rPr>
      </w:pPr>
    </w:p>
    <w:p w14:paraId="53D156F3" w14:textId="77777777" w:rsidR="00F621E8" w:rsidRDefault="00F621E8" w:rsidP="00F621E8">
      <w:pPr>
        <w:pStyle w:val="LLNormaali"/>
        <w:rPr>
          <w:lang w:eastAsia="fi-FI"/>
        </w:rPr>
      </w:pPr>
    </w:p>
    <w:p w14:paraId="49416CE8" w14:textId="5CAEDA9C" w:rsidR="004B1827" w:rsidRDefault="000A334A" w:rsidP="003920F1">
      <w:pPr>
        <w:pStyle w:val="LLNormaali"/>
      </w:pPr>
      <w:r w:rsidRPr="001401B3">
        <w:br w:type="page"/>
      </w:r>
    </w:p>
    <w:p w14:paraId="3B058730" w14:textId="6D770011" w:rsidR="00656438" w:rsidRDefault="00656438" w:rsidP="003920F1">
      <w:pPr>
        <w:pStyle w:val="LLNormaali"/>
      </w:pPr>
    </w:p>
    <w:p w14:paraId="094A8FD4" w14:textId="77777777" w:rsidR="00656438" w:rsidRDefault="00656438" w:rsidP="003920F1">
      <w:pPr>
        <w:pStyle w:val="LLNormaali"/>
        <w:sectPr w:rsidR="00656438" w:rsidSect="00656438">
          <w:pgSz w:w="11906" w:h="16838" w:code="9"/>
          <w:pgMar w:top="1701" w:right="1780" w:bottom="2155" w:left="1780" w:header="1701" w:footer="1911" w:gutter="0"/>
          <w:cols w:space="720"/>
          <w:formProt w:val="0"/>
          <w:titlePg/>
          <w:docGrid w:linePitch="360"/>
        </w:sectPr>
      </w:pPr>
    </w:p>
    <w:bookmarkStart w:id="31" w:name="_Toc75420028" w:displacedByCustomXml="next"/>
    <w:sdt>
      <w:sdtPr>
        <w:alias w:val="Liitteet"/>
        <w:tag w:val="CCLiitteet"/>
        <w:id w:val="-100575990"/>
        <w:placeholder>
          <w:docPart w:val="CC3FC473381546F4AFF5C0F65E698DDF"/>
        </w:placeholder>
        <w15:color w:val="33CCCC"/>
        <w:comboBox>
          <w:listItem w:value="Valitse kohde."/>
          <w:listItem w:displayText="Liite" w:value="Liite"/>
          <w:listItem w:displayText="Liitteet" w:value="Liitteet"/>
        </w:comboBox>
      </w:sdtPr>
      <w:sdtEndPr/>
      <w:sdtContent>
        <w:p w14:paraId="6DFBDF96" w14:textId="77777777" w:rsidR="000A334A" w:rsidRDefault="00DD2981" w:rsidP="004B1827">
          <w:pPr>
            <w:pStyle w:val="LLLiite"/>
          </w:pPr>
          <w:r>
            <w:t>Liite</w:t>
          </w:r>
        </w:p>
      </w:sdtContent>
    </w:sdt>
    <w:bookmarkEnd w:id="31" w:displacedByCustomXml="prev"/>
    <w:bookmarkStart w:id="32" w:name="_Toc75420029"/>
    <w:p w14:paraId="69F12529" w14:textId="3D9E0EAC" w:rsidR="00D832D0" w:rsidRPr="00D832D0" w:rsidRDefault="001A4DAD" w:rsidP="00F61261">
      <w:pPr>
        <w:pStyle w:val="LLAsetusluonnokset"/>
      </w:pPr>
      <w:sdt>
        <w:sdtPr>
          <w:alias w:val="Asetusluonnokset"/>
          <w:tag w:val="CCAsetusluonnokset"/>
          <w:id w:val="-1261524788"/>
          <w:placeholder>
            <w:docPart w:val="ECB7D6E8F5DE4FD1963CD38725863CC3"/>
          </w:placeholder>
          <w15:color w:val="33CCCC"/>
          <w:comboBox>
            <w:listItem w:value="Valitse kohde."/>
            <w:listItem w:displayText="Asetusluonnos" w:value="Asetusluonnos"/>
            <w:listItem w:displayText="Asetusluonnokset" w:value="Asetusluonnokset"/>
          </w:comboBox>
        </w:sdtPr>
        <w:sdtEndPr/>
        <w:sdtContent>
          <w:r w:rsidR="00DD2981">
            <w:t>Asetusluonnos</w:t>
          </w:r>
        </w:sdtContent>
      </w:sdt>
      <w:bookmarkEnd w:id="32"/>
    </w:p>
    <w:sdt>
      <w:sdtPr>
        <w:rPr>
          <w:rFonts w:eastAsia="Times New Roman"/>
          <w:i/>
          <w:szCs w:val="24"/>
          <w:lang w:eastAsia="fi-FI"/>
        </w:rPr>
        <w:alias w:val="Asetusluonnos"/>
        <w:tag w:val="CCAsetusluonnos"/>
        <w:id w:val="12501642"/>
        <w:placeholder>
          <w:docPart w:val="BEA4C386955F441AA9EF2D43CEC713DA"/>
        </w:placeholder>
        <w15:color w:val="33CCCC"/>
      </w:sdtPr>
      <w:sdtEndPr/>
      <w:sdtContent>
        <w:p w14:paraId="632B7C8B" w14:textId="77777777" w:rsidR="00D832D0" w:rsidRPr="00D832D0" w:rsidRDefault="00D832D0" w:rsidP="00750DD3">
          <w:pPr>
            <w:pStyle w:val="LLNormaali"/>
          </w:pPr>
        </w:p>
        <w:p w14:paraId="1655DADB" w14:textId="77777777" w:rsidR="00D832D0" w:rsidRPr="00BD1DBB" w:rsidRDefault="00D832D0" w:rsidP="003A124E">
          <w:pPr>
            <w:pStyle w:val="LLValtioneuvostonAsetus"/>
          </w:pPr>
          <w:r w:rsidRPr="00BD1DBB">
            <w:t>Valtioneuvoston asetus</w:t>
          </w:r>
        </w:p>
        <w:p w14:paraId="76B9CEC9" w14:textId="0B4CE2FC" w:rsidR="00D832D0" w:rsidRPr="00BD1DBB" w:rsidRDefault="00193CF7" w:rsidP="008A084C">
          <w:pPr>
            <w:pStyle w:val="LLSaadoksenNimi"/>
          </w:pPr>
          <w:bookmarkStart w:id="33" w:name="_Toc75420030"/>
          <w:r>
            <w:t>energiaintensiivise</w:t>
          </w:r>
          <w:r w:rsidR="0081602B">
            <w:t>n</w:t>
          </w:r>
          <w:r>
            <w:t xml:space="preserve"> teollisuude</w:t>
          </w:r>
          <w:r w:rsidR="0081602B">
            <w:t>n</w:t>
          </w:r>
          <w:r>
            <w:t xml:space="preserve"> sähköistämistuesta</w:t>
          </w:r>
          <w:bookmarkEnd w:id="33"/>
          <w:r>
            <w:t xml:space="preserve"> </w:t>
          </w:r>
        </w:p>
        <w:p w14:paraId="513EDCF2" w14:textId="0436EA22" w:rsidR="00D832D0" w:rsidRPr="00BD1DBB" w:rsidRDefault="00D832D0" w:rsidP="00750DD3">
          <w:pPr>
            <w:pStyle w:val="LLJohtolauseKappaleet"/>
          </w:pPr>
          <w:r w:rsidRPr="00BD1DBB">
            <w:t>Valtioneuvoston päätöksen mukaisesti</w:t>
          </w:r>
          <w:r w:rsidR="00F5656C">
            <w:t xml:space="preserve"> säädetään</w:t>
          </w:r>
        </w:p>
        <w:p w14:paraId="76B2157C" w14:textId="21D679EB" w:rsidR="00F5656C" w:rsidRDefault="00F5656C" w:rsidP="00656438">
          <w:pPr>
            <w:pStyle w:val="LLNormaali"/>
          </w:pPr>
        </w:p>
        <w:p w14:paraId="6A62FB5F" w14:textId="77777777" w:rsidR="00F5656C" w:rsidRDefault="00F5656C" w:rsidP="00656438">
          <w:pPr>
            <w:pStyle w:val="LLNormaali"/>
          </w:pPr>
        </w:p>
        <w:p w14:paraId="7731E38C" w14:textId="52718C87" w:rsidR="00F5656C" w:rsidRDefault="00F5656C" w:rsidP="00F5656C">
          <w:pPr>
            <w:pStyle w:val="LLPykala"/>
          </w:pPr>
          <w:r>
            <w:t>1</w:t>
          </w:r>
          <w:r w:rsidRPr="009167E1">
            <w:t xml:space="preserve"> §</w:t>
          </w:r>
        </w:p>
        <w:p w14:paraId="4FF37BBA" w14:textId="69DDA456" w:rsidR="00F5656C" w:rsidRDefault="00F5656C" w:rsidP="00F5656C">
          <w:pPr>
            <w:pStyle w:val="LLPykalanOtsikko"/>
          </w:pPr>
          <w:r w:rsidRPr="00F5656C">
            <w:t>Tuen määrän laskeminen sovellettaessa sähkönkulutuksen tehokkuuden vertailuarvoa ja toissijaista sähkönkulutuksen</w:t>
          </w:r>
          <w:r>
            <w:t xml:space="preserve"> tehokkuuden</w:t>
          </w:r>
          <w:r w:rsidRPr="00F5656C">
            <w:t xml:space="preserve"> vertailuarvoa  </w:t>
          </w:r>
        </w:p>
        <w:p w14:paraId="3E35664A" w14:textId="35070C92" w:rsidR="00F5656C" w:rsidRDefault="00F5656C" w:rsidP="00656438">
          <w:pPr>
            <w:pStyle w:val="LLNormaali"/>
          </w:pPr>
        </w:p>
        <w:p w14:paraId="25AF62FE" w14:textId="66231B13" w:rsidR="00F5656C" w:rsidRDefault="00F5656C" w:rsidP="00F5656C">
          <w:pPr>
            <w:pStyle w:val="LLPykala"/>
          </w:pPr>
          <w:r>
            <w:t>2</w:t>
          </w:r>
          <w:r w:rsidRPr="009167E1">
            <w:t xml:space="preserve"> §</w:t>
          </w:r>
        </w:p>
        <w:p w14:paraId="6A7A1A2C" w14:textId="6B89610F" w:rsidR="00F5656C" w:rsidRDefault="00F5656C" w:rsidP="00F5656C">
          <w:pPr>
            <w:pStyle w:val="LLPykalanOtsikko"/>
          </w:pPr>
          <w:r w:rsidRPr="00F5656C">
            <w:t xml:space="preserve">Tuen määrän laskenta </w:t>
          </w:r>
          <w:r>
            <w:t>laito</w:t>
          </w:r>
          <w:r w:rsidR="00E56EF2">
            <w:t>ksen</w:t>
          </w:r>
          <w:r>
            <w:t xml:space="preserve"> tuotta</w:t>
          </w:r>
          <w:r w:rsidR="00E56EF2">
            <w:t>essa</w:t>
          </w:r>
          <w:r>
            <w:t xml:space="preserve"> tukeen oikeuttamattomia</w:t>
          </w:r>
          <w:r w:rsidRPr="00F5656C">
            <w:t xml:space="preserve"> tuotteita</w:t>
          </w:r>
        </w:p>
        <w:p w14:paraId="0A138423" w14:textId="77777777" w:rsidR="00F5656C" w:rsidRPr="00F5656C" w:rsidRDefault="00F5656C" w:rsidP="00F5656C">
          <w:pPr>
            <w:rPr>
              <w:lang w:eastAsia="fi-FI"/>
            </w:rPr>
          </w:pPr>
        </w:p>
        <w:p w14:paraId="51C98D72" w14:textId="6B971E41" w:rsidR="00F5656C" w:rsidRDefault="00F5656C" w:rsidP="00F5656C">
          <w:pPr>
            <w:pStyle w:val="LLPykala"/>
          </w:pPr>
          <w:r>
            <w:t>3</w:t>
          </w:r>
          <w:r w:rsidRPr="009167E1">
            <w:t xml:space="preserve"> §</w:t>
          </w:r>
        </w:p>
        <w:p w14:paraId="3C441CF1" w14:textId="0A056F49" w:rsidR="00F5656C" w:rsidRDefault="00F5656C" w:rsidP="00F5656C">
          <w:pPr>
            <w:pStyle w:val="LLPykalanOtsikko"/>
          </w:pPr>
          <w:r w:rsidRPr="00F5656C">
            <w:t>Tu</w:t>
          </w:r>
          <w:r>
            <w:t>kihakemuksen toimittaminen</w:t>
          </w:r>
        </w:p>
        <w:p w14:paraId="60511797" w14:textId="13F30AAF" w:rsidR="00F5656C" w:rsidRDefault="00F5656C" w:rsidP="00656438">
          <w:pPr>
            <w:pStyle w:val="LLNormaali"/>
          </w:pPr>
        </w:p>
        <w:p w14:paraId="141F1ABA" w14:textId="7669DDD1" w:rsidR="00F5656C" w:rsidRDefault="00F5656C" w:rsidP="00F5656C">
          <w:pPr>
            <w:pStyle w:val="LLPykala"/>
          </w:pPr>
          <w:r>
            <w:t>4</w:t>
          </w:r>
          <w:r w:rsidRPr="009167E1">
            <w:t xml:space="preserve"> §</w:t>
          </w:r>
        </w:p>
        <w:p w14:paraId="08510EA4" w14:textId="0DC88060" w:rsidR="00F5656C" w:rsidRDefault="00F5656C" w:rsidP="00F5656C">
          <w:pPr>
            <w:pStyle w:val="LLPykalanOtsikko"/>
          </w:pPr>
          <w:r w:rsidRPr="00F5656C">
            <w:t>Tu</w:t>
          </w:r>
          <w:r>
            <w:t>kihakemuksessa toimitettavat tiedot</w:t>
          </w:r>
        </w:p>
        <w:p w14:paraId="6DED9CC2" w14:textId="77E6A28B" w:rsidR="00F5656C" w:rsidRDefault="00F5656C" w:rsidP="00656438">
          <w:pPr>
            <w:pStyle w:val="LLNormaali"/>
          </w:pPr>
        </w:p>
        <w:p w14:paraId="3BF40E84" w14:textId="23419482" w:rsidR="00F5656C" w:rsidRDefault="00F5656C" w:rsidP="00F5656C">
          <w:pPr>
            <w:pStyle w:val="LLPykala"/>
          </w:pPr>
          <w:r>
            <w:t>5</w:t>
          </w:r>
          <w:r w:rsidRPr="009167E1">
            <w:t xml:space="preserve"> §</w:t>
          </w:r>
        </w:p>
        <w:p w14:paraId="1CDDA6C9" w14:textId="3E5FF4C5" w:rsidR="00F5656C" w:rsidRDefault="00F5656C" w:rsidP="00F5656C">
          <w:pPr>
            <w:pStyle w:val="LLPykalanOtsikko"/>
          </w:pPr>
          <w:r w:rsidRPr="00F5656C">
            <w:t>Tu</w:t>
          </w:r>
          <w:r>
            <w:t>kihakemuksessa toimitettavat tiedot</w:t>
          </w:r>
          <w:r w:rsidR="00E56EF2">
            <w:t xml:space="preserve"> laitokseen sovellettaessa</w:t>
          </w:r>
          <w:r w:rsidRPr="00F5656C">
            <w:t xml:space="preserve"> sähkönkulutuksen tehokkuuden vertailuarvoa </w:t>
          </w:r>
        </w:p>
        <w:p w14:paraId="65F6ACF9" w14:textId="0D5A4E81" w:rsidR="00F5656C" w:rsidRDefault="00F5656C" w:rsidP="00656438">
          <w:pPr>
            <w:pStyle w:val="LLNormaali"/>
          </w:pPr>
        </w:p>
        <w:p w14:paraId="1713665D" w14:textId="21C05A74" w:rsidR="00F5656C" w:rsidRDefault="00F5656C" w:rsidP="00F5656C">
          <w:pPr>
            <w:pStyle w:val="LLPykala"/>
          </w:pPr>
          <w:r>
            <w:t>6</w:t>
          </w:r>
          <w:r w:rsidRPr="009167E1">
            <w:t xml:space="preserve"> §</w:t>
          </w:r>
        </w:p>
        <w:p w14:paraId="7F17E307" w14:textId="17B75CB4" w:rsidR="00E56EF2" w:rsidRDefault="00F5656C" w:rsidP="00E56EF2">
          <w:pPr>
            <w:pStyle w:val="LLPykalanOtsikko"/>
          </w:pPr>
          <w:r w:rsidRPr="00F5656C">
            <w:t>Tu</w:t>
          </w:r>
          <w:r w:rsidR="00E56EF2">
            <w:t>kihakemuksessa toimitettavat tiedot laitokseen sovellettaessa</w:t>
          </w:r>
          <w:r w:rsidR="00E56EF2" w:rsidRPr="00F5656C">
            <w:t xml:space="preserve"> </w:t>
          </w:r>
          <w:r w:rsidR="00E56EF2">
            <w:t xml:space="preserve">toissijaista </w:t>
          </w:r>
          <w:r w:rsidR="00E56EF2" w:rsidRPr="00F5656C">
            <w:t xml:space="preserve">sähkönkulutuksen tehokkuuden vertailuarvoa </w:t>
          </w:r>
        </w:p>
        <w:p w14:paraId="706C2274" w14:textId="77777777" w:rsidR="00E56EF2" w:rsidRPr="00E56EF2" w:rsidRDefault="00E56EF2" w:rsidP="00E56EF2">
          <w:pPr>
            <w:rPr>
              <w:lang w:eastAsia="fi-FI"/>
            </w:rPr>
          </w:pPr>
        </w:p>
        <w:p w14:paraId="3C123D4A" w14:textId="56A7D511" w:rsidR="00F5656C" w:rsidRDefault="00E56EF2" w:rsidP="00F5656C">
          <w:pPr>
            <w:pStyle w:val="LLPykala"/>
          </w:pPr>
          <w:r>
            <w:t>7</w:t>
          </w:r>
          <w:r w:rsidR="00F5656C" w:rsidRPr="009167E1">
            <w:t xml:space="preserve"> §</w:t>
          </w:r>
        </w:p>
        <w:p w14:paraId="22C612FB" w14:textId="687F14FC" w:rsidR="00F5656C" w:rsidRDefault="00E56EF2" w:rsidP="00F5656C">
          <w:pPr>
            <w:pStyle w:val="LLPykalanOtsikko"/>
          </w:pPr>
          <w:r>
            <w:t>Tuen</w:t>
          </w:r>
          <w:r w:rsidRPr="00E56EF2">
            <w:t xml:space="preserve"> myöntämistä koskeva päätös</w:t>
          </w:r>
        </w:p>
        <w:p w14:paraId="512366E7" w14:textId="77777777" w:rsidR="00E56EF2" w:rsidRPr="00E56EF2" w:rsidRDefault="00E56EF2" w:rsidP="00E56EF2">
          <w:pPr>
            <w:rPr>
              <w:lang w:eastAsia="fi-FI"/>
            </w:rPr>
          </w:pPr>
        </w:p>
        <w:p w14:paraId="2BFA3ED7" w14:textId="77777777" w:rsidR="00E56EF2" w:rsidRDefault="00E56EF2" w:rsidP="00E56EF2">
          <w:pPr>
            <w:pStyle w:val="LLPykala"/>
          </w:pPr>
        </w:p>
        <w:p w14:paraId="562F9FE8" w14:textId="21F76C16" w:rsidR="00E56EF2" w:rsidRDefault="00E56EF2" w:rsidP="00E56EF2">
          <w:pPr>
            <w:pStyle w:val="LLPykala"/>
          </w:pPr>
          <w:r>
            <w:t>8</w:t>
          </w:r>
          <w:r w:rsidRPr="009167E1">
            <w:t xml:space="preserve"> §</w:t>
          </w:r>
        </w:p>
        <w:p w14:paraId="7C166803" w14:textId="138679CD" w:rsidR="00E56EF2" w:rsidRDefault="00E56EF2" w:rsidP="00E56EF2">
          <w:pPr>
            <w:pStyle w:val="LLPykalanOtsikko"/>
          </w:pPr>
          <w:r>
            <w:t>Kehittämistoimille asetetut vaatimukset</w:t>
          </w:r>
        </w:p>
        <w:p w14:paraId="2705D398" w14:textId="77777777" w:rsidR="00E56EF2" w:rsidRPr="00E56EF2" w:rsidRDefault="00E56EF2" w:rsidP="00E56EF2">
          <w:pPr>
            <w:rPr>
              <w:lang w:eastAsia="fi-FI"/>
            </w:rPr>
          </w:pPr>
        </w:p>
        <w:p w14:paraId="25932511" w14:textId="1A476193" w:rsidR="00E56EF2" w:rsidRDefault="00E56EF2" w:rsidP="00E56EF2">
          <w:pPr>
            <w:pStyle w:val="LLPykala"/>
          </w:pPr>
          <w:r>
            <w:t>9</w:t>
          </w:r>
          <w:r w:rsidRPr="009167E1">
            <w:t xml:space="preserve"> §</w:t>
          </w:r>
        </w:p>
        <w:p w14:paraId="1901D585" w14:textId="4B36809F" w:rsidR="00E56EF2" w:rsidRDefault="00E56EF2" w:rsidP="00E56EF2">
          <w:pPr>
            <w:pStyle w:val="LLPykalanOtsikko"/>
          </w:pPr>
          <w:r>
            <w:t xml:space="preserve">Tuen käyttöä koskevien tietojen toimittaminen </w:t>
          </w:r>
        </w:p>
        <w:p w14:paraId="1115C8B3" w14:textId="77777777" w:rsidR="00E56EF2" w:rsidRPr="00E56EF2" w:rsidRDefault="00E56EF2" w:rsidP="00E56EF2">
          <w:pPr>
            <w:rPr>
              <w:lang w:eastAsia="fi-FI"/>
            </w:rPr>
          </w:pPr>
        </w:p>
        <w:p w14:paraId="0BC13B52" w14:textId="15C2F789" w:rsidR="00E56EF2" w:rsidRDefault="00E56EF2" w:rsidP="00E56EF2">
          <w:pPr>
            <w:pStyle w:val="LLPykala"/>
          </w:pPr>
          <w:r>
            <w:t>10</w:t>
          </w:r>
          <w:r w:rsidRPr="009167E1">
            <w:t xml:space="preserve"> §</w:t>
          </w:r>
        </w:p>
        <w:p w14:paraId="291DF8C5" w14:textId="379EEADC" w:rsidR="00656438" w:rsidRDefault="00E56EF2" w:rsidP="00E56EF2">
          <w:pPr>
            <w:pStyle w:val="LLPykalanOtsikko"/>
            <w:tabs>
              <w:tab w:val="center" w:pos="4173"/>
              <w:tab w:val="left" w:pos="7530"/>
            </w:tabs>
            <w:jc w:val="left"/>
          </w:pPr>
          <w:r>
            <w:tab/>
            <w:t xml:space="preserve">Tuen käyttöä koskevien tietojen käsittely </w:t>
          </w:r>
          <w:r>
            <w:tab/>
          </w:r>
        </w:p>
      </w:sdtContent>
    </w:sdt>
    <w:p w14:paraId="441891BE" w14:textId="706ECC84" w:rsidR="00656438" w:rsidRPr="00656438" w:rsidRDefault="00656438" w:rsidP="00656438">
      <w:pPr>
        <w:pStyle w:val="LLNormaali"/>
      </w:pPr>
      <w:r>
        <w:br/>
      </w:r>
    </w:p>
    <w:sectPr w:rsidR="00656438" w:rsidRPr="00656438"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0C3A2" w14:textId="77777777" w:rsidR="00581F48" w:rsidRDefault="00581F48">
      <w:r>
        <w:separator/>
      </w:r>
    </w:p>
  </w:endnote>
  <w:endnote w:type="continuationSeparator" w:id="0">
    <w:p w14:paraId="5E45A937" w14:textId="77777777" w:rsidR="00581F48" w:rsidRDefault="00581F48">
      <w:r>
        <w:continuationSeparator/>
      </w:r>
    </w:p>
  </w:endnote>
  <w:endnote w:type="continuationNotice" w:id="1">
    <w:p w14:paraId="38096042" w14:textId="77777777" w:rsidR="00581F48" w:rsidRDefault="00581F4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D8AC3" w14:textId="77777777" w:rsidR="00581F48" w:rsidRDefault="00581F48"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1E513641" w14:textId="77777777" w:rsidR="00581F48" w:rsidRDefault="00581F48">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581F48" w14:paraId="7DE0FF1F" w14:textId="77777777" w:rsidTr="000C5020">
      <w:trPr>
        <w:trHeight w:hRule="exact" w:val="356"/>
      </w:trPr>
      <w:tc>
        <w:tcPr>
          <w:tcW w:w="2828" w:type="dxa"/>
          <w:shd w:val="clear" w:color="auto" w:fill="auto"/>
          <w:vAlign w:val="bottom"/>
        </w:tcPr>
        <w:p w14:paraId="57140F32" w14:textId="77777777" w:rsidR="00581F48" w:rsidRPr="000C5020" w:rsidRDefault="00581F48" w:rsidP="001310B9">
          <w:pPr>
            <w:pStyle w:val="Alatunniste"/>
            <w:rPr>
              <w:sz w:val="18"/>
              <w:szCs w:val="18"/>
            </w:rPr>
          </w:pPr>
        </w:p>
      </w:tc>
      <w:tc>
        <w:tcPr>
          <w:tcW w:w="2829" w:type="dxa"/>
          <w:shd w:val="clear" w:color="auto" w:fill="auto"/>
          <w:vAlign w:val="bottom"/>
        </w:tcPr>
        <w:p w14:paraId="3797C742" w14:textId="36B61BD5" w:rsidR="00581F48" w:rsidRPr="000C5020" w:rsidRDefault="00581F48"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1A4DAD">
            <w:rPr>
              <w:rStyle w:val="Sivunumero"/>
              <w:noProof/>
              <w:sz w:val="22"/>
            </w:rPr>
            <w:t>14</w:t>
          </w:r>
          <w:r w:rsidRPr="000C5020">
            <w:rPr>
              <w:rStyle w:val="Sivunumero"/>
              <w:sz w:val="22"/>
            </w:rPr>
            <w:fldChar w:fldCharType="end"/>
          </w:r>
        </w:p>
      </w:tc>
      <w:tc>
        <w:tcPr>
          <w:tcW w:w="2829" w:type="dxa"/>
          <w:shd w:val="clear" w:color="auto" w:fill="auto"/>
          <w:vAlign w:val="bottom"/>
        </w:tcPr>
        <w:p w14:paraId="54C3FD80" w14:textId="77777777" w:rsidR="00581F48" w:rsidRPr="000C5020" w:rsidRDefault="00581F48" w:rsidP="001310B9">
          <w:pPr>
            <w:pStyle w:val="Alatunniste"/>
            <w:rPr>
              <w:sz w:val="18"/>
              <w:szCs w:val="18"/>
            </w:rPr>
          </w:pPr>
        </w:p>
      </w:tc>
    </w:tr>
  </w:tbl>
  <w:p w14:paraId="3BA8507B" w14:textId="77777777" w:rsidR="00581F48" w:rsidRDefault="00581F48" w:rsidP="001310B9">
    <w:pPr>
      <w:pStyle w:val="Alatunniste"/>
    </w:pPr>
  </w:p>
  <w:p w14:paraId="43246137" w14:textId="77777777" w:rsidR="00581F48" w:rsidRDefault="00581F48" w:rsidP="001310B9">
    <w:pPr>
      <w:pStyle w:val="Alatunniste"/>
      <w:framePr w:wrap="around" w:vAnchor="text" w:hAnchor="page" w:x="5921" w:y="729"/>
      <w:rPr>
        <w:rStyle w:val="Sivunumero"/>
      </w:rPr>
    </w:pPr>
  </w:p>
  <w:p w14:paraId="65B24F59" w14:textId="77777777" w:rsidR="00581F48" w:rsidRDefault="00581F48"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581F48" w14:paraId="05C97D58" w14:textId="77777777" w:rsidTr="000C5020">
      <w:trPr>
        <w:trHeight w:val="841"/>
      </w:trPr>
      <w:tc>
        <w:tcPr>
          <w:tcW w:w="2829" w:type="dxa"/>
          <w:shd w:val="clear" w:color="auto" w:fill="auto"/>
        </w:tcPr>
        <w:p w14:paraId="6A3E9BD9" w14:textId="77777777" w:rsidR="00581F48" w:rsidRPr="000C5020" w:rsidRDefault="00581F48" w:rsidP="005224A0">
          <w:pPr>
            <w:pStyle w:val="Alatunniste"/>
            <w:rPr>
              <w:sz w:val="17"/>
              <w:szCs w:val="18"/>
            </w:rPr>
          </w:pPr>
        </w:p>
      </w:tc>
      <w:tc>
        <w:tcPr>
          <w:tcW w:w="2829" w:type="dxa"/>
          <w:shd w:val="clear" w:color="auto" w:fill="auto"/>
          <w:vAlign w:val="bottom"/>
        </w:tcPr>
        <w:p w14:paraId="7EEDCA37" w14:textId="77777777" w:rsidR="00581F48" w:rsidRPr="000C5020" w:rsidRDefault="00581F48" w:rsidP="000C5020">
          <w:pPr>
            <w:pStyle w:val="Alatunniste"/>
            <w:jc w:val="center"/>
            <w:rPr>
              <w:sz w:val="22"/>
              <w:szCs w:val="22"/>
            </w:rPr>
          </w:pPr>
        </w:p>
      </w:tc>
      <w:tc>
        <w:tcPr>
          <w:tcW w:w="2829" w:type="dxa"/>
          <w:shd w:val="clear" w:color="auto" w:fill="auto"/>
        </w:tcPr>
        <w:p w14:paraId="03739FE3" w14:textId="77777777" w:rsidR="00581F48" w:rsidRPr="000C5020" w:rsidRDefault="00581F48" w:rsidP="005224A0">
          <w:pPr>
            <w:pStyle w:val="Alatunniste"/>
            <w:rPr>
              <w:sz w:val="17"/>
              <w:szCs w:val="18"/>
            </w:rPr>
          </w:pPr>
        </w:p>
      </w:tc>
    </w:tr>
  </w:tbl>
  <w:p w14:paraId="1DDA3D16" w14:textId="77777777" w:rsidR="00581F48" w:rsidRPr="001310B9" w:rsidRDefault="00581F48">
    <w:pPr>
      <w:pStyle w:val="Alatunniste"/>
      <w:rPr>
        <w:sz w:val="22"/>
        <w:szCs w:val="22"/>
      </w:rPr>
    </w:pPr>
  </w:p>
  <w:p w14:paraId="58663D99" w14:textId="77777777" w:rsidR="00581F48" w:rsidRDefault="00581F4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5964E" w14:textId="77777777" w:rsidR="00581F48" w:rsidRDefault="00581F48">
      <w:r>
        <w:separator/>
      </w:r>
    </w:p>
  </w:footnote>
  <w:footnote w:type="continuationSeparator" w:id="0">
    <w:p w14:paraId="14B854D9" w14:textId="77777777" w:rsidR="00581F48" w:rsidRDefault="00581F48">
      <w:r>
        <w:continuationSeparator/>
      </w:r>
    </w:p>
  </w:footnote>
  <w:footnote w:type="continuationNotice" w:id="1">
    <w:p w14:paraId="0A59FBDC" w14:textId="77777777" w:rsidR="00581F48" w:rsidRDefault="00581F4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836ED" w14:textId="77777777" w:rsidR="00581F48" w:rsidRDefault="00581F48">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581F48" w14:paraId="4AA8FDD3" w14:textId="77777777" w:rsidTr="00C95716">
      <w:tc>
        <w:tcPr>
          <w:tcW w:w="2140" w:type="dxa"/>
        </w:tcPr>
        <w:p w14:paraId="07B1EC5F" w14:textId="77777777" w:rsidR="00581F48" w:rsidRDefault="00581F48" w:rsidP="00C95716">
          <w:pPr>
            <w:rPr>
              <w:lang w:val="en-US"/>
            </w:rPr>
          </w:pPr>
        </w:p>
      </w:tc>
      <w:tc>
        <w:tcPr>
          <w:tcW w:w="4281" w:type="dxa"/>
          <w:gridSpan w:val="2"/>
        </w:tcPr>
        <w:p w14:paraId="4FC59CB4" w14:textId="77777777" w:rsidR="00581F48" w:rsidRDefault="00581F48" w:rsidP="00C95716">
          <w:pPr>
            <w:jc w:val="center"/>
          </w:pPr>
        </w:p>
      </w:tc>
      <w:tc>
        <w:tcPr>
          <w:tcW w:w="2141" w:type="dxa"/>
        </w:tcPr>
        <w:p w14:paraId="6B1974F6" w14:textId="77777777" w:rsidR="00581F48" w:rsidRDefault="00581F48" w:rsidP="00C95716">
          <w:pPr>
            <w:rPr>
              <w:lang w:val="en-US"/>
            </w:rPr>
          </w:pPr>
        </w:p>
      </w:tc>
    </w:tr>
    <w:tr w:rsidR="00581F48" w14:paraId="41691334" w14:textId="77777777" w:rsidTr="00C95716">
      <w:tc>
        <w:tcPr>
          <w:tcW w:w="4281" w:type="dxa"/>
          <w:gridSpan w:val="2"/>
        </w:tcPr>
        <w:p w14:paraId="501E5640" w14:textId="77777777" w:rsidR="00581F48" w:rsidRPr="00AC3BA6" w:rsidRDefault="00581F48" w:rsidP="00C95716">
          <w:pPr>
            <w:rPr>
              <w:i/>
            </w:rPr>
          </w:pPr>
        </w:p>
      </w:tc>
      <w:tc>
        <w:tcPr>
          <w:tcW w:w="4281" w:type="dxa"/>
          <w:gridSpan w:val="2"/>
        </w:tcPr>
        <w:p w14:paraId="36DFC3D8" w14:textId="77777777" w:rsidR="00581F48" w:rsidRPr="00AC3BA6" w:rsidRDefault="00581F48" w:rsidP="00C95716">
          <w:pPr>
            <w:rPr>
              <w:i/>
            </w:rPr>
          </w:pPr>
        </w:p>
      </w:tc>
    </w:tr>
  </w:tbl>
  <w:p w14:paraId="771294A5" w14:textId="77777777" w:rsidR="00581F48" w:rsidRDefault="00581F48"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581F48" w14:paraId="4D519F66" w14:textId="77777777" w:rsidTr="00F674CC">
      <w:tc>
        <w:tcPr>
          <w:tcW w:w="2140" w:type="dxa"/>
        </w:tcPr>
        <w:p w14:paraId="4811FDBD" w14:textId="77777777" w:rsidR="00581F48" w:rsidRPr="00A34F4E" w:rsidRDefault="00581F48" w:rsidP="00F674CC"/>
      </w:tc>
      <w:tc>
        <w:tcPr>
          <w:tcW w:w="4281" w:type="dxa"/>
          <w:gridSpan w:val="2"/>
        </w:tcPr>
        <w:p w14:paraId="754014E6" w14:textId="77777777" w:rsidR="00581F48" w:rsidRDefault="00581F48" w:rsidP="00F674CC">
          <w:pPr>
            <w:jc w:val="center"/>
          </w:pPr>
        </w:p>
      </w:tc>
      <w:tc>
        <w:tcPr>
          <w:tcW w:w="2141" w:type="dxa"/>
        </w:tcPr>
        <w:p w14:paraId="366EA235" w14:textId="77777777" w:rsidR="00581F48" w:rsidRPr="00A34F4E" w:rsidRDefault="00581F48" w:rsidP="00F674CC"/>
      </w:tc>
    </w:tr>
    <w:tr w:rsidR="00581F48" w14:paraId="59E065A8" w14:textId="77777777" w:rsidTr="00F674CC">
      <w:tc>
        <w:tcPr>
          <w:tcW w:w="4281" w:type="dxa"/>
          <w:gridSpan w:val="2"/>
        </w:tcPr>
        <w:p w14:paraId="4F5CE538" w14:textId="77777777" w:rsidR="00581F48" w:rsidRPr="00AC3BA6" w:rsidRDefault="00581F48" w:rsidP="00F674CC">
          <w:pPr>
            <w:rPr>
              <w:i/>
            </w:rPr>
          </w:pPr>
        </w:p>
      </w:tc>
      <w:tc>
        <w:tcPr>
          <w:tcW w:w="4281" w:type="dxa"/>
          <w:gridSpan w:val="2"/>
        </w:tcPr>
        <w:p w14:paraId="39D27507" w14:textId="77777777" w:rsidR="00581F48" w:rsidRPr="00AC3BA6" w:rsidRDefault="00581F48" w:rsidP="00F674CC">
          <w:pPr>
            <w:rPr>
              <w:i/>
            </w:rPr>
          </w:pPr>
        </w:p>
      </w:tc>
    </w:tr>
  </w:tbl>
  <w:p w14:paraId="10A8CF40" w14:textId="77777777" w:rsidR="00581F48" w:rsidRDefault="00581F4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6604338"/>
    <w:multiLevelType w:val="hybridMultilevel"/>
    <w:tmpl w:val="206E85EC"/>
    <w:lvl w:ilvl="0" w:tplc="040B0001">
      <w:start w:val="17"/>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0"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1" w15:restartNumberingAfterBreak="0">
    <w:nsid w:val="6D4A0DA3"/>
    <w:multiLevelType w:val="hybridMultilevel"/>
    <w:tmpl w:val="A852E16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0"/>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7"/>
  </w:num>
  <w:num w:numId="13">
    <w:abstractNumId w:val="5"/>
    <w:lvlOverride w:ilvl="0">
      <w:startOverride w:val="1"/>
    </w:lvlOverride>
  </w:num>
  <w:num w:numId="14">
    <w:abstractNumId w:val="5"/>
    <w:lvlOverride w:ilvl="0">
      <w:startOverride w:val="1"/>
    </w:lvlOverride>
  </w:num>
  <w:num w:numId="15">
    <w:abstractNumId w:val="3"/>
  </w:num>
  <w:num w:numId="16">
    <w:abstractNumId w:val="3"/>
    <w:lvlOverride w:ilvl="0">
      <w:startOverride w:val="1"/>
    </w:lvlOverride>
  </w:num>
  <w:num w:numId="17">
    <w:abstractNumId w:val="5"/>
    <w:lvlOverride w:ilvl="0">
      <w:startOverride w:val="1"/>
    </w:lvlOverride>
  </w:num>
  <w:num w:numId="18">
    <w:abstractNumId w:val="4"/>
  </w:num>
  <w:num w:numId="19">
    <w:abstractNumId w:val="6"/>
  </w:num>
  <w:num w:numId="20">
    <w:abstractNumId w:val="12"/>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0"/>
  </w:num>
  <w:num w:numId="23">
    <w:abstractNumId w:val="1"/>
  </w:num>
  <w:num w:numId="24">
    <w:abstractNumId w:val="2"/>
  </w:num>
  <w:num w:numId="25">
    <w:abstractNumId w:val="11"/>
  </w:num>
  <w:num w:numId="26">
    <w:abstractNumId w:val="1"/>
  </w:num>
  <w:num w:numId="27">
    <w:abstractNumId w:val="1"/>
  </w:num>
  <w:num w:numId="28">
    <w:abstractNumId w:val="1"/>
  </w:num>
  <w:num w:numId="2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8D7"/>
    <w:rsid w:val="00000B13"/>
    <w:rsid w:val="00000D79"/>
    <w:rsid w:val="00001C65"/>
    <w:rsid w:val="000026A6"/>
    <w:rsid w:val="00002765"/>
    <w:rsid w:val="00003D02"/>
    <w:rsid w:val="000046E8"/>
    <w:rsid w:val="0000497A"/>
    <w:rsid w:val="00005736"/>
    <w:rsid w:val="00007C03"/>
    <w:rsid w:val="00007EA2"/>
    <w:rsid w:val="00012145"/>
    <w:rsid w:val="0001231F"/>
    <w:rsid w:val="00012B0C"/>
    <w:rsid w:val="000131D0"/>
    <w:rsid w:val="0001433B"/>
    <w:rsid w:val="0001582F"/>
    <w:rsid w:val="00015D45"/>
    <w:rsid w:val="00016672"/>
    <w:rsid w:val="000166D0"/>
    <w:rsid w:val="00017270"/>
    <w:rsid w:val="000202BC"/>
    <w:rsid w:val="000208A6"/>
    <w:rsid w:val="00020CF2"/>
    <w:rsid w:val="0002194F"/>
    <w:rsid w:val="00023201"/>
    <w:rsid w:val="00024344"/>
    <w:rsid w:val="00024B6D"/>
    <w:rsid w:val="000269DC"/>
    <w:rsid w:val="000278A9"/>
    <w:rsid w:val="00027992"/>
    <w:rsid w:val="00030044"/>
    <w:rsid w:val="00030BA9"/>
    <w:rsid w:val="00031114"/>
    <w:rsid w:val="0003265F"/>
    <w:rsid w:val="000331C9"/>
    <w:rsid w:val="0003331C"/>
    <w:rsid w:val="0003393F"/>
    <w:rsid w:val="00034514"/>
    <w:rsid w:val="000348A0"/>
    <w:rsid w:val="00034B95"/>
    <w:rsid w:val="0003652F"/>
    <w:rsid w:val="000370C8"/>
    <w:rsid w:val="00040D23"/>
    <w:rsid w:val="0004360C"/>
    <w:rsid w:val="00043723"/>
    <w:rsid w:val="00043F6F"/>
    <w:rsid w:val="00044032"/>
    <w:rsid w:val="00044842"/>
    <w:rsid w:val="00044A1B"/>
    <w:rsid w:val="00045101"/>
    <w:rsid w:val="00046AF3"/>
    <w:rsid w:val="00046C60"/>
    <w:rsid w:val="00047B66"/>
    <w:rsid w:val="000502E9"/>
    <w:rsid w:val="00050C95"/>
    <w:rsid w:val="00052549"/>
    <w:rsid w:val="00052862"/>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2EDE"/>
    <w:rsid w:val="00094938"/>
    <w:rsid w:val="00095306"/>
    <w:rsid w:val="00095BC2"/>
    <w:rsid w:val="000968AF"/>
    <w:rsid w:val="00096F94"/>
    <w:rsid w:val="000973BA"/>
    <w:rsid w:val="00097836"/>
    <w:rsid w:val="000A031F"/>
    <w:rsid w:val="000A06A9"/>
    <w:rsid w:val="000A09B7"/>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EF"/>
    <w:rsid w:val="000B43F5"/>
    <w:rsid w:val="000B6D79"/>
    <w:rsid w:val="000C13BA"/>
    <w:rsid w:val="000C15D4"/>
    <w:rsid w:val="000C1725"/>
    <w:rsid w:val="000C1BEB"/>
    <w:rsid w:val="000C2FDB"/>
    <w:rsid w:val="000C3A8E"/>
    <w:rsid w:val="000C4809"/>
    <w:rsid w:val="000C5020"/>
    <w:rsid w:val="000C6EC7"/>
    <w:rsid w:val="000C6EDC"/>
    <w:rsid w:val="000C74DA"/>
    <w:rsid w:val="000D0AA3"/>
    <w:rsid w:val="000D1D74"/>
    <w:rsid w:val="000D3443"/>
    <w:rsid w:val="000D37E7"/>
    <w:rsid w:val="000D3D1D"/>
    <w:rsid w:val="000D3EE8"/>
    <w:rsid w:val="000D425F"/>
    <w:rsid w:val="000D4882"/>
    <w:rsid w:val="000D5454"/>
    <w:rsid w:val="000D550A"/>
    <w:rsid w:val="000D6C65"/>
    <w:rsid w:val="000D6DF9"/>
    <w:rsid w:val="000D701B"/>
    <w:rsid w:val="000D7241"/>
    <w:rsid w:val="000D7B48"/>
    <w:rsid w:val="000E0B7D"/>
    <w:rsid w:val="000E14C8"/>
    <w:rsid w:val="000E1BB8"/>
    <w:rsid w:val="000E2BF4"/>
    <w:rsid w:val="000E2F7E"/>
    <w:rsid w:val="000E3C0F"/>
    <w:rsid w:val="000E446C"/>
    <w:rsid w:val="000E5CEE"/>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1A"/>
    <w:rsid w:val="00104BDC"/>
    <w:rsid w:val="001063A9"/>
    <w:rsid w:val="001069E8"/>
    <w:rsid w:val="00106FD6"/>
    <w:rsid w:val="0010701E"/>
    <w:rsid w:val="00107C32"/>
    <w:rsid w:val="00107FEC"/>
    <w:rsid w:val="001122D6"/>
    <w:rsid w:val="001138E2"/>
    <w:rsid w:val="00113CCD"/>
    <w:rsid w:val="00113D42"/>
    <w:rsid w:val="00113FEF"/>
    <w:rsid w:val="00114D89"/>
    <w:rsid w:val="0011571F"/>
    <w:rsid w:val="0011693E"/>
    <w:rsid w:val="00116A7E"/>
    <w:rsid w:val="00117C3F"/>
    <w:rsid w:val="00120A6F"/>
    <w:rsid w:val="00121E3B"/>
    <w:rsid w:val="0012407A"/>
    <w:rsid w:val="0012475C"/>
    <w:rsid w:val="00124AE5"/>
    <w:rsid w:val="00125ABB"/>
    <w:rsid w:val="00127D8D"/>
    <w:rsid w:val="001305A0"/>
    <w:rsid w:val="001310B9"/>
    <w:rsid w:val="00131C5B"/>
    <w:rsid w:val="00134100"/>
    <w:rsid w:val="0013473F"/>
    <w:rsid w:val="00137260"/>
    <w:rsid w:val="0013779E"/>
    <w:rsid w:val="001401B3"/>
    <w:rsid w:val="0014084B"/>
    <w:rsid w:val="001421FF"/>
    <w:rsid w:val="00142D82"/>
    <w:rsid w:val="00143933"/>
    <w:rsid w:val="00144186"/>
    <w:rsid w:val="0014421F"/>
    <w:rsid w:val="00144D26"/>
    <w:rsid w:val="001454DF"/>
    <w:rsid w:val="00150942"/>
    <w:rsid w:val="00151813"/>
    <w:rsid w:val="001518A0"/>
    <w:rsid w:val="00152091"/>
    <w:rsid w:val="00152FD7"/>
    <w:rsid w:val="0015343C"/>
    <w:rsid w:val="001534DC"/>
    <w:rsid w:val="00154A91"/>
    <w:rsid w:val="001565E1"/>
    <w:rsid w:val="001565F6"/>
    <w:rsid w:val="001617CA"/>
    <w:rsid w:val="001619B4"/>
    <w:rsid w:val="00161A08"/>
    <w:rsid w:val="001628A5"/>
    <w:rsid w:val="0016484B"/>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06B"/>
    <w:rsid w:val="001774FE"/>
    <w:rsid w:val="00177976"/>
    <w:rsid w:val="00180854"/>
    <w:rsid w:val="001809D8"/>
    <w:rsid w:val="001825D2"/>
    <w:rsid w:val="001828F5"/>
    <w:rsid w:val="0018338F"/>
    <w:rsid w:val="00185B2A"/>
    <w:rsid w:val="00185F2E"/>
    <w:rsid w:val="00186610"/>
    <w:rsid w:val="0019152A"/>
    <w:rsid w:val="0019244A"/>
    <w:rsid w:val="00193986"/>
    <w:rsid w:val="00193CF7"/>
    <w:rsid w:val="001942C3"/>
    <w:rsid w:val="0019459F"/>
    <w:rsid w:val="00196A1D"/>
    <w:rsid w:val="00196DA2"/>
    <w:rsid w:val="00197B82"/>
    <w:rsid w:val="00197F54"/>
    <w:rsid w:val="001A0813"/>
    <w:rsid w:val="001A0C83"/>
    <w:rsid w:val="001A119D"/>
    <w:rsid w:val="001A15F0"/>
    <w:rsid w:val="001A20EA"/>
    <w:rsid w:val="001A2377"/>
    <w:rsid w:val="001A2585"/>
    <w:rsid w:val="001A2C87"/>
    <w:rsid w:val="001A4DAD"/>
    <w:rsid w:val="001A5FE9"/>
    <w:rsid w:val="001A6BB6"/>
    <w:rsid w:val="001A728D"/>
    <w:rsid w:val="001A72B3"/>
    <w:rsid w:val="001B0461"/>
    <w:rsid w:val="001B0E89"/>
    <w:rsid w:val="001B1D4B"/>
    <w:rsid w:val="001B2357"/>
    <w:rsid w:val="001B3072"/>
    <w:rsid w:val="001B3C37"/>
    <w:rsid w:val="001B4438"/>
    <w:rsid w:val="001B5202"/>
    <w:rsid w:val="001B537E"/>
    <w:rsid w:val="001B572B"/>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CD3"/>
    <w:rsid w:val="001D6BD4"/>
    <w:rsid w:val="001D74D6"/>
    <w:rsid w:val="001D7A63"/>
    <w:rsid w:val="001D7C49"/>
    <w:rsid w:val="001D7C93"/>
    <w:rsid w:val="001E07D9"/>
    <w:rsid w:val="001E0895"/>
    <w:rsid w:val="001E0F95"/>
    <w:rsid w:val="001E2815"/>
    <w:rsid w:val="001E2BCC"/>
    <w:rsid w:val="001E30D2"/>
    <w:rsid w:val="001E3303"/>
    <w:rsid w:val="001E4FEB"/>
    <w:rsid w:val="001E66E9"/>
    <w:rsid w:val="001E6CAE"/>
    <w:rsid w:val="001E6CCB"/>
    <w:rsid w:val="001E6D80"/>
    <w:rsid w:val="001E78E5"/>
    <w:rsid w:val="001F0934"/>
    <w:rsid w:val="001F2163"/>
    <w:rsid w:val="001F5DBC"/>
    <w:rsid w:val="001F6E1A"/>
    <w:rsid w:val="001F7A9D"/>
    <w:rsid w:val="002013EA"/>
    <w:rsid w:val="00203617"/>
    <w:rsid w:val="002042DB"/>
    <w:rsid w:val="002049A0"/>
    <w:rsid w:val="00205F1C"/>
    <w:rsid w:val="002070FC"/>
    <w:rsid w:val="00207E96"/>
    <w:rsid w:val="002104C0"/>
    <w:rsid w:val="002113C3"/>
    <w:rsid w:val="00213078"/>
    <w:rsid w:val="002133C2"/>
    <w:rsid w:val="002141FA"/>
    <w:rsid w:val="00214F6B"/>
    <w:rsid w:val="0021664F"/>
    <w:rsid w:val="002168F9"/>
    <w:rsid w:val="00216F59"/>
    <w:rsid w:val="0021781C"/>
    <w:rsid w:val="00217E8E"/>
    <w:rsid w:val="00220C7D"/>
    <w:rsid w:val="00222564"/>
    <w:rsid w:val="002233F1"/>
    <w:rsid w:val="00223FC3"/>
    <w:rsid w:val="0022764C"/>
    <w:rsid w:val="002305CB"/>
    <w:rsid w:val="00232CF3"/>
    <w:rsid w:val="00232E8B"/>
    <w:rsid w:val="00233151"/>
    <w:rsid w:val="00235336"/>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395"/>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1411"/>
    <w:rsid w:val="00272D80"/>
    <w:rsid w:val="002733B9"/>
    <w:rsid w:val="00273F65"/>
    <w:rsid w:val="0027666C"/>
    <w:rsid w:val="002767A8"/>
    <w:rsid w:val="0027698E"/>
    <w:rsid w:val="00276C0A"/>
    <w:rsid w:val="00280153"/>
    <w:rsid w:val="00280A74"/>
    <w:rsid w:val="002819EA"/>
    <w:rsid w:val="00283256"/>
    <w:rsid w:val="002840FB"/>
    <w:rsid w:val="0028520A"/>
    <w:rsid w:val="00285F21"/>
    <w:rsid w:val="00292B58"/>
    <w:rsid w:val="00292DB8"/>
    <w:rsid w:val="00292E82"/>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3F71"/>
    <w:rsid w:val="002C43B3"/>
    <w:rsid w:val="002C588D"/>
    <w:rsid w:val="002C5AF9"/>
    <w:rsid w:val="002C694B"/>
    <w:rsid w:val="002C6F56"/>
    <w:rsid w:val="002C78F2"/>
    <w:rsid w:val="002D0561"/>
    <w:rsid w:val="002D158A"/>
    <w:rsid w:val="002D1FC4"/>
    <w:rsid w:val="002D2DFF"/>
    <w:rsid w:val="002D4C0B"/>
    <w:rsid w:val="002D59A5"/>
    <w:rsid w:val="002D609D"/>
    <w:rsid w:val="002D62BF"/>
    <w:rsid w:val="002D7B09"/>
    <w:rsid w:val="002E0619"/>
    <w:rsid w:val="002E0770"/>
    <w:rsid w:val="002E0859"/>
    <w:rsid w:val="002E0AA9"/>
    <w:rsid w:val="002E136D"/>
    <w:rsid w:val="002E1AD6"/>
    <w:rsid w:val="002E1C57"/>
    <w:rsid w:val="002E2928"/>
    <w:rsid w:val="002E2A5D"/>
    <w:rsid w:val="002E4D62"/>
    <w:rsid w:val="002E58B2"/>
    <w:rsid w:val="002E6BE3"/>
    <w:rsid w:val="002E73F2"/>
    <w:rsid w:val="002F036A"/>
    <w:rsid w:val="002F0DA6"/>
    <w:rsid w:val="002F3ECD"/>
    <w:rsid w:val="002F47BF"/>
    <w:rsid w:val="002F486D"/>
    <w:rsid w:val="002F5A3F"/>
    <w:rsid w:val="002F690F"/>
    <w:rsid w:val="0030010F"/>
    <w:rsid w:val="00300FBE"/>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0529"/>
    <w:rsid w:val="00331079"/>
    <w:rsid w:val="00332AFA"/>
    <w:rsid w:val="0033438A"/>
    <w:rsid w:val="00334D23"/>
    <w:rsid w:val="00335B8E"/>
    <w:rsid w:val="00335E45"/>
    <w:rsid w:val="00336539"/>
    <w:rsid w:val="00336569"/>
    <w:rsid w:val="00337046"/>
    <w:rsid w:val="00337B35"/>
    <w:rsid w:val="00341089"/>
    <w:rsid w:val="00342437"/>
    <w:rsid w:val="00342547"/>
    <w:rsid w:val="00343148"/>
    <w:rsid w:val="003433C2"/>
    <w:rsid w:val="00343EC6"/>
    <w:rsid w:val="00347EEA"/>
    <w:rsid w:val="00351BE4"/>
    <w:rsid w:val="0035299D"/>
    <w:rsid w:val="0035308D"/>
    <w:rsid w:val="00353702"/>
    <w:rsid w:val="003540B1"/>
    <w:rsid w:val="003545B7"/>
    <w:rsid w:val="003569FE"/>
    <w:rsid w:val="00356FB8"/>
    <w:rsid w:val="00360341"/>
    <w:rsid w:val="00360460"/>
    <w:rsid w:val="00360578"/>
    <w:rsid w:val="00360E69"/>
    <w:rsid w:val="00360F4F"/>
    <w:rsid w:val="00362079"/>
    <w:rsid w:val="0036367F"/>
    <w:rsid w:val="003637FF"/>
    <w:rsid w:val="00365466"/>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1628"/>
    <w:rsid w:val="0038398A"/>
    <w:rsid w:val="00384A1B"/>
    <w:rsid w:val="00384BEB"/>
    <w:rsid w:val="00385A06"/>
    <w:rsid w:val="0039043F"/>
    <w:rsid w:val="00390BBF"/>
    <w:rsid w:val="003920F1"/>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35DA"/>
    <w:rsid w:val="003B4835"/>
    <w:rsid w:val="003B5D49"/>
    <w:rsid w:val="003B63D8"/>
    <w:rsid w:val="003B6477"/>
    <w:rsid w:val="003B6E9E"/>
    <w:rsid w:val="003B7BE4"/>
    <w:rsid w:val="003B7D1D"/>
    <w:rsid w:val="003C1008"/>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E0F"/>
    <w:rsid w:val="003E4F2F"/>
    <w:rsid w:val="003E5F2C"/>
    <w:rsid w:val="003F0137"/>
    <w:rsid w:val="003F1444"/>
    <w:rsid w:val="003F1C96"/>
    <w:rsid w:val="003F30E4"/>
    <w:rsid w:val="003F350F"/>
    <w:rsid w:val="003F3890"/>
    <w:rsid w:val="003F3898"/>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09EC"/>
    <w:rsid w:val="00411E77"/>
    <w:rsid w:val="00412B76"/>
    <w:rsid w:val="00412DDA"/>
    <w:rsid w:val="00412F15"/>
    <w:rsid w:val="00413287"/>
    <w:rsid w:val="00413E31"/>
    <w:rsid w:val="00414DB5"/>
    <w:rsid w:val="00415FF7"/>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29C"/>
    <w:rsid w:val="004433D8"/>
    <w:rsid w:val="0044376A"/>
    <w:rsid w:val="00443949"/>
    <w:rsid w:val="00445534"/>
    <w:rsid w:val="00445B1B"/>
    <w:rsid w:val="00446423"/>
    <w:rsid w:val="004465E7"/>
    <w:rsid w:val="0045072D"/>
    <w:rsid w:val="00451B3B"/>
    <w:rsid w:val="00452280"/>
    <w:rsid w:val="004556A2"/>
    <w:rsid w:val="004558C8"/>
    <w:rsid w:val="00455974"/>
    <w:rsid w:val="00456103"/>
    <w:rsid w:val="00456368"/>
    <w:rsid w:val="0045667E"/>
    <w:rsid w:val="00456803"/>
    <w:rsid w:val="00457C55"/>
    <w:rsid w:val="00457D8E"/>
    <w:rsid w:val="00460201"/>
    <w:rsid w:val="0046089E"/>
    <w:rsid w:val="00460B8E"/>
    <w:rsid w:val="004612E9"/>
    <w:rsid w:val="00462C49"/>
    <w:rsid w:val="00463249"/>
    <w:rsid w:val="00463FD2"/>
    <w:rsid w:val="0047100A"/>
    <w:rsid w:val="004752BA"/>
    <w:rsid w:val="004752C5"/>
    <w:rsid w:val="004753A3"/>
    <w:rsid w:val="00475D37"/>
    <w:rsid w:val="004763D6"/>
    <w:rsid w:val="004768CC"/>
    <w:rsid w:val="004800D5"/>
    <w:rsid w:val="004808A8"/>
    <w:rsid w:val="00482025"/>
    <w:rsid w:val="00482E87"/>
    <w:rsid w:val="00483449"/>
    <w:rsid w:val="00483E5F"/>
    <w:rsid w:val="00485B55"/>
    <w:rsid w:val="00486869"/>
    <w:rsid w:val="00490933"/>
    <w:rsid w:val="0049168D"/>
    <w:rsid w:val="00493235"/>
    <w:rsid w:val="004941E5"/>
    <w:rsid w:val="00495E87"/>
    <w:rsid w:val="004967AF"/>
    <w:rsid w:val="004A089D"/>
    <w:rsid w:val="004A09D9"/>
    <w:rsid w:val="004A0D39"/>
    <w:rsid w:val="004A1C19"/>
    <w:rsid w:val="004A20F3"/>
    <w:rsid w:val="004A2472"/>
    <w:rsid w:val="004A2A42"/>
    <w:rsid w:val="004A58F9"/>
    <w:rsid w:val="004A5CEA"/>
    <w:rsid w:val="004A648F"/>
    <w:rsid w:val="004A67A1"/>
    <w:rsid w:val="004A6E42"/>
    <w:rsid w:val="004A7E07"/>
    <w:rsid w:val="004B1827"/>
    <w:rsid w:val="004B2C46"/>
    <w:rsid w:val="004B472D"/>
    <w:rsid w:val="004B4B00"/>
    <w:rsid w:val="004B5A50"/>
    <w:rsid w:val="004B6A42"/>
    <w:rsid w:val="004B6C59"/>
    <w:rsid w:val="004B7136"/>
    <w:rsid w:val="004B741F"/>
    <w:rsid w:val="004C0EF7"/>
    <w:rsid w:val="004C0F0E"/>
    <w:rsid w:val="004C2447"/>
    <w:rsid w:val="004C50D2"/>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55A8"/>
    <w:rsid w:val="004D6E15"/>
    <w:rsid w:val="004E047C"/>
    <w:rsid w:val="004E0F73"/>
    <w:rsid w:val="004E2153"/>
    <w:rsid w:val="004E232B"/>
    <w:rsid w:val="004E2330"/>
    <w:rsid w:val="004E5CEA"/>
    <w:rsid w:val="004E6355"/>
    <w:rsid w:val="004E74E4"/>
    <w:rsid w:val="004F0E7C"/>
    <w:rsid w:val="004F0FC8"/>
    <w:rsid w:val="004F1386"/>
    <w:rsid w:val="004F1F38"/>
    <w:rsid w:val="004F315C"/>
    <w:rsid w:val="004F3408"/>
    <w:rsid w:val="004F37CF"/>
    <w:rsid w:val="004F4065"/>
    <w:rsid w:val="004F426A"/>
    <w:rsid w:val="004F45F5"/>
    <w:rsid w:val="004F67A8"/>
    <w:rsid w:val="004F6D83"/>
    <w:rsid w:val="005012DA"/>
    <w:rsid w:val="0050389C"/>
    <w:rsid w:val="005045AC"/>
    <w:rsid w:val="00505460"/>
    <w:rsid w:val="00506028"/>
    <w:rsid w:val="00507067"/>
    <w:rsid w:val="005076EA"/>
    <w:rsid w:val="005078C4"/>
    <w:rsid w:val="00507AB7"/>
    <w:rsid w:val="00510785"/>
    <w:rsid w:val="00510DD8"/>
    <w:rsid w:val="005112AE"/>
    <w:rsid w:val="005121CA"/>
    <w:rsid w:val="00512DBE"/>
    <w:rsid w:val="00513B2F"/>
    <w:rsid w:val="00513BE7"/>
    <w:rsid w:val="00515ED7"/>
    <w:rsid w:val="00516C58"/>
    <w:rsid w:val="0051737D"/>
    <w:rsid w:val="0051743C"/>
    <w:rsid w:val="00517AA6"/>
    <w:rsid w:val="00521077"/>
    <w:rsid w:val="005224A0"/>
    <w:rsid w:val="0052352A"/>
    <w:rsid w:val="00523D80"/>
    <w:rsid w:val="005248DC"/>
    <w:rsid w:val="00524CDE"/>
    <w:rsid w:val="00524D91"/>
    <w:rsid w:val="00525752"/>
    <w:rsid w:val="00526862"/>
    <w:rsid w:val="00530AE7"/>
    <w:rsid w:val="0053250E"/>
    <w:rsid w:val="00533274"/>
    <w:rsid w:val="00533C8F"/>
    <w:rsid w:val="00533D08"/>
    <w:rsid w:val="00534002"/>
    <w:rsid w:val="00534B1F"/>
    <w:rsid w:val="0053501C"/>
    <w:rsid w:val="005359A7"/>
    <w:rsid w:val="00535DA6"/>
    <w:rsid w:val="00536101"/>
    <w:rsid w:val="00536E21"/>
    <w:rsid w:val="00536F30"/>
    <w:rsid w:val="00537322"/>
    <w:rsid w:val="00540668"/>
    <w:rsid w:val="00540C5D"/>
    <w:rsid w:val="00540E92"/>
    <w:rsid w:val="00540FE5"/>
    <w:rsid w:val="00541E6B"/>
    <w:rsid w:val="00541F5E"/>
    <w:rsid w:val="00543113"/>
    <w:rsid w:val="00545F55"/>
    <w:rsid w:val="00546C4C"/>
    <w:rsid w:val="00547594"/>
    <w:rsid w:val="00550702"/>
    <w:rsid w:val="00551096"/>
    <w:rsid w:val="00553833"/>
    <w:rsid w:val="00553E1A"/>
    <w:rsid w:val="0055413D"/>
    <w:rsid w:val="005546EC"/>
    <w:rsid w:val="00554D30"/>
    <w:rsid w:val="00555017"/>
    <w:rsid w:val="00556BBA"/>
    <w:rsid w:val="005637DE"/>
    <w:rsid w:val="00564047"/>
    <w:rsid w:val="005640F7"/>
    <w:rsid w:val="00564DEC"/>
    <w:rsid w:val="005662AC"/>
    <w:rsid w:val="00567228"/>
    <w:rsid w:val="005747C4"/>
    <w:rsid w:val="00574A50"/>
    <w:rsid w:val="005771EA"/>
    <w:rsid w:val="00577874"/>
    <w:rsid w:val="005815B1"/>
    <w:rsid w:val="005815CB"/>
    <w:rsid w:val="00581CED"/>
    <w:rsid w:val="00581F48"/>
    <w:rsid w:val="005853E6"/>
    <w:rsid w:val="00585CA8"/>
    <w:rsid w:val="0058679B"/>
    <w:rsid w:val="00587CD7"/>
    <w:rsid w:val="00590362"/>
    <w:rsid w:val="0059124A"/>
    <w:rsid w:val="00591464"/>
    <w:rsid w:val="00591743"/>
    <w:rsid w:val="005926F7"/>
    <w:rsid w:val="00592912"/>
    <w:rsid w:val="00593173"/>
    <w:rsid w:val="00594ADA"/>
    <w:rsid w:val="00595AFC"/>
    <w:rsid w:val="005A0584"/>
    <w:rsid w:val="005A10EA"/>
    <w:rsid w:val="005A1605"/>
    <w:rsid w:val="005A1899"/>
    <w:rsid w:val="005A1C33"/>
    <w:rsid w:val="005A2873"/>
    <w:rsid w:val="005A2BE8"/>
    <w:rsid w:val="005A2F48"/>
    <w:rsid w:val="005A3292"/>
    <w:rsid w:val="005A38B8"/>
    <w:rsid w:val="005A4567"/>
    <w:rsid w:val="005A4C29"/>
    <w:rsid w:val="005A6711"/>
    <w:rsid w:val="005A6734"/>
    <w:rsid w:val="005A6D8B"/>
    <w:rsid w:val="005A7B14"/>
    <w:rsid w:val="005B0BF3"/>
    <w:rsid w:val="005B2871"/>
    <w:rsid w:val="005B38FE"/>
    <w:rsid w:val="005B3FA9"/>
    <w:rsid w:val="005B468B"/>
    <w:rsid w:val="005B7A21"/>
    <w:rsid w:val="005C021A"/>
    <w:rsid w:val="005C2199"/>
    <w:rsid w:val="005C28BF"/>
    <w:rsid w:val="005C349C"/>
    <w:rsid w:val="005C4455"/>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2F9"/>
    <w:rsid w:val="005E079F"/>
    <w:rsid w:val="005E0C8A"/>
    <w:rsid w:val="005E2844"/>
    <w:rsid w:val="005E491F"/>
    <w:rsid w:val="005E7444"/>
    <w:rsid w:val="005F35B9"/>
    <w:rsid w:val="005F379C"/>
    <w:rsid w:val="005F428D"/>
    <w:rsid w:val="005F466A"/>
    <w:rsid w:val="005F6E65"/>
    <w:rsid w:val="0060037A"/>
    <w:rsid w:val="00600AE3"/>
    <w:rsid w:val="0060141F"/>
    <w:rsid w:val="00602870"/>
    <w:rsid w:val="00603C5E"/>
    <w:rsid w:val="00603E57"/>
    <w:rsid w:val="00604651"/>
    <w:rsid w:val="006048BE"/>
    <w:rsid w:val="00606968"/>
    <w:rsid w:val="00606F87"/>
    <w:rsid w:val="006079E6"/>
    <w:rsid w:val="00610036"/>
    <w:rsid w:val="006100A7"/>
    <w:rsid w:val="0061039B"/>
    <w:rsid w:val="00610662"/>
    <w:rsid w:val="006119FE"/>
    <w:rsid w:val="00612BF3"/>
    <w:rsid w:val="00612C71"/>
    <w:rsid w:val="00613095"/>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0FE"/>
    <w:rsid w:val="00624CAE"/>
    <w:rsid w:val="0062665A"/>
    <w:rsid w:val="0062698C"/>
    <w:rsid w:val="0063033A"/>
    <w:rsid w:val="00630648"/>
    <w:rsid w:val="0063088E"/>
    <w:rsid w:val="00630986"/>
    <w:rsid w:val="006309A0"/>
    <w:rsid w:val="00631F55"/>
    <w:rsid w:val="0063318C"/>
    <w:rsid w:val="0063467F"/>
    <w:rsid w:val="00635303"/>
    <w:rsid w:val="006362E6"/>
    <w:rsid w:val="0063649C"/>
    <w:rsid w:val="006372F4"/>
    <w:rsid w:val="00637C58"/>
    <w:rsid w:val="00637C8E"/>
    <w:rsid w:val="00640310"/>
    <w:rsid w:val="00640A11"/>
    <w:rsid w:val="00641C5F"/>
    <w:rsid w:val="006428BE"/>
    <w:rsid w:val="00643460"/>
    <w:rsid w:val="00643C05"/>
    <w:rsid w:val="00644FCD"/>
    <w:rsid w:val="00645123"/>
    <w:rsid w:val="006461AD"/>
    <w:rsid w:val="00646DE3"/>
    <w:rsid w:val="0064745A"/>
    <w:rsid w:val="00647733"/>
    <w:rsid w:val="00647CAC"/>
    <w:rsid w:val="00650521"/>
    <w:rsid w:val="00651023"/>
    <w:rsid w:val="006524E7"/>
    <w:rsid w:val="006536D5"/>
    <w:rsid w:val="00654B5D"/>
    <w:rsid w:val="00654F70"/>
    <w:rsid w:val="00656438"/>
    <w:rsid w:val="006565C8"/>
    <w:rsid w:val="0066014E"/>
    <w:rsid w:val="00660696"/>
    <w:rsid w:val="00660C7C"/>
    <w:rsid w:val="00660FA6"/>
    <w:rsid w:val="00661C40"/>
    <w:rsid w:val="00661CDA"/>
    <w:rsid w:val="006639E8"/>
    <w:rsid w:val="00664184"/>
    <w:rsid w:val="006652DD"/>
    <w:rsid w:val="0066592E"/>
    <w:rsid w:val="0066688F"/>
    <w:rsid w:val="006669BF"/>
    <w:rsid w:val="00670496"/>
    <w:rsid w:val="00671503"/>
    <w:rsid w:val="006724B9"/>
    <w:rsid w:val="00672E0E"/>
    <w:rsid w:val="00673210"/>
    <w:rsid w:val="006747C5"/>
    <w:rsid w:val="00676463"/>
    <w:rsid w:val="006766B8"/>
    <w:rsid w:val="00677D3F"/>
    <w:rsid w:val="0068060D"/>
    <w:rsid w:val="00680CBB"/>
    <w:rsid w:val="00681D63"/>
    <w:rsid w:val="00682231"/>
    <w:rsid w:val="00683309"/>
    <w:rsid w:val="006834AF"/>
    <w:rsid w:val="006837B4"/>
    <w:rsid w:val="00683843"/>
    <w:rsid w:val="00683F3E"/>
    <w:rsid w:val="0068454F"/>
    <w:rsid w:val="0068492B"/>
    <w:rsid w:val="00685B6B"/>
    <w:rsid w:val="0068758A"/>
    <w:rsid w:val="00690920"/>
    <w:rsid w:val="006922EC"/>
    <w:rsid w:val="00692B92"/>
    <w:rsid w:val="00693643"/>
    <w:rsid w:val="0069464A"/>
    <w:rsid w:val="00695838"/>
    <w:rsid w:val="00695D94"/>
    <w:rsid w:val="006960DA"/>
    <w:rsid w:val="006A0F0B"/>
    <w:rsid w:val="006A1E9E"/>
    <w:rsid w:val="006A21FC"/>
    <w:rsid w:val="006A2F36"/>
    <w:rsid w:val="006A419B"/>
    <w:rsid w:val="006A5163"/>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72D8"/>
    <w:rsid w:val="006E0383"/>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BDB"/>
    <w:rsid w:val="00711F7C"/>
    <w:rsid w:val="00712406"/>
    <w:rsid w:val="00712590"/>
    <w:rsid w:val="0071285A"/>
    <w:rsid w:val="0071289A"/>
    <w:rsid w:val="00712A36"/>
    <w:rsid w:val="00713949"/>
    <w:rsid w:val="0071463C"/>
    <w:rsid w:val="00715039"/>
    <w:rsid w:val="00715847"/>
    <w:rsid w:val="0071663C"/>
    <w:rsid w:val="00716F5B"/>
    <w:rsid w:val="007179BE"/>
    <w:rsid w:val="00717A35"/>
    <w:rsid w:val="00717D2E"/>
    <w:rsid w:val="00720B6F"/>
    <w:rsid w:val="00720CF1"/>
    <w:rsid w:val="00721D80"/>
    <w:rsid w:val="00722E11"/>
    <w:rsid w:val="00723434"/>
    <w:rsid w:val="0072425F"/>
    <w:rsid w:val="00725317"/>
    <w:rsid w:val="00725509"/>
    <w:rsid w:val="0072588C"/>
    <w:rsid w:val="007264E0"/>
    <w:rsid w:val="00726A28"/>
    <w:rsid w:val="00726BBF"/>
    <w:rsid w:val="0072735A"/>
    <w:rsid w:val="007275D7"/>
    <w:rsid w:val="0073026D"/>
    <w:rsid w:val="007304C2"/>
    <w:rsid w:val="007304CB"/>
    <w:rsid w:val="007337ED"/>
    <w:rsid w:val="00734053"/>
    <w:rsid w:val="007341C4"/>
    <w:rsid w:val="007355B4"/>
    <w:rsid w:val="00736DB4"/>
    <w:rsid w:val="0073710B"/>
    <w:rsid w:val="007374FE"/>
    <w:rsid w:val="0074053D"/>
    <w:rsid w:val="00740F02"/>
    <w:rsid w:val="007410C5"/>
    <w:rsid w:val="00741C40"/>
    <w:rsid w:val="007435F3"/>
    <w:rsid w:val="0074399B"/>
    <w:rsid w:val="00744738"/>
    <w:rsid w:val="00744EFA"/>
    <w:rsid w:val="00745955"/>
    <w:rsid w:val="00745A91"/>
    <w:rsid w:val="00746A73"/>
    <w:rsid w:val="00746B85"/>
    <w:rsid w:val="007501D0"/>
    <w:rsid w:val="00750520"/>
    <w:rsid w:val="007508DA"/>
    <w:rsid w:val="00750DD3"/>
    <w:rsid w:val="00751369"/>
    <w:rsid w:val="0075180F"/>
    <w:rsid w:val="00751EF6"/>
    <w:rsid w:val="0075210B"/>
    <w:rsid w:val="00753679"/>
    <w:rsid w:val="007543E9"/>
    <w:rsid w:val="00755550"/>
    <w:rsid w:val="007560CA"/>
    <w:rsid w:val="0075732B"/>
    <w:rsid w:val="007573C3"/>
    <w:rsid w:val="00757844"/>
    <w:rsid w:val="0076001A"/>
    <w:rsid w:val="00760A57"/>
    <w:rsid w:val="00760DA7"/>
    <w:rsid w:val="0076114C"/>
    <w:rsid w:val="00761922"/>
    <w:rsid w:val="0076239B"/>
    <w:rsid w:val="007628E3"/>
    <w:rsid w:val="00763A8F"/>
    <w:rsid w:val="00763B21"/>
    <w:rsid w:val="00764FA2"/>
    <w:rsid w:val="00766185"/>
    <w:rsid w:val="00766C98"/>
    <w:rsid w:val="00771167"/>
    <w:rsid w:val="007736DF"/>
    <w:rsid w:val="00774E8C"/>
    <w:rsid w:val="00775119"/>
    <w:rsid w:val="00775B66"/>
    <w:rsid w:val="0077641D"/>
    <w:rsid w:val="00780BBD"/>
    <w:rsid w:val="00780FAA"/>
    <w:rsid w:val="0078170F"/>
    <w:rsid w:val="007845C1"/>
    <w:rsid w:val="00784F86"/>
    <w:rsid w:val="00785D7E"/>
    <w:rsid w:val="00786460"/>
    <w:rsid w:val="00790865"/>
    <w:rsid w:val="007914C8"/>
    <w:rsid w:val="00796058"/>
    <w:rsid w:val="007961ED"/>
    <w:rsid w:val="00796258"/>
    <w:rsid w:val="0079674C"/>
    <w:rsid w:val="00797CFD"/>
    <w:rsid w:val="007A1F5B"/>
    <w:rsid w:val="007A4A61"/>
    <w:rsid w:val="007A5B7D"/>
    <w:rsid w:val="007A5C1E"/>
    <w:rsid w:val="007A5C3B"/>
    <w:rsid w:val="007A5F41"/>
    <w:rsid w:val="007A669F"/>
    <w:rsid w:val="007A6BD2"/>
    <w:rsid w:val="007A700B"/>
    <w:rsid w:val="007A7D26"/>
    <w:rsid w:val="007A7D50"/>
    <w:rsid w:val="007A7DC3"/>
    <w:rsid w:val="007B0AD9"/>
    <w:rsid w:val="007B2660"/>
    <w:rsid w:val="007B29BB"/>
    <w:rsid w:val="007B2DFB"/>
    <w:rsid w:val="007B4171"/>
    <w:rsid w:val="007B47C4"/>
    <w:rsid w:val="007B4E40"/>
    <w:rsid w:val="007B52B9"/>
    <w:rsid w:val="007B5461"/>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E0CB1"/>
    <w:rsid w:val="007E1D46"/>
    <w:rsid w:val="007E2989"/>
    <w:rsid w:val="007E2B56"/>
    <w:rsid w:val="007E2DA7"/>
    <w:rsid w:val="007E2F44"/>
    <w:rsid w:val="007E3BCF"/>
    <w:rsid w:val="007E421A"/>
    <w:rsid w:val="007E4274"/>
    <w:rsid w:val="007E430E"/>
    <w:rsid w:val="007E4CE9"/>
    <w:rsid w:val="007E5567"/>
    <w:rsid w:val="007E6681"/>
    <w:rsid w:val="007E6A10"/>
    <w:rsid w:val="007E6BAF"/>
    <w:rsid w:val="007E791F"/>
    <w:rsid w:val="007F0C36"/>
    <w:rsid w:val="007F1727"/>
    <w:rsid w:val="007F17D0"/>
    <w:rsid w:val="007F197F"/>
    <w:rsid w:val="007F260B"/>
    <w:rsid w:val="007F2D43"/>
    <w:rsid w:val="007F394E"/>
    <w:rsid w:val="007F46A7"/>
    <w:rsid w:val="007F6115"/>
    <w:rsid w:val="007F6E4D"/>
    <w:rsid w:val="00800081"/>
    <w:rsid w:val="008005CB"/>
    <w:rsid w:val="00800ADC"/>
    <w:rsid w:val="0080115D"/>
    <w:rsid w:val="00801EDC"/>
    <w:rsid w:val="00803E18"/>
    <w:rsid w:val="00807643"/>
    <w:rsid w:val="008130D3"/>
    <w:rsid w:val="00814E3D"/>
    <w:rsid w:val="00815458"/>
    <w:rsid w:val="00815D87"/>
    <w:rsid w:val="0081602B"/>
    <w:rsid w:val="00816AFB"/>
    <w:rsid w:val="00817D2B"/>
    <w:rsid w:val="008208B7"/>
    <w:rsid w:val="00820D4A"/>
    <w:rsid w:val="00821567"/>
    <w:rsid w:val="0082162B"/>
    <w:rsid w:val="00822509"/>
    <w:rsid w:val="0082264A"/>
    <w:rsid w:val="00825DF1"/>
    <w:rsid w:val="00826432"/>
    <w:rsid w:val="0083016B"/>
    <w:rsid w:val="00830D35"/>
    <w:rsid w:val="00831EC7"/>
    <w:rsid w:val="00832A4D"/>
    <w:rsid w:val="008335B6"/>
    <w:rsid w:val="00833E01"/>
    <w:rsid w:val="008352D5"/>
    <w:rsid w:val="008357B3"/>
    <w:rsid w:val="00835ED2"/>
    <w:rsid w:val="00837325"/>
    <w:rsid w:val="0084002E"/>
    <w:rsid w:val="00841169"/>
    <w:rsid w:val="008414FB"/>
    <w:rsid w:val="008414FE"/>
    <w:rsid w:val="0084150F"/>
    <w:rsid w:val="00842622"/>
    <w:rsid w:val="00842B89"/>
    <w:rsid w:val="008434DE"/>
    <w:rsid w:val="0084362A"/>
    <w:rsid w:val="0084438A"/>
    <w:rsid w:val="00844E5F"/>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446D"/>
    <w:rsid w:val="00876A7C"/>
    <w:rsid w:val="00876B11"/>
    <w:rsid w:val="00876D9E"/>
    <w:rsid w:val="00877003"/>
    <w:rsid w:val="00877266"/>
    <w:rsid w:val="008807A2"/>
    <w:rsid w:val="008819C9"/>
    <w:rsid w:val="008826AF"/>
    <w:rsid w:val="00883638"/>
    <w:rsid w:val="0088386A"/>
    <w:rsid w:val="00884F03"/>
    <w:rsid w:val="0088593E"/>
    <w:rsid w:val="00885DD6"/>
    <w:rsid w:val="0088642E"/>
    <w:rsid w:val="008867C6"/>
    <w:rsid w:val="00886C85"/>
    <w:rsid w:val="008903A6"/>
    <w:rsid w:val="008906AD"/>
    <w:rsid w:val="008906CA"/>
    <w:rsid w:val="008907B4"/>
    <w:rsid w:val="00890B76"/>
    <w:rsid w:val="00890C18"/>
    <w:rsid w:val="00891F68"/>
    <w:rsid w:val="00892348"/>
    <w:rsid w:val="00892DF3"/>
    <w:rsid w:val="0089306D"/>
    <w:rsid w:val="00896403"/>
    <w:rsid w:val="0089686D"/>
    <w:rsid w:val="00896999"/>
    <w:rsid w:val="00896F25"/>
    <w:rsid w:val="00896F9E"/>
    <w:rsid w:val="00897EA1"/>
    <w:rsid w:val="008A030C"/>
    <w:rsid w:val="008A084C"/>
    <w:rsid w:val="008A1E4E"/>
    <w:rsid w:val="008A2A15"/>
    <w:rsid w:val="008A3088"/>
    <w:rsid w:val="008A38BF"/>
    <w:rsid w:val="008A3DB3"/>
    <w:rsid w:val="008A5B08"/>
    <w:rsid w:val="008A6284"/>
    <w:rsid w:val="008A62A7"/>
    <w:rsid w:val="008A6351"/>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2C8E"/>
    <w:rsid w:val="008C45A8"/>
    <w:rsid w:val="008C46F4"/>
    <w:rsid w:val="008C4A4D"/>
    <w:rsid w:val="008C4DF0"/>
    <w:rsid w:val="008C5245"/>
    <w:rsid w:val="008C618E"/>
    <w:rsid w:val="008C6CEB"/>
    <w:rsid w:val="008C6F48"/>
    <w:rsid w:val="008C712A"/>
    <w:rsid w:val="008D0491"/>
    <w:rsid w:val="008D0FCE"/>
    <w:rsid w:val="008D2404"/>
    <w:rsid w:val="008D243D"/>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2BD"/>
    <w:rsid w:val="008E5DE8"/>
    <w:rsid w:val="008E62DA"/>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4A7"/>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521D"/>
    <w:rsid w:val="00936049"/>
    <w:rsid w:val="00936812"/>
    <w:rsid w:val="0093694A"/>
    <w:rsid w:val="00936D9D"/>
    <w:rsid w:val="00936E0C"/>
    <w:rsid w:val="009375D4"/>
    <w:rsid w:val="00937EDD"/>
    <w:rsid w:val="009404EC"/>
    <w:rsid w:val="00940C37"/>
    <w:rsid w:val="00940EE2"/>
    <w:rsid w:val="00941007"/>
    <w:rsid w:val="00941491"/>
    <w:rsid w:val="0094164A"/>
    <w:rsid w:val="00941D51"/>
    <w:rsid w:val="00942708"/>
    <w:rsid w:val="00943D06"/>
    <w:rsid w:val="00944981"/>
    <w:rsid w:val="00946CA5"/>
    <w:rsid w:val="00947D8C"/>
    <w:rsid w:val="009500E7"/>
    <w:rsid w:val="0095031F"/>
    <w:rsid w:val="0095170A"/>
    <w:rsid w:val="00951B10"/>
    <w:rsid w:val="009524A4"/>
    <w:rsid w:val="0095254D"/>
    <w:rsid w:val="00952BB2"/>
    <w:rsid w:val="00952F89"/>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121"/>
    <w:rsid w:val="00992911"/>
    <w:rsid w:val="00994366"/>
    <w:rsid w:val="009947F3"/>
    <w:rsid w:val="00994A79"/>
    <w:rsid w:val="00995170"/>
    <w:rsid w:val="00995C60"/>
    <w:rsid w:val="009961B1"/>
    <w:rsid w:val="009977DD"/>
    <w:rsid w:val="00997C0F"/>
    <w:rsid w:val="009A1494"/>
    <w:rsid w:val="009A2E02"/>
    <w:rsid w:val="009A2F95"/>
    <w:rsid w:val="009B0B47"/>
    <w:rsid w:val="009B0E3F"/>
    <w:rsid w:val="009B0F48"/>
    <w:rsid w:val="009B1141"/>
    <w:rsid w:val="009B3382"/>
    <w:rsid w:val="009B3478"/>
    <w:rsid w:val="009B483F"/>
    <w:rsid w:val="009B4CFF"/>
    <w:rsid w:val="009B5946"/>
    <w:rsid w:val="009B70A2"/>
    <w:rsid w:val="009B717E"/>
    <w:rsid w:val="009B71AB"/>
    <w:rsid w:val="009C06D4"/>
    <w:rsid w:val="009C17FA"/>
    <w:rsid w:val="009C1B7F"/>
    <w:rsid w:val="009C2B14"/>
    <w:rsid w:val="009C4545"/>
    <w:rsid w:val="009C4A36"/>
    <w:rsid w:val="009C5AEB"/>
    <w:rsid w:val="009D1283"/>
    <w:rsid w:val="009D22F8"/>
    <w:rsid w:val="009D38F3"/>
    <w:rsid w:val="009D69E4"/>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61E5"/>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5CF"/>
    <w:rsid w:val="00A33806"/>
    <w:rsid w:val="00A34650"/>
    <w:rsid w:val="00A34BEC"/>
    <w:rsid w:val="00A34F4E"/>
    <w:rsid w:val="00A35FFE"/>
    <w:rsid w:val="00A3683F"/>
    <w:rsid w:val="00A36A75"/>
    <w:rsid w:val="00A36BCE"/>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67A62"/>
    <w:rsid w:val="00A7038D"/>
    <w:rsid w:val="00A704A9"/>
    <w:rsid w:val="00A70622"/>
    <w:rsid w:val="00A712DA"/>
    <w:rsid w:val="00A716B4"/>
    <w:rsid w:val="00A730AA"/>
    <w:rsid w:val="00A732AF"/>
    <w:rsid w:val="00A747CF"/>
    <w:rsid w:val="00A75549"/>
    <w:rsid w:val="00A7606C"/>
    <w:rsid w:val="00A805D0"/>
    <w:rsid w:val="00A808D7"/>
    <w:rsid w:val="00A811DA"/>
    <w:rsid w:val="00A8125B"/>
    <w:rsid w:val="00A8134F"/>
    <w:rsid w:val="00A82953"/>
    <w:rsid w:val="00A83834"/>
    <w:rsid w:val="00A83C7D"/>
    <w:rsid w:val="00A84112"/>
    <w:rsid w:val="00A844AA"/>
    <w:rsid w:val="00A84DF0"/>
    <w:rsid w:val="00A8557B"/>
    <w:rsid w:val="00A86455"/>
    <w:rsid w:val="00A8672B"/>
    <w:rsid w:val="00A87584"/>
    <w:rsid w:val="00A877C7"/>
    <w:rsid w:val="00A90D5A"/>
    <w:rsid w:val="00A9153D"/>
    <w:rsid w:val="00A92286"/>
    <w:rsid w:val="00A9246B"/>
    <w:rsid w:val="00A931F0"/>
    <w:rsid w:val="00A939B2"/>
    <w:rsid w:val="00A95059"/>
    <w:rsid w:val="00A95673"/>
    <w:rsid w:val="00A95921"/>
    <w:rsid w:val="00A95B62"/>
    <w:rsid w:val="00AA1334"/>
    <w:rsid w:val="00AA28B3"/>
    <w:rsid w:val="00AA30CA"/>
    <w:rsid w:val="00AA34DE"/>
    <w:rsid w:val="00AA4121"/>
    <w:rsid w:val="00AA5644"/>
    <w:rsid w:val="00AA6E8E"/>
    <w:rsid w:val="00AA7B20"/>
    <w:rsid w:val="00AB1F2E"/>
    <w:rsid w:val="00AB3E0E"/>
    <w:rsid w:val="00AB445E"/>
    <w:rsid w:val="00AB4A50"/>
    <w:rsid w:val="00AB4F75"/>
    <w:rsid w:val="00AB5CB0"/>
    <w:rsid w:val="00AB6042"/>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588"/>
    <w:rsid w:val="00AD4D11"/>
    <w:rsid w:val="00AD4E26"/>
    <w:rsid w:val="00AD4F14"/>
    <w:rsid w:val="00AD5878"/>
    <w:rsid w:val="00AD632D"/>
    <w:rsid w:val="00AD63E1"/>
    <w:rsid w:val="00AD6AA5"/>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BD3"/>
    <w:rsid w:val="00B01C56"/>
    <w:rsid w:val="00B0255F"/>
    <w:rsid w:val="00B0290C"/>
    <w:rsid w:val="00B02F9A"/>
    <w:rsid w:val="00B03AAF"/>
    <w:rsid w:val="00B0425D"/>
    <w:rsid w:val="00B04385"/>
    <w:rsid w:val="00B055DB"/>
    <w:rsid w:val="00B06CAF"/>
    <w:rsid w:val="00B10593"/>
    <w:rsid w:val="00B11D1A"/>
    <w:rsid w:val="00B1236E"/>
    <w:rsid w:val="00B12E8B"/>
    <w:rsid w:val="00B131FB"/>
    <w:rsid w:val="00B14081"/>
    <w:rsid w:val="00B140DF"/>
    <w:rsid w:val="00B146BB"/>
    <w:rsid w:val="00B16728"/>
    <w:rsid w:val="00B17F2D"/>
    <w:rsid w:val="00B20077"/>
    <w:rsid w:val="00B206FB"/>
    <w:rsid w:val="00B207DD"/>
    <w:rsid w:val="00B20B4D"/>
    <w:rsid w:val="00B20FDD"/>
    <w:rsid w:val="00B21AB5"/>
    <w:rsid w:val="00B220CC"/>
    <w:rsid w:val="00B233CE"/>
    <w:rsid w:val="00B236F7"/>
    <w:rsid w:val="00B23E78"/>
    <w:rsid w:val="00B24747"/>
    <w:rsid w:val="00B2553E"/>
    <w:rsid w:val="00B25B2C"/>
    <w:rsid w:val="00B26DDF"/>
    <w:rsid w:val="00B274C0"/>
    <w:rsid w:val="00B27533"/>
    <w:rsid w:val="00B305CC"/>
    <w:rsid w:val="00B30909"/>
    <w:rsid w:val="00B31116"/>
    <w:rsid w:val="00B31211"/>
    <w:rsid w:val="00B31E54"/>
    <w:rsid w:val="00B32CCB"/>
    <w:rsid w:val="00B334B4"/>
    <w:rsid w:val="00B34089"/>
    <w:rsid w:val="00B34684"/>
    <w:rsid w:val="00B34B09"/>
    <w:rsid w:val="00B356D4"/>
    <w:rsid w:val="00B35B11"/>
    <w:rsid w:val="00B36A40"/>
    <w:rsid w:val="00B37620"/>
    <w:rsid w:val="00B37C2C"/>
    <w:rsid w:val="00B40308"/>
    <w:rsid w:val="00B4051A"/>
    <w:rsid w:val="00B40531"/>
    <w:rsid w:val="00B40587"/>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4C91"/>
    <w:rsid w:val="00B6562B"/>
    <w:rsid w:val="00B66882"/>
    <w:rsid w:val="00B67343"/>
    <w:rsid w:val="00B67E15"/>
    <w:rsid w:val="00B719E1"/>
    <w:rsid w:val="00B73260"/>
    <w:rsid w:val="00B73393"/>
    <w:rsid w:val="00B73ECE"/>
    <w:rsid w:val="00B748D7"/>
    <w:rsid w:val="00B77E51"/>
    <w:rsid w:val="00B817A6"/>
    <w:rsid w:val="00B8432A"/>
    <w:rsid w:val="00B84430"/>
    <w:rsid w:val="00B84E3D"/>
    <w:rsid w:val="00B858FE"/>
    <w:rsid w:val="00B861E3"/>
    <w:rsid w:val="00B872D6"/>
    <w:rsid w:val="00B9042C"/>
    <w:rsid w:val="00B93603"/>
    <w:rsid w:val="00B93F5E"/>
    <w:rsid w:val="00B9420D"/>
    <w:rsid w:val="00B9434E"/>
    <w:rsid w:val="00B94AB5"/>
    <w:rsid w:val="00B95FAB"/>
    <w:rsid w:val="00B966B4"/>
    <w:rsid w:val="00B96D33"/>
    <w:rsid w:val="00B9791C"/>
    <w:rsid w:val="00BA1061"/>
    <w:rsid w:val="00BA2B10"/>
    <w:rsid w:val="00BA564D"/>
    <w:rsid w:val="00BA66F7"/>
    <w:rsid w:val="00BA71BD"/>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1C0B"/>
    <w:rsid w:val="00BD1DBB"/>
    <w:rsid w:val="00BD39D7"/>
    <w:rsid w:val="00BD465D"/>
    <w:rsid w:val="00BD55AF"/>
    <w:rsid w:val="00BD7660"/>
    <w:rsid w:val="00BE009D"/>
    <w:rsid w:val="00BE014A"/>
    <w:rsid w:val="00BE03B1"/>
    <w:rsid w:val="00BE0BC3"/>
    <w:rsid w:val="00BE0FDC"/>
    <w:rsid w:val="00BE3F31"/>
    <w:rsid w:val="00BE415C"/>
    <w:rsid w:val="00BE60DA"/>
    <w:rsid w:val="00BE6FA0"/>
    <w:rsid w:val="00BF1E83"/>
    <w:rsid w:val="00BF28A9"/>
    <w:rsid w:val="00BF29D9"/>
    <w:rsid w:val="00BF42DA"/>
    <w:rsid w:val="00BF4D20"/>
    <w:rsid w:val="00BF51C5"/>
    <w:rsid w:val="00BF6F48"/>
    <w:rsid w:val="00BF7B61"/>
    <w:rsid w:val="00C00C97"/>
    <w:rsid w:val="00C01DCD"/>
    <w:rsid w:val="00C02835"/>
    <w:rsid w:val="00C033FF"/>
    <w:rsid w:val="00C03B8E"/>
    <w:rsid w:val="00C0479F"/>
    <w:rsid w:val="00C059CE"/>
    <w:rsid w:val="00C10016"/>
    <w:rsid w:val="00C1045B"/>
    <w:rsid w:val="00C113FC"/>
    <w:rsid w:val="00C11A03"/>
    <w:rsid w:val="00C1237C"/>
    <w:rsid w:val="00C12FFC"/>
    <w:rsid w:val="00C131FF"/>
    <w:rsid w:val="00C13E48"/>
    <w:rsid w:val="00C17116"/>
    <w:rsid w:val="00C20617"/>
    <w:rsid w:val="00C21082"/>
    <w:rsid w:val="00C227C1"/>
    <w:rsid w:val="00C22CBF"/>
    <w:rsid w:val="00C26932"/>
    <w:rsid w:val="00C31695"/>
    <w:rsid w:val="00C31A7D"/>
    <w:rsid w:val="00C32B61"/>
    <w:rsid w:val="00C33176"/>
    <w:rsid w:val="00C341C0"/>
    <w:rsid w:val="00C355E6"/>
    <w:rsid w:val="00C36E9A"/>
    <w:rsid w:val="00C3764E"/>
    <w:rsid w:val="00C417F0"/>
    <w:rsid w:val="00C42421"/>
    <w:rsid w:val="00C4269D"/>
    <w:rsid w:val="00C4277D"/>
    <w:rsid w:val="00C43D48"/>
    <w:rsid w:val="00C44705"/>
    <w:rsid w:val="00C44A6E"/>
    <w:rsid w:val="00C46E51"/>
    <w:rsid w:val="00C504B5"/>
    <w:rsid w:val="00C51846"/>
    <w:rsid w:val="00C5185A"/>
    <w:rsid w:val="00C52B9A"/>
    <w:rsid w:val="00C5343A"/>
    <w:rsid w:val="00C53C66"/>
    <w:rsid w:val="00C53D86"/>
    <w:rsid w:val="00C54247"/>
    <w:rsid w:val="00C553BA"/>
    <w:rsid w:val="00C567FF"/>
    <w:rsid w:val="00C5702D"/>
    <w:rsid w:val="00C574CF"/>
    <w:rsid w:val="00C57814"/>
    <w:rsid w:val="00C6092A"/>
    <w:rsid w:val="00C60BD5"/>
    <w:rsid w:val="00C613F2"/>
    <w:rsid w:val="00C643D4"/>
    <w:rsid w:val="00C66974"/>
    <w:rsid w:val="00C67B43"/>
    <w:rsid w:val="00C67EA8"/>
    <w:rsid w:val="00C7116E"/>
    <w:rsid w:val="00C7208A"/>
    <w:rsid w:val="00C73D6A"/>
    <w:rsid w:val="00C74E0A"/>
    <w:rsid w:val="00C752A5"/>
    <w:rsid w:val="00C76363"/>
    <w:rsid w:val="00C76996"/>
    <w:rsid w:val="00C802FF"/>
    <w:rsid w:val="00C80B0A"/>
    <w:rsid w:val="00C81A4F"/>
    <w:rsid w:val="00C820E8"/>
    <w:rsid w:val="00C82C17"/>
    <w:rsid w:val="00C82FE7"/>
    <w:rsid w:val="00C83E4F"/>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6B6"/>
    <w:rsid w:val="00CA3714"/>
    <w:rsid w:val="00CA3F71"/>
    <w:rsid w:val="00CA52BB"/>
    <w:rsid w:val="00CA5970"/>
    <w:rsid w:val="00CA6E7C"/>
    <w:rsid w:val="00CA77FB"/>
    <w:rsid w:val="00CB06D2"/>
    <w:rsid w:val="00CB16B7"/>
    <w:rsid w:val="00CB2440"/>
    <w:rsid w:val="00CB2B32"/>
    <w:rsid w:val="00CB3A6F"/>
    <w:rsid w:val="00CB4268"/>
    <w:rsid w:val="00CB4A03"/>
    <w:rsid w:val="00CB6579"/>
    <w:rsid w:val="00CB711F"/>
    <w:rsid w:val="00CB7AA5"/>
    <w:rsid w:val="00CB7DC9"/>
    <w:rsid w:val="00CC16DD"/>
    <w:rsid w:val="00CC1BB0"/>
    <w:rsid w:val="00CC25E7"/>
    <w:rsid w:val="00CC265D"/>
    <w:rsid w:val="00CC3AC0"/>
    <w:rsid w:val="00CC4DA8"/>
    <w:rsid w:val="00CC55DD"/>
    <w:rsid w:val="00CC5A11"/>
    <w:rsid w:val="00CC5ECE"/>
    <w:rsid w:val="00CC6107"/>
    <w:rsid w:val="00CC6AB8"/>
    <w:rsid w:val="00CC7214"/>
    <w:rsid w:val="00CC7C08"/>
    <w:rsid w:val="00CD0C80"/>
    <w:rsid w:val="00CD1909"/>
    <w:rsid w:val="00CD4BCE"/>
    <w:rsid w:val="00CD52D3"/>
    <w:rsid w:val="00CD5667"/>
    <w:rsid w:val="00CD661D"/>
    <w:rsid w:val="00CD733F"/>
    <w:rsid w:val="00CD7A90"/>
    <w:rsid w:val="00CE1ABC"/>
    <w:rsid w:val="00CE27F3"/>
    <w:rsid w:val="00CE3174"/>
    <w:rsid w:val="00CE43BD"/>
    <w:rsid w:val="00CE4E92"/>
    <w:rsid w:val="00CE51C5"/>
    <w:rsid w:val="00CE6A12"/>
    <w:rsid w:val="00CE7CBF"/>
    <w:rsid w:val="00CF0363"/>
    <w:rsid w:val="00CF07CF"/>
    <w:rsid w:val="00CF0CD5"/>
    <w:rsid w:val="00CF1122"/>
    <w:rsid w:val="00CF127D"/>
    <w:rsid w:val="00CF561D"/>
    <w:rsid w:val="00CF756A"/>
    <w:rsid w:val="00CF7D1C"/>
    <w:rsid w:val="00D00070"/>
    <w:rsid w:val="00D00BD0"/>
    <w:rsid w:val="00D013B6"/>
    <w:rsid w:val="00D0289E"/>
    <w:rsid w:val="00D02BFB"/>
    <w:rsid w:val="00D03754"/>
    <w:rsid w:val="00D04186"/>
    <w:rsid w:val="00D045AC"/>
    <w:rsid w:val="00D04F06"/>
    <w:rsid w:val="00D07BF0"/>
    <w:rsid w:val="00D105CA"/>
    <w:rsid w:val="00D1084D"/>
    <w:rsid w:val="00D10AC3"/>
    <w:rsid w:val="00D115D2"/>
    <w:rsid w:val="00D123EF"/>
    <w:rsid w:val="00D12FB7"/>
    <w:rsid w:val="00D1327D"/>
    <w:rsid w:val="00D13544"/>
    <w:rsid w:val="00D13C8D"/>
    <w:rsid w:val="00D148A8"/>
    <w:rsid w:val="00D151B8"/>
    <w:rsid w:val="00D15630"/>
    <w:rsid w:val="00D15803"/>
    <w:rsid w:val="00D161B6"/>
    <w:rsid w:val="00D1660D"/>
    <w:rsid w:val="00D17641"/>
    <w:rsid w:val="00D17FE3"/>
    <w:rsid w:val="00D20700"/>
    <w:rsid w:val="00D207E4"/>
    <w:rsid w:val="00D20E3A"/>
    <w:rsid w:val="00D2314B"/>
    <w:rsid w:val="00D23F1D"/>
    <w:rsid w:val="00D244F1"/>
    <w:rsid w:val="00D25FFD"/>
    <w:rsid w:val="00D276F1"/>
    <w:rsid w:val="00D31F74"/>
    <w:rsid w:val="00D32C0C"/>
    <w:rsid w:val="00D33088"/>
    <w:rsid w:val="00D348B0"/>
    <w:rsid w:val="00D34A4F"/>
    <w:rsid w:val="00D3664C"/>
    <w:rsid w:val="00D366BD"/>
    <w:rsid w:val="00D3687F"/>
    <w:rsid w:val="00D4041C"/>
    <w:rsid w:val="00D40A31"/>
    <w:rsid w:val="00D40ACA"/>
    <w:rsid w:val="00D43329"/>
    <w:rsid w:val="00D441EB"/>
    <w:rsid w:val="00D44217"/>
    <w:rsid w:val="00D446EE"/>
    <w:rsid w:val="00D44710"/>
    <w:rsid w:val="00D44FBB"/>
    <w:rsid w:val="00D46B7E"/>
    <w:rsid w:val="00D46C06"/>
    <w:rsid w:val="00D46F8B"/>
    <w:rsid w:val="00D4753B"/>
    <w:rsid w:val="00D4776A"/>
    <w:rsid w:val="00D47CF2"/>
    <w:rsid w:val="00D50343"/>
    <w:rsid w:val="00D50BEF"/>
    <w:rsid w:val="00D50D0E"/>
    <w:rsid w:val="00D52659"/>
    <w:rsid w:val="00D54D11"/>
    <w:rsid w:val="00D55D9D"/>
    <w:rsid w:val="00D55EC0"/>
    <w:rsid w:val="00D56F51"/>
    <w:rsid w:val="00D60F32"/>
    <w:rsid w:val="00D62D3E"/>
    <w:rsid w:val="00D6309A"/>
    <w:rsid w:val="00D63547"/>
    <w:rsid w:val="00D6443F"/>
    <w:rsid w:val="00D708F9"/>
    <w:rsid w:val="00D71E5B"/>
    <w:rsid w:val="00D72EC0"/>
    <w:rsid w:val="00D739FA"/>
    <w:rsid w:val="00D74339"/>
    <w:rsid w:val="00D75546"/>
    <w:rsid w:val="00D75D46"/>
    <w:rsid w:val="00D7667A"/>
    <w:rsid w:val="00D766F6"/>
    <w:rsid w:val="00D76C49"/>
    <w:rsid w:val="00D76DBA"/>
    <w:rsid w:val="00D80579"/>
    <w:rsid w:val="00D809D5"/>
    <w:rsid w:val="00D81152"/>
    <w:rsid w:val="00D81538"/>
    <w:rsid w:val="00D82045"/>
    <w:rsid w:val="00D8216E"/>
    <w:rsid w:val="00D832D0"/>
    <w:rsid w:val="00D840F4"/>
    <w:rsid w:val="00D8452E"/>
    <w:rsid w:val="00D84B29"/>
    <w:rsid w:val="00D85324"/>
    <w:rsid w:val="00D85ED8"/>
    <w:rsid w:val="00D87C47"/>
    <w:rsid w:val="00D92136"/>
    <w:rsid w:val="00D92D81"/>
    <w:rsid w:val="00D943D2"/>
    <w:rsid w:val="00D95FAF"/>
    <w:rsid w:val="00D95FE3"/>
    <w:rsid w:val="00DA0D8E"/>
    <w:rsid w:val="00DA122D"/>
    <w:rsid w:val="00DA2D5A"/>
    <w:rsid w:val="00DA35B5"/>
    <w:rsid w:val="00DA3F48"/>
    <w:rsid w:val="00DA4389"/>
    <w:rsid w:val="00DA6196"/>
    <w:rsid w:val="00DA6FE4"/>
    <w:rsid w:val="00DA77AE"/>
    <w:rsid w:val="00DB1223"/>
    <w:rsid w:val="00DB2956"/>
    <w:rsid w:val="00DB3754"/>
    <w:rsid w:val="00DB487F"/>
    <w:rsid w:val="00DB5781"/>
    <w:rsid w:val="00DB6247"/>
    <w:rsid w:val="00DB62F9"/>
    <w:rsid w:val="00DB7FAE"/>
    <w:rsid w:val="00DC1FC8"/>
    <w:rsid w:val="00DC2CAB"/>
    <w:rsid w:val="00DC3CC6"/>
    <w:rsid w:val="00DC50D4"/>
    <w:rsid w:val="00DC50F4"/>
    <w:rsid w:val="00DC604D"/>
    <w:rsid w:val="00DC6FEF"/>
    <w:rsid w:val="00DD0576"/>
    <w:rsid w:val="00DD09E5"/>
    <w:rsid w:val="00DD10DF"/>
    <w:rsid w:val="00DD2981"/>
    <w:rsid w:val="00DD2F75"/>
    <w:rsid w:val="00DD46C1"/>
    <w:rsid w:val="00DD5B72"/>
    <w:rsid w:val="00DD66BB"/>
    <w:rsid w:val="00DD7346"/>
    <w:rsid w:val="00DD74A7"/>
    <w:rsid w:val="00DD7657"/>
    <w:rsid w:val="00DE20E2"/>
    <w:rsid w:val="00DE2CAD"/>
    <w:rsid w:val="00DE32DD"/>
    <w:rsid w:val="00DE44E1"/>
    <w:rsid w:val="00DE49FF"/>
    <w:rsid w:val="00DE627D"/>
    <w:rsid w:val="00DF0592"/>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4020"/>
    <w:rsid w:val="00E1565D"/>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799"/>
    <w:rsid w:val="00E43AE5"/>
    <w:rsid w:val="00E44257"/>
    <w:rsid w:val="00E44C6B"/>
    <w:rsid w:val="00E45BC2"/>
    <w:rsid w:val="00E471A5"/>
    <w:rsid w:val="00E477E3"/>
    <w:rsid w:val="00E479DD"/>
    <w:rsid w:val="00E52237"/>
    <w:rsid w:val="00E53FCD"/>
    <w:rsid w:val="00E54042"/>
    <w:rsid w:val="00E54355"/>
    <w:rsid w:val="00E562BB"/>
    <w:rsid w:val="00E565CE"/>
    <w:rsid w:val="00E56A47"/>
    <w:rsid w:val="00E56EF2"/>
    <w:rsid w:val="00E574F2"/>
    <w:rsid w:val="00E579A7"/>
    <w:rsid w:val="00E61EED"/>
    <w:rsid w:val="00E61F6B"/>
    <w:rsid w:val="00E63A86"/>
    <w:rsid w:val="00E63CDA"/>
    <w:rsid w:val="00E6442F"/>
    <w:rsid w:val="00E649AC"/>
    <w:rsid w:val="00E66659"/>
    <w:rsid w:val="00E70B03"/>
    <w:rsid w:val="00E70EDE"/>
    <w:rsid w:val="00E7135D"/>
    <w:rsid w:val="00E72ED5"/>
    <w:rsid w:val="00E735EF"/>
    <w:rsid w:val="00E73A4D"/>
    <w:rsid w:val="00E745DA"/>
    <w:rsid w:val="00E7545F"/>
    <w:rsid w:val="00E7689F"/>
    <w:rsid w:val="00E77DFA"/>
    <w:rsid w:val="00E8048E"/>
    <w:rsid w:val="00E81D6E"/>
    <w:rsid w:val="00E82D11"/>
    <w:rsid w:val="00E8300F"/>
    <w:rsid w:val="00E846FF"/>
    <w:rsid w:val="00E85A5B"/>
    <w:rsid w:val="00E8605B"/>
    <w:rsid w:val="00E90994"/>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6F6A"/>
    <w:rsid w:val="00E97615"/>
    <w:rsid w:val="00EA1DE3"/>
    <w:rsid w:val="00EA1F80"/>
    <w:rsid w:val="00EA2351"/>
    <w:rsid w:val="00EA29B3"/>
    <w:rsid w:val="00EA2B73"/>
    <w:rsid w:val="00EA4139"/>
    <w:rsid w:val="00EA5FF7"/>
    <w:rsid w:val="00EA6D0E"/>
    <w:rsid w:val="00EB0A9A"/>
    <w:rsid w:val="00EB124A"/>
    <w:rsid w:val="00EB1616"/>
    <w:rsid w:val="00EB1630"/>
    <w:rsid w:val="00EB2B72"/>
    <w:rsid w:val="00EB3ACE"/>
    <w:rsid w:val="00EB4CF7"/>
    <w:rsid w:val="00EB5118"/>
    <w:rsid w:val="00EB6C57"/>
    <w:rsid w:val="00EB78A6"/>
    <w:rsid w:val="00EB7B56"/>
    <w:rsid w:val="00EC0BFA"/>
    <w:rsid w:val="00EC103C"/>
    <w:rsid w:val="00EC11B9"/>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6422"/>
    <w:rsid w:val="00EE6EBE"/>
    <w:rsid w:val="00EE75D5"/>
    <w:rsid w:val="00EF0861"/>
    <w:rsid w:val="00EF0A6E"/>
    <w:rsid w:val="00EF0CF0"/>
    <w:rsid w:val="00EF25B7"/>
    <w:rsid w:val="00EF3837"/>
    <w:rsid w:val="00EF3AF3"/>
    <w:rsid w:val="00EF3FC2"/>
    <w:rsid w:val="00EF43CE"/>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44"/>
    <w:rsid w:val="00F06981"/>
    <w:rsid w:val="00F06DEC"/>
    <w:rsid w:val="00F078D7"/>
    <w:rsid w:val="00F07A5F"/>
    <w:rsid w:val="00F11718"/>
    <w:rsid w:val="00F15900"/>
    <w:rsid w:val="00F1713A"/>
    <w:rsid w:val="00F175B6"/>
    <w:rsid w:val="00F17A72"/>
    <w:rsid w:val="00F20720"/>
    <w:rsid w:val="00F208B1"/>
    <w:rsid w:val="00F21707"/>
    <w:rsid w:val="00F2300D"/>
    <w:rsid w:val="00F23A79"/>
    <w:rsid w:val="00F268D9"/>
    <w:rsid w:val="00F302C0"/>
    <w:rsid w:val="00F31576"/>
    <w:rsid w:val="00F319E9"/>
    <w:rsid w:val="00F33148"/>
    <w:rsid w:val="00F33CB8"/>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2F5"/>
    <w:rsid w:val="00F523BA"/>
    <w:rsid w:val="00F5399B"/>
    <w:rsid w:val="00F53B09"/>
    <w:rsid w:val="00F5656C"/>
    <w:rsid w:val="00F5682C"/>
    <w:rsid w:val="00F57621"/>
    <w:rsid w:val="00F57C9D"/>
    <w:rsid w:val="00F57DCF"/>
    <w:rsid w:val="00F57FB1"/>
    <w:rsid w:val="00F60243"/>
    <w:rsid w:val="00F607FB"/>
    <w:rsid w:val="00F60BB3"/>
    <w:rsid w:val="00F60D0A"/>
    <w:rsid w:val="00F61261"/>
    <w:rsid w:val="00F612FD"/>
    <w:rsid w:val="00F61379"/>
    <w:rsid w:val="00F621E8"/>
    <w:rsid w:val="00F651F0"/>
    <w:rsid w:val="00F674CC"/>
    <w:rsid w:val="00F7016A"/>
    <w:rsid w:val="00F7032E"/>
    <w:rsid w:val="00F7047E"/>
    <w:rsid w:val="00F740DB"/>
    <w:rsid w:val="00F76660"/>
    <w:rsid w:val="00F76E29"/>
    <w:rsid w:val="00F770B4"/>
    <w:rsid w:val="00F77563"/>
    <w:rsid w:val="00F776A6"/>
    <w:rsid w:val="00F77ECC"/>
    <w:rsid w:val="00F80067"/>
    <w:rsid w:val="00F830A8"/>
    <w:rsid w:val="00F83C56"/>
    <w:rsid w:val="00F86862"/>
    <w:rsid w:val="00F86B93"/>
    <w:rsid w:val="00F87108"/>
    <w:rsid w:val="00F90193"/>
    <w:rsid w:val="00F90715"/>
    <w:rsid w:val="00F9097C"/>
    <w:rsid w:val="00F9114B"/>
    <w:rsid w:val="00F93111"/>
    <w:rsid w:val="00F9318B"/>
    <w:rsid w:val="00F93578"/>
    <w:rsid w:val="00F95229"/>
    <w:rsid w:val="00F9534B"/>
    <w:rsid w:val="00F9586C"/>
    <w:rsid w:val="00F95AD1"/>
    <w:rsid w:val="00F973F8"/>
    <w:rsid w:val="00F9744E"/>
    <w:rsid w:val="00F97472"/>
    <w:rsid w:val="00F97695"/>
    <w:rsid w:val="00FA0014"/>
    <w:rsid w:val="00FA015D"/>
    <w:rsid w:val="00FA1026"/>
    <w:rsid w:val="00FA2536"/>
    <w:rsid w:val="00FA2BAB"/>
    <w:rsid w:val="00FA2BED"/>
    <w:rsid w:val="00FA300C"/>
    <w:rsid w:val="00FA31F6"/>
    <w:rsid w:val="00FA3706"/>
    <w:rsid w:val="00FA3BAB"/>
    <w:rsid w:val="00FA50F4"/>
    <w:rsid w:val="00FA5875"/>
    <w:rsid w:val="00FA5F87"/>
    <w:rsid w:val="00FA6A64"/>
    <w:rsid w:val="00FA739A"/>
    <w:rsid w:val="00FA7583"/>
    <w:rsid w:val="00FB0D2A"/>
    <w:rsid w:val="00FB17F8"/>
    <w:rsid w:val="00FB21EC"/>
    <w:rsid w:val="00FB42FC"/>
    <w:rsid w:val="00FB5B7D"/>
    <w:rsid w:val="00FB6269"/>
    <w:rsid w:val="00FB7AA4"/>
    <w:rsid w:val="00FB7BE7"/>
    <w:rsid w:val="00FC051D"/>
    <w:rsid w:val="00FC09D0"/>
    <w:rsid w:val="00FC0B4B"/>
    <w:rsid w:val="00FC0F79"/>
    <w:rsid w:val="00FC1777"/>
    <w:rsid w:val="00FC19DC"/>
    <w:rsid w:val="00FC2461"/>
    <w:rsid w:val="00FC3AED"/>
    <w:rsid w:val="00FC4088"/>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5A1E"/>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BC8EB16"/>
  <w15:docId w15:val="{95EE5A28-28EA-4FDD-84F9-1A7781CB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uiPriority w:val="99"/>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 w:type="paragraph" w:customStyle="1" w:styleId="PECtext">
    <w:name w:val="PEC text"/>
    <w:link w:val="PECtextChar"/>
    <w:qFormat/>
    <w:rsid w:val="004F0E7C"/>
    <w:pPr>
      <w:spacing w:before="200"/>
    </w:pPr>
    <w:rPr>
      <w:rFonts w:asciiTheme="minorHAnsi" w:hAnsiTheme="minorHAnsi" w:cstheme="minorHAnsi"/>
      <w:color w:val="000000"/>
      <w:sz w:val="22"/>
      <w:szCs w:val="22"/>
      <w:lang w:val="en-GB" w:eastAsia="en-US"/>
    </w:rPr>
  </w:style>
  <w:style w:type="character" w:customStyle="1" w:styleId="PECtextChar">
    <w:name w:val="PEC text Char"/>
    <w:basedOn w:val="Kappaleenoletusfontti"/>
    <w:link w:val="PECtext"/>
    <w:rsid w:val="004F0E7C"/>
    <w:rPr>
      <w:rFonts w:asciiTheme="minorHAnsi" w:hAnsiTheme="minorHAnsi" w:cstheme="minorHAnsi"/>
      <w:color w:val="000000"/>
      <w:sz w:val="22"/>
      <w:szCs w:val="22"/>
      <w:lang w:val="en-GB" w:eastAsia="en-US"/>
    </w:rPr>
  </w:style>
  <w:style w:type="table" w:styleId="Ruudukkotaulukko4-korostus3">
    <w:name w:val="Grid Table 4 Accent 3"/>
    <w:basedOn w:val="Normaalitaulukko"/>
    <w:uiPriority w:val="49"/>
    <w:rsid w:val="004F0E7C"/>
    <w:rPr>
      <w:rFonts w:ascii="Arial" w:hAnsi="Arial"/>
      <w:sz w:val="22"/>
      <w:szCs w:val="22"/>
      <w:lang w:val="en-GB" w:eastAsia="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udukkotaulukko4">
    <w:name w:val="Grid Table 4"/>
    <w:basedOn w:val="Normaalitaulukko"/>
    <w:uiPriority w:val="49"/>
    <w:rsid w:val="004F0E7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udukkotaulukko4-korostus1">
    <w:name w:val="Grid Table 4 Accent 1"/>
    <w:basedOn w:val="Normaalitaulukko"/>
    <w:uiPriority w:val="49"/>
    <w:rsid w:val="004F0E7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Yksinkertainentaulukko1">
    <w:name w:val="Plain Table 1"/>
    <w:basedOn w:val="Normaalitaulukko"/>
    <w:uiPriority w:val="41"/>
    <w:rsid w:val="004F0E7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ummaruudukkotaulukko5-korostus6">
    <w:name w:val="Grid Table 5 Dark Accent 6"/>
    <w:basedOn w:val="Normaalitaulukko"/>
    <w:uiPriority w:val="50"/>
    <w:rsid w:val="00AB4F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Yksinkertainentaulukko4">
    <w:name w:val="Plain Table 4"/>
    <w:basedOn w:val="Normaalitaulukko"/>
    <w:uiPriority w:val="44"/>
    <w:rsid w:val="00AB4F7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KommentintekstiChar">
    <w:name w:val="Kommentin teksti Char"/>
    <w:basedOn w:val="Kappaleenoletusfontti"/>
    <w:link w:val="Kommentinteksti"/>
    <w:rsid w:val="004E74E4"/>
  </w:style>
  <w:style w:type="table" w:styleId="Yksinkertainentaulukko3">
    <w:name w:val="Plain Table 3"/>
    <w:basedOn w:val="Normaalitaulukko"/>
    <w:uiPriority w:val="43"/>
    <w:rsid w:val="000B43E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aleataulukkoruudukko">
    <w:name w:val="Grid Table Light"/>
    <w:basedOn w:val="Normaalitaulukko"/>
    <w:uiPriority w:val="40"/>
    <w:rsid w:val="008E62D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217670380">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79396\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75C9D3F1664B74AF2F4FA32E7ED492"/>
        <w:category>
          <w:name w:val="Yleiset"/>
          <w:gallery w:val="placeholder"/>
        </w:category>
        <w:types>
          <w:type w:val="bbPlcHdr"/>
        </w:types>
        <w:behaviors>
          <w:behavior w:val="content"/>
        </w:behaviors>
        <w:guid w:val="{4B088489-2BEA-4224-B788-509C3019AD7B}"/>
      </w:docPartPr>
      <w:docPartBody>
        <w:p w:rsidR="002A0D7E" w:rsidRDefault="006038C5">
          <w:pPr>
            <w:pStyle w:val="0A75C9D3F1664B74AF2F4FA32E7ED492"/>
          </w:pPr>
          <w:r w:rsidRPr="005D3E42">
            <w:rPr>
              <w:rStyle w:val="Paikkamerkkiteksti"/>
            </w:rPr>
            <w:t>Click or tap here to enter text.</w:t>
          </w:r>
        </w:p>
      </w:docPartBody>
    </w:docPart>
    <w:docPart>
      <w:docPartPr>
        <w:name w:val="60443391DF9E419FAD4C2EC0727EC123"/>
        <w:category>
          <w:name w:val="Yleiset"/>
          <w:gallery w:val="placeholder"/>
        </w:category>
        <w:types>
          <w:type w:val="bbPlcHdr"/>
        </w:types>
        <w:behaviors>
          <w:behavior w:val="content"/>
        </w:behaviors>
        <w:guid w:val="{AAF573A8-B897-410D-A363-C81EB0051F86}"/>
      </w:docPartPr>
      <w:docPartBody>
        <w:p w:rsidR="002A0D7E" w:rsidRDefault="006038C5">
          <w:pPr>
            <w:pStyle w:val="60443391DF9E419FAD4C2EC0727EC123"/>
          </w:pPr>
          <w:r w:rsidRPr="005D3E42">
            <w:rPr>
              <w:rStyle w:val="Paikkamerkkiteksti"/>
            </w:rPr>
            <w:t>Click or tap here to enter text.</w:t>
          </w:r>
        </w:p>
      </w:docPartBody>
    </w:docPart>
    <w:docPart>
      <w:docPartPr>
        <w:name w:val="845523B2282048EDA4C496C036486F5C"/>
        <w:category>
          <w:name w:val="Yleiset"/>
          <w:gallery w:val="placeholder"/>
        </w:category>
        <w:types>
          <w:type w:val="bbPlcHdr"/>
        </w:types>
        <w:behaviors>
          <w:behavior w:val="content"/>
        </w:behaviors>
        <w:guid w:val="{066E21F4-3049-43AF-A28D-01FD4B785B04}"/>
      </w:docPartPr>
      <w:docPartBody>
        <w:p w:rsidR="002A0D7E" w:rsidRDefault="006038C5">
          <w:pPr>
            <w:pStyle w:val="845523B2282048EDA4C496C036486F5C"/>
          </w:pPr>
          <w:r w:rsidRPr="002B458A">
            <w:rPr>
              <w:rStyle w:val="Paikkamerkkiteksti"/>
            </w:rPr>
            <w:t>Kirjoita tekstiä napsauttamalla tai napauttamalla tätä.</w:t>
          </w:r>
        </w:p>
      </w:docPartBody>
    </w:docPart>
    <w:docPart>
      <w:docPartPr>
        <w:name w:val="D0AA7A3393C645F7A000C2E0F6FE2C0F"/>
        <w:category>
          <w:name w:val="Yleiset"/>
          <w:gallery w:val="placeholder"/>
        </w:category>
        <w:types>
          <w:type w:val="bbPlcHdr"/>
        </w:types>
        <w:behaviors>
          <w:behavior w:val="content"/>
        </w:behaviors>
        <w:guid w:val="{A70D5F11-D529-4AEB-892E-EBD30840B39A}"/>
      </w:docPartPr>
      <w:docPartBody>
        <w:p w:rsidR="002A0D7E" w:rsidRDefault="006038C5">
          <w:pPr>
            <w:pStyle w:val="D0AA7A3393C645F7A000C2E0F6FE2C0F"/>
          </w:pPr>
          <w:r w:rsidRPr="00E27C6D">
            <w:t>Valitse kohde.</w:t>
          </w:r>
        </w:p>
      </w:docPartBody>
    </w:docPart>
    <w:docPart>
      <w:docPartPr>
        <w:name w:val="904E2FC8DE434470A60715B095942DB6"/>
        <w:category>
          <w:name w:val="Yleiset"/>
          <w:gallery w:val="placeholder"/>
        </w:category>
        <w:types>
          <w:type w:val="bbPlcHdr"/>
        </w:types>
        <w:behaviors>
          <w:behavior w:val="content"/>
        </w:behaviors>
        <w:guid w:val="{99541E38-7D30-4B56-B011-F268AC9B8009}"/>
      </w:docPartPr>
      <w:docPartBody>
        <w:p w:rsidR="002A0D7E" w:rsidRDefault="006038C5">
          <w:pPr>
            <w:pStyle w:val="904E2FC8DE434470A60715B095942DB6"/>
          </w:pPr>
          <w:r w:rsidRPr="005D3E42">
            <w:rPr>
              <w:rStyle w:val="Paikkamerkkiteksti"/>
            </w:rPr>
            <w:t>Click or tap here to enter text.</w:t>
          </w:r>
        </w:p>
      </w:docPartBody>
    </w:docPart>
    <w:docPart>
      <w:docPartPr>
        <w:name w:val="CC3FC473381546F4AFF5C0F65E698DDF"/>
        <w:category>
          <w:name w:val="Yleiset"/>
          <w:gallery w:val="placeholder"/>
        </w:category>
        <w:types>
          <w:type w:val="bbPlcHdr"/>
        </w:types>
        <w:behaviors>
          <w:behavior w:val="content"/>
        </w:behaviors>
        <w:guid w:val="{2A33346D-F56C-472F-B5A0-A330B25BAD05}"/>
      </w:docPartPr>
      <w:docPartBody>
        <w:p w:rsidR="002A0D7E" w:rsidRDefault="006038C5">
          <w:pPr>
            <w:pStyle w:val="CC3FC473381546F4AFF5C0F65E698DDF"/>
          </w:pPr>
          <w:r w:rsidRPr="00CC518A">
            <w:rPr>
              <w:rStyle w:val="Paikkamerkkiteksti"/>
            </w:rPr>
            <w:t>Valitse kohde.</w:t>
          </w:r>
        </w:p>
      </w:docPartBody>
    </w:docPart>
    <w:docPart>
      <w:docPartPr>
        <w:name w:val="ECB7D6E8F5DE4FD1963CD38725863CC3"/>
        <w:category>
          <w:name w:val="Yleiset"/>
          <w:gallery w:val="placeholder"/>
        </w:category>
        <w:types>
          <w:type w:val="bbPlcHdr"/>
        </w:types>
        <w:behaviors>
          <w:behavior w:val="content"/>
        </w:behaviors>
        <w:guid w:val="{6E68B81B-476A-474B-AF04-DBB8EF681325}"/>
      </w:docPartPr>
      <w:docPartBody>
        <w:p w:rsidR="00161049" w:rsidRDefault="002823DB" w:rsidP="002823DB">
          <w:pPr>
            <w:pStyle w:val="ECB7D6E8F5DE4FD1963CD38725863CC3"/>
          </w:pPr>
          <w:r w:rsidRPr="00CC518A">
            <w:rPr>
              <w:rStyle w:val="Paikkamerkkiteksti"/>
            </w:rPr>
            <w:t>Valitse kohde.</w:t>
          </w:r>
        </w:p>
      </w:docPartBody>
    </w:docPart>
    <w:docPart>
      <w:docPartPr>
        <w:name w:val="BEA4C386955F441AA9EF2D43CEC713DA"/>
        <w:category>
          <w:name w:val="Yleiset"/>
          <w:gallery w:val="placeholder"/>
        </w:category>
        <w:types>
          <w:type w:val="bbPlcHdr"/>
        </w:types>
        <w:behaviors>
          <w:behavior w:val="content"/>
        </w:behaviors>
        <w:guid w:val="{B8DDD8B3-7F50-4B90-8AA8-015382C320A4}"/>
      </w:docPartPr>
      <w:docPartBody>
        <w:p w:rsidR="00161049" w:rsidRDefault="002823DB" w:rsidP="002823DB">
          <w:pPr>
            <w:pStyle w:val="BEA4C386955F441AA9EF2D43CEC713DA"/>
          </w:pPr>
          <w:r>
            <w:rPr>
              <w:rStyle w:val="Paikkamerkkiteksti"/>
              <w:lang w:val="en-US"/>
            </w:rPr>
            <w:t>Asetusluonnos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D7E"/>
    <w:rsid w:val="00161049"/>
    <w:rsid w:val="0016476A"/>
    <w:rsid w:val="0019551B"/>
    <w:rsid w:val="00222DBB"/>
    <w:rsid w:val="002823DB"/>
    <w:rsid w:val="002A0D7E"/>
    <w:rsid w:val="002C1B1C"/>
    <w:rsid w:val="002E1AAA"/>
    <w:rsid w:val="00320053"/>
    <w:rsid w:val="003C426A"/>
    <w:rsid w:val="004D4D87"/>
    <w:rsid w:val="00547C41"/>
    <w:rsid w:val="00596D12"/>
    <w:rsid w:val="006038C5"/>
    <w:rsid w:val="007264BF"/>
    <w:rsid w:val="007A35A6"/>
    <w:rsid w:val="007E51E6"/>
    <w:rsid w:val="0094259A"/>
    <w:rsid w:val="009F0BDC"/>
    <w:rsid w:val="00B27708"/>
    <w:rsid w:val="00D63912"/>
    <w:rsid w:val="00DB5D52"/>
    <w:rsid w:val="00DD2AEF"/>
    <w:rsid w:val="00F76E48"/>
    <w:rsid w:val="00FB2D5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2823DB"/>
    <w:rPr>
      <w:color w:val="808080"/>
    </w:rPr>
  </w:style>
  <w:style w:type="paragraph" w:customStyle="1" w:styleId="0A75C9D3F1664B74AF2F4FA32E7ED492">
    <w:name w:val="0A75C9D3F1664B74AF2F4FA32E7ED492"/>
  </w:style>
  <w:style w:type="paragraph" w:customStyle="1" w:styleId="60443391DF9E419FAD4C2EC0727EC123">
    <w:name w:val="60443391DF9E419FAD4C2EC0727EC123"/>
  </w:style>
  <w:style w:type="paragraph" w:customStyle="1" w:styleId="845523B2282048EDA4C496C036486F5C">
    <w:name w:val="845523B2282048EDA4C496C036486F5C"/>
  </w:style>
  <w:style w:type="paragraph" w:customStyle="1" w:styleId="D0AA7A3393C645F7A000C2E0F6FE2C0F">
    <w:name w:val="D0AA7A3393C645F7A000C2E0F6FE2C0F"/>
  </w:style>
  <w:style w:type="paragraph" w:customStyle="1" w:styleId="904E2FC8DE434470A60715B095942DB6">
    <w:name w:val="904E2FC8DE434470A60715B095942DB6"/>
  </w:style>
  <w:style w:type="paragraph" w:customStyle="1" w:styleId="CC3FC473381546F4AFF5C0F65E698DDF">
    <w:name w:val="CC3FC473381546F4AFF5C0F65E698DDF"/>
  </w:style>
  <w:style w:type="paragraph" w:customStyle="1" w:styleId="A8A68D5E751A490E98262FF4C6F418F1">
    <w:name w:val="A8A68D5E751A490E98262FF4C6F418F1"/>
    <w:rsid w:val="002823DB"/>
  </w:style>
  <w:style w:type="paragraph" w:customStyle="1" w:styleId="ECB7D6E8F5DE4FD1963CD38725863CC3">
    <w:name w:val="ECB7D6E8F5DE4FD1963CD38725863CC3"/>
    <w:rsid w:val="002823DB"/>
  </w:style>
  <w:style w:type="paragraph" w:customStyle="1" w:styleId="BEA4C386955F441AA9EF2D43CEC713DA">
    <w:name w:val="BEA4C386955F441AA9EF2D43CEC713DA"/>
    <w:rsid w:val="002823DB"/>
  </w:style>
  <w:style w:type="paragraph" w:customStyle="1" w:styleId="B7C262830FC0416A994B24CF452A5CFE">
    <w:name w:val="B7C262830FC0416A994B24CF452A5CFE"/>
    <w:rsid w:val="002823DB"/>
  </w:style>
  <w:style w:type="paragraph" w:customStyle="1" w:styleId="C390BF2914A447E798868D6A78183C23">
    <w:name w:val="C390BF2914A447E798868D6A78183C23"/>
    <w:rsid w:val="002823DB"/>
  </w:style>
  <w:style w:type="paragraph" w:customStyle="1" w:styleId="12DE696E16A34369A4DD585A39A5445A">
    <w:name w:val="12DE696E16A34369A4DD585A39A5445A"/>
    <w:rsid w:val="002823DB"/>
  </w:style>
  <w:style w:type="paragraph" w:customStyle="1" w:styleId="489350A111AF4ECE89F221A655B0556D">
    <w:name w:val="489350A111AF4ECE89F221A655B0556D"/>
    <w:rsid w:val="002823DB"/>
  </w:style>
  <w:style w:type="paragraph" w:customStyle="1" w:styleId="E79ABADCCD344C8D96A2E372F6397CE7">
    <w:name w:val="E79ABADCCD344C8D96A2E372F6397CE7"/>
    <w:rsid w:val="002823DB"/>
  </w:style>
  <w:style w:type="paragraph" w:customStyle="1" w:styleId="C22F939CE6C84ED98850BF4483DBCE2E">
    <w:name w:val="C22F939CE6C84ED98850BF4483DBCE2E"/>
    <w:rsid w:val="002823DB"/>
  </w:style>
  <w:style w:type="paragraph" w:customStyle="1" w:styleId="D616744FE7464DF886DE26734FCC90AD">
    <w:name w:val="D616744FE7464DF886DE26734FCC90AD"/>
    <w:rsid w:val="002823DB"/>
  </w:style>
  <w:style w:type="paragraph" w:customStyle="1" w:styleId="376B4BD1A20144D292AB3D9CFAA95C06">
    <w:name w:val="376B4BD1A20144D292AB3D9CFAA95C06"/>
    <w:rsid w:val="002823DB"/>
  </w:style>
  <w:style w:type="paragraph" w:customStyle="1" w:styleId="31E4A732598B4863AA8EC89C5B338797">
    <w:name w:val="31E4A732598B4863AA8EC89C5B338797"/>
    <w:rsid w:val="002823DB"/>
  </w:style>
  <w:style w:type="paragraph" w:customStyle="1" w:styleId="A0B2105C29634ED8B9813EDD5314EB7C">
    <w:name w:val="A0B2105C29634ED8B9813EDD5314EB7C"/>
    <w:rsid w:val="002823DB"/>
  </w:style>
  <w:style w:type="paragraph" w:customStyle="1" w:styleId="272F3C966D874350B40FF5820290E00B">
    <w:name w:val="272F3C966D874350B40FF5820290E00B"/>
    <w:rsid w:val="002823DB"/>
  </w:style>
  <w:style w:type="paragraph" w:customStyle="1" w:styleId="B63C9FE8D2D747408585412BD31B12DA">
    <w:name w:val="B63C9FE8D2D747408585412BD31B12DA"/>
    <w:rsid w:val="002823DB"/>
  </w:style>
  <w:style w:type="paragraph" w:customStyle="1" w:styleId="5E85D03A78634AA5A33BEBC358768F63">
    <w:name w:val="5E85D03A78634AA5A33BEBC358768F63"/>
    <w:rsid w:val="002823DB"/>
  </w:style>
  <w:style w:type="paragraph" w:customStyle="1" w:styleId="1038B8D4CE40493A913E9D87C1E04A9E">
    <w:name w:val="1038B8D4CE40493A913E9D87C1E04A9E"/>
    <w:rsid w:val="002823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D6949-B83A-4E6B-99A0-ABE4DDEAC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100</TotalTime>
  <Pages>44</Pages>
  <Words>13697</Words>
  <Characters>110949</Characters>
  <Application>Microsoft Office Word</Application>
  <DocSecurity>0</DocSecurity>
  <Lines>924</Lines>
  <Paragraphs>248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124398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Raatikainen Taina (TEM)</dc:creator>
  <cp:keywords/>
  <dc:description/>
  <cp:lastModifiedBy>Raatikainen Taina (TEM)</cp:lastModifiedBy>
  <cp:revision>12</cp:revision>
  <cp:lastPrinted>2017-12-04T10:02:00Z</cp:lastPrinted>
  <dcterms:created xsi:type="dcterms:W3CDTF">2021-06-23T13:10:00Z</dcterms:created>
  <dcterms:modified xsi:type="dcterms:W3CDTF">2021-06-24T07:32:00Z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ies>
</file>