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D5D" w:rsidRPr="003515AD" w:rsidRDefault="00C73D5D" w:rsidP="00C73D5D">
      <w:pPr>
        <w:rPr>
          <w:b/>
          <w:szCs w:val="24"/>
        </w:rPr>
      </w:pPr>
      <w:r>
        <w:rPr>
          <w:b/>
        </w:rPr>
        <w:t>Statsrådets förordning om ändring av statsrådets förordning om joniserande strålning</w:t>
      </w:r>
    </w:p>
    <w:p w:rsidR="00C73D5D" w:rsidRPr="003515AD" w:rsidRDefault="00C73D5D" w:rsidP="00C73D5D">
      <w:pPr>
        <w:rPr>
          <w:szCs w:val="24"/>
        </w:rPr>
      </w:pPr>
    </w:p>
    <w:p w:rsidR="00C73D5D" w:rsidRPr="003515AD" w:rsidRDefault="00C73D5D" w:rsidP="00C73D5D">
      <w:pPr>
        <w:rPr>
          <w:szCs w:val="24"/>
        </w:rPr>
      </w:pPr>
      <w:r>
        <w:t>I enlighet med statsrådets beslut</w:t>
      </w:r>
    </w:p>
    <w:p w:rsidR="00C73D5D" w:rsidRPr="003515AD" w:rsidRDefault="00C73D5D" w:rsidP="00C73D5D">
      <w:pPr>
        <w:pStyle w:val="NormaaliWWW"/>
        <w:spacing w:before="0" w:beforeAutospacing="0" w:after="0" w:afterAutospacing="0"/>
      </w:pPr>
      <w:r>
        <w:rPr>
          <w:i/>
        </w:rPr>
        <w:t>ändras</w:t>
      </w:r>
      <w:r>
        <w:t xml:space="preserve"> i statsrådets förordning om joniserande strålning (1034/2018) 25 § 1 mom. </w:t>
      </w:r>
      <w:r w:rsidR="002765A0">
        <w:t xml:space="preserve">3, </w:t>
      </w:r>
      <w:r>
        <w:t xml:space="preserve">6 och 8 punkten, 26 § 1 mom., 27 § 1 mom. 3 och 4 punkten, 28 § 1 och 2 mom., 30 §, 50 § 1 mom. 15 punkten, 53 § 1 mom. 2 punkten samt i bilaga 5 punkt 2 underpunkterna 2.3 och 2.7, och </w:t>
      </w:r>
    </w:p>
    <w:p w:rsidR="00C73D5D" w:rsidRPr="003515AD" w:rsidRDefault="00C73D5D" w:rsidP="00C73D5D">
      <w:pPr>
        <w:pStyle w:val="NormaaliWWW"/>
        <w:spacing w:before="0" w:beforeAutospacing="0" w:after="0" w:afterAutospacing="0"/>
      </w:pPr>
      <w:r>
        <w:rPr>
          <w:i/>
        </w:rPr>
        <w:t xml:space="preserve">fogas </w:t>
      </w:r>
      <w:r>
        <w:t>till förordningen en ny 3 a §, till 27 § en ny 5 punkt, till 52 § 1 mom. en ny 16 punkt, till förordningen en ny 64 a § samt till bilaga 5 punkt 2 en ny underpunkt 2.8 som följer:</w:t>
      </w:r>
    </w:p>
    <w:p w:rsidR="00C73D5D" w:rsidRPr="003515AD" w:rsidRDefault="00C73D5D" w:rsidP="00C73D5D">
      <w:pPr>
        <w:pStyle w:val="NormaaliWWW"/>
        <w:spacing w:before="0" w:beforeAutospacing="0" w:after="0" w:afterAutospacing="0"/>
      </w:pPr>
    </w:p>
    <w:p w:rsidR="00C73D5D" w:rsidRPr="003515AD" w:rsidRDefault="00C73D5D" w:rsidP="00C73D5D">
      <w:pPr>
        <w:pStyle w:val="NormaaliWWW"/>
        <w:spacing w:before="0" w:beforeAutospacing="0" w:after="0" w:afterAutospacing="0"/>
        <w:jc w:val="center"/>
        <w:rPr>
          <w:b/>
        </w:rPr>
      </w:pPr>
      <w:r>
        <w:rPr>
          <w:b/>
        </w:rPr>
        <w:t xml:space="preserve">3 a § </w:t>
      </w:r>
    </w:p>
    <w:p w:rsidR="00C73D5D" w:rsidRPr="003515AD" w:rsidRDefault="00C73D5D" w:rsidP="00C73D5D">
      <w:pPr>
        <w:pStyle w:val="NormaaliWWW"/>
        <w:spacing w:before="0" w:beforeAutospacing="0" w:after="0" w:afterAutospacing="0"/>
        <w:jc w:val="center"/>
        <w:rPr>
          <w:b/>
        </w:rPr>
      </w:pPr>
      <w:r>
        <w:rPr>
          <w:b/>
        </w:rPr>
        <w:t>Berättigandebedömning</w:t>
      </w:r>
    </w:p>
    <w:p w:rsidR="00C73D5D" w:rsidRPr="003515AD" w:rsidRDefault="00C73D5D" w:rsidP="00C73D5D">
      <w:pPr>
        <w:pStyle w:val="NormaaliWWW"/>
        <w:spacing w:before="0" w:beforeAutospacing="0" w:after="0" w:afterAutospacing="0"/>
      </w:pPr>
      <w:r>
        <w:t xml:space="preserve">Vid bedömningen av de i 3 § avsedda sammanräknade fördelarna och menen ska i strålningsverksamheten granskas </w:t>
      </w:r>
    </w:p>
    <w:p w:rsidR="00C73D5D" w:rsidRPr="003515AD" w:rsidRDefault="00C73D5D" w:rsidP="00C73D5D">
      <w:pPr>
        <w:pStyle w:val="NormaaliWWW"/>
        <w:spacing w:before="0" w:beforeAutospacing="0" w:after="0" w:afterAutospacing="0"/>
      </w:pPr>
      <w:r>
        <w:t xml:space="preserve">1) verkningsfullhet och strålsäkerhet, </w:t>
      </w:r>
    </w:p>
    <w:p w:rsidR="00C73D5D" w:rsidRPr="003515AD" w:rsidRDefault="00C73D5D" w:rsidP="00C73D5D">
      <w:pPr>
        <w:pStyle w:val="NormaaliWWW"/>
        <w:spacing w:before="0" w:beforeAutospacing="0" w:after="0" w:afterAutospacing="0"/>
      </w:pPr>
      <w:r>
        <w:t>2) ekonomiska aspekter,</w:t>
      </w:r>
    </w:p>
    <w:p w:rsidR="00C73D5D" w:rsidRPr="003515AD" w:rsidRDefault="00C73D5D" w:rsidP="00C73D5D">
      <w:pPr>
        <w:pStyle w:val="NormaaliWWW"/>
        <w:spacing w:before="0" w:beforeAutospacing="0" w:after="0" w:afterAutospacing="0"/>
      </w:pPr>
      <w:r>
        <w:t xml:space="preserve"> 3) etiska aspekter, om en människa avsiktligen utsätts för strålning, </w:t>
      </w:r>
    </w:p>
    <w:p w:rsidR="00C73D5D" w:rsidRPr="003515AD" w:rsidRDefault="00C73D5D" w:rsidP="00C73D5D">
      <w:pPr>
        <w:pStyle w:val="NormaaliWWW"/>
        <w:spacing w:before="0" w:beforeAutospacing="0" w:after="0" w:afterAutospacing="0"/>
      </w:pPr>
      <w:r>
        <w:t xml:space="preserve">4) aspekter som har anknytning till tillämpningen av lagstiftningen. </w:t>
      </w:r>
    </w:p>
    <w:p w:rsidR="00C73D5D" w:rsidRPr="003515AD" w:rsidRDefault="00C73D5D" w:rsidP="00C73D5D">
      <w:pPr>
        <w:pStyle w:val="NormaaliWWW"/>
      </w:pPr>
      <w:r>
        <w:t xml:space="preserve">Vid avbildning av personer granskas dessutom det personliga perspektivet i fråga om den som utsätts för strålning. </w:t>
      </w:r>
    </w:p>
    <w:p w:rsidR="00C73D5D" w:rsidRPr="003515AD" w:rsidRDefault="00C73D5D" w:rsidP="00C73D5D">
      <w:pPr>
        <w:pStyle w:val="NormaaliWWW"/>
        <w:rPr>
          <w:b/>
        </w:rPr>
      </w:pPr>
      <w:r>
        <w:t xml:space="preserve">Denna paragraf tillämpas inte på bedömningen av berättigande av medicinsk exponering enligt 4 § i denna förordning och inte heller på bedömningen om berättigande för tillverkning, import och transport av konsumentvaror enligt 6 §. </w:t>
      </w:r>
    </w:p>
    <w:p w:rsidR="00C73D5D" w:rsidRPr="003515AD" w:rsidRDefault="00C73D5D" w:rsidP="00C73D5D">
      <w:pPr>
        <w:pStyle w:val="NormaaliWWW"/>
        <w:spacing w:before="0" w:beforeAutospacing="0" w:after="0" w:afterAutospacing="0"/>
        <w:jc w:val="center"/>
        <w:rPr>
          <w:b/>
        </w:rPr>
      </w:pPr>
      <w:r>
        <w:rPr>
          <w:b/>
        </w:rPr>
        <w:t>25 §</w:t>
      </w:r>
    </w:p>
    <w:p w:rsidR="00C73D5D" w:rsidRPr="003515AD" w:rsidRDefault="00C73D5D" w:rsidP="00C73D5D">
      <w:pPr>
        <w:pStyle w:val="NormaaliWWW"/>
        <w:spacing w:before="0" w:beforeAutospacing="0" w:after="0" w:afterAutospacing="0"/>
        <w:jc w:val="center"/>
        <w:rPr>
          <w:b/>
        </w:rPr>
      </w:pPr>
      <w:r>
        <w:rPr>
          <w:b/>
        </w:rPr>
        <w:t>Ändring av säkerhetstillståndet</w:t>
      </w:r>
    </w:p>
    <w:p w:rsidR="00C73D5D" w:rsidRPr="003515AD" w:rsidRDefault="00C73D5D" w:rsidP="00C73D5D">
      <w:pPr>
        <w:autoSpaceDE w:val="0"/>
        <w:autoSpaceDN w:val="0"/>
        <w:adjustRightInd w:val="0"/>
        <w:rPr>
          <w:szCs w:val="24"/>
        </w:rPr>
      </w:pPr>
    </w:p>
    <w:p w:rsidR="00C73D5D" w:rsidRDefault="00C73D5D" w:rsidP="00C73D5D">
      <w:pPr>
        <w:spacing w:before="100" w:beforeAutospacing="1" w:after="100" w:afterAutospacing="1"/>
      </w:pPr>
      <w:r>
        <w:t>Väsentliga ändringar i verksamheten förutsätter att säkerhetstillståndet ändras på förhand, om</w:t>
      </w:r>
    </w:p>
    <w:p w:rsidR="002765A0" w:rsidRPr="003515AD" w:rsidRDefault="002765A0" w:rsidP="002765A0">
      <w:pPr>
        <w:pStyle w:val="Luettelokappale"/>
        <w:autoSpaceDE w:val="0"/>
        <w:autoSpaceDN w:val="0"/>
        <w:adjustRightInd w:val="0"/>
        <w:ind w:left="0"/>
        <w:rPr>
          <w:rFonts w:ascii="Times New Roman" w:hAnsi="Times New Roman" w:cs="Times New Roman"/>
          <w:sz w:val="24"/>
          <w:szCs w:val="24"/>
        </w:rPr>
      </w:pPr>
      <w:r>
        <w:rPr>
          <w:rFonts w:ascii="Times New Roman" w:hAnsi="Times New Roman"/>
          <w:sz w:val="24"/>
        </w:rPr>
        <w:t>−−−−−−−−−−−−−−−−−−</w:t>
      </w:r>
    </w:p>
    <w:p w:rsidR="002765A0" w:rsidRPr="002765A0" w:rsidRDefault="002765A0" w:rsidP="002765A0">
      <w:pPr>
        <w:spacing w:before="100" w:beforeAutospacing="1" w:after="100" w:afterAutospacing="1"/>
        <w:rPr>
          <w:rFonts w:eastAsiaTheme="minorHAnsi" w:cstheme="minorHAnsi"/>
          <w:szCs w:val="22"/>
        </w:rPr>
      </w:pPr>
      <w:r>
        <w:rPr>
          <w:rFonts w:eastAsiaTheme="minorHAnsi" w:cstheme="minorHAnsi"/>
          <w:szCs w:val="22"/>
        </w:rPr>
        <w:t xml:space="preserve">    </w:t>
      </w:r>
      <w:bookmarkStart w:id="0" w:name="_GoBack"/>
      <w:bookmarkEnd w:id="0"/>
      <w:r w:rsidRPr="002765A0">
        <w:rPr>
          <w:rFonts w:eastAsiaTheme="minorHAnsi" w:cstheme="minorHAnsi"/>
          <w:szCs w:val="22"/>
        </w:rPr>
        <w:t xml:space="preserve">3) </w:t>
      </w:r>
      <w:r>
        <w:rPr>
          <w:rFonts w:eastAsiaTheme="minorHAnsi" w:cstheme="minorHAnsi"/>
          <w:szCs w:val="22"/>
        </w:rPr>
        <w:t xml:space="preserve"> </w:t>
      </w:r>
      <w:r w:rsidRPr="002765A0">
        <w:rPr>
          <w:rFonts w:eastAsiaTheme="minorHAnsi" w:cstheme="minorHAnsi"/>
          <w:szCs w:val="22"/>
        </w:rPr>
        <w:t xml:space="preserve">en betydande ändring i ledningssystemet, </w:t>
      </w:r>
    </w:p>
    <w:p w:rsidR="00C73D5D" w:rsidRPr="003515AD" w:rsidRDefault="00C73D5D" w:rsidP="00C73D5D">
      <w:pPr>
        <w:pStyle w:val="Luettelokappale"/>
        <w:autoSpaceDE w:val="0"/>
        <w:autoSpaceDN w:val="0"/>
        <w:adjustRightInd w:val="0"/>
        <w:ind w:left="0"/>
        <w:rPr>
          <w:rFonts w:ascii="Times New Roman" w:hAnsi="Times New Roman" w:cs="Times New Roman"/>
          <w:sz w:val="24"/>
          <w:szCs w:val="24"/>
        </w:rPr>
      </w:pPr>
      <w:r>
        <w:rPr>
          <w:rFonts w:ascii="Times New Roman" w:hAnsi="Times New Roman"/>
          <w:sz w:val="24"/>
        </w:rPr>
        <w:t>−−−−−−−−−−−−−−−−−−</w:t>
      </w:r>
    </w:p>
    <w:p w:rsidR="00C73D5D" w:rsidRPr="003515AD" w:rsidRDefault="00C73D5D" w:rsidP="00C73D5D">
      <w:pPr>
        <w:pStyle w:val="Luettelokappale"/>
        <w:numPr>
          <w:ilvl w:val="0"/>
          <w:numId w:val="1"/>
        </w:numPr>
        <w:autoSpaceDE w:val="0"/>
        <w:autoSpaceDN w:val="0"/>
        <w:adjustRightInd w:val="0"/>
        <w:rPr>
          <w:rFonts w:ascii="Times New Roman" w:hAnsi="Times New Roman" w:cs="Times New Roman"/>
          <w:sz w:val="24"/>
          <w:szCs w:val="24"/>
        </w:rPr>
      </w:pPr>
      <w:r>
        <w:rPr>
          <w:rFonts w:ascii="Times New Roman" w:hAnsi="Times New Roman"/>
          <w:sz w:val="24"/>
        </w:rPr>
        <w:t>användningen av strålning ändras så att någon annan strålkälla än de som avses i 4 och 5 punkterna tas i bruk, om strålkällan avseende dess strålningsegenskaper och strålsäkerhetsegenskaper avviker från de som redan används i verksamheten enligt säkerhetstillståndet eller om strålsäkerheten under det att strålkällan används förutsätter ändringar av skyddskonstruktionerna eller av arrangemangen gällande användningsplatsen,</w:t>
      </w:r>
    </w:p>
    <w:p w:rsidR="00C73D5D" w:rsidRPr="003515AD" w:rsidRDefault="00C73D5D" w:rsidP="00C73D5D">
      <w:pPr>
        <w:autoSpaceDE w:val="0"/>
        <w:autoSpaceDN w:val="0"/>
        <w:adjustRightInd w:val="0"/>
        <w:rPr>
          <w:szCs w:val="24"/>
        </w:rPr>
      </w:pPr>
      <w:r>
        <w:t>−−−−−−−−−−−−−−−−−−</w:t>
      </w:r>
    </w:p>
    <w:p w:rsidR="00C73D5D" w:rsidRPr="003515AD" w:rsidRDefault="00C73D5D" w:rsidP="00C73D5D">
      <w:pPr>
        <w:pStyle w:val="Luettelokappale"/>
        <w:numPr>
          <w:ilvl w:val="0"/>
          <w:numId w:val="2"/>
        </w:numPr>
        <w:autoSpaceDE w:val="0"/>
        <w:autoSpaceDN w:val="0"/>
        <w:adjustRightInd w:val="0"/>
        <w:rPr>
          <w:rFonts w:ascii="Times New Roman" w:hAnsi="Times New Roman" w:cs="Times New Roman"/>
          <w:sz w:val="24"/>
          <w:szCs w:val="24"/>
        </w:rPr>
      </w:pPr>
      <w:r>
        <w:rPr>
          <w:rFonts w:ascii="Times New Roman" w:hAnsi="Times New Roman"/>
          <w:sz w:val="24"/>
        </w:rPr>
        <w:t>verksamhetsplatsen ändras och denna omfattas av särskilda krav på strålsäkerhet eller säkerhetsarrangemang,</w:t>
      </w:r>
    </w:p>
    <w:p w:rsidR="00C73D5D" w:rsidRPr="003515AD" w:rsidRDefault="00C73D5D" w:rsidP="00C73D5D">
      <w:pPr>
        <w:pStyle w:val="Luettelokappale"/>
        <w:autoSpaceDE w:val="0"/>
        <w:autoSpaceDN w:val="0"/>
        <w:adjustRightInd w:val="0"/>
        <w:ind w:left="0"/>
        <w:rPr>
          <w:rFonts w:ascii="Times New Roman" w:hAnsi="Times New Roman" w:cs="Times New Roman"/>
          <w:sz w:val="24"/>
          <w:szCs w:val="24"/>
        </w:rPr>
      </w:pPr>
      <w:r>
        <w:rPr>
          <w:rFonts w:ascii="Times New Roman" w:hAnsi="Times New Roman"/>
          <w:sz w:val="24"/>
        </w:rPr>
        <w:t>−−−−−−−−−−−−−−−−−−</w:t>
      </w:r>
    </w:p>
    <w:p w:rsidR="00C73D5D" w:rsidRPr="003515AD" w:rsidRDefault="00C73D5D" w:rsidP="00C73D5D">
      <w:pPr>
        <w:pStyle w:val="Luettelokappale"/>
        <w:autoSpaceDE w:val="0"/>
        <w:autoSpaceDN w:val="0"/>
        <w:adjustRightInd w:val="0"/>
        <w:ind w:left="644"/>
        <w:rPr>
          <w:rFonts w:ascii="Times New Roman" w:hAnsi="Times New Roman" w:cs="Times New Roman"/>
          <w:sz w:val="24"/>
          <w:szCs w:val="24"/>
        </w:rPr>
      </w:pPr>
    </w:p>
    <w:p w:rsidR="00C73D5D" w:rsidRPr="003515AD" w:rsidRDefault="00C73D5D" w:rsidP="00C73D5D">
      <w:pPr>
        <w:pStyle w:val="Luettelokappale"/>
        <w:autoSpaceDE w:val="0"/>
        <w:autoSpaceDN w:val="0"/>
        <w:adjustRightInd w:val="0"/>
        <w:ind w:left="644"/>
        <w:rPr>
          <w:rFonts w:ascii="Times New Roman" w:hAnsi="Times New Roman" w:cs="Times New Roman"/>
          <w:sz w:val="24"/>
          <w:szCs w:val="24"/>
        </w:rPr>
      </w:pPr>
    </w:p>
    <w:p w:rsidR="00C73D5D" w:rsidRPr="003515AD" w:rsidRDefault="00C73D5D" w:rsidP="00C73D5D">
      <w:pPr>
        <w:autoSpaceDE w:val="0"/>
        <w:autoSpaceDN w:val="0"/>
        <w:adjustRightInd w:val="0"/>
        <w:jc w:val="center"/>
        <w:rPr>
          <w:b/>
          <w:szCs w:val="24"/>
        </w:rPr>
      </w:pPr>
      <w:r>
        <w:rPr>
          <w:b/>
        </w:rPr>
        <w:t>26 §</w:t>
      </w:r>
    </w:p>
    <w:p w:rsidR="00C73D5D" w:rsidRPr="003515AD" w:rsidRDefault="00C73D5D" w:rsidP="00C73D5D">
      <w:pPr>
        <w:autoSpaceDE w:val="0"/>
        <w:autoSpaceDN w:val="0"/>
        <w:adjustRightInd w:val="0"/>
        <w:jc w:val="center"/>
        <w:rPr>
          <w:b/>
          <w:iCs/>
          <w:szCs w:val="24"/>
        </w:rPr>
      </w:pPr>
      <w:r>
        <w:rPr>
          <w:b/>
        </w:rPr>
        <w:t>Anmälan om ändringar i en verksamhet som kräver säkerhetstillstånd</w:t>
      </w:r>
    </w:p>
    <w:p w:rsidR="00C73D5D" w:rsidRPr="003515AD" w:rsidRDefault="00C73D5D" w:rsidP="00C73D5D">
      <w:pPr>
        <w:autoSpaceDE w:val="0"/>
        <w:autoSpaceDN w:val="0"/>
        <w:adjustRightInd w:val="0"/>
        <w:rPr>
          <w:szCs w:val="24"/>
        </w:rPr>
      </w:pPr>
    </w:p>
    <w:p w:rsidR="00C73D5D" w:rsidRPr="003515AD" w:rsidRDefault="00C73D5D" w:rsidP="00C73D5D">
      <w:pPr>
        <w:autoSpaceDE w:val="0"/>
        <w:autoSpaceDN w:val="0"/>
        <w:adjustRightInd w:val="0"/>
        <w:rPr>
          <w:szCs w:val="24"/>
        </w:rPr>
      </w:pPr>
      <w:r>
        <w:t>Ändringar i sådan verksamhet som kräver säkerhetstillstånd ska anmälas till Strålsäkerhetscentralen inom två veckor från det att ändringen gjorts, om</w:t>
      </w:r>
    </w:p>
    <w:p w:rsidR="00C73D5D" w:rsidRDefault="00C73D5D" w:rsidP="00C73D5D">
      <w:pPr>
        <w:autoSpaceDE w:val="0"/>
        <w:autoSpaceDN w:val="0"/>
        <w:adjustRightInd w:val="0"/>
        <w:rPr>
          <w:szCs w:val="24"/>
        </w:rPr>
      </w:pPr>
    </w:p>
    <w:p w:rsidR="00C73D5D" w:rsidRPr="003515AD" w:rsidRDefault="00C73D5D" w:rsidP="00C73D5D">
      <w:pPr>
        <w:autoSpaceDE w:val="0"/>
        <w:autoSpaceDN w:val="0"/>
        <w:adjustRightInd w:val="0"/>
        <w:rPr>
          <w:szCs w:val="24"/>
        </w:rPr>
      </w:pPr>
    </w:p>
    <w:p w:rsidR="00C73D5D" w:rsidRDefault="00C73D5D" w:rsidP="00C73D5D">
      <w:pPr>
        <w:pStyle w:val="py"/>
        <w:spacing w:before="0" w:beforeAutospacing="0" w:after="0" w:afterAutospacing="0"/>
      </w:pPr>
      <w:r>
        <w:t>1) kontaktuppgifterna till innehavaren av säkerhetstillståndet ändras,</w:t>
      </w:r>
    </w:p>
    <w:p w:rsidR="00C73D5D" w:rsidRDefault="00C73D5D" w:rsidP="00C73D5D">
      <w:pPr>
        <w:pStyle w:val="py"/>
        <w:spacing w:before="0" w:beforeAutospacing="0" w:after="0" w:afterAutospacing="0"/>
      </w:pPr>
      <w:r>
        <w:t>2) ändringen innebär att strålningsexponeringens eller strålkällans kategori ändras från kategori 2 eller 1 till kategori 3, eller från kategori 1 till kategori 2,</w:t>
      </w:r>
    </w:p>
    <w:p w:rsidR="00C73D5D" w:rsidRDefault="00C73D5D" w:rsidP="00C73D5D">
      <w:pPr>
        <w:pStyle w:val="py"/>
        <w:spacing w:before="0" w:beforeAutospacing="0" w:after="0" w:afterAutospacing="0"/>
      </w:pPr>
      <w:r>
        <w:t xml:space="preserve">3) den strålsäkerhetsansvarige byts, </w:t>
      </w:r>
    </w:p>
    <w:p w:rsidR="00C73D5D" w:rsidRDefault="00C73D5D" w:rsidP="00C73D5D">
      <w:pPr>
        <w:pStyle w:val="py"/>
        <w:spacing w:before="0" w:beforeAutospacing="0" w:after="0" w:afterAutospacing="0"/>
      </w:pPr>
      <w:r>
        <w:t>4) någon annan strålkälla än de som avses i 25 § 4-6 punkterna tas i bruk,</w:t>
      </w:r>
    </w:p>
    <w:p w:rsidR="00C73D5D" w:rsidRDefault="00C73D5D" w:rsidP="00C73D5D">
      <w:pPr>
        <w:pStyle w:val="py"/>
        <w:spacing w:before="0" w:beforeAutospacing="0" w:after="0" w:afterAutospacing="0"/>
      </w:pPr>
      <w:r>
        <w:t>5) det görs en väsentlig ändring i ett kvalitetssäkringsprogram för strålbehandling,</w:t>
      </w:r>
    </w:p>
    <w:p w:rsidR="00C73D5D" w:rsidRDefault="00C73D5D" w:rsidP="00C73D5D">
      <w:pPr>
        <w:pStyle w:val="py"/>
        <w:spacing w:before="0" w:beforeAutospacing="0" w:after="0" w:afterAutospacing="0"/>
      </w:pPr>
      <w:r>
        <w:t>6) användningen av en strålkälla upphör,</w:t>
      </w:r>
    </w:p>
    <w:p w:rsidR="00C73D5D" w:rsidRDefault="00C73D5D" w:rsidP="00C73D5D">
      <w:pPr>
        <w:pStyle w:val="py"/>
        <w:spacing w:before="0" w:beforeAutospacing="0" w:after="0" w:afterAutospacing="0"/>
      </w:pPr>
      <w:r>
        <w:t>7) strålningsverksamheten upphör helt eller delvis.</w:t>
      </w:r>
    </w:p>
    <w:p w:rsidR="00C73D5D" w:rsidRDefault="00C73D5D" w:rsidP="00C73D5D">
      <w:pPr>
        <w:autoSpaceDE w:val="0"/>
        <w:autoSpaceDN w:val="0"/>
        <w:adjustRightInd w:val="0"/>
        <w:rPr>
          <w:szCs w:val="24"/>
        </w:rPr>
      </w:pPr>
      <w:r>
        <w:t xml:space="preserve"> 8) verksamhetsplatsen ändras, med undantag av en sådan ändring av verksamhetsplatsen som avses i 25 § 1 mom. 8 punkten,</w:t>
      </w:r>
    </w:p>
    <w:p w:rsidR="00C73D5D" w:rsidRPr="003515AD" w:rsidRDefault="00C73D5D" w:rsidP="00C73D5D">
      <w:pPr>
        <w:pStyle w:val="Luettelokappale"/>
        <w:autoSpaceDE w:val="0"/>
        <w:autoSpaceDN w:val="0"/>
        <w:adjustRightInd w:val="0"/>
        <w:ind w:left="0"/>
        <w:rPr>
          <w:rFonts w:ascii="Times New Roman" w:hAnsi="Times New Roman" w:cs="Times New Roman"/>
          <w:sz w:val="24"/>
          <w:szCs w:val="24"/>
        </w:rPr>
      </w:pPr>
      <w:r>
        <w:rPr>
          <w:rFonts w:ascii="Times New Roman" w:hAnsi="Times New Roman"/>
          <w:sz w:val="24"/>
        </w:rPr>
        <w:t>−−−−−−−−−−−−−−−−−−</w:t>
      </w:r>
    </w:p>
    <w:p w:rsidR="00C73D5D" w:rsidRDefault="00C73D5D" w:rsidP="00C73D5D">
      <w:pPr>
        <w:autoSpaceDE w:val="0"/>
        <w:autoSpaceDN w:val="0"/>
        <w:adjustRightInd w:val="0"/>
        <w:rPr>
          <w:szCs w:val="24"/>
        </w:rPr>
      </w:pPr>
    </w:p>
    <w:p w:rsidR="00C73D5D" w:rsidRPr="003515AD" w:rsidRDefault="00C73D5D" w:rsidP="00C73D5D">
      <w:pPr>
        <w:autoSpaceDE w:val="0"/>
        <w:autoSpaceDN w:val="0"/>
        <w:adjustRightInd w:val="0"/>
        <w:rPr>
          <w:szCs w:val="24"/>
        </w:rPr>
      </w:pPr>
    </w:p>
    <w:p w:rsidR="00C73D5D" w:rsidRPr="003515AD" w:rsidRDefault="00C73D5D" w:rsidP="00C73D5D">
      <w:pPr>
        <w:pStyle w:val="Luettelokappale"/>
        <w:ind w:left="644"/>
        <w:rPr>
          <w:rFonts w:ascii="Times New Roman" w:hAnsi="Times New Roman" w:cs="Times New Roman"/>
          <w:sz w:val="24"/>
          <w:szCs w:val="24"/>
          <w:u w:val="single"/>
        </w:rPr>
      </w:pPr>
    </w:p>
    <w:p w:rsidR="00C73D5D" w:rsidRPr="003515AD" w:rsidRDefault="00C73D5D" w:rsidP="00C73D5D">
      <w:pPr>
        <w:autoSpaceDE w:val="0"/>
        <w:autoSpaceDN w:val="0"/>
        <w:adjustRightInd w:val="0"/>
        <w:jc w:val="center"/>
        <w:rPr>
          <w:b/>
          <w:szCs w:val="24"/>
        </w:rPr>
      </w:pPr>
      <w:r>
        <w:rPr>
          <w:b/>
        </w:rPr>
        <w:t>27 §</w:t>
      </w:r>
    </w:p>
    <w:p w:rsidR="00C73D5D" w:rsidRPr="003515AD" w:rsidRDefault="00C73D5D" w:rsidP="00C73D5D">
      <w:pPr>
        <w:autoSpaceDE w:val="0"/>
        <w:autoSpaceDN w:val="0"/>
        <w:adjustRightInd w:val="0"/>
        <w:jc w:val="center"/>
        <w:rPr>
          <w:b/>
          <w:iCs/>
          <w:szCs w:val="24"/>
        </w:rPr>
      </w:pPr>
      <w:r>
        <w:rPr>
          <w:b/>
        </w:rPr>
        <w:t>Verksamhet som är befriad från säkerhetstillstånd</w:t>
      </w:r>
    </w:p>
    <w:p w:rsidR="00C73D5D" w:rsidRPr="003515AD" w:rsidRDefault="00C73D5D" w:rsidP="00C73D5D">
      <w:pPr>
        <w:autoSpaceDE w:val="0"/>
        <w:autoSpaceDN w:val="0"/>
        <w:adjustRightInd w:val="0"/>
        <w:rPr>
          <w:szCs w:val="24"/>
        </w:rPr>
      </w:pPr>
    </w:p>
    <w:p w:rsidR="00C73D5D" w:rsidRPr="003515AD" w:rsidRDefault="00C73D5D" w:rsidP="00C73D5D">
      <w:pPr>
        <w:autoSpaceDE w:val="0"/>
        <w:autoSpaceDN w:val="0"/>
        <w:adjustRightInd w:val="0"/>
        <w:rPr>
          <w:szCs w:val="24"/>
        </w:rPr>
      </w:pPr>
      <w:r>
        <w:t>Med stöd av 49 § 1 mom. 9 punkten behövs säkerhetstillstånd inte</w:t>
      </w:r>
    </w:p>
    <w:p w:rsidR="00C73D5D" w:rsidRPr="003515AD" w:rsidRDefault="00C73D5D" w:rsidP="00C73D5D">
      <w:pPr>
        <w:pStyle w:val="Luettelokappale"/>
        <w:autoSpaceDE w:val="0"/>
        <w:autoSpaceDN w:val="0"/>
        <w:adjustRightInd w:val="0"/>
        <w:ind w:left="0"/>
        <w:rPr>
          <w:rFonts w:ascii="Times New Roman" w:hAnsi="Times New Roman" w:cs="Times New Roman"/>
          <w:sz w:val="24"/>
          <w:szCs w:val="24"/>
        </w:rPr>
      </w:pPr>
      <w:r>
        <w:rPr>
          <w:rFonts w:ascii="Times New Roman" w:hAnsi="Times New Roman"/>
          <w:sz w:val="24"/>
        </w:rPr>
        <w:t>−−−−−−−−−−−−−−−−−−</w:t>
      </w:r>
    </w:p>
    <w:p w:rsidR="00C73D5D" w:rsidRPr="003515AD" w:rsidRDefault="00C73D5D" w:rsidP="00C73D5D">
      <w:pPr>
        <w:autoSpaceDE w:val="0"/>
        <w:autoSpaceDN w:val="0"/>
        <w:adjustRightInd w:val="0"/>
        <w:rPr>
          <w:szCs w:val="24"/>
        </w:rPr>
      </w:pPr>
      <w:bookmarkStart w:id="1" w:name="_Hlk43372047"/>
      <w:r>
        <w:t>3) när slutna strålkällor med högst 40 kilobecquerel radioaktiva americium-241 isotoper, strontium-90 isotoper eller cesium-137 isotoper som på grund av deras strålsäkerhetsegenskaper är avsedda för undervisning används för undervisning i skolor, yrkesläroanstalter och i med dem jämförbara inrättningar, förutsatt att läroanstalten har en utnämnd strålsäkerhetsansvarig,</w:t>
      </w:r>
    </w:p>
    <w:bookmarkEnd w:id="1"/>
    <w:p w:rsidR="00C73D5D" w:rsidRPr="003515AD" w:rsidRDefault="00C73D5D" w:rsidP="00C73D5D">
      <w:pPr>
        <w:autoSpaceDE w:val="0"/>
        <w:autoSpaceDN w:val="0"/>
        <w:adjustRightInd w:val="0"/>
        <w:rPr>
          <w:szCs w:val="24"/>
        </w:rPr>
      </w:pPr>
    </w:p>
    <w:p w:rsidR="00C73D5D" w:rsidRPr="003515AD" w:rsidRDefault="00C73D5D" w:rsidP="00C73D5D">
      <w:pPr>
        <w:autoSpaceDE w:val="0"/>
        <w:autoSpaceDN w:val="0"/>
        <w:adjustRightInd w:val="0"/>
        <w:rPr>
          <w:strike/>
          <w:szCs w:val="24"/>
        </w:rPr>
      </w:pPr>
      <w:r>
        <w:t>4) när lampor och tändanordningar innehållande radioaktiva ämnen till en mängd som inte överstiger frigränsen används i enlighet med deras avsedda ändamål samt för återförsäljning och för innehav, förvaring, lagring, installation, underhåll och reparation i anslutning till användning och återförsäljning av dem.</w:t>
      </w:r>
    </w:p>
    <w:p w:rsidR="00C73D5D" w:rsidRPr="003515AD" w:rsidRDefault="00C73D5D" w:rsidP="00C73D5D">
      <w:pPr>
        <w:autoSpaceDE w:val="0"/>
        <w:autoSpaceDN w:val="0"/>
        <w:adjustRightInd w:val="0"/>
        <w:rPr>
          <w:szCs w:val="24"/>
        </w:rPr>
      </w:pPr>
      <w:r>
        <w:t>5) när elektronmikroskop används.</w:t>
      </w:r>
    </w:p>
    <w:p w:rsidR="00C73D5D" w:rsidRPr="003515AD" w:rsidRDefault="00C73D5D" w:rsidP="00C73D5D">
      <w:pPr>
        <w:autoSpaceDE w:val="0"/>
        <w:autoSpaceDN w:val="0"/>
        <w:adjustRightInd w:val="0"/>
        <w:rPr>
          <w:szCs w:val="24"/>
        </w:rPr>
      </w:pPr>
    </w:p>
    <w:p w:rsidR="00C73D5D" w:rsidRPr="003515AD" w:rsidRDefault="00C73D5D" w:rsidP="00C73D5D">
      <w:pPr>
        <w:autoSpaceDE w:val="0"/>
        <w:autoSpaceDN w:val="0"/>
        <w:jc w:val="center"/>
        <w:rPr>
          <w:b/>
          <w:szCs w:val="24"/>
        </w:rPr>
      </w:pPr>
      <w:r>
        <w:rPr>
          <w:b/>
        </w:rPr>
        <w:t>28 §</w:t>
      </w:r>
    </w:p>
    <w:p w:rsidR="00C73D5D" w:rsidRPr="003515AD" w:rsidRDefault="00C73D5D" w:rsidP="00C73D5D">
      <w:pPr>
        <w:autoSpaceDE w:val="0"/>
        <w:autoSpaceDN w:val="0"/>
        <w:jc w:val="center"/>
        <w:rPr>
          <w:b/>
          <w:iCs/>
          <w:szCs w:val="24"/>
        </w:rPr>
      </w:pPr>
      <w:r>
        <w:rPr>
          <w:b/>
        </w:rPr>
        <w:t>Förutsättningar för befriande från säkerhetstillstånd</w:t>
      </w:r>
    </w:p>
    <w:p w:rsidR="00C73D5D" w:rsidRPr="003515AD" w:rsidRDefault="00C73D5D" w:rsidP="00C73D5D">
      <w:pPr>
        <w:autoSpaceDE w:val="0"/>
        <w:autoSpaceDN w:val="0"/>
        <w:rPr>
          <w:szCs w:val="24"/>
        </w:rPr>
      </w:pPr>
    </w:p>
    <w:p w:rsidR="00C73D5D" w:rsidRPr="003515AD" w:rsidRDefault="00C73D5D" w:rsidP="00C73D5D">
      <w:pPr>
        <w:autoSpaceDE w:val="0"/>
        <w:autoSpaceDN w:val="0"/>
        <w:rPr>
          <w:szCs w:val="24"/>
        </w:rPr>
      </w:pPr>
      <w:r>
        <w:t>Strålningsexponering medför inte skada för hälsan på det sätt som avses i 50 § 1 mom. 1 punkten i strålsäkerhetslagen, om den effektiva dosen för en enskild individ i befolkningen, med undantag av osannolika strålsäkerhetsincidenter, inte överstiger storleksklassen</w:t>
      </w:r>
    </w:p>
    <w:p w:rsidR="00C73D5D" w:rsidRPr="003515AD" w:rsidRDefault="00C73D5D" w:rsidP="00C73D5D">
      <w:pPr>
        <w:autoSpaceDE w:val="0"/>
        <w:autoSpaceDN w:val="0"/>
        <w:rPr>
          <w:szCs w:val="24"/>
        </w:rPr>
      </w:pPr>
      <w:r>
        <w:t>1) 10 mikrosievert per år när det gäller strålkällor,</w:t>
      </w:r>
    </w:p>
    <w:p w:rsidR="00C73D5D" w:rsidRPr="003515AD" w:rsidRDefault="00C73D5D" w:rsidP="00C73D5D">
      <w:pPr>
        <w:autoSpaceDE w:val="0"/>
        <w:autoSpaceDN w:val="0"/>
        <w:rPr>
          <w:szCs w:val="24"/>
        </w:rPr>
      </w:pPr>
      <w:r>
        <w:t xml:space="preserve">2) enligt det referensvärde för naturlig strålning som avses i 144 § i strålsäkerhetslagen. </w:t>
      </w:r>
    </w:p>
    <w:p w:rsidR="00C73D5D" w:rsidRPr="003515AD" w:rsidRDefault="00C73D5D" w:rsidP="00C73D5D">
      <w:pPr>
        <w:autoSpaceDE w:val="0"/>
        <w:autoSpaceDN w:val="0"/>
        <w:rPr>
          <w:szCs w:val="24"/>
        </w:rPr>
      </w:pPr>
    </w:p>
    <w:p w:rsidR="00C73D5D" w:rsidRPr="003515AD" w:rsidRDefault="00C73D5D" w:rsidP="00C73D5D">
      <w:pPr>
        <w:autoSpaceDE w:val="0"/>
        <w:autoSpaceDN w:val="0"/>
        <w:rPr>
          <w:szCs w:val="24"/>
        </w:rPr>
      </w:pPr>
      <w:r>
        <w:t>Verksamheten är i princip säker på det sätt som avses i 50 § 1 mom. 3 punkten i strålsäkerhetslagen, om</w:t>
      </w:r>
    </w:p>
    <w:p w:rsidR="00C73D5D" w:rsidRPr="003515AD" w:rsidRDefault="00C73D5D" w:rsidP="00C73D5D">
      <w:pPr>
        <w:autoSpaceDE w:val="0"/>
        <w:autoSpaceDN w:val="0"/>
        <w:rPr>
          <w:szCs w:val="24"/>
        </w:rPr>
      </w:pPr>
    </w:p>
    <w:p w:rsidR="00C73D5D" w:rsidRPr="003515AD" w:rsidRDefault="00C73D5D" w:rsidP="00C73D5D">
      <w:pPr>
        <w:pStyle w:val="Luettelokappale"/>
        <w:numPr>
          <w:ilvl w:val="0"/>
          <w:numId w:val="3"/>
        </w:numPr>
        <w:autoSpaceDE w:val="0"/>
        <w:autoSpaceDN w:val="0"/>
        <w:ind w:left="360"/>
        <w:rPr>
          <w:rFonts w:ascii="Times New Roman" w:eastAsia="Times New Roman" w:hAnsi="Times New Roman" w:cs="Times New Roman"/>
          <w:sz w:val="24"/>
          <w:szCs w:val="24"/>
        </w:rPr>
      </w:pPr>
      <w:r>
        <w:rPr>
          <w:rFonts w:ascii="Times New Roman" w:hAnsi="Times New Roman"/>
          <w:sz w:val="24"/>
        </w:rPr>
        <w:t>arbetstagarna inte behöver klassificeras som strålningsarbetare och</w:t>
      </w:r>
    </w:p>
    <w:p w:rsidR="00C73D5D" w:rsidRPr="003515AD" w:rsidRDefault="00C73D5D" w:rsidP="00C73D5D">
      <w:pPr>
        <w:pStyle w:val="Luettelokappale"/>
        <w:numPr>
          <w:ilvl w:val="0"/>
          <w:numId w:val="3"/>
        </w:numPr>
        <w:autoSpaceDE w:val="0"/>
        <w:autoSpaceDN w:val="0"/>
        <w:ind w:left="360"/>
        <w:rPr>
          <w:rFonts w:ascii="Times New Roman" w:eastAsia="Times New Roman" w:hAnsi="Times New Roman" w:cs="Times New Roman"/>
          <w:sz w:val="24"/>
          <w:szCs w:val="24"/>
        </w:rPr>
      </w:pPr>
      <w:r>
        <w:rPr>
          <w:rFonts w:ascii="Times New Roman" w:hAnsi="Times New Roman"/>
          <w:sz w:val="24"/>
        </w:rPr>
        <w:t>den effektiva dosen för en individ i befolkningen vid osannolika strålsäkerhetsincidenter är högst 0,01 millisievert per år.</w:t>
      </w:r>
    </w:p>
    <w:p w:rsidR="00C73D5D" w:rsidRPr="003515AD" w:rsidRDefault="00C73D5D" w:rsidP="00C73D5D">
      <w:pPr>
        <w:pStyle w:val="Luettelokappale"/>
        <w:autoSpaceDE w:val="0"/>
        <w:autoSpaceDN w:val="0"/>
        <w:adjustRightInd w:val="0"/>
        <w:ind w:left="0"/>
        <w:rPr>
          <w:rFonts w:ascii="Times New Roman" w:hAnsi="Times New Roman" w:cs="Times New Roman"/>
          <w:sz w:val="24"/>
          <w:szCs w:val="24"/>
        </w:rPr>
      </w:pPr>
      <w:r>
        <w:rPr>
          <w:rFonts w:ascii="Times New Roman" w:hAnsi="Times New Roman"/>
          <w:sz w:val="24"/>
        </w:rPr>
        <w:t>−−−−−−−−−−−−−−−−−−</w:t>
      </w:r>
    </w:p>
    <w:p w:rsidR="00C73D5D" w:rsidRPr="003515AD" w:rsidRDefault="00C73D5D" w:rsidP="00C73D5D">
      <w:pPr>
        <w:autoSpaceDE w:val="0"/>
        <w:autoSpaceDN w:val="0"/>
        <w:adjustRightInd w:val="0"/>
        <w:jc w:val="center"/>
        <w:rPr>
          <w:b/>
          <w:szCs w:val="24"/>
        </w:rPr>
      </w:pPr>
      <w:r>
        <w:rPr>
          <w:b/>
        </w:rPr>
        <w:t>30 §</w:t>
      </w:r>
    </w:p>
    <w:p w:rsidR="00C73D5D" w:rsidRPr="003515AD" w:rsidRDefault="00C73D5D" w:rsidP="00C73D5D">
      <w:pPr>
        <w:autoSpaceDE w:val="0"/>
        <w:autoSpaceDN w:val="0"/>
        <w:adjustRightInd w:val="0"/>
        <w:jc w:val="center"/>
        <w:rPr>
          <w:b/>
          <w:iCs/>
          <w:szCs w:val="24"/>
        </w:rPr>
      </w:pPr>
      <w:r>
        <w:rPr>
          <w:b/>
        </w:rPr>
        <w:t>Radioaktivt avfall</w:t>
      </w:r>
    </w:p>
    <w:p w:rsidR="00C73D5D" w:rsidRPr="003515AD" w:rsidRDefault="00C73D5D" w:rsidP="00C73D5D">
      <w:pPr>
        <w:autoSpaceDE w:val="0"/>
        <w:autoSpaceDN w:val="0"/>
        <w:adjustRightInd w:val="0"/>
        <w:rPr>
          <w:strike/>
          <w:szCs w:val="24"/>
        </w:rPr>
      </w:pPr>
      <w:r>
        <w:t xml:space="preserve"> </w:t>
      </w:r>
    </w:p>
    <w:p w:rsidR="00C73D5D" w:rsidRDefault="00C73D5D" w:rsidP="00C73D5D">
      <w:pPr>
        <w:autoSpaceDE w:val="0"/>
        <w:autoSpaceDN w:val="0"/>
        <w:adjustRightInd w:val="0"/>
        <w:rPr>
          <w:szCs w:val="24"/>
        </w:rPr>
      </w:pPr>
      <w:r>
        <w:t>En strålkälla som det inte finns användning för eller för vilka ägaren inte står att finna anses inte vara radioaktivt avfall, om dess aktivitet eller aktivitetskoncentration är lägre än den frigräns som avses i 49 § i strålskyddslagen. Om strålkällan innehåller olika radionuklider eller om flera strålkällor hanteras samtidigt, anses en strålkälla eller ett parti strålkällor inte vara radioaktivt avfall när den nuklidspecifika aktiviteten eller aktivitetskoncentrationen dividerad med motsvarande frigräns är lägre än 1 för samtliga nuklider sammanlagt.</w:t>
      </w:r>
    </w:p>
    <w:p w:rsidR="00C73D5D" w:rsidRPr="003515AD" w:rsidRDefault="00C73D5D" w:rsidP="00C73D5D">
      <w:pPr>
        <w:autoSpaceDE w:val="0"/>
        <w:autoSpaceDN w:val="0"/>
        <w:adjustRightInd w:val="0"/>
        <w:rPr>
          <w:szCs w:val="24"/>
          <w:u w:val="single"/>
        </w:rPr>
      </w:pPr>
    </w:p>
    <w:p w:rsidR="00C73D5D" w:rsidRPr="003515AD" w:rsidRDefault="00C73D5D" w:rsidP="00C73D5D">
      <w:pPr>
        <w:autoSpaceDE w:val="0"/>
        <w:autoSpaceDN w:val="0"/>
        <w:adjustRightInd w:val="0"/>
        <w:rPr>
          <w:szCs w:val="24"/>
        </w:rPr>
      </w:pPr>
      <w:r>
        <w:t>Avfall eller annat material som med stöd av 84 § i strålsäkerhetslagen får återanvändas, återvinnas som material, återvinnas på annat sätt och bortskaffas med iakttagande av avfallslagen och radioaktiva ämnen som har släppts ut i miljön eller avloppsnätet med stöd av 127 § i strålskyddslagen anses inte vara radioaktivt avfall.</w:t>
      </w:r>
    </w:p>
    <w:p w:rsidR="00C73D5D" w:rsidRPr="003515AD" w:rsidRDefault="00C73D5D" w:rsidP="00C73D5D">
      <w:pPr>
        <w:autoSpaceDE w:val="0"/>
        <w:autoSpaceDN w:val="0"/>
        <w:adjustRightInd w:val="0"/>
        <w:rPr>
          <w:szCs w:val="24"/>
        </w:rPr>
      </w:pPr>
    </w:p>
    <w:p w:rsidR="00C73D5D" w:rsidRPr="003515AD" w:rsidRDefault="00C73D5D" w:rsidP="00C73D5D">
      <w:pPr>
        <w:autoSpaceDE w:val="0"/>
        <w:autoSpaceDN w:val="0"/>
        <w:adjustRightInd w:val="0"/>
        <w:rPr>
          <w:szCs w:val="24"/>
        </w:rPr>
      </w:pPr>
    </w:p>
    <w:p w:rsidR="00C73D5D" w:rsidRPr="001D04D6" w:rsidRDefault="00C73D5D" w:rsidP="00C73D5D">
      <w:pPr>
        <w:autoSpaceDE w:val="0"/>
        <w:autoSpaceDN w:val="0"/>
        <w:adjustRightInd w:val="0"/>
        <w:jc w:val="center"/>
        <w:rPr>
          <w:b/>
          <w:szCs w:val="24"/>
        </w:rPr>
      </w:pPr>
      <w:r>
        <w:rPr>
          <w:b/>
        </w:rPr>
        <w:t xml:space="preserve">52 § </w:t>
      </w:r>
    </w:p>
    <w:p w:rsidR="00C73D5D" w:rsidRDefault="00C73D5D" w:rsidP="00C73D5D">
      <w:pPr>
        <w:autoSpaceDE w:val="0"/>
        <w:autoSpaceDN w:val="0"/>
        <w:adjustRightInd w:val="0"/>
        <w:jc w:val="center"/>
        <w:rPr>
          <w:b/>
          <w:szCs w:val="24"/>
        </w:rPr>
      </w:pPr>
      <w:r>
        <w:rPr>
          <w:b/>
        </w:rPr>
        <w:t>Verksamheter i anslutning till marksubstans, sten eller andra material som krävs för utredning av strålningsexponering</w:t>
      </w:r>
    </w:p>
    <w:p w:rsidR="00C73D5D" w:rsidRPr="003515AD" w:rsidRDefault="00C73D5D" w:rsidP="00C73D5D">
      <w:pPr>
        <w:autoSpaceDE w:val="0"/>
        <w:autoSpaceDN w:val="0"/>
        <w:adjustRightInd w:val="0"/>
        <w:jc w:val="center"/>
        <w:rPr>
          <w:b/>
          <w:szCs w:val="24"/>
        </w:rPr>
      </w:pPr>
    </w:p>
    <w:p w:rsidR="00C73D5D" w:rsidRPr="003515AD" w:rsidRDefault="00C73D5D" w:rsidP="00C73D5D">
      <w:pPr>
        <w:autoSpaceDE w:val="0"/>
        <w:autoSpaceDN w:val="0"/>
        <w:adjustRightInd w:val="0"/>
        <w:rPr>
          <w:szCs w:val="24"/>
        </w:rPr>
      </w:pPr>
      <w:r>
        <w:t>Sådana verksamheter i 151 § i strålskyddslagen vid vilka exponeringen för naturlig strålning kan överskrida referensvärdet är åtminstone</w:t>
      </w:r>
    </w:p>
    <w:p w:rsidR="00C73D5D" w:rsidRPr="003515AD" w:rsidRDefault="00C73D5D" w:rsidP="00C73D5D">
      <w:pPr>
        <w:pStyle w:val="Luettelokappale"/>
        <w:autoSpaceDE w:val="0"/>
        <w:autoSpaceDN w:val="0"/>
        <w:adjustRightInd w:val="0"/>
        <w:ind w:left="0"/>
        <w:rPr>
          <w:rFonts w:ascii="Times New Roman" w:hAnsi="Times New Roman" w:cs="Times New Roman"/>
          <w:sz w:val="24"/>
        </w:rPr>
      </w:pPr>
      <w:r>
        <w:rPr>
          <w:rFonts w:ascii="Times New Roman" w:hAnsi="Times New Roman"/>
          <w:sz w:val="24"/>
        </w:rPr>
        <w:t>−−−−−−−−−−−−−−−−−−</w:t>
      </w:r>
    </w:p>
    <w:p w:rsidR="00C73D5D" w:rsidRPr="003515AD" w:rsidRDefault="00C73D5D" w:rsidP="00C73D5D">
      <w:pPr>
        <w:autoSpaceDE w:val="0"/>
        <w:autoSpaceDN w:val="0"/>
        <w:adjustRightInd w:val="0"/>
        <w:jc w:val="both"/>
        <w:rPr>
          <w:szCs w:val="24"/>
          <w:u w:val="single"/>
        </w:rPr>
      </w:pPr>
      <w:r>
        <w:t>15) brytning och anrikning av annan malm än uranmalm.</w:t>
      </w:r>
    </w:p>
    <w:p w:rsidR="00C73D5D" w:rsidRPr="003515AD" w:rsidRDefault="00C73D5D" w:rsidP="00C73D5D">
      <w:pPr>
        <w:autoSpaceDE w:val="0"/>
        <w:autoSpaceDN w:val="0"/>
        <w:adjustRightInd w:val="0"/>
        <w:jc w:val="both"/>
        <w:rPr>
          <w:szCs w:val="24"/>
        </w:rPr>
      </w:pPr>
      <w:r>
        <w:t>16) primärproduktion av järn.</w:t>
      </w:r>
    </w:p>
    <w:p w:rsidR="00C73D5D" w:rsidRPr="003515AD" w:rsidRDefault="00C73D5D" w:rsidP="00C73D5D">
      <w:pPr>
        <w:autoSpaceDE w:val="0"/>
        <w:autoSpaceDN w:val="0"/>
        <w:adjustRightInd w:val="0"/>
        <w:rPr>
          <w:szCs w:val="24"/>
          <w:u w:val="single"/>
        </w:rPr>
      </w:pPr>
    </w:p>
    <w:p w:rsidR="00C73D5D" w:rsidRPr="003515AD" w:rsidRDefault="00C73D5D" w:rsidP="00C73D5D">
      <w:pPr>
        <w:rPr>
          <w:szCs w:val="24"/>
        </w:rPr>
      </w:pPr>
    </w:p>
    <w:p w:rsidR="00C73D5D" w:rsidRPr="001D04D6" w:rsidRDefault="00C73D5D" w:rsidP="00C73D5D">
      <w:pPr>
        <w:autoSpaceDE w:val="0"/>
        <w:autoSpaceDN w:val="0"/>
        <w:adjustRightInd w:val="0"/>
        <w:jc w:val="center"/>
        <w:rPr>
          <w:b/>
          <w:szCs w:val="24"/>
        </w:rPr>
      </w:pPr>
      <w:r>
        <w:rPr>
          <w:b/>
        </w:rPr>
        <w:t>53 §</w:t>
      </w:r>
    </w:p>
    <w:p w:rsidR="00C73D5D" w:rsidRPr="001D04D6" w:rsidRDefault="00C73D5D" w:rsidP="00C73D5D">
      <w:pPr>
        <w:autoSpaceDE w:val="0"/>
        <w:autoSpaceDN w:val="0"/>
        <w:adjustRightInd w:val="0"/>
        <w:jc w:val="center"/>
        <w:rPr>
          <w:b/>
          <w:iCs/>
          <w:szCs w:val="24"/>
        </w:rPr>
      </w:pPr>
      <w:r>
        <w:rPr>
          <w:b/>
        </w:rPr>
        <w:t>Byggprodukter som krävs för utredning av strålningsexponering</w:t>
      </w:r>
    </w:p>
    <w:p w:rsidR="00C73D5D" w:rsidRPr="003515AD" w:rsidRDefault="00C73D5D" w:rsidP="00C73D5D">
      <w:pPr>
        <w:autoSpaceDE w:val="0"/>
        <w:autoSpaceDN w:val="0"/>
        <w:adjustRightInd w:val="0"/>
        <w:rPr>
          <w:szCs w:val="24"/>
        </w:rPr>
      </w:pPr>
    </w:p>
    <w:p w:rsidR="00C73D5D" w:rsidRDefault="00C73D5D" w:rsidP="00C73D5D">
      <w:pPr>
        <w:autoSpaceDE w:val="0"/>
        <w:autoSpaceDN w:val="0"/>
        <w:adjustRightInd w:val="0"/>
        <w:rPr>
          <w:szCs w:val="24"/>
        </w:rPr>
      </w:pPr>
      <w:r>
        <w:t>Sådana i 153 § i strålsäkerhetslagen avsedda byggprodukter som orsakar en exponering för naturlig strålning som kan vara högre än referensvärdet är åtminstone</w:t>
      </w:r>
    </w:p>
    <w:p w:rsidR="00C73D5D" w:rsidRPr="003515AD" w:rsidRDefault="00C73D5D" w:rsidP="00C73D5D">
      <w:pPr>
        <w:pStyle w:val="Luettelokappale"/>
        <w:autoSpaceDE w:val="0"/>
        <w:autoSpaceDN w:val="0"/>
        <w:adjustRightInd w:val="0"/>
        <w:ind w:left="0"/>
        <w:rPr>
          <w:rFonts w:ascii="Times New Roman" w:hAnsi="Times New Roman" w:cs="Times New Roman"/>
          <w:sz w:val="24"/>
        </w:rPr>
      </w:pPr>
      <w:r>
        <w:rPr>
          <w:rFonts w:ascii="Times New Roman" w:hAnsi="Times New Roman"/>
          <w:sz w:val="24"/>
        </w:rPr>
        <w:t>−−−−−−−−−−−−−−−−−−</w:t>
      </w:r>
    </w:p>
    <w:p w:rsidR="00C73D5D" w:rsidRDefault="00C73D5D" w:rsidP="00C73D5D">
      <w:pPr>
        <w:autoSpaceDE w:val="0"/>
        <w:autoSpaceDN w:val="0"/>
        <w:adjustRightInd w:val="0"/>
        <w:rPr>
          <w:szCs w:val="24"/>
        </w:rPr>
      </w:pPr>
      <w:r>
        <w:t>2) byggprodukter som används för husbyggnad vilkas huvudsakliga byggmaterial består av granit eller andra granitoider såsom bergkross som innehåller granodiorit, tonalit eller gnejs samt grus eller sand,</w:t>
      </w:r>
    </w:p>
    <w:p w:rsidR="00C73D5D" w:rsidRPr="003515AD" w:rsidRDefault="00C73D5D" w:rsidP="00C73D5D">
      <w:pPr>
        <w:pStyle w:val="Luettelokappale"/>
        <w:autoSpaceDE w:val="0"/>
        <w:autoSpaceDN w:val="0"/>
        <w:adjustRightInd w:val="0"/>
        <w:ind w:left="0"/>
        <w:rPr>
          <w:rFonts w:ascii="Times New Roman" w:hAnsi="Times New Roman" w:cs="Times New Roman"/>
          <w:sz w:val="24"/>
        </w:rPr>
      </w:pPr>
      <w:r>
        <w:rPr>
          <w:rFonts w:ascii="Times New Roman" w:hAnsi="Times New Roman"/>
          <w:sz w:val="24"/>
        </w:rPr>
        <w:t>−−−−−−−−−−−−−−−−−−</w:t>
      </w:r>
    </w:p>
    <w:p w:rsidR="00C73D5D" w:rsidRPr="001D04D6" w:rsidRDefault="00C73D5D" w:rsidP="00C73D5D">
      <w:pPr>
        <w:autoSpaceDE w:val="0"/>
        <w:autoSpaceDN w:val="0"/>
        <w:adjustRightInd w:val="0"/>
        <w:jc w:val="center"/>
        <w:rPr>
          <w:b/>
          <w:szCs w:val="24"/>
        </w:rPr>
      </w:pPr>
    </w:p>
    <w:p w:rsidR="00C73D5D" w:rsidRPr="001D04D6" w:rsidRDefault="00C73D5D" w:rsidP="00C73D5D">
      <w:pPr>
        <w:autoSpaceDE w:val="0"/>
        <w:autoSpaceDN w:val="0"/>
        <w:adjustRightInd w:val="0"/>
        <w:jc w:val="center"/>
        <w:rPr>
          <w:b/>
          <w:bCs/>
          <w:szCs w:val="24"/>
        </w:rPr>
      </w:pPr>
      <w:r>
        <w:rPr>
          <w:b/>
        </w:rPr>
        <w:t>64 a §</w:t>
      </w:r>
    </w:p>
    <w:p w:rsidR="00C73D5D" w:rsidRPr="001D04D6" w:rsidRDefault="00C73D5D" w:rsidP="00C73D5D">
      <w:pPr>
        <w:autoSpaceDE w:val="0"/>
        <w:autoSpaceDN w:val="0"/>
        <w:adjustRightInd w:val="0"/>
        <w:jc w:val="center"/>
        <w:rPr>
          <w:b/>
          <w:iCs/>
          <w:szCs w:val="24"/>
        </w:rPr>
      </w:pPr>
      <w:r>
        <w:rPr>
          <w:b/>
        </w:rPr>
        <w:t>Arvoden</w:t>
      </w:r>
    </w:p>
    <w:p w:rsidR="00C73D5D" w:rsidRPr="003515AD" w:rsidRDefault="00C73D5D" w:rsidP="00C73D5D">
      <w:pPr>
        <w:spacing w:before="100" w:beforeAutospacing="1" w:after="100" w:afterAutospacing="1"/>
        <w:rPr>
          <w:szCs w:val="24"/>
        </w:rPr>
      </w:pPr>
      <w:r>
        <w:t xml:space="preserve">För deltagande i strålsäkerhetsdelegationens möten betalas ett arvode i enlighet med vad som anges i gällande rekommendation från finansministeriet. </w:t>
      </w:r>
    </w:p>
    <w:p w:rsidR="00C73D5D" w:rsidRPr="003515AD" w:rsidRDefault="00C73D5D" w:rsidP="00C73D5D">
      <w:pPr>
        <w:spacing w:before="100" w:beforeAutospacing="1" w:after="100" w:afterAutospacing="1"/>
        <w:rPr>
          <w:szCs w:val="24"/>
        </w:rPr>
      </w:pPr>
      <w:r>
        <w:t>Dessutom betalas ett arvode ut till strålsäkerhetsdelegationens medlemmar, sektionernas permanenta experter och experter i enlighet med de grunder social- och hälsovårdsministeriet fastställer för beredningen av varje ärende som behandlas vid delegationens möten.</w:t>
      </w:r>
    </w:p>
    <w:p w:rsidR="00C73D5D" w:rsidRDefault="00C73D5D" w:rsidP="00C73D5D">
      <w:pPr>
        <w:rPr>
          <w:szCs w:val="24"/>
        </w:rPr>
      </w:pPr>
      <w:r>
        <w:t>I fråga om ersättning för resekostnader tillämpas statens tjänste- och arbetskollektivavtal om ersättning för resekostnader.</w:t>
      </w:r>
    </w:p>
    <w:p w:rsidR="00C73D5D" w:rsidRDefault="00C73D5D" w:rsidP="00C73D5D">
      <w:pPr>
        <w:rPr>
          <w:szCs w:val="24"/>
          <w:lang w:eastAsia="fi-FI"/>
        </w:rPr>
      </w:pPr>
    </w:p>
    <w:p w:rsidR="00C73D5D" w:rsidRPr="003515AD" w:rsidRDefault="00C73D5D" w:rsidP="00C73D5D">
      <w:pPr>
        <w:rPr>
          <w:szCs w:val="24"/>
        </w:rPr>
      </w:pPr>
      <w:r>
        <w:t xml:space="preserve">Datum och underskrifter </w:t>
      </w:r>
    </w:p>
    <w:p w:rsidR="00C73D5D" w:rsidRDefault="00C73D5D" w:rsidP="00C73D5D">
      <w:pPr>
        <w:rPr>
          <w:szCs w:val="24"/>
          <w:lang w:eastAsia="fi-FI"/>
        </w:rPr>
      </w:pPr>
    </w:p>
    <w:p w:rsidR="00C73D5D" w:rsidRPr="003515AD" w:rsidRDefault="00C73D5D" w:rsidP="00C73D5D">
      <w:pPr>
        <w:rPr>
          <w:szCs w:val="24"/>
          <w:lang w:eastAsia="fi-FI"/>
        </w:rPr>
      </w:pPr>
    </w:p>
    <w:p w:rsidR="00C73D5D" w:rsidRDefault="00C73D5D" w:rsidP="00C73D5D">
      <w:pPr>
        <w:autoSpaceDE w:val="0"/>
        <w:autoSpaceDN w:val="0"/>
        <w:adjustRightInd w:val="0"/>
        <w:rPr>
          <w:szCs w:val="24"/>
        </w:rPr>
      </w:pPr>
      <w:r>
        <w:t>BILAGA 5</w:t>
      </w:r>
    </w:p>
    <w:p w:rsidR="00C73D5D" w:rsidRDefault="00C73D5D" w:rsidP="00C73D5D">
      <w:pPr>
        <w:autoSpaceDE w:val="0"/>
        <w:autoSpaceDN w:val="0"/>
        <w:adjustRightInd w:val="0"/>
        <w:rPr>
          <w:szCs w:val="24"/>
        </w:rPr>
      </w:pPr>
    </w:p>
    <w:p w:rsidR="00C73D5D" w:rsidRDefault="00C73D5D" w:rsidP="00C73D5D">
      <w:pPr>
        <w:autoSpaceDE w:val="0"/>
        <w:autoSpaceDN w:val="0"/>
        <w:adjustRightInd w:val="0"/>
        <w:rPr>
          <w:szCs w:val="24"/>
        </w:rPr>
      </w:pPr>
      <w:r>
        <w:t>Uppgifter som ska lämnas vid ansökan om säkerhetstillstånd</w:t>
      </w:r>
    </w:p>
    <w:p w:rsidR="00C73D5D" w:rsidRPr="001D04D6" w:rsidRDefault="00C73D5D" w:rsidP="00C73D5D">
      <w:pPr>
        <w:pStyle w:val="Luettelokappale"/>
        <w:autoSpaceDE w:val="0"/>
        <w:autoSpaceDN w:val="0"/>
        <w:adjustRightInd w:val="0"/>
        <w:ind w:left="0"/>
        <w:rPr>
          <w:rFonts w:ascii="Times New Roman" w:hAnsi="Times New Roman" w:cs="Times New Roman"/>
          <w:sz w:val="24"/>
        </w:rPr>
      </w:pPr>
      <w:r>
        <w:rPr>
          <w:rFonts w:ascii="Times New Roman" w:hAnsi="Times New Roman"/>
          <w:sz w:val="24"/>
        </w:rPr>
        <w:t>−−−−−−−−−−−−−−−−−−</w:t>
      </w:r>
    </w:p>
    <w:p w:rsidR="00C73D5D" w:rsidRPr="003515AD" w:rsidRDefault="00C73D5D" w:rsidP="00C73D5D">
      <w:pPr>
        <w:autoSpaceDE w:val="0"/>
        <w:autoSpaceDN w:val="0"/>
        <w:adjustRightInd w:val="0"/>
        <w:rPr>
          <w:szCs w:val="24"/>
        </w:rPr>
      </w:pPr>
    </w:p>
    <w:p w:rsidR="00C73D5D" w:rsidRPr="003515AD" w:rsidRDefault="00C73D5D" w:rsidP="00C73D5D">
      <w:pPr>
        <w:autoSpaceDE w:val="0"/>
        <w:autoSpaceDN w:val="0"/>
        <w:adjustRightInd w:val="0"/>
        <w:rPr>
          <w:szCs w:val="24"/>
        </w:rPr>
      </w:pPr>
      <w:r>
        <w:t>2</w:t>
      </w:r>
      <w:r>
        <w:rPr>
          <w:b/>
          <w:bCs/>
        </w:rPr>
        <w:t>.</w:t>
      </w:r>
      <w:r>
        <w:t xml:space="preserve"> I fråga om strålkällorna och anordningarna och tillbehören i anknytning till dem ska det lämnas tekniska uppgifter som visar att Strålsäkerhetscentralens föreskrifter om strålsäkerheten följs under brukstiden. I fråga om strålkällor ska dessutom lämnas följande uppgifter:</w:t>
      </w:r>
    </w:p>
    <w:p w:rsidR="00C73D5D" w:rsidRPr="001D04D6" w:rsidRDefault="00C73D5D" w:rsidP="00C73D5D">
      <w:pPr>
        <w:pStyle w:val="Luettelokappale"/>
        <w:autoSpaceDE w:val="0"/>
        <w:autoSpaceDN w:val="0"/>
        <w:adjustRightInd w:val="0"/>
        <w:ind w:left="0"/>
        <w:rPr>
          <w:rFonts w:ascii="Times New Roman" w:hAnsi="Times New Roman" w:cs="Times New Roman"/>
          <w:sz w:val="24"/>
        </w:rPr>
      </w:pPr>
      <w:r>
        <w:rPr>
          <w:rFonts w:ascii="Times New Roman" w:hAnsi="Times New Roman"/>
          <w:sz w:val="24"/>
        </w:rPr>
        <w:t>−−−−−−−−−−−−−−−−−−</w:t>
      </w:r>
    </w:p>
    <w:p w:rsidR="00C73D5D" w:rsidRPr="003515AD" w:rsidRDefault="00C73D5D" w:rsidP="00C73D5D">
      <w:pPr>
        <w:autoSpaceDE w:val="0"/>
        <w:autoSpaceDN w:val="0"/>
        <w:adjustRightInd w:val="0"/>
        <w:rPr>
          <w:szCs w:val="24"/>
        </w:rPr>
      </w:pPr>
      <w:r>
        <w:t>2.3 uppgifter om elektroniska anordningar som avger strålning: strålningens art, värdena på de centrala parametrar som påverkar strålningsalstringen och anordningens identifierande märkning,</w:t>
      </w:r>
    </w:p>
    <w:p w:rsidR="00C73D5D" w:rsidRDefault="00C73D5D" w:rsidP="00C73D5D">
      <w:pPr>
        <w:rPr>
          <w:szCs w:val="24"/>
        </w:rPr>
      </w:pPr>
      <w:r>
        <w:t>−−−−−−−−−−−−−−−−−−</w:t>
      </w:r>
    </w:p>
    <w:p w:rsidR="00C73D5D" w:rsidRPr="003515AD" w:rsidRDefault="00C73D5D" w:rsidP="00C73D5D">
      <w:pPr>
        <w:rPr>
          <w:szCs w:val="24"/>
        </w:rPr>
      </w:pPr>
      <w:r>
        <w:t>2.7 en specifikation över exporten, importen eller överlåtelsen av den slutna strålkällan med hög aktivitet för varje enskilt parti slutna strålkällor som ska exporteras, importeras eller överlåtas,</w:t>
      </w:r>
    </w:p>
    <w:p w:rsidR="00C73D5D" w:rsidRPr="00AA3667" w:rsidRDefault="00C73D5D" w:rsidP="00C73D5D">
      <w:pPr>
        <w:autoSpaceDE w:val="0"/>
        <w:autoSpaceDN w:val="0"/>
        <w:adjustRightInd w:val="0"/>
        <w:rPr>
          <w:szCs w:val="24"/>
        </w:rPr>
      </w:pPr>
      <w:r>
        <w:t>2.8 i fråga om konsumentvaror dosraten på ett avstånd på 0,1 meter från konsumentvarans yta och vid användning på de avstånd som kan komma i fråga och uppgifter om på vilket sätt det radioaktiva ämnet har anbringats.</w:t>
      </w:r>
    </w:p>
    <w:p w:rsidR="00C73D5D" w:rsidRPr="003515AD" w:rsidRDefault="00C73D5D" w:rsidP="00C73D5D">
      <w:pPr>
        <w:rPr>
          <w:szCs w:val="24"/>
        </w:rPr>
      </w:pPr>
    </w:p>
    <w:p w:rsidR="00C73D5D" w:rsidRPr="003515AD" w:rsidRDefault="00C73D5D" w:rsidP="00C73D5D">
      <w:pPr>
        <w:pStyle w:val="Luettelokappale"/>
        <w:autoSpaceDE w:val="0"/>
        <w:autoSpaceDN w:val="0"/>
        <w:adjustRightInd w:val="0"/>
        <w:ind w:left="644"/>
        <w:rPr>
          <w:rFonts w:ascii="Times New Roman" w:hAnsi="Times New Roman" w:cs="Times New Roman"/>
          <w:sz w:val="24"/>
          <w:szCs w:val="24"/>
        </w:rPr>
      </w:pPr>
    </w:p>
    <w:p w:rsidR="00401D6C" w:rsidRDefault="00401D6C"/>
    <w:sectPr w:rsidR="00401D6C" w:rsidSect="00562E6B">
      <w:headerReference w:type="even" r:id="rId7"/>
      <w:headerReference w:type="default" r:id="rId8"/>
      <w:footerReference w:type="even" r:id="rId9"/>
      <w:footerReference w:type="default" r:id="rId10"/>
      <w:headerReference w:type="first" r:id="rId11"/>
      <w:footerReference w:type="first" r:id="rId12"/>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553" w:rsidRDefault="00914553" w:rsidP="00955161">
      <w:r>
        <w:separator/>
      </w:r>
    </w:p>
  </w:endnote>
  <w:endnote w:type="continuationSeparator" w:id="0">
    <w:p w:rsidR="00914553" w:rsidRDefault="00914553" w:rsidP="00955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161" w:rsidRDefault="00955161">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ACE" w:rsidRDefault="00914553" w:rsidP="00FA6ACE">
    <w:pPr>
      <w:pStyle w:val="Alatunniste"/>
      <w:ind w:right="28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161" w:rsidRDefault="0095516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553" w:rsidRDefault="00914553" w:rsidP="00955161">
      <w:r>
        <w:separator/>
      </w:r>
    </w:p>
  </w:footnote>
  <w:footnote w:type="continuationSeparator" w:id="0">
    <w:p w:rsidR="00914553" w:rsidRDefault="00914553" w:rsidP="00955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161" w:rsidRDefault="00955161">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F4A" w:rsidRPr="00955161" w:rsidRDefault="00914553" w:rsidP="00955161">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8" w:rsidRPr="00955161" w:rsidRDefault="00914553" w:rsidP="0095516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53DBA"/>
    <w:multiLevelType w:val="hybridMultilevel"/>
    <w:tmpl w:val="91169F6C"/>
    <w:lvl w:ilvl="0" w:tplc="F7CAAEB8">
      <w:start w:val="8"/>
      <w:numFmt w:val="decimal"/>
      <w:lvlText w:val="%1)"/>
      <w:lvlJc w:val="left"/>
      <w:pPr>
        <w:ind w:left="644"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7AC52E74"/>
    <w:multiLevelType w:val="hybridMultilevel"/>
    <w:tmpl w:val="E2DCAA26"/>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 w15:restartNumberingAfterBreak="0">
    <w:nsid w:val="7D9B6C00"/>
    <w:multiLevelType w:val="hybridMultilevel"/>
    <w:tmpl w:val="E9B0B282"/>
    <w:lvl w:ilvl="0" w:tplc="FCB0984A">
      <w:start w:val="6"/>
      <w:numFmt w:val="decimal"/>
      <w:lvlText w:val="%1)"/>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D5D"/>
    <w:rsid w:val="00061896"/>
    <w:rsid w:val="002765A0"/>
    <w:rsid w:val="00401D6C"/>
    <w:rsid w:val="004031B3"/>
    <w:rsid w:val="006F4DF0"/>
    <w:rsid w:val="00705E04"/>
    <w:rsid w:val="007D004C"/>
    <w:rsid w:val="00914553"/>
    <w:rsid w:val="00955161"/>
    <w:rsid w:val="00C73D5D"/>
    <w:rsid w:val="00FC50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1F0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C73D5D"/>
    <w:pPr>
      <w:spacing w:after="0" w:line="240" w:lineRule="auto"/>
    </w:pPr>
    <w:rPr>
      <w:rFonts w:ascii="Times New Roman" w:eastAsia="Times New Roman" w:hAnsi="Times New Roman" w:cs="Times New Roman"/>
      <w:sz w:val="24"/>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uiPriority w:val="99"/>
    <w:unhideWhenUsed/>
    <w:rsid w:val="00C73D5D"/>
    <w:pPr>
      <w:tabs>
        <w:tab w:val="center" w:pos="4819"/>
        <w:tab w:val="right" w:pos="9638"/>
      </w:tabs>
    </w:pPr>
  </w:style>
  <w:style w:type="character" w:customStyle="1" w:styleId="AlatunnisteChar">
    <w:name w:val="Alatunniste Char"/>
    <w:basedOn w:val="Kappaleenoletusfontti"/>
    <w:link w:val="Alatunniste"/>
    <w:uiPriority w:val="99"/>
    <w:rsid w:val="00C73D5D"/>
    <w:rPr>
      <w:rFonts w:ascii="Times New Roman" w:eastAsia="Times New Roman" w:hAnsi="Times New Roman" w:cs="Times New Roman"/>
      <w:sz w:val="24"/>
      <w:szCs w:val="20"/>
    </w:rPr>
  </w:style>
  <w:style w:type="paragraph" w:styleId="NormaaliWWW">
    <w:name w:val="Normal (Web)"/>
    <w:basedOn w:val="Normaali"/>
    <w:uiPriority w:val="99"/>
    <w:unhideWhenUsed/>
    <w:rsid w:val="00C73D5D"/>
    <w:pPr>
      <w:spacing w:before="100" w:beforeAutospacing="1" w:after="100" w:afterAutospacing="1"/>
    </w:pPr>
    <w:rPr>
      <w:szCs w:val="24"/>
      <w:lang w:eastAsia="fi-FI"/>
    </w:rPr>
  </w:style>
  <w:style w:type="paragraph" w:styleId="Luettelokappale">
    <w:name w:val="List Paragraph"/>
    <w:basedOn w:val="Normaali"/>
    <w:uiPriority w:val="34"/>
    <w:qFormat/>
    <w:rsid w:val="00C73D5D"/>
    <w:pPr>
      <w:ind w:left="720"/>
      <w:contextualSpacing/>
    </w:pPr>
    <w:rPr>
      <w:rFonts w:asciiTheme="minorHAnsi" w:eastAsiaTheme="minorHAnsi" w:hAnsiTheme="minorHAnsi" w:cstheme="minorHAnsi"/>
      <w:sz w:val="22"/>
      <w:szCs w:val="22"/>
    </w:rPr>
  </w:style>
  <w:style w:type="paragraph" w:customStyle="1" w:styleId="py">
    <w:name w:val="py"/>
    <w:basedOn w:val="Normaali"/>
    <w:rsid w:val="00C73D5D"/>
    <w:pPr>
      <w:spacing w:before="100" w:beforeAutospacing="1" w:after="100" w:afterAutospacing="1"/>
    </w:pPr>
    <w:rPr>
      <w:szCs w:val="24"/>
      <w:lang w:eastAsia="fi-FI"/>
    </w:rPr>
  </w:style>
  <w:style w:type="paragraph" w:styleId="Yltunniste">
    <w:name w:val="header"/>
    <w:basedOn w:val="Normaali"/>
    <w:link w:val="YltunnisteChar"/>
    <w:uiPriority w:val="99"/>
    <w:unhideWhenUsed/>
    <w:rsid w:val="00955161"/>
    <w:pPr>
      <w:tabs>
        <w:tab w:val="center" w:pos="4819"/>
        <w:tab w:val="right" w:pos="9638"/>
      </w:tabs>
    </w:pPr>
  </w:style>
  <w:style w:type="character" w:customStyle="1" w:styleId="YltunnisteChar">
    <w:name w:val="Ylätunniste Char"/>
    <w:basedOn w:val="Kappaleenoletusfontti"/>
    <w:link w:val="Yltunniste"/>
    <w:uiPriority w:val="99"/>
    <w:rsid w:val="0095516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874</Words>
  <Characters>7087</Characters>
  <Application>Microsoft Office Word</Application>
  <DocSecurity>0</DocSecurity>
  <Lines>59</Lines>
  <Paragraphs>15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2021-07-08T22:00:00Z</dcterms:created>
  <dcterms:modified xsi:type="dcterms:W3CDTF">2021-07-08T22:00:00Z</dcterms:modified>
</cp:coreProperties>
</file>