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7CA0B" w14:textId="62456F83" w:rsidR="000721AE" w:rsidRPr="007F26C1" w:rsidRDefault="00496F50" w:rsidP="000721AE">
      <w:pPr>
        <w:pStyle w:val="M2Otsikkotaso"/>
        <w:rPr>
          <w:sz w:val="28"/>
          <w:szCs w:val="28"/>
        </w:rPr>
      </w:pPr>
      <w:r w:rsidRPr="007F26C1">
        <w:rPr>
          <w:sz w:val="28"/>
          <w:szCs w:val="28"/>
        </w:rPr>
        <w:t xml:space="preserve">Valtiovarainministeriön asetus </w:t>
      </w:r>
      <w:r w:rsidR="009B48FD" w:rsidRPr="007F26C1">
        <w:rPr>
          <w:sz w:val="28"/>
          <w:szCs w:val="28"/>
        </w:rPr>
        <w:t>Digi- ja väestötietoviraston su</w:t>
      </w:r>
      <w:r w:rsidR="005313E5" w:rsidRPr="007F26C1">
        <w:rPr>
          <w:sz w:val="28"/>
          <w:szCs w:val="28"/>
        </w:rPr>
        <w:t>oritteiden maksuista vuonna 202</w:t>
      </w:r>
      <w:r w:rsidR="000A4107" w:rsidRPr="007F26C1">
        <w:rPr>
          <w:sz w:val="28"/>
          <w:szCs w:val="28"/>
        </w:rPr>
        <w:t>2</w:t>
      </w:r>
    </w:p>
    <w:p w14:paraId="47CC7C59" w14:textId="377059F4" w:rsidR="005D1D63" w:rsidRDefault="00FD6CAB" w:rsidP="00E2778D">
      <w:pPr>
        <w:pStyle w:val="M2Otsikkotaso"/>
        <w:numPr>
          <w:ilvl w:val="0"/>
          <w:numId w:val="9"/>
        </w:numPr>
      </w:pPr>
      <w:r>
        <w:t>Johdanto</w:t>
      </w:r>
    </w:p>
    <w:p w14:paraId="53F45AB9" w14:textId="2449FB30" w:rsidR="00A93CE3" w:rsidRDefault="00354799" w:rsidP="00DB29C2">
      <w:pPr>
        <w:pStyle w:val="MNormaali"/>
        <w:ind w:left="1418"/>
      </w:pPr>
      <w:r>
        <w:t>Digi- ja väestötietoviraston suoritteiden maksullisuudesta säädetään valtiovarainministeriön asetuksella Digi- ja väestötietoviraston suoritteiden maksuista</w:t>
      </w:r>
      <w:r w:rsidR="00A93CE3">
        <w:t xml:space="preserve"> vuonna 2021</w:t>
      </w:r>
      <w:r w:rsidR="00A93CE3" w:rsidRPr="00A93CE3">
        <w:t xml:space="preserve"> </w:t>
      </w:r>
      <w:r w:rsidR="00A93CE3">
        <w:t>(969/2020)</w:t>
      </w:r>
      <w:r>
        <w:t>. Asetus o</w:t>
      </w:r>
      <w:r w:rsidR="00A93CE3">
        <w:t>li</w:t>
      </w:r>
      <w:r>
        <w:t xml:space="preserve"> määräaikainen ja voimassa 3</w:t>
      </w:r>
      <w:r w:rsidR="00A93CE3">
        <w:t>0.06.</w:t>
      </w:r>
      <w:r>
        <w:t>202</w:t>
      </w:r>
      <w:r w:rsidR="00A93CE3">
        <w:t>1 asti</w:t>
      </w:r>
      <w:r>
        <w:t>.</w:t>
      </w:r>
      <w:r w:rsidR="00A93CE3">
        <w:t xml:space="preserve"> Asetu</w:t>
      </w:r>
      <w:r w:rsidR="00FB45E8">
        <w:t>sta muutettiin</w:t>
      </w:r>
      <w:r w:rsidR="00A93CE3">
        <w:t xml:space="preserve"> </w:t>
      </w:r>
      <w:r w:rsidR="00FB45E8">
        <w:t>17.06.2021</w:t>
      </w:r>
      <w:r w:rsidR="004F1FF4">
        <w:t xml:space="preserve"> niin, että sen </w:t>
      </w:r>
      <w:r w:rsidR="00FB45E8">
        <w:t xml:space="preserve">voimassaoloa </w:t>
      </w:r>
      <w:r w:rsidR="00A93CE3">
        <w:t>pidennettiin 31.12.2021 asti.</w:t>
      </w:r>
      <w:r w:rsidR="00A93CE3" w:rsidRPr="00055184">
        <w:t xml:space="preserve"> </w:t>
      </w:r>
    </w:p>
    <w:p w14:paraId="6ADCB5E7" w14:textId="77777777" w:rsidR="00FB45E8" w:rsidRDefault="00FB45E8" w:rsidP="00352F01">
      <w:pPr>
        <w:pStyle w:val="MNormaali"/>
        <w:ind w:left="1418"/>
      </w:pPr>
    </w:p>
    <w:p w14:paraId="0ACB4B76" w14:textId="3BDC840D" w:rsidR="00EF0B1E" w:rsidRDefault="00352F01" w:rsidP="00352F01">
      <w:pPr>
        <w:pStyle w:val="MNormaali"/>
        <w:ind w:left="1418"/>
      </w:pPr>
      <w:r>
        <w:t>Esityksessä ehdotetaan annettavaksi uusi valtiovarainministeriön asetus Digi- ja väestötietoviraston suoritteiden maksuista. Asetus olisi määräaikainen ja se olisi voimassa 1 päivästä tammi</w:t>
      </w:r>
      <w:r w:rsidR="00354799">
        <w:t>kuuta 31 päivään joulukuuta 202</w:t>
      </w:r>
      <w:r w:rsidR="00FB45E8">
        <w:t>2</w:t>
      </w:r>
      <w:r>
        <w:t>.</w:t>
      </w:r>
      <w:r w:rsidR="004A606B">
        <w:t xml:space="preserve"> Määräaikaisuus olisi perusteltua viraston toiminnan epävarmuustekijöiden takia. Koronavirusepidemia on vaikuttanut ja </w:t>
      </w:r>
      <w:r w:rsidR="001B7177">
        <w:t>arvioidaan vaikuttavan</w:t>
      </w:r>
      <w:r w:rsidR="004A606B">
        <w:t xml:space="preserve"> edelleen</w:t>
      </w:r>
      <w:r w:rsidR="001B7177">
        <w:t xml:space="preserve"> vuonna 202</w:t>
      </w:r>
      <w:r w:rsidR="00CC5790">
        <w:t>2</w:t>
      </w:r>
      <w:r w:rsidR="004A606B">
        <w:t xml:space="preserve"> viraston suoritteiden kysyntään. Lisäksi </w:t>
      </w:r>
      <w:r w:rsidR="00CC5790">
        <w:t xml:space="preserve">eduskunta myönsi valtiovarainministeriön esityksestä </w:t>
      </w:r>
      <w:r w:rsidR="00FB45E8">
        <w:t>virasto</w:t>
      </w:r>
      <w:r w:rsidR="00CC5790">
        <w:t>lle vuoden 2021 kolmannessa lisätalousarviossa</w:t>
      </w:r>
      <w:r w:rsidR="00FB45E8">
        <w:t xml:space="preserve"> </w:t>
      </w:r>
      <w:r w:rsidR="00CC5790">
        <w:t xml:space="preserve">viraston </w:t>
      </w:r>
      <w:r w:rsidR="00FB45E8">
        <w:t>asiakaspalveluiden ruuhki</w:t>
      </w:r>
      <w:r w:rsidR="00401391">
        <w:t>en purkuun</w:t>
      </w:r>
      <w:r w:rsidR="00FB45E8">
        <w:t xml:space="preserve"> lisämäärärahan</w:t>
      </w:r>
      <w:r w:rsidR="00CC5790">
        <w:t xml:space="preserve">, jonka avulla on palkattu </w:t>
      </w:r>
      <w:r w:rsidR="00FA78FF">
        <w:t>vuodeksi</w:t>
      </w:r>
      <w:r w:rsidR="00CC5790">
        <w:t xml:space="preserve"> </w:t>
      </w:r>
      <w:r w:rsidR="00FA78FF">
        <w:t xml:space="preserve">n. 40 </w:t>
      </w:r>
      <w:r w:rsidR="00CC5790">
        <w:t xml:space="preserve">lisähenkilöä purkamaan erityisesti holhoustoimen ja rekisteripalvelujen asiointijonoja. Toisaalta erityisesti holhoustoimen palveluja digitalisoiva Vaaka-hanke etenee ja siitä on odotettavissa tuottavuushyötyjä v. 2021 aikana. Myös </w:t>
      </w:r>
      <w:r w:rsidR="004A606B">
        <w:t xml:space="preserve">viraston uuden kustannuslaskentamallin vaikutuksia viraston talouteen tulee seurata, jotta varmistetaan </w:t>
      </w:r>
      <w:r w:rsidR="001B7177">
        <w:t xml:space="preserve">kustannuslaskentamallin toimivuus ja </w:t>
      </w:r>
      <w:r w:rsidR="004A606B">
        <w:t>viraston asianmukaiset toimintaedellytykset.</w:t>
      </w:r>
    </w:p>
    <w:p w14:paraId="5ED9CCAA" w14:textId="648D7404" w:rsidR="009B48FD" w:rsidRDefault="009B48FD" w:rsidP="00EF0B1E">
      <w:pPr>
        <w:pStyle w:val="MNormaali"/>
        <w:ind w:left="1418"/>
      </w:pPr>
    </w:p>
    <w:p w14:paraId="2DDC342E" w14:textId="0D44CEE6" w:rsidR="00FA78FF" w:rsidRDefault="00352F01" w:rsidP="009B48FD">
      <w:pPr>
        <w:pStyle w:val="MNormaali"/>
        <w:ind w:left="1418"/>
      </w:pPr>
      <w:r>
        <w:t>V</w:t>
      </w:r>
      <w:r w:rsidR="004A5D65">
        <w:t xml:space="preserve">uoden 2020 alussa maistraatit ja Väestörekisterikeskus yhdistyivät ja uusi Digi- ja väestötietovirasto aloitti toimintansa. </w:t>
      </w:r>
      <w:r w:rsidR="00401391">
        <w:t>V</w:t>
      </w:r>
      <w:r w:rsidR="004A5D65">
        <w:t>irasto o</w:t>
      </w:r>
      <w:r w:rsidR="00401391">
        <w:t>tti</w:t>
      </w:r>
      <w:r w:rsidR="004A5D65">
        <w:t xml:space="preserve"> vuo</w:t>
      </w:r>
      <w:r w:rsidR="00401391">
        <w:t>nna 202</w:t>
      </w:r>
      <w:r w:rsidR="004A5D65">
        <w:t xml:space="preserve">0 </w:t>
      </w:r>
      <w:r w:rsidR="00401391">
        <w:t xml:space="preserve">käyttöön </w:t>
      </w:r>
      <w:r w:rsidR="004A5D65">
        <w:t xml:space="preserve">uuden kustannuslaskentamallin, johon pohjautuen määritellään viraston suoritteiden kustannukset. Siten myös esityksen suoritteiden maksut perustuvat viraston uuteen kustannuslaskentamalliin. </w:t>
      </w:r>
      <w:r w:rsidR="00401391">
        <w:t>Tämä u</w:t>
      </w:r>
      <w:r w:rsidR="004A5D65">
        <w:t>usi</w:t>
      </w:r>
      <w:r w:rsidR="00ED367B">
        <w:t>, valtion yhteiseen malliin perustuva</w:t>
      </w:r>
      <w:r w:rsidR="004A5D65">
        <w:t xml:space="preserve"> kustannuslaskentamalli ottaa entistä paremmin aiheuttamisperiaatteen mukaisesti huomioon palveluiden tosiasialliset kustannukset</w:t>
      </w:r>
      <w:r w:rsidR="00CC5790">
        <w:t xml:space="preserve"> ja muutos näkyy erityisesti entisissä maistraattipalveluissa</w:t>
      </w:r>
      <w:r w:rsidR="004A5D65">
        <w:t>.</w:t>
      </w:r>
      <w:r w:rsidR="00ED367B">
        <w:t xml:space="preserve"> </w:t>
      </w:r>
      <w:r w:rsidR="001371C2">
        <w:t xml:space="preserve">Vuoden 2021 maksuasetuksessa suoritteiden hintoja korotettiin useiden palvelujen osalta, koska palvelut </w:t>
      </w:r>
      <w:r w:rsidR="00ED367B">
        <w:t>o</w:t>
      </w:r>
      <w:r w:rsidR="001371C2">
        <w:t>livat uuden kustannuslaskentamallin myötä osoittautuneet alikatteellisiksi</w:t>
      </w:r>
      <w:r w:rsidR="00CA1CFF">
        <w:t xml:space="preserve">. </w:t>
      </w:r>
      <w:r w:rsidR="004A606B">
        <w:t>Hintojen korotuks</w:t>
      </w:r>
      <w:r w:rsidR="001371C2">
        <w:t>et ovat olleet oikeansuuntaisia: suoritteiden alikatteellisuus on selvästi korjaantunut v</w:t>
      </w:r>
      <w:r w:rsidR="00377FC3">
        <w:t>uoden</w:t>
      </w:r>
      <w:r w:rsidR="001371C2">
        <w:t xml:space="preserve"> 2021 aikana ja korjaantuu ennusteen mukaan </w:t>
      </w:r>
      <w:r w:rsidR="00377FC3">
        <w:t xml:space="preserve">vuoden 2022 aikana </w:t>
      </w:r>
      <w:r w:rsidR="001371C2">
        <w:t>edelleen tässä esitettyjen, pääosin samoina pysyvien hintojen myötä.</w:t>
      </w:r>
      <w:r w:rsidR="00401391">
        <w:t xml:space="preserve"> Muutamien notaari- ja oikeudellisten vahvistuspalvelujen osalta</w:t>
      </w:r>
      <w:r w:rsidR="001371C2">
        <w:t xml:space="preserve"> </w:t>
      </w:r>
      <w:r w:rsidR="004A606B">
        <w:t>kustannusvastaavuu</w:t>
      </w:r>
      <w:r w:rsidR="00377FC3">
        <w:t>det</w:t>
      </w:r>
      <w:r w:rsidR="004A606B">
        <w:t xml:space="preserve"> jää</w:t>
      </w:r>
      <w:r w:rsidR="00377FC3">
        <w:t>vät</w:t>
      </w:r>
      <w:r w:rsidR="004A606B">
        <w:t xml:space="preserve"> edelleen</w:t>
      </w:r>
      <w:r w:rsidR="00401391">
        <w:t xml:space="preserve"> selvästi</w:t>
      </w:r>
      <w:r w:rsidR="004A606B">
        <w:t xml:space="preserve"> alle omakustannusarvon</w:t>
      </w:r>
      <w:r w:rsidR="001371C2">
        <w:t xml:space="preserve">, </w:t>
      </w:r>
      <w:r w:rsidR="00401391">
        <w:t xml:space="preserve">ja niiden osalta esitetään maltillisia hinnankorotuksia ja joitakin tähän ryhmään kuuluvia palveluja esitetään siirrettäväksi alennetun omakustannusarvon mukaisiksi suoritteiksi. </w:t>
      </w:r>
    </w:p>
    <w:p w14:paraId="223A0F15" w14:textId="77777777" w:rsidR="00FA78FF" w:rsidRDefault="00FA78FF" w:rsidP="009B48FD">
      <w:pPr>
        <w:pStyle w:val="MNormaali"/>
        <w:ind w:left="1418"/>
      </w:pPr>
    </w:p>
    <w:p w14:paraId="28EA4CEB" w14:textId="77777777" w:rsidR="00401391" w:rsidRDefault="00FA78FF" w:rsidP="00401391">
      <w:pPr>
        <w:pStyle w:val="MNormaali"/>
        <w:ind w:left="1418"/>
      </w:pPr>
      <w:r>
        <w:t xml:space="preserve">Kokonaisuudessaan asetuksessa </w:t>
      </w:r>
      <w:r w:rsidR="00365B0B">
        <w:t xml:space="preserve">esitettävät hinnanmuutokset </w:t>
      </w:r>
      <w:r>
        <w:t xml:space="preserve">ovat edellä esitetyillä perusteilla vähäisiä. </w:t>
      </w:r>
      <w:r w:rsidR="00401391">
        <w:t>Notaari- ja oikeudellisista vahvistuspalveluista seuraaviin esitetään 10 euron korotuksia:</w:t>
      </w:r>
    </w:p>
    <w:p w14:paraId="5F1DAA21" w14:textId="77777777" w:rsidR="00401391" w:rsidRDefault="00401391" w:rsidP="00401391">
      <w:pPr>
        <w:pStyle w:val="MNormaali"/>
        <w:numPr>
          <w:ilvl w:val="0"/>
          <w:numId w:val="22"/>
        </w:numPr>
      </w:pPr>
      <w:r>
        <w:t>a</w:t>
      </w:r>
      <w:r w:rsidRPr="35F1E1BD">
        <w:t xml:space="preserve">vioehtosopimuksen rekisteröinti, </w:t>
      </w:r>
    </w:p>
    <w:p w14:paraId="2E1ACC98" w14:textId="77777777" w:rsidR="00401391" w:rsidRDefault="00401391" w:rsidP="00401391">
      <w:pPr>
        <w:pStyle w:val="MNormaali"/>
        <w:numPr>
          <w:ilvl w:val="0"/>
          <w:numId w:val="22"/>
        </w:numPr>
      </w:pPr>
      <w:r w:rsidRPr="35F1E1BD">
        <w:t xml:space="preserve">aviopuolisoiden välisen, lahjoitusta koskevan ilmoituksen rekisteröinti, </w:t>
      </w:r>
    </w:p>
    <w:p w14:paraId="6365ED35" w14:textId="77777777" w:rsidR="00401391" w:rsidRDefault="00401391" w:rsidP="00401391">
      <w:pPr>
        <w:pStyle w:val="MNormaali"/>
        <w:numPr>
          <w:ilvl w:val="0"/>
          <w:numId w:val="22"/>
        </w:numPr>
      </w:pPr>
      <w:r w:rsidRPr="35F1E1BD">
        <w:lastRenderedPageBreak/>
        <w:t xml:space="preserve">avio-oikeuden poistamista koskevan ilmoituksen rekisteröinti, </w:t>
      </w:r>
    </w:p>
    <w:p w14:paraId="10957471" w14:textId="77777777" w:rsidR="00401391" w:rsidRDefault="00401391" w:rsidP="00401391">
      <w:pPr>
        <w:pStyle w:val="MNormaali"/>
        <w:numPr>
          <w:ilvl w:val="0"/>
          <w:numId w:val="22"/>
        </w:numPr>
      </w:pPr>
      <w:r w:rsidRPr="35F1E1BD">
        <w:t xml:space="preserve">osituskirjan rekisteröinti, </w:t>
      </w:r>
    </w:p>
    <w:p w14:paraId="44E568BA" w14:textId="77777777" w:rsidR="00401391" w:rsidRDefault="00401391" w:rsidP="00401391">
      <w:pPr>
        <w:pStyle w:val="MNormaali"/>
        <w:numPr>
          <w:ilvl w:val="0"/>
          <w:numId w:val="22"/>
        </w:numPr>
      </w:pPr>
      <w:r w:rsidRPr="35F1E1BD">
        <w:t xml:space="preserve">aviovarallisuussuhteeseen sovellettavaa lakia koskevan sopimuksen rekisteröinti, </w:t>
      </w:r>
    </w:p>
    <w:p w14:paraId="5E0D0453" w14:textId="77777777" w:rsidR="00401391" w:rsidRDefault="00401391" w:rsidP="00401391">
      <w:pPr>
        <w:pStyle w:val="MNormaali"/>
        <w:numPr>
          <w:ilvl w:val="0"/>
          <w:numId w:val="22"/>
        </w:numPr>
      </w:pPr>
      <w:r w:rsidRPr="35F1E1BD">
        <w:t xml:space="preserve">asiakirjan rekisteröinti avoliittoasioiden rekisteriin sekä </w:t>
      </w:r>
    </w:p>
    <w:p w14:paraId="6EA7D466" w14:textId="32D737F8" w:rsidR="00401391" w:rsidRPr="00486AEB" w:rsidRDefault="00401391" w:rsidP="00401391">
      <w:pPr>
        <w:pStyle w:val="MNormaali"/>
        <w:numPr>
          <w:ilvl w:val="0"/>
          <w:numId w:val="22"/>
        </w:numPr>
      </w:pPr>
      <w:r w:rsidRPr="35F1E1BD">
        <w:t>läheisten välisen lahjailmoituksen rekisteröinti</w:t>
      </w:r>
      <w:r>
        <w:t>.</w:t>
      </w:r>
    </w:p>
    <w:p w14:paraId="44606DF4" w14:textId="77777777" w:rsidR="00401391" w:rsidRDefault="00401391" w:rsidP="00401391">
      <w:pPr>
        <w:pStyle w:val="MNormaali"/>
        <w:ind w:left="1418"/>
      </w:pPr>
    </w:p>
    <w:p w14:paraId="456AE767" w14:textId="05C71CFC" w:rsidR="00401391" w:rsidRDefault="00401391" w:rsidP="00401391">
      <w:pPr>
        <w:pStyle w:val="MNormaali"/>
        <w:ind w:left="1418"/>
      </w:pPr>
      <w:r>
        <w:t>Lisäksi u</w:t>
      </w:r>
      <w:r w:rsidRPr="35F1E1BD">
        <w:t>losottokaaren mukaisen perinnöstä luopumisilmoituksen tallentami</w:t>
      </w:r>
      <w:r>
        <w:t>sen hintaa</w:t>
      </w:r>
      <w:r w:rsidRPr="35F1E1BD">
        <w:t xml:space="preserve"> </w:t>
      </w:r>
      <w:r>
        <w:t xml:space="preserve">esitetään korotettavaksi 7 eurolla. </w:t>
      </w:r>
    </w:p>
    <w:p w14:paraId="332CEFAC" w14:textId="77777777" w:rsidR="00401391" w:rsidRPr="00486AEB" w:rsidRDefault="00401391" w:rsidP="00401391">
      <w:pPr>
        <w:pStyle w:val="MNormaali"/>
        <w:ind w:left="1418"/>
      </w:pPr>
    </w:p>
    <w:p w14:paraId="5931EE95" w14:textId="7C44571A" w:rsidR="0091587A" w:rsidRDefault="00401391" w:rsidP="0091587A">
      <w:pPr>
        <w:pStyle w:val="MNormaali"/>
        <w:ind w:left="1418"/>
      </w:pPr>
      <w:r>
        <w:t>V</w:t>
      </w:r>
      <w:r w:rsidR="00FA78FF">
        <w:t>armennepalveluissa biovarmenteiden hintaa esitetään laskettavaksi. Organisaatioasiakkai</w:t>
      </w:r>
      <w:r w:rsidR="009F4F54">
        <w:t>lle tarjottavien</w:t>
      </w:r>
      <w:r w:rsidR="00FA78FF">
        <w:t xml:space="preserve"> rekisteritietojen </w:t>
      </w:r>
      <w:r w:rsidR="009F4F54">
        <w:t>luovutusta koskevien</w:t>
      </w:r>
      <w:r w:rsidR="00FA78FF">
        <w:t xml:space="preserve"> palveluiden hinnoittelua esitetään yhtenäistettäväksi. </w:t>
      </w:r>
      <w:r w:rsidR="0091587A">
        <w:t>P</w:t>
      </w:r>
      <w:r w:rsidR="0091587A" w:rsidRPr="003E684D">
        <w:t xml:space="preserve">erukirjan osakasluettelon vahvistamisen peruutuksen tai palautuksen hinnoittelua </w:t>
      </w:r>
      <w:r w:rsidR="0091587A">
        <w:t>e</w:t>
      </w:r>
      <w:r w:rsidR="0091587A" w:rsidRPr="003E684D">
        <w:t>sitetään tarkennettavaksi.</w:t>
      </w:r>
      <w:r w:rsidR="0091587A">
        <w:t xml:space="preserve"> </w:t>
      </w:r>
    </w:p>
    <w:p w14:paraId="4F3EB41E" w14:textId="16AE67F7" w:rsidR="00401391" w:rsidRDefault="00401391" w:rsidP="00401391">
      <w:pPr>
        <w:pStyle w:val="MNormaali"/>
        <w:ind w:left="1418"/>
      </w:pPr>
    </w:p>
    <w:p w14:paraId="596FC93D" w14:textId="77777777" w:rsidR="00401391" w:rsidRDefault="00401391" w:rsidP="00401391">
      <w:pPr>
        <w:pStyle w:val="MNormaali"/>
        <w:ind w:left="1418"/>
      </w:pPr>
      <w:r>
        <w:t>Notaari- ja oikeudellisista vahvistuspalveluista esitetään siirrettäväksi alennetun omakustannusarvon suoritteiksi seuraavia palveluja:</w:t>
      </w:r>
    </w:p>
    <w:p w14:paraId="3F219EAB" w14:textId="419CB772" w:rsidR="00401391" w:rsidRDefault="00401391" w:rsidP="00401391">
      <w:pPr>
        <w:pStyle w:val="MNormaali"/>
        <w:numPr>
          <w:ilvl w:val="0"/>
          <w:numId w:val="23"/>
        </w:numPr>
      </w:pPr>
      <w:r>
        <w:t>päätös hakemukseen vihkioikeudesta annetun lain (571/2008) 2 §:n nojalla,</w:t>
      </w:r>
    </w:p>
    <w:p w14:paraId="0F308292" w14:textId="505514AD" w:rsidR="00401391" w:rsidRPr="002760DD" w:rsidRDefault="00401391" w:rsidP="00401391">
      <w:pPr>
        <w:pStyle w:val="MNormaali"/>
        <w:numPr>
          <w:ilvl w:val="0"/>
          <w:numId w:val="23"/>
        </w:numPr>
      </w:pPr>
      <w:r w:rsidRPr="002760DD">
        <w:t>perintökaaressa (40/1965) tarkoitettu perukirj</w:t>
      </w:r>
      <w:r>
        <w:t xml:space="preserve">an osakastietojen vahvistaminen ja </w:t>
      </w:r>
    </w:p>
    <w:p w14:paraId="70AC4C4B" w14:textId="2F4909A8" w:rsidR="00401391" w:rsidRDefault="00401391" w:rsidP="00401391">
      <w:pPr>
        <w:pStyle w:val="MNormaali"/>
        <w:numPr>
          <w:ilvl w:val="0"/>
          <w:numId w:val="23"/>
        </w:numPr>
      </w:pPr>
      <w:r w:rsidRPr="002760DD">
        <w:t>perintöasioista annetun Euroopan parlamentin ja neuvoston asetuksen soveltamisesta annetun lain (682/2015) 3 §:ssä tarkoitettu</w:t>
      </w:r>
      <w:r>
        <w:t xml:space="preserve"> eurooppalainen perintötodistus.</w:t>
      </w:r>
    </w:p>
    <w:p w14:paraId="1B64B043" w14:textId="77777777" w:rsidR="00401391" w:rsidRDefault="00401391" w:rsidP="00401391">
      <w:pPr>
        <w:pStyle w:val="MNormaali"/>
        <w:ind w:left="1418"/>
      </w:pPr>
    </w:p>
    <w:p w14:paraId="26768F2A" w14:textId="77777777" w:rsidR="0028158A" w:rsidRDefault="0028158A" w:rsidP="009B48FD">
      <w:pPr>
        <w:pStyle w:val="MNormaali"/>
        <w:ind w:left="1418"/>
      </w:pPr>
      <w:r>
        <w:t xml:space="preserve">Näiden palvelujen hintoihin ei kuitenkaan esitetä muutoksia. </w:t>
      </w:r>
    </w:p>
    <w:p w14:paraId="508B3A62" w14:textId="77777777" w:rsidR="0028158A" w:rsidRDefault="0028158A" w:rsidP="009B48FD">
      <w:pPr>
        <w:pStyle w:val="MNormaali"/>
        <w:ind w:left="1418"/>
      </w:pPr>
    </w:p>
    <w:p w14:paraId="64803106" w14:textId="2BF062F6" w:rsidR="00CA1CFF" w:rsidRDefault="00401391" w:rsidP="009B48FD">
      <w:pPr>
        <w:pStyle w:val="MNormaali"/>
        <w:ind w:left="1418"/>
      </w:pPr>
      <w:r>
        <w:t>Lisäksi u</w:t>
      </w:r>
      <w:r w:rsidR="00FA78FF">
        <w:t>u</w:t>
      </w:r>
      <w:r w:rsidR="0028158A">
        <w:t>deksi</w:t>
      </w:r>
      <w:r w:rsidR="00FA78FF">
        <w:t xml:space="preserve"> suoritte</w:t>
      </w:r>
      <w:r w:rsidR="0028158A">
        <w:t xml:space="preserve">eksi </w:t>
      </w:r>
      <w:r w:rsidR="00365B0B">
        <w:t xml:space="preserve">asetuksessa </w:t>
      </w:r>
      <w:r w:rsidR="00FA78FF">
        <w:t>esitetään</w:t>
      </w:r>
      <w:r w:rsidR="0028158A">
        <w:t xml:space="preserve"> </w:t>
      </w:r>
      <w:r w:rsidR="00FA78FF">
        <w:t xml:space="preserve">sähköisestä väestötietojärjestelmästä tehtävää sukuselvitystä. </w:t>
      </w:r>
      <w:r w:rsidR="00365B0B">
        <w:t>Asetuksen liitteenä olevaan</w:t>
      </w:r>
      <w:r w:rsidR="00365B0B" w:rsidRPr="00365B0B">
        <w:t xml:space="preserve"> maksutaulukkoon esitetään lisättäväksi </w:t>
      </w:r>
      <w:r w:rsidR="009F4F54">
        <w:t xml:space="preserve">holhoustoimen valvontapalveluita koskevan II osan </w:t>
      </w:r>
      <w:r w:rsidR="00365B0B" w:rsidRPr="00365B0B">
        <w:t>käräjäoikeudelle tehtäviä hakemuksia koskevaan</w:t>
      </w:r>
      <w:r w:rsidR="009F4F54">
        <w:t xml:space="preserve"> 4.</w:t>
      </w:r>
      <w:r w:rsidR="00365B0B" w:rsidRPr="00365B0B">
        <w:t xml:space="preserve"> kohtaan tarkennus holhousviranomaisen osallistumisesta käsittelyyn etäyhteydellä.</w:t>
      </w:r>
      <w:r w:rsidR="00365B0B">
        <w:t xml:space="preserve"> </w:t>
      </w:r>
      <w:r w:rsidR="00FA78FF">
        <w:t>Muut muutokset asetuksessa ovat käsitteisiin esitettäviä teknisiä tarkennuksia ja muuttuneen lainsäädännön</w:t>
      </w:r>
      <w:r w:rsidR="0028158A">
        <w:t xml:space="preserve"> vuoksi</w:t>
      </w:r>
      <w:r w:rsidR="009F4F54">
        <w:t xml:space="preserve"> teht</w:t>
      </w:r>
      <w:r w:rsidR="0028158A">
        <w:t>yjä</w:t>
      </w:r>
      <w:r w:rsidR="009F4F54">
        <w:t xml:space="preserve"> säädösviittausten tarkistuksia</w:t>
      </w:r>
      <w:r w:rsidR="00FA78FF">
        <w:t>.</w:t>
      </w:r>
    </w:p>
    <w:p w14:paraId="60ED789A" w14:textId="09D331DA" w:rsidR="00401391" w:rsidRDefault="00401391" w:rsidP="009B48FD">
      <w:pPr>
        <w:pStyle w:val="MNormaali"/>
        <w:ind w:left="1418"/>
      </w:pPr>
    </w:p>
    <w:p w14:paraId="58B2395E" w14:textId="062C2FDF" w:rsidR="00F761A6" w:rsidRDefault="00F761A6" w:rsidP="009B48FD">
      <w:pPr>
        <w:pStyle w:val="MNormaali"/>
        <w:ind w:left="1418"/>
      </w:pPr>
      <w:r>
        <w:t xml:space="preserve">Asetuksen on </w:t>
      </w:r>
      <w:r w:rsidR="005313E5">
        <w:t>tarkoitus tulla voimaan 1.1.202</w:t>
      </w:r>
      <w:r w:rsidR="00CC5404">
        <w:t>2</w:t>
      </w:r>
      <w:r>
        <w:t>.</w:t>
      </w:r>
    </w:p>
    <w:p w14:paraId="341A9B46" w14:textId="51930C42" w:rsidR="00EF0B1E" w:rsidRDefault="00EF0B1E" w:rsidP="00F761A6">
      <w:pPr>
        <w:pStyle w:val="MNormaali"/>
      </w:pPr>
    </w:p>
    <w:p w14:paraId="5F184AA7" w14:textId="77777777" w:rsidR="00BC6214" w:rsidRPr="00BC6214" w:rsidRDefault="00BC6214" w:rsidP="00BC6214">
      <w:pPr>
        <w:pStyle w:val="MNormaali"/>
      </w:pPr>
    </w:p>
    <w:p w14:paraId="41F4C80D" w14:textId="77777777" w:rsidR="00EF0B1E" w:rsidRDefault="00EF0B1E" w:rsidP="00EF0B1E">
      <w:pPr>
        <w:pStyle w:val="MNormaali"/>
        <w:numPr>
          <w:ilvl w:val="0"/>
          <w:numId w:val="9"/>
        </w:numPr>
        <w:rPr>
          <w:b/>
        </w:rPr>
      </w:pPr>
      <w:r>
        <w:rPr>
          <w:b/>
        </w:rPr>
        <w:t>Asetuksenantovaltuus</w:t>
      </w:r>
    </w:p>
    <w:p w14:paraId="66AB7D54" w14:textId="77777777" w:rsidR="00EF0B1E" w:rsidRDefault="00EF0B1E" w:rsidP="00EF0B1E">
      <w:pPr>
        <w:pStyle w:val="MNormaali"/>
        <w:rPr>
          <w:b/>
        </w:rPr>
      </w:pPr>
    </w:p>
    <w:p w14:paraId="1F27AA23" w14:textId="524BC84D" w:rsidR="00EF0B1E" w:rsidRDefault="00C5187E" w:rsidP="00F761A6">
      <w:pPr>
        <w:pStyle w:val="MNormaali"/>
        <w:ind w:left="1304"/>
      </w:pPr>
      <w:r>
        <w:t xml:space="preserve">Asetuksenantovaltuus perustuu </w:t>
      </w:r>
      <w:r w:rsidRPr="0024787E">
        <w:t>valtion m</w:t>
      </w:r>
      <w:r>
        <w:t>aksuperustelain (150/1992) 8 §:ään.</w:t>
      </w:r>
    </w:p>
    <w:p w14:paraId="2BC96A57" w14:textId="60F83B2E" w:rsidR="00F761A6" w:rsidRDefault="00F761A6" w:rsidP="00F761A6">
      <w:pPr>
        <w:pStyle w:val="MNormaali"/>
        <w:ind w:left="1304"/>
      </w:pPr>
    </w:p>
    <w:p w14:paraId="0E1E888D" w14:textId="77777777" w:rsidR="00702132" w:rsidRDefault="00702132" w:rsidP="00F761A6">
      <w:pPr>
        <w:pStyle w:val="MNormaali"/>
        <w:ind w:left="1304"/>
      </w:pPr>
    </w:p>
    <w:p w14:paraId="4FB6D66F" w14:textId="77777777" w:rsidR="00EF0B1E" w:rsidRPr="00EF0B1E" w:rsidRDefault="00EF0B1E" w:rsidP="00EF0B1E">
      <w:pPr>
        <w:pStyle w:val="MNormaali"/>
        <w:rPr>
          <w:b/>
        </w:rPr>
      </w:pPr>
    </w:p>
    <w:p w14:paraId="538567C8" w14:textId="25E6A1D3" w:rsidR="00C5187E" w:rsidRPr="00C5187E" w:rsidRDefault="00FD6CAB" w:rsidP="00C5187E">
      <w:pPr>
        <w:pStyle w:val="M2Otsikkotaso"/>
        <w:numPr>
          <w:ilvl w:val="0"/>
          <w:numId w:val="9"/>
        </w:numPr>
      </w:pPr>
      <w:r>
        <w:t>Yksityiskohtaiset perustelut</w:t>
      </w:r>
    </w:p>
    <w:p w14:paraId="4892779E" w14:textId="63553037" w:rsidR="00A737F4" w:rsidRDefault="00C5187E" w:rsidP="00C5187E">
      <w:pPr>
        <w:pStyle w:val="M2Otsikkotaso"/>
        <w:numPr>
          <w:ilvl w:val="1"/>
          <w:numId w:val="9"/>
        </w:numPr>
      </w:pPr>
      <w:r>
        <w:t>Asetus</w:t>
      </w:r>
    </w:p>
    <w:p w14:paraId="39C4DF8E" w14:textId="1F59B9BC" w:rsidR="00CA1CFF" w:rsidRDefault="00CA1CFF" w:rsidP="00C5187E">
      <w:pPr>
        <w:pStyle w:val="MNormaali"/>
        <w:ind w:left="1418"/>
      </w:pPr>
      <w:r>
        <w:t xml:space="preserve">Asetuksen sisältö pysyisi pääasiassa voimassa olevaa maksuasetusta vastaavana. Seuraavassa tuodaan esille ehdotetut muutokset suhteessa voimassa olevaan </w:t>
      </w:r>
      <w:r w:rsidR="008453D7">
        <w:t>maksu</w:t>
      </w:r>
      <w:r>
        <w:t>asetukseen.</w:t>
      </w:r>
    </w:p>
    <w:p w14:paraId="62C05D4D" w14:textId="187E47CE" w:rsidR="00CA1CFF" w:rsidRDefault="00CA1CFF" w:rsidP="00C5187E">
      <w:pPr>
        <w:pStyle w:val="MNormaali"/>
        <w:ind w:left="1418"/>
      </w:pPr>
    </w:p>
    <w:p w14:paraId="65BA0C9D" w14:textId="0DA02583" w:rsidR="008453D7" w:rsidRDefault="008453D7" w:rsidP="00C5187E">
      <w:pPr>
        <w:pStyle w:val="MNormaali"/>
        <w:ind w:left="1418"/>
      </w:pPr>
      <w:r w:rsidRPr="00C5187E">
        <w:rPr>
          <w:b/>
        </w:rPr>
        <w:t>1</w:t>
      </w:r>
      <w:r>
        <w:rPr>
          <w:b/>
        </w:rPr>
        <w:t xml:space="preserve"> §.</w:t>
      </w:r>
      <w:r>
        <w:t xml:space="preserve"> </w:t>
      </w:r>
      <w:r w:rsidRPr="00C5187E">
        <w:rPr>
          <w:i/>
        </w:rPr>
        <w:t>Soveltamisala</w:t>
      </w:r>
      <w:r>
        <w:t>. Pykälä vastaa voimassa olevaa asetusta.</w:t>
      </w:r>
    </w:p>
    <w:p w14:paraId="53CBC6AA" w14:textId="7510181F" w:rsidR="008453D7" w:rsidRDefault="008453D7" w:rsidP="00C5187E">
      <w:pPr>
        <w:pStyle w:val="MNormaali"/>
        <w:ind w:left="1418"/>
      </w:pPr>
    </w:p>
    <w:p w14:paraId="057A627D" w14:textId="513453B8" w:rsidR="008453D7" w:rsidRPr="008453D7" w:rsidRDefault="008453D7" w:rsidP="00C5187E">
      <w:pPr>
        <w:pStyle w:val="MNormaali"/>
        <w:ind w:left="1418"/>
      </w:pPr>
      <w:r w:rsidRPr="00291B97">
        <w:rPr>
          <w:b/>
        </w:rPr>
        <w:t>2 §.</w:t>
      </w:r>
      <w:r>
        <w:t xml:space="preserve"> </w:t>
      </w:r>
      <w:r w:rsidRPr="00DE5A46">
        <w:rPr>
          <w:i/>
        </w:rPr>
        <w:t>Maksuttomat julkisoikeudelliset suoritteet.</w:t>
      </w:r>
      <w:r>
        <w:rPr>
          <w:i/>
        </w:rPr>
        <w:t xml:space="preserve"> </w:t>
      </w:r>
      <w:r>
        <w:t>Pykälä vastaa voimassa olevaa asetusta.</w:t>
      </w:r>
    </w:p>
    <w:p w14:paraId="13F9B796" w14:textId="77777777" w:rsidR="008453D7" w:rsidRDefault="008453D7" w:rsidP="00C5187E">
      <w:pPr>
        <w:pStyle w:val="MNormaali"/>
        <w:ind w:left="1418"/>
        <w:rPr>
          <w:b/>
        </w:rPr>
      </w:pPr>
    </w:p>
    <w:p w14:paraId="28DE0DD8" w14:textId="2F964B98" w:rsidR="00CA1CFF" w:rsidRDefault="008453D7" w:rsidP="00C5187E">
      <w:pPr>
        <w:pStyle w:val="MNormaali"/>
        <w:ind w:left="1418"/>
      </w:pPr>
      <w:r w:rsidRPr="008453D7">
        <w:rPr>
          <w:b/>
        </w:rPr>
        <w:t>3 §</w:t>
      </w:r>
      <w:r>
        <w:t xml:space="preserve">. </w:t>
      </w:r>
      <w:r w:rsidRPr="008453D7">
        <w:rPr>
          <w:i/>
        </w:rPr>
        <w:t>Maksulliset julkisoikeudelliset suoritteet</w:t>
      </w:r>
      <w:r>
        <w:t>. Asetuksen 3</w:t>
      </w:r>
      <w:r w:rsidR="005E43F7">
        <w:t xml:space="preserve"> §:ssä säädetään Digi- ja väestötietoviraston maksullisista julkisoikeud</w:t>
      </w:r>
      <w:r w:rsidR="006F0435">
        <w:t xml:space="preserve">ellisista suoritteista. </w:t>
      </w:r>
      <w:r w:rsidR="005A2C57">
        <w:t xml:space="preserve">Pykälän </w:t>
      </w:r>
      <w:r w:rsidR="005A2C57" w:rsidRPr="00DB29C2">
        <w:rPr>
          <w:i/>
        </w:rPr>
        <w:t>1 momentti</w:t>
      </w:r>
      <w:r w:rsidR="005A2C57">
        <w:t xml:space="preserve"> vastaisi suurelta osin voimassa olevan asetuksen 3 §:n 1 momenttia. Voimassa olevan asetuksen </w:t>
      </w:r>
      <w:r w:rsidR="00401391">
        <w:t xml:space="preserve">1 </w:t>
      </w:r>
      <w:r w:rsidR="005A2C57">
        <w:t>§:n 1 momentin</w:t>
      </w:r>
      <w:r w:rsidR="00401391">
        <w:t xml:space="preserve"> </w:t>
      </w:r>
      <w:r w:rsidR="005A2C57">
        <w:t xml:space="preserve">1, 3 ja 8 </w:t>
      </w:r>
      <w:r w:rsidR="00401391">
        <w:t xml:space="preserve">kohdat ehdotetaan </w:t>
      </w:r>
      <w:r w:rsidR="005A2C57">
        <w:t xml:space="preserve">kuitenkin </w:t>
      </w:r>
      <w:r w:rsidR="00401391">
        <w:t>siirrettäväksi asetuksen 4 §:</w:t>
      </w:r>
      <w:r w:rsidR="005A2C57">
        <w:t>n</w:t>
      </w:r>
      <w:r w:rsidR="00401391">
        <w:t xml:space="preserve"> </w:t>
      </w:r>
      <w:r w:rsidR="005A2C57">
        <w:t>2</w:t>
      </w:r>
      <w:r w:rsidR="00401391">
        <w:t xml:space="preserve"> momentin 4, 5 ja 6</w:t>
      </w:r>
      <w:r w:rsidR="005A2C57">
        <w:t xml:space="preserve"> kohdaksi, eikä näistä suoritteista säädettäisi enää maksullisina julkisoikeudellisina suoritteina</w:t>
      </w:r>
      <w:r w:rsidR="00401391">
        <w:t xml:space="preserve">. </w:t>
      </w:r>
      <w:r w:rsidR="005A2C57">
        <w:t xml:space="preserve">Lisäksi 1 momentin 12 kohdassa tehtäisiin säädöstekninen muutos siten, että kohdassa viitattaisiin uuteen sosiaali- ja terveydenhuollon asiakastietojen sähköisestä käsittelystä annettuun lakiin. </w:t>
      </w:r>
      <w:r w:rsidR="005A2C57" w:rsidRPr="00DB29C2">
        <w:t xml:space="preserve">Pykälän 16 momenttiin sisältyisi uutena suoritteena maksuliitteeseen lisättävä sukuselvitys sähköisestä väestötietojärjestelmästä. Lisäys ei kuitenkaan edellyttäisi muutosta momenttiin. </w:t>
      </w:r>
      <w:r w:rsidR="007873EB" w:rsidRPr="00DB29C2">
        <w:t xml:space="preserve"> </w:t>
      </w:r>
      <w:r w:rsidR="00704B41" w:rsidRPr="00DB29C2">
        <w:t>Muilta</w:t>
      </w:r>
      <w:r w:rsidR="00704B41">
        <w:t xml:space="preserve"> osin pykälä vastaisi voimassa olevan asetuksen 3 §:ää.</w:t>
      </w:r>
    </w:p>
    <w:p w14:paraId="7DFF1B3B" w14:textId="4B5AEEEA" w:rsidR="005E43F7" w:rsidRDefault="005E43F7" w:rsidP="00C5187E">
      <w:pPr>
        <w:pStyle w:val="MNormaali"/>
        <w:ind w:left="1418"/>
      </w:pPr>
    </w:p>
    <w:p w14:paraId="69810925" w14:textId="332EAA44" w:rsidR="008453D7" w:rsidRDefault="008453D7" w:rsidP="00C5187E">
      <w:pPr>
        <w:pStyle w:val="MNormaali"/>
        <w:ind w:left="1418"/>
      </w:pPr>
    </w:p>
    <w:p w14:paraId="2624DA2D" w14:textId="0D17A5B3" w:rsidR="008453D7" w:rsidRDefault="008453D7" w:rsidP="00704B41">
      <w:pPr>
        <w:pStyle w:val="MNormaali"/>
        <w:ind w:left="1418"/>
      </w:pPr>
      <w:r w:rsidRPr="00291B97">
        <w:rPr>
          <w:b/>
        </w:rPr>
        <w:t>4 §.</w:t>
      </w:r>
      <w:r>
        <w:t xml:space="preserve"> </w:t>
      </w:r>
      <w:r w:rsidRPr="00DE5A46">
        <w:rPr>
          <w:i/>
        </w:rPr>
        <w:t>Alennetun omakustannusarvon mukaiset julkisoikeudelliset suoritteet</w:t>
      </w:r>
      <w:r>
        <w:t xml:space="preserve">. </w:t>
      </w:r>
      <w:r w:rsidR="00401391">
        <w:t xml:space="preserve">Asetuksen 4 §:ssä säädetään Digi- ja väestötietoviraston alennetun omakustannusarvon mukaisista julkisoikeudellisista suoritteista. Pykälän 1 momentin 4, 5 ja 6 </w:t>
      </w:r>
      <w:r w:rsidR="00704B41">
        <w:t xml:space="preserve"> kohtaan sisällytettäisiin </w:t>
      </w:r>
      <w:r w:rsidR="005A2C57">
        <w:t xml:space="preserve">kolme suoritetta, joista voimassa olevassa asetuksessa on säädetty maksullisina julkisoikeudellisina suoritteina. </w:t>
      </w:r>
      <w:r w:rsidR="00704B41">
        <w:t xml:space="preserve">Uusiksi alennetun omakustannusarvon mukaisiksi julkisoikeudellisiksi suoritteiksi ehdotetaan päätöstä </w:t>
      </w:r>
      <w:r w:rsidR="00704B41" w:rsidRPr="00692015">
        <w:t xml:space="preserve">hakemukseen vihkimisoikeudesta annetun lain </w:t>
      </w:r>
      <w:r w:rsidR="00C90FF3" w:rsidRPr="00692015">
        <w:t>(1157/2019)</w:t>
      </w:r>
      <w:r w:rsidR="00C90FF3" w:rsidRPr="00692015">
        <w:t xml:space="preserve"> </w:t>
      </w:r>
      <w:r w:rsidR="00704B41" w:rsidRPr="00692015">
        <w:t>2 §:n nojalla, perintökaaressa (40/19</w:t>
      </w:r>
      <w:r w:rsidR="00704B41">
        <w:t>65) tarkoitettua perukirjan osakastietojen vahvistamista sekä</w:t>
      </w:r>
      <w:r w:rsidR="0091587A">
        <w:t xml:space="preserve"> </w:t>
      </w:r>
      <w:r w:rsidR="00704B41">
        <w:t xml:space="preserve">perintöasioista annetun Euroopan parlamentin ja neuvoston asetuksen soveltamisesta annetun lain (682/2015) 3 §:ssä tarkoitettua eurooppalaista perintötodistusta. Suoritteet vastaisivat voimassa olevan asetuksen </w:t>
      </w:r>
      <w:r w:rsidR="00401391">
        <w:t>3 §:</w:t>
      </w:r>
      <w:r w:rsidR="00704B41">
        <w:t>n</w:t>
      </w:r>
      <w:r w:rsidR="00401391">
        <w:t xml:space="preserve"> 1,</w:t>
      </w:r>
      <w:r w:rsidR="00704B41">
        <w:t xml:space="preserve"> </w:t>
      </w:r>
      <w:r w:rsidR="00401391">
        <w:t>3 ja 8</w:t>
      </w:r>
      <w:r w:rsidR="00704B41">
        <w:t xml:space="preserve"> kohtaa</w:t>
      </w:r>
      <w:r w:rsidR="00401391">
        <w:t xml:space="preserve">. </w:t>
      </w:r>
      <w:r w:rsidR="00704B41">
        <w:t>Muilta osin pykälä vastaa voimassa olevan as</w:t>
      </w:r>
      <w:r w:rsidR="00C908EB">
        <w:t>e</w:t>
      </w:r>
      <w:r w:rsidR="00704B41">
        <w:t>tuksen 4 §:ää.</w:t>
      </w:r>
    </w:p>
    <w:p w14:paraId="1BA1E076" w14:textId="23AC6E37" w:rsidR="008453D7" w:rsidRDefault="008453D7" w:rsidP="00C5187E">
      <w:pPr>
        <w:pStyle w:val="MNormaali"/>
        <w:ind w:left="1418"/>
      </w:pPr>
    </w:p>
    <w:p w14:paraId="318926B5" w14:textId="4D599CAA" w:rsidR="009D1B7D" w:rsidRDefault="00611492" w:rsidP="00FA78FF">
      <w:pPr>
        <w:pStyle w:val="MNormaali"/>
        <w:ind w:left="1418"/>
      </w:pPr>
      <w:r w:rsidRPr="00291B97">
        <w:rPr>
          <w:b/>
        </w:rPr>
        <w:t>5 §.</w:t>
      </w:r>
      <w:r>
        <w:t xml:space="preserve"> </w:t>
      </w:r>
      <w:r w:rsidRPr="00DE5A46">
        <w:rPr>
          <w:i/>
        </w:rPr>
        <w:t>Liiketaloudellisin perustein hinnoitellut suoritteet</w:t>
      </w:r>
      <w:r>
        <w:t xml:space="preserve">. </w:t>
      </w:r>
      <w:r w:rsidR="00377FC3">
        <w:t>Pykälä vasta</w:t>
      </w:r>
      <w:r w:rsidR="00704B41">
        <w:t>a</w:t>
      </w:r>
      <w:r w:rsidR="00377FC3">
        <w:t xml:space="preserve"> voimassa olevaa asetusta. </w:t>
      </w:r>
    </w:p>
    <w:p w14:paraId="02AB8372" w14:textId="77777777" w:rsidR="009D1B7D" w:rsidRDefault="009D1B7D" w:rsidP="00C5187E">
      <w:pPr>
        <w:pStyle w:val="MNormaali"/>
        <w:ind w:left="1418"/>
      </w:pPr>
    </w:p>
    <w:p w14:paraId="489E792E" w14:textId="403E8BE3" w:rsidR="008453D7" w:rsidRDefault="009D1B7D" w:rsidP="00C5187E">
      <w:pPr>
        <w:pStyle w:val="MNormaali"/>
        <w:ind w:left="1418"/>
      </w:pPr>
      <w:r w:rsidRPr="00291B97">
        <w:rPr>
          <w:b/>
        </w:rPr>
        <w:t>6 §.</w:t>
      </w:r>
      <w:r>
        <w:t xml:space="preserve"> </w:t>
      </w:r>
      <w:r w:rsidRPr="00DE5A46">
        <w:rPr>
          <w:i/>
        </w:rPr>
        <w:t>Holhoussuoritteita koskevista maksuista vapautuminen</w:t>
      </w:r>
      <w:r>
        <w:t>. Pykälä vastaa voimassa olevaa asetusta.</w:t>
      </w:r>
    </w:p>
    <w:p w14:paraId="4E2A5302" w14:textId="2638314B" w:rsidR="008453D7" w:rsidRDefault="008453D7" w:rsidP="00C5187E">
      <w:pPr>
        <w:pStyle w:val="MNormaali"/>
        <w:ind w:left="1418"/>
      </w:pPr>
    </w:p>
    <w:p w14:paraId="54C7D09A" w14:textId="42B258BD" w:rsidR="009D1B7D" w:rsidRDefault="009D1B7D" w:rsidP="00C5187E">
      <w:pPr>
        <w:pStyle w:val="MNormaali"/>
        <w:ind w:left="1418"/>
      </w:pPr>
      <w:r w:rsidRPr="00291B97">
        <w:rPr>
          <w:b/>
        </w:rPr>
        <w:t>7 §.</w:t>
      </w:r>
      <w:r>
        <w:t xml:space="preserve"> </w:t>
      </w:r>
      <w:r w:rsidRPr="00DE5A46">
        <w:rPr>
          <w:i/>
        </w:rPr>
        <w:t>Julkisuuslain perusteella annettavat suoritteet</w:t>
      </w:r>
      <w:r>
        <w:t>. Pykälä vastaa voimassa olevaa asetusta.</w:t>
      </w:r>
    </w:p>
    <w:p w14:paraId="084266FF" w14:textId="549C80B4" w:rsidR="009D1B7D" w:rsidRDefault="009D1B7D" w:rsidP="00C5187E">
      <w:pPr>
        <w:pStyle w:val="MNormaali"/>
        <w:ind w:left="1418"/>
      </w:pPr>
    </w:p>
    <w:p w14:paraId="7C7078B7" w14:textId="700900D4" w:rsidR="009D1B7D" w:rsidRDefault="009D1B7D" w:rsidP="009D1B7D">
      <w:pPr>
        <w:pStyle w:val="MNormaali"/>
        <w:ind w:left="1418"/>
      </w:pPr>
      <w:r w:rsidRPr="00291B97">
        <w:rPr>
          <w:b/>
        </w:rPr>
        <w:t>8 §.</w:t>
      </w:r>
      <w:r>
        <w:t xml:space="preserve"> </w:t>
      </w:r>
      <w:r w:rsidRPr="00DE5A46">
        <w:rPr>
          <w:i/>
        </w:rPr>
        <w:t>Voimaan</w:t>
      </w:r>
      <w:r>
        <w:rPr>
          <w:i/>
        </w:rPr>
        <w:t xml:space="preserve">tulo. </w:t>
      </w:r>
      <w:r>
        <w:t>Asetus tulisi voimaan 1.1.202</w:t>
      </w:r>
      <w:r w:rsidR="00365B0B">
        <w:t>2</w:t>
      </w:r>
      <w:r>
        <w:t xml:space="preserve"> ja olisi voimassa </w:t>
      </w:r>
      <w:r w:rsidR="00702132">
        <w:t>31.12.202</w:t>
      </w:r>
      <w:r w:rsidR="00365B0B">
        <w:t>2</w:t>
      </w:r>
      <w:r w:rsidR="00702132">
        <w:t xml:space="preserve"> saakka</w:t>
      </w:r>
      <w:r>
        <w:t xml:space="preserve">. </w:t>
      </w:r>
    </w:p>
    <w:p w14:paraId="13025D0C" w14:textId="77777777" w:rsidR="009D1B7D" w:rsidRPr="005E43F7" w:rsidRDefault="009D1B7D" w:rsidP="00C5187E">
      <w:pPr>
        <w:pStyle w:val="MNormaali"/>
        <w:ind w:left="1418"/>
      </w:pPr>
    </w:p>
    <w:p w14:paraId="14562972" w14:textId="103AB04A" w:rsidR="004043BB" w:rsidRDefault="004043BB" w:rsidP="004043BB">
      <w:pPr>
        <w:pStyle w:val="M2Otsikkotaso"/>
      </w:pPr>
    </w:p>
    <w:p w14:paraId="7666AF28" w14:textId="4123C555" w:rsidR="004043BB" w:rsidRDefault="000415E6" w:rsidP="004043BB">
      <w:pPr>
        <w:pStyle w:val="M2Otsikkotaso"/>
        <w:numPr>
          <w:ilvl w:val="1"/>
          <w:numId w:val="9"/>
        </w:numPr>
      </w:pPr>
      <w:r>
        <w:t>Maksutaulukko</w:t>
      </w:r>
    </w:p>
    <w:p w14:paraId="0900DDFA" w14:textId="2471BDCE" w:rsidR="00AF4DB9" w:rsidRDefault="001129E2" w:rsidP="00AF4DB9">
      <w:pPr>
        <w:pStyle w:val="MNormaali"/>
        <w:ind w:left="1418"/>
      </w:pPr>
      <w:r>
        <w:t xml:space="preserve">Asetuksen liitteenä on maksutaulukko, jossa maksut on ryhmitelty viraston palveluluokittelun mukaisesti. </w:t>
      </w:r>
      <w:r w:rsidR="00AF4DB9">
        <w:t xml:space="preserve">Seuraavassa esitetään ne suoritteet, joihin ehdotetaan tehtäväksi muutoksia verrattuna </w:t>
      </w:r>
      <w:r w:rsidR="00F51DE1">
        <w:t>voimassa olevaan vuoden 202</w:t>
      </w:r>
      <w:r w:rsidR="00365B0B">
        <w:t>1</w:t>
      </w:r>
      <w:r w:rsidR="00F51DE1">
        <w:t xml:space="preserve"> maksuasetukseen</w:t>
      </w:r>
      <w:r w:rsidR="00AF4DB9">
        <w:t>.</w:t>
      </w:r>
    </w:p>
    <w:p w14:paraId="79467E90" w14:textId="77777777" w:rsidR="00AF4DB9" w:rsidRPr="00AF4DB9" w:rsidRDefault="00AF4DB9" w:rsidP="00AF4DB9">
      <w:pPr>
        <w:pStyle w:val="MNormaali"/>
        <w:ind w:left="1418"/>
      </w:pPr>
    </w:p>
    <w:p w14:paraId="3DC60707" w14:textId="7C3CB451" w:rsidR="000415E6" w:rsidRDefault="00F51DE1" w:rsidP="00291B97">
      <w:pPr>
        <w:pStyle w:val="MNormaali"/>
        <w:ind w:left="1418"/>
        <w:rPr>
          <w:i/>
        </w:rPr>
      </w:pPr>
      <w:r>
        <w:rPr>
          <w:i/>
        </w:rPr>
        <w:t>Notaari- ja oikeudelliset vahvistuspalvelut</w:t>
      </w:r>
    </w:p>
    <w:p w14:paraId="7114A9CC" w14:textId="0FC7B7D7" w:rsidR="00EC6FB1" w:rsidRDefault="00EC6FB1" w:rsidP="00291B97">
      <w:pPr>
        <w:pStyle w:val="MNormaali"/>
        <w:ind w:left="1418"/>
      </w:pPr>
    </w:p>
    <w:p w14:paraId="6016959E" w14:textId="1A4FD05A" w:rsidR="00401391" w:rsidRDefault="00F51DE1" w:rsidP="00F51DE1">
      <w:pPr>
        <w:pStyle w:val="MNormaali"/>
        <w:ind w:left="1418"/>
      </w:pPr>
      <w:r w:rsidRPr="00F51DE1">
        <w:t>Notaari- ja oikeudellisten vahvistuspalveluiden julkisoikeudellisten suoritteiden</w:t>
      </w:r>
      <w:r w:rsidR="002F4F3B">
        <w:t xml:space="preserve"> kustannusvastaavuuden arvioidaan olevan </w:t>
      </w:r>
      <w:r w:rsidR="003E684D">
        <w:t xml:space="preserve">nykyisillä, vuoden 2021 maksuasetuksessa nostetuilla hinnoilla </w:t>
      </w:r>
      <w:r w:rsidR="00365B0B">
        <w:t>71</w:t>
      </w:r>
      <w:r w:rsidR="002F4F3B">
        <w:t xml:space="preserve"> % vuonna 202</w:t>
      </w:r>
      <w:r w:rsidR="00365B0B">
        <w:t>1</w:t>
      </w:r>
      <w:r w:rsidR="00B37A77">
        <w:t xml:space="preserve">. </w:t>
      </w:r>
      <w:r w:rsidR="003E684D">
        <w:t>Ensimmäisenä uuden kustannuslaskentamallin soveltamisvuonna 2020</w:t>
      </w:r>
      <w:r w:rsidR="00B37A77">
        <w:t xml:space="preserve"> suoritteiden kustannusvastaavuus oli </w:t>
      </w:r>
      <w:r w:rsidR="00365B0B">
        <w:t>43</w:t>
      </w:r>
      <w:r w:rsidR="00B37A77">
        <w:t xml:space="preserve"> %</w:t>
      </w:r>
      <w:r w:rsidR="00365B0B">
        <w:t>, sitä ennen vuonna 2019 se oli 96%</w:t>
      </w:r>
      <w:r w:rsidR="002F4F3B">
        <w:t xml:space="preserve">. </w:t>
      </w:r>
      <w:r w:rsidR="003E684D">
        <w:t>Silloinen m</w:t>
      </w:r>
      <w:r w:rsidR="002F4F3B">
        <w:t xml:space="preserve">atala kustannusvastaavuus johtuu ennen kaikkea siitä, että </w:t>
      </w:r>
      <w:r w:rsidR="006727F5">
        <w:t xml:space="preserve">vanhan kustannuslaskentamallin perusteella ei </w:t>
      </w:r>
      <w:r w:rsidR="002F4F3B">
        <w:t>ennen vuotta 2020 ole pystytty vyöryttämään aiheuttamisperiaatteen mukaisesti kattavasti suoritteiden tuottamisesta aiheutuneita kustannuksia suoriteryhmälle. Kustannukset ovat siten näyttäytyneet pienemmiltä kuin ne tosiasiassa ovat olleet.</w:t>
      </w:r>
      <w:r w:rsidR="004B798C">
        <w:t xml:space="preserve"> </w:t>
      </w:r>
    </w:p>
    <w:p w14:paraId="0B3D82FB" w14:textId="77777777" w:rsidR="00F51DE1" w:rsidRPr="00F51DE1" w:rsidRDefault="00F51DE1" w:rsidP="00F51DE1">
      <w:pPr>
        <w:pStyle w:val="MNormaali"/>
        <w:ind w:left="1418"/>
      </w:pPr>
    </w:p>
    <w:p w14:paraId="5A266DED" w14:textId="0C766841" w:rsidR="00401391" w:rsidRDefault="004B798C" w:rsidP="00401391">
      <w:pPr>
        <w:pStyle w:val="MNormaali"/>
        <w:ind w:left="1418"/>
      </w:pPr>
      <w:r>
        <w:t xml:space="preserve">Julkisen notaarin palveluihin </w:t>
      </w:r>
      <w:r w:rsidR="003E684D">
        <w:t xml:space="preserve">ei </w:t>
      </w:r>
      <w:r>
        <w:t>esitetä hinnan</w:t>
      </w:r>
      <w:r w:rsidR="003E684D">
        <w:t xml:space="preserve">muutoksia. </w:t>
      </w:r>
      <w:r w:rsidR="00401391">
        <w:t>Sen sijaan seuraaviin perhe- ja perintöoikeudellisiin palveluihin esitetään 10 euron korotuksia (55 eurosta 65 euroon):</w:t>
      </w:r>
    </w:p>
    <w:p w14:paraId="0F540361" w14:textId="77777777" w:rsidR="00401391" w:rsidRDefault="00401391" w:rsidP="00401391">
      <w:pPr>
        <w:pStyle w:val="MNormaali"/>
        <w:numPr>
          <w:ilvl w:val="0"/>
          <w:numId w:val="22"/>
        </w:numPr>
      </w:pPr>
      <w:r>
        <w:t>a</w:t>
      </w:r>
      <w:r w:rsidRPr="35F1E1BD">
        <w:t xml:space="preserve">vioehtosopimuksen rekisteröinti, </w:t>
      </w:r>
    </w:p>
    <w:p w14:paraId="25125165" w14:textId="77777777" w:rsidR="00401391" w:rsidRDefault="00401391" w:rsidP="00401391">
      <w:pPr>
        <w:pStyle w:val="MNormaali"/>
        <w:numPr>
          <w:ilvl w:val="0"/>
          <w:numId w:val="22"/>
        </w:numPr>
      </w:pPr>
      <w:r w:rsidRPr="35F1E1BD">
        <w:t xml:space="preserve">aviopuolisoiden välisen, lahjoitusta koskevan ilmoituksen rekisteröinti, </w:t>
      </w:r>
    </w:p>
    <w:p w14:paraId="4AC94929" w14:textId="77777777" w:rsidR="00401391" w:rsidRDefault="00401391" w:rsidP="00401391">
      <w:pPr>
        <w:pStyle w:val="MNormaali"/>
        <w:numPr>
          <w:ilvl w:val="0"/>
          <w:numId w:val="22"/>
        </w:numPr>
      </w:pPr>
      <w:r w:rsidRPr="35F1E1BD">
        <w:t xml:space="preserve">avio-oikeuden poistamista koskevan ilmoituksen rekisteröinti, </w:t>
      </w:r>
    </w:p>
    <w:p w14:paraId="27088FF3" w14:textId="77777777" w:rsidR="00401391" w:rsidRDefault="00401391" w:rsidP="00401391">
      <w:pPr>
        <w:pStyle w:val="MNormaali"/>
        <w:numPr>
          <w:ilvl w:val="0"/>
          <w:numId w:val="22"/>
        </w:numPr>
      </w:pPr>
      <w:r w:rsidRPr="35F1E1BD">
        <w:t xml:space="preserve">osituskirjan rekisteröinti, </w:t>
      </w:r>
    </w:p>
    <w:p w14:paraId="0E871FE4" w14:textId="77777777" w:rsidR="00401391" w:rsidRDefault="00401391" w:rsidP="00401391">
      <w:pPr>
        <w:pStyle w:val="MNormaali"/>
        <w:numPr>
          <w:ilvl w:val="0"/>
          <w:numId w:val="22"/>
        </w:numPr>
      </w:pPr>
      <w:r w:rsidRPr="35F1E1BD">
        <w:t xml:space="preserve">aviovarallisuussuhteeseen sovellettavaa lakia koskevan sopimuksen rekisteröinti, </w:t>
      </w:r>
    </w:p>
    <w:p w14:paraId="70DF33A9" w14:textId="77777777" w:rsidR="00401391" w:rsidRDefault="00401391" w:rsidP="00401391">
      <w:pPr>
        <w:pStyle w:val="MNormaali"/>
        <w:numPr>
          <w:ilvl w:val="0"/>
          <w:numId w:val="22"/>
        </w:numPr>
      </w:pPr>
      <w:r w:rsidRPr="35F1E1BD">
        <w:t xml:space="preserve">asiakirjan rekisteröinti avoliittoasioiden rekisteriin sekä </w:t>
      </w:r>
    </w:p>
    <w:p w14:paraId="3DCDBF53" w14:textId="77777777" w:rsidR="00401391" w:rsidRPr="00486AEB" w:rsidRDefault="00401391" w:rsidP="00401391">
      <w:pPr>
        <w:pStyle w:val="MNormaali"/>
        <w:numPr>
          <w:ilvl w:val="0"/>
          <w:numId w:val="22"/>
        </w:numPr>
      </w:pPr>
      <w:r w:rsidRPr="35F1E1BD">
        <w:t>läheisten välisen lahjailmoituksen rekisteröinti</w:t>
      </w:r>
      <w:r>
        <w:t>.</w:t>
      </w:r>
    </w:p>
    <w:p w14:paraId="1931A068" w14:textId="77777777" w:rsidR="00401391" w:rsidRDefault="00401391" w:rsidP="00401391">
      <w:pPr>
        <w:pStyle w:val="MNormaali"/>
        <w:ind w:left="1418"/>
      </w:pPr>
    </w:p>
    <w:p w14:paraId="149989CF" w14:textId="77777777" w:rsidR="00401391" w:rsidRDefault="00401391" w:rsidP="00401391">
      <w:pPr>
        <w:pStyle w:val="MNormaali"/>
        <w:ind w:left="1418"/>
      </w:pPr>
      <w:r>
        <w:t>Lisäksi u</w:t>
      </w:r>
      <w:r w:rsidRPr="35F1E1BD">
        <w:t>losottokaaren mukaisen perinnöstä luopumisilmoituksen tallentami</w:t>
      </w:r>
      <w:r>
        <w:t>sen palvelun hintaa</w:t>
      </w:r>
      <w:r w:rsidRPr="35F1E1BD">
        <w:t xml:space="preserve"> </w:t>
      </w:r>
      <w:r>
        <w:t xml:space="preserve">esitetään korotettavaksi 7 eurolla 28 eurosta 35 euroon. </w:t>
      </w:r>
    </w:p>
    <w:p w14:paraId="624E5D25" w14:textId="77777777" w:rsidR="00401391" w:rsidRDefault="00401391" w:rsidP="00401391">
      <w:pPr>
        <w:pStyle w:val="MNormaali"/>
        <w:ind w:left="1418"/>
      </w:pPr>
    </w:p>
    <w:p w14:paraId="72C3BAEF" w14:textId="238E0B7B" w:rsidR="00401391" w:rsidRDefault="00401391" w:rsidP="00401391">
      <w:pPr>
        <w:pStyle w:val="MNormaali"/>
        <w:ind w:left="1418"/>
      </w:pPr>
      <w:r>
        <w:t>Hinnankorotust</w:t>
      </w:r>
      <w:r w:rsidR="00D2122E">
        <w:t xml:space="preserve">en jälkeen näiden palvelujen </w:t>
      </w:r>
      <w:r>
        <w:t>kustannusvastaavuus nousisi vuonna 2022 92 prosenttiin - kestävälle tasolle verrattuna vanhoihin hintoihin perustuvaan arvioon v. 2022 toteutuvasta 77 prosentin omakustannusvastaavuudesta.</w:t>
      </w:r>
    </w:p>
    <w:p w14:paraId="1FE373AD" w14:textId="0D747E83" w:rsidR="00401391" w:rsidRDefault="00401391" w:rsidP="00401391">
      <w:pPr>
        <w:pStyle w:val="MNormaali"/>
        <w:ind w:left="1418"/>
      </w:pPr>
      <w:r>
        <w:t xml:space="preserve">. </w:t>
      </w:r>
    </w:p>
    <w:p w14:paraId="57DFDCAC" w14:textId="77777777" w:rsidR="001E1793" w:rsidRDefault="001E1793" w:rsidP="001E1793">
      <w:pPr>
        <w:pStyle w:val="MNormaali"/>
        <w:ind w:left="1418"/>
      </w:pPr>
      <w:r>
        <w:t>Notaari- ja oikeudellisista vahvistuspalveluista esitetään siirrettäväksi alennetun omakustannusarvon suoritteiksi seuraavia palveluja:</w:t>
      </w:r>
    </w:p>
    <w:p w14:paraId="422196D0" w14:textId="77777777" w:rsidR="001E1793" w:rsidRDefault="001E1793" w:rsidP="001E1793">
      <w:pPr>
        <w:pStyle w:val="MNormaali"/>
        <w:numPr>
          <w:ilvl w:val="0"/>
          <w:numId w:val="23"/>
        </w:numPr>
      </w:pPr>
      <w:r>
        <w:t>päätös hakemukseen vihkioikeudesta annetun lain (571/2008) 2 §:n nojalla,</w:t>
      </w:r>
    </w:p>
    <w:p w14:paraId="1DA38BB9" w14:textId="77777777" w:rsidR="001E1793" w:rsidRPr="002760DD" w:rsidRDefault="001E1793" w:rsidP="001E1793">
      <w:pPr>
        <w:pStyle w:val="MNormaali"/>
        <w:numPr>
          <w:ilvl w:val="0"/>
          <w:numId w:val="23"/>
        </w:numPr>
      </w:pPr>
      <w:r w:rsidRPr="002760DD">
        <w:t>perintökaaressa (40/1965) tarkoitettu perukirj</w:t>
      </w:r>
      <w:r>
        <w:t xml:space="preserve">an osakastietojen vahvistaminen ja </w:t>
      </w:r>
    </w:p>
    <w:p w14:paraId="2633E9BD" w14:textId="614EA945" w:rsidR="001E1793" w:rsidRDefault="001E1793" w:rsidP="001E1793">
      <w:pPr>
        <w:pStyle w:val="MNormaali"/>
        <w:numPr>
          <w:ilvl w:val="0"/>
          <w:numId w:val="23"/>
        </w:numPr>
      </w:pPr>
      <w:r w:rsidRPr="002760DD">
        <w:t>perintöasioista annetun Euroopan parlamentin ja neuvoston asetuksen soveltamisesta annetun lain (682/2015) 3 §:ssä tarkoitettu</w:t>
      </w:r>
      <w:r>
        <w:t xml:space="preserve"> eurooppalainen perintötodistus.</w:t>
      </w:r>
    </w:p>
    <w:p w14:paraId="21C09AEE" w14:textId="77777777" w:rsidR="001E1793" w:rsidRDefault="001E1793" w:rsidP="001E1793">
      <w:pPr>
        <w:pStyle w:val="MNormaali"/>
      </w:pPr>
    </w:p>
    <w:p w14:paraId="7F894D06" w14:textId="17FFA0F0" w:rsidR="0091587A" w:rsidRDefault="0091587A" w:rsidP="0091587A">
      <w:pPr>
        <w:pStyle w:val="MNormaali"/>
        <w:ind w:left="1418"/>
      </w:pPr>
      <w:r>
        <w:t xml:space="preserve">Näiden palvelujen hintoihin ei </w:t>
      </w:r>
      <w:r>
        <w:t>kuitenkaan e</w:t>
      </w:r>
      <w:r>
        <w:t xml:space="preserve">sitetä muutoksia. </w:t>
      </w:r>
    </w:p>
    <w:p w14:paraId="47DA4553" w14:textId="77777777" w:rsidR="0091587A" w:rsidRDefault="0091587A" w:rsidP="00D2122E">
      <w:pPr>
        <w:pStyle w:val="MNormaali"/>
        <w:ind w:left="1418"/>
      </w:pPr>
    </w:p>
    <w:p w14:paraId="723302DD" w14:textId="33E7349D" w:rsidR="00D2122E" w:rsidRDefault="00D2122E" w:rsidP="00D2122E">
      <w:pPr>
        <w:pStyle w:val="MNormaali"/>
        <w:ind w:left="1418"/>
      </w:pPr>
      <w:r>
        <w:t>V</w:t>
      </w:r>
      <w:r w:rsidR="001E1793">
        <w:t>ihkioikeuspäätöksen o</w:t>
      </w:r>
      <w:r>
        <w:t>makustannusarvoa</w:t>
      </w:r>
      <w:r w:rsidR="001E1793" w:rsidRPr="001E1793">
        <w:t xml:space="preserve"> alemman maksun perimi</w:t>
      </w:r>
      <w:r>
        <w:t>stä (60 euroa, kustannusvastaavuuden arvio 9 % vuodelle 2022) voidaan</w:t>
      </w:r>
      <w:r w:rsidR="001E1793" w:rsidRPr="001E1793">
        <w:t xml:space="preserve"> perustella uskonnonv</w:t>
      </w:r>
      <w:r>
        <w:t>apauden toteutumisen tukemisella</w:t>
      </w:r>
      <w:r w:rsidR="001E1793" w:rsidRPr="001E1793">
        <w:t xml:space="preserve">. Omakustannusarvon </w:t>
      </w:r>
      <w:r>
        <w:t xml:space="preserve">mukaisen hinnan </w:t>
      </w:r>
      <w:r w:rsidR="001E1793" w:rsidRPr="001E1793">
        <w:t xml:space="preserve">soveltaminen johtaisi todennäköisesti hakemusten vähentymiseen ja pienimuotoisesti toimivat uskonnolliset yhdyskunnat voisivat joutua harkitsemaan vihkijöittensä määrää taloudellisista syistä. Uskonnollisissa yhdyskunnissa vihkimättä jääneet siirtyisivät </w:t>
      </w:r>
      <w:r>
        <w:t xml:space="preserve">myös </w:t>
      </w:r>
      <w:r w:rsidR="001E1793" w:rsidRPr="001E1793">
        <w:t xml:space="preserve">todennäköisesti DVV:n asiakkaiksi ja tällöin heille tarjottavan maksuttoman vihkimisen kustannus tulisi verorahoilla katettavaksi. </w:t>
      </w:r>
    </w:p>
    <w:p w14:paraId="2FD8B379" w14:textId="77777777" w:rsidR="00D2122E" w:rsidRDefault="00D2122E" w:rsidP="00D2122E">
      <w:pPr>
        <w:pStyle w:val="MNormaali"/>
        <w:ind w:left="1418"/>
      </w:pPr>
    </w:p>
    <w:p w14:paraId="74EB8527" w14:textId="373C83DF" w:rsidR="00D2122E" w:rsidRPr="00D2122E" w:rsidRDefault="00D2122E" w:rsidP="00D2122E">
      <w:pPr>
        <w:pStyle w:val="MNormaali"/>
        <w:ind w:left="1418"/>
      </w:pPr>
      <w:r w:rsidRPr="00D2122E">
        <w:t xml:space="preserve">Perukirjan osakastietojen vahvistamisen </w:t>
      </w:r>
      <w:r>
        <w:t xml:space="preserve">omakustannusvastaavuuden on nykyisillä hinnoilla </w:t>
      </w:r>
      <w:r w:rsidR="007122D6">
        <w:t xml:space="preserve">(95-170 euroa) </w:t>
      </w:r>
      <w:r>
        <w:t>arvioitu olevan vuonna 2022 37% ja</w:t>
      </w:r>
      <w:r w:rsidRPr="00D2122E">
        <w:t xml:space="preserve"> eurooppalaisen perintötodistuksen</w:t>
      </w:r>
      <w:r>
        <w:t xml:space="preserve"> </w:t>
      </w:r>
      <w:r w:rsidR="007122D6">
        <w:t xml:space="preserve">(160 euroa) </w:t>
      </w:r>
      <w:r>
        <w:t>saman</w:t>
      </w:r>
      <w:r w:rsidR="007122D6">
        <w:t>a</w:t>
      </w:r>
      <w:r>
        <w:t xml:space="preserve"> vuonna 23%. Näiden palvelujen</w:t>
      </w:r>
      <w:r w:rsidRPr="00D2122E">
        <w:t xml:space="preserve"> omakustannusarvon mukainen hinnoittelu</w:t>
      </w:r>
      <w:r>
        <w:t xml:space="preserve"> merkitsisi hinnan moninkertaistamista ja</w:t>
      </w:r>
      <w:r w:rsidRPr="00D2122E">
        <w:t xml:space="preserve"> vähentäisi suoritteiden käyttöä. </w:t>
      </w:r>
      <w:r>
        <w:t>Tämä olisi haitallista, koska s</w:t>
      </w:r>
      <w:r w:rsidRPr="00D2122E">
        <w:t xml:space="preserve">uoritteet luovat oikeusvarmuutta perinnönjakoon ja nopeuttavat omaisuuden vaihdantaa. Yhteiskunnan kannalta on parempi tukea näiden suoritteiden käyttöä kuin joutua panostamaan epäselvien oikeustilanteiden selvittelyyn oikeuslaitoksessa. Nopeampi ja selkeämpi kuolinpesän selvittely on myös asiakkaiden etu. Lisäksi perintöasioiden selvityskustannukset ovat jo nyt usein huomattavat ja omaisuudeltaan vähäisen kuolinpesän selvityskustannukset voivat viedä huomattavan osan perinnöstä. </w:t>
      </w:r>
    </w:p>
    <w:p w14:paraId="168F1C1B" w14:textId="77777777" w:rsidR="003C1A6B" w:rsidRDefault="003C1A6B" w:rsidP="003C1A6B">
      <w:pPr>
        <w:pStyle w:val="MNormaali"/>
        <w:ind w:left="1418"/>
      </w:pPr>
    </w:p>
    <w:p w14:paraId="240ACFF4" w14:textId="358A2C47" w:rsidR="003C1A6B" w:rsidRPr="00963A7A" w:rsidRDefault="0091587A" w:rsidP="00DB29C2">
      <w:pPr>
        <w:pStyle w:val="MNormaali"/>
        <w:ind w:left="1418"/>
      </w:pPr>
      <w:r>
        <w:t>P</w:t>
      </w:r>
      <w:r w:rsidRPr="003E684D">
        <w:t>erukirjan osakasluettelon vahvistamisen peruutuksen tai palautuksen hinnoittelua maksutaulukossa</w:t>
      </w:r>
      <w:r>
        <w:t xml:space="preserve"> e</w:t>
      </w:r>
      <w:r w:rsidRPr="003E684D">
        <w:t>sitetään tarkennettavaksi</w:t>
      </w:r>
      <w:r>
        <w:t xml:space="preserve"> ja</w:t>
      </w:r>
      <w:r w:rsidR="003C1A6B" w:rsidRPr="00963A7A">
        <w:t xml:space="preserve"> yhtenäist</w:t>
      </w:r>
      <w:r w:rsidR="00F31FEB">
        <w:t>ettäväksi</w:t>
      </w:r>
      <w:r w:rsidR="003C1A6B" w:rsidRPr="00963A7A">
        <w:t xml:space="preserve"> yhteen hintakategoriaan. Aiemmin peruutusten ja palautusten hinnoittelu perustui osakasluetteloiden vahvistamisesta perittävään hintaan, jossa on käytössä kaksi hintakategoriaa osakkaa</w:t>
      </w:r>
      <w:r w:rsidR="003C1A6B">
        <w:t>n mukaan</w:t>
      </w:r>
      <w:r w:rsidR="003C1A6B" w:rsidRPr="00963A7A">
        <w:t xml:space="preserve">. Hakemuksen peruutus tai palautus on </w:t>
      </w:r>
      <w:r w:rsidR="003C1A6B">
        <w:t xml:space="preserve">kuitenkin </w:t>
      </w:r>
      <w:r w:rsidR="003C1A6B" w:rsidRPr="00963A7A">
        <w:t>osakkaasta riippumatta aina sisällöllisesti samankaltainen</w:t>
      </w:r>
      <w:r w:rsidR="003C1A6B">
        <w:t xml:space="preserve"> ja </w:t>
      </w:r>
      <w:r w:rsidR="003C1A6B" w:rsidRPr="00963A7A">
        <w:t>yksi hinta on perusteltu. Hinnaksi esitetään 48 €/hakemus.</w:t>
      </w:r>
    </w:p>
    <w:p w14:paraId="4DD89529" w14:textId="77777777" w:rsidR="003C1A6B" w:rsidRPr="006727F5" w:rsidRDefault="003C1A6B" w:rsidP="00DB29C2">
      <w:pPr>
        <w:pStyle w:val="MNormaali"/>
        <w:ind w:left="1418"/>
      </w:pPr>
    </w:p>
    <w:p w14:paraId="3D915A7F" w14:textId="10D16F25" w:rsidR="003C1A6B" w:rsidRDefault="001E1793" w:rsidP="001E1793">
      <w:pPr>
        <w:pStyle w:val="MNormaali"/>
        <w:ind w:left="1418"/>
      </w:pPr>
      <w:r>
        <w:t>N</w:t>
      </w:r>
      <w:r w:rsidR="003E684D">
        <w:t xml:space="preserve">otaari- ja oikeudellisten vahvistuspalveluiden julkisoikeudellisten suoritteiden tuotot olivat vuonna 2020 n. 2,2 M€ ja kustannukset yli 5 M€, jolloin kustannusvastaavuus jäi 43 %:iin. Vuonna 2020 erityisesti julkisen notaarin tuotot jäivät koronasta johtuen ennakoitua alhaisemmaksi. Vuoden 2021 alussa erityisen alikatteellisten suoritteiden hintoja korotettiin, </w:t>
      </w:r>
      <w:r w:rsidR="007B00D2">
        <w:t>minkä ansiosta</w:t>
      </w:r>
      <w:r w:rsidR="003E684D">
        <w:t xml:space="preserve"> notaari- ja oikeudellisten vahvistuspalveluiden kokonaiskustannusvastaavuuden arvioidaan nousevan </w:t>
      </w:r>
      <w:r w:rsidR="004F1FF4">
        <w:t>v. 2021 71</w:t>
      </w:r>
      <w:r w:rsidR="003E684D">
        <w:t xml:space="preserve"> %:iin. Kysynnän odotetaan koronan jäljiltä normalisoituvan viimeistään vuoden 2022 aikana</w:t>
      </w:r>
      <w:r w:rsidR="006727F5">
        <w:t xml:space="preserve"> ja kustannusvastaavuuden ennustetaan nousevan </w:t>
      </w:r>
      <w:r w:rsidR="00401391">
        <w:t xml:space="preserve">hinnankorotusten myötä </w:t>
      </w:r>
      <w:r w:rsidR="006727F5">
        <w:t>7</w:t>
      </w:r>
      <w:r>
        <w:t xml:space="preserve">6 </w:t>
      </w:r>
      <w:r w:rsidR="006727F5">
        <w:t>%</w:t>
      </w:r>
      <w:r w:rsidR="004F1FF4">
        <w:t>:iin</w:t>
      </w:r>
      <w:r w:rsidR="003E684D">
        <w:t xml:space="preserve">. </w:t>
      </w:r>
    </w:p>
    <w:p w14:paraId="572B4AA1" w14:textId="77777777" w:rsidR="003C1A6B" w:rsidRDefault="003C1A6B" w:rsidP="001E1793">
      <w:pPr>
        <w:pStyle w:val="MNormaali"/>
        <w:ind w:left="1418"/>
      </w:pPr>
    </w:p>
    <w:p w14:paraId="6E04A57F" w14:textId="3B5DABE6" w:rsidR="003E684D" w:rsidRDefault="003C1A6B" w:rsidP="001E1793">
      <w:pPr>
        <w:pStyle w:val="MNormaali"/>
        <w:ind w:left="1418"/>
      </w:pPr>
      <w:r>
        <w:t xml:space="preserve">Omakustannusarvon mukaisten suoritteiden osalta em. siirtojen ja hinnankorotusten jälkeen kustannusvastaavuuksien arvioidaan nousevan vuoden 2022 osalta 94 %:sta 97%:iin. </w:t>
      </w:r>
      <w:r w:rsidR="003E684D">
        <w:t xml:space="preserve"> </w:t>
      </w:r>
    </w:p>
    <w:p w14:paraId="036CFB8B" w14:textId="53932ACD" w:rsidR="001E1793" w:rsidRDefault="001E1793" w:rsidP="001E1793">
      <w:pPr>
        <w:pStyle w:val="MNormaali"/>
        <w:ind w:left="1418"/>
      </w:pPr>
    </w:p>
    <w:p w14:paraId="4FDDCE18" w14:textId="7318F5E6" w:rsidR="001E1793" w:rsidRDefault="001E1793" w:rsidP="001E1793">
      <w:pPr>
        <w:pStyle w:val="MNormaali"/>
        <w:ind w:left="1418"/>
      </w:pPr>
      <w:r w:rsidRPr="001E1793">
        <w:rPr>
          <w:noProof/>
        </w:rPr>
        <w:drawing>
          <wp:inline distT="0" distB="0" distL="0" distR="0" wp14:anchorId="457C1EF7" wp14:editId="6941F9F1">
            <wp:extent cx="5343277" cy="1121802"/>
            <wp:effectExtent l="0" t="0" r="0" b="254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6122" cy="1130797"/>
                    </a:xfrm>
                    <a:prstGeom prst="rect">
                      <a:avLst/>
                    </a:prstGeom>
                    <a:noFill/>
                    <a:ln>
                      <a:noFill/>
                    </a:ln>
                  </pic:spPr>
                </pic:pic>
              </a:graphicData>
            </a:graphic>
          </wp:inline>
        </w:drawing>
      </w:r>
    </w:p>
    <w:p w14:paraId="1F9E5ACA" w14:textId="524C8D7A" w:rsidR="003C1A6B" w:rsidRDefault="003C1A6B" w:rsidP="001E1793">
      <w:pPr>
        <w:pStyle w:val="MNormaali"/>
        <w:ind w:left="1418"/>
      </w:pPr>
    </w:p>
    <w:p w14:paraId="5DDC59A9" w14:textId="34486FBA" w:rsidR="003C1A6B" w:rsidRDefault="003C1A6B" w:rsidP="001E1793">
      <w:pPr>
        <w:pStyle w:val="MNormaali"/>
        <w:ind w:left="1418"/>
      </w:pPr>
      <w:r w:rsidRPr="003C1A6B">
        <w:rPr>
          <w:noProof/>
        </w:rPr>
        <w:drawing>
          <wp:inline distT="0" distB="0" distL="0" distR="0" wp14:anchorId="44FAA0F1" wp14:editId="2DD81BB2">
            <wp:extent cx="5359179" cy="581671"/>
            <wp:effectExtent l="0" t="0" r="0" b="889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0767" cy="592697"/>
                    </a:xfrm>
                    <a:prstGeom prst="rect">
                      <a:avLst/>
                    </a:prstGeom>
                    <a:noFill/>
                    <a:ln>
                      <a:noFill/>
                    </a:ln>
                  </pic:spPr>
                </pic:pic>
              </a:graphicData>
            </a:graphic>
          </wp:inline>
        </w:drawing>
      </w:r>
    </w:p>
    <w:p w14:paraId="0A58A354" w14:textId="00070B6F" w:rsidR="00956032" w:rsidRDefault="00956032" w:rsidP="00DB29C2">
      <w:pPr>
        <w:pStyle w:val="MNormaali"/>
        <w:ind w:left="1418"/>
      </w:pPr>
    </w:p>
    <w:p w14:paraId="017E2741" w14:textId="6B5CBD65" w:rsidR="002E05BC" w:rsidRPr="00DB29C2" w:rsidRDefault="002E05BC" w:rsidP="007A6C5E">
      <w:pPr>
        <w:pStyle w:val="Leipteksti"/>
        <w:ind w:left="1418"/>
        <w:rPr>
          <w:rFonts w:ascii="Times New Roman" w:hAnsi="Times New Roman" w:cs="Times New Roman"/>
          <w:sz w:val="24"/>
          <w:szCs w:val="24"/>
        </w:rPr>
      </w:pPr>
      <w:r>
        <w:rPr>
          <w:rFonts w:ascii="Times New Roman" w:hAnsi="Times New Roman" w:cs="Times New Roman"/>
          <w:sz w:val="24"/>
          <w:szCs w:val="24"/>
        </w:rPr>
        <w:t>Lisäksi</w:t>
      </w:r>
      <w:r>
        <w:rPr>
          <w:rFonts w:ascii="Times New Roman" w:hAnsi="Times New Roman" w:cs="Times New Roman"/>
          <w:sz w:val="24"/>
          <w:szCs w:val="24"/>
        </w:rPr>
        <w:t xml:space="preserve"> maksuasetukseen esitetään vihkimisoikeutta koskevien säädösviittausten päivittämistä lainmuutoksen mukaisesti: Laki vihkimisoikeudesta (571/2008) on kumottu uudella lailla (1157/2019), joka tuli voimaan 1.1.2020. </w:t>
      </w:r>
    </w:p>
    <w:p w14:paraId="059B40EC" w14:textId="5214B89D" w:rsidR="003C1A6B" w:rsidRDefault="003C1A6B" w:rsidP="00EC6FB1">
      <w:pPr>
        <w:pStyle w:val="MNormaali"/>
        <w:ind w:left="1418"/>
      </w:pPr>
    </w:p>
    <w:p w14:paraId="7FFB4BC1" w14:textId="77777777" w:rsidR="007A6C5E" w:rsidRPr="002E05BC" w:rsidRDefault="007A6C5E" w:rsidP="00EC6FB1">
      <w:pPr>
        <w:pStyle w:val="MNormaali"/>
        <w:ind w:left="1418"/>
      </w:pPr>
    </w:p>
    <w:p w14:paraId="4E6B6B12" w14:textId="45646E48" w:rsidR="00B0404A" w:rsidRDefault="00B0404A" w:rsidP="00EC6FB1">
      <w:pPr>
        <w:pStyle w:val="MNormaali"/>
        <w:ind w:left="1418"/>
        <w:rPr>
          <w:i/>
        </w:rPr>
      </w:pPr>
      <w:r>
        <w:rPr>
          <w:i/>
        </w:rPr>
        <w:t>Holhoustoimen valvontapalvelut</w:t>
      </w:r>
    </w:p>
    <w:p w14:paraId="56D50969" w14:textId="4174785E" w:rsidR="00B0404A" w:rsidRDefault="00B0404A" w:rsidP="00EC6FB1">
      <w:pPr>
        <w:pStyle w:val="MNormaali"/>
        <w:ind w:left="1418"/>
        <w:rPr>
          <w:i/>
        </w:rPr>
      </w:pPr>
    </w:p>
    <w:p w14:paraId="087BF0C5" w14:textId="5EA833AA" w:rsidR="00F83CC9" w:rsidRDefault="00F83CC9" w:rsidP="00815C8C">
      <w:pPr>
        <w:pStyle w:val="MNormaali"/>
        <w:ind w:left="1418"/>
      </w:pPr>
    </w:p>
    <w:p w14:paraId="0F8B0FAA" w14:textId="0F68C689" w:rsidR="00220239" w:rsidRDefault="00220239" w:rsidP="00DB29C2">
      <w:pPr>
        <w:pStyle w:val="MNormaali"/>
        <w:ind w:left="1418"/>
      </w:pPr>
      <w:r>
        <w:t xml:space="preserve">Holhoustoimen suoritteiden hintoihin ei esitetä muutoksia. </w:t>
      </w:r>
      <w:r w:rsidRPr="00DB29C2">
        <w:t xml:space="preserve">Holhoustoimen valvontapalveluiden kustannusvastaavuuden odotetaan nousevan edellisvuosista, </w:t>
      </w:r>
      <w:r>
        <w:t>koska</w:t>
      </w:r>
      <w:r w:rsidRPr="00DB29C2">
        <w:t xml:space="preserve"> toimin</w:t>
      </w:r>
      <w:r>
        <w:t>ta</w:t>
      </w:r>
      <w:r w:rsidRPr="00DB29C2">
        <w:t xml:space="preserve"> tehostu</w:t>
      </w:r>
      <w:r>
        <w:t>u</w:t>
      </w:r>
      <w:r w:rsidRPr="00DB29C2">
        <w:t xml:space="preserve"> </w:t>
      </w:r>
      <w:r>
        <w:t>digitalisoinnin</w:t>
      </w:r>
      <w:r w:rsidRPr="00DB29C2">
        <w:t xml:space="preserve"> myötä osassa holhoustoimen palveluita</w:t>
      </w:r>
      <w:r w:rsidRPr="00220239">
        <w:t>.</w:t>
      </w:r>
      <w:r>
        <w:t xml:space="preserve"> Vuonna 2020 holhoustoimen omakustannusarvon mukaisten suoritteiden kustannusvastaavuus oli 74 prosenttia. Vuonna 2021 kustannusvastaavuuden arvioidaan nousevan 88 prosenttiin</w:t>
      </w:r>
      <w:r w:rsidR="007462E6">
        <w:t xml:space="preserve"> ja vuonna 2022 90 prosenttiin</w:t>
      </w:r>
      <w:r>
        <w:t xml:space="preserve">. Alennetun omakustannusarvon mukaisten suoritteiden kustannusvastaavuus toteutunee </w:t>
      </w:r>
      <w:r w:rsidR="007462E6">
        <w:t>vuonna 2021 edellisien vuosien tapaan 16 prosenttiin ja 2022 18 prosenttiin</w:t>
      </w:r>
      <w:r>
        <w:t xml:space="preserve">. </w:t>
      </w:r>
    </w:p>
    <w:p w14:paraId="6A49E214" w14:textId="266BAA2B" w:rsidR="00956032" w:rsidRDefault="00956032" w:rsidP="00DB29C2">
      <w:pPr>
        <w:pStyle w:val="MNormaali"/>
        <w:ind w:left="1418"/>
      </w:pPr>
    </w:p>
    <w:p w14:paraId="0B6BF137" w14:textId="386649A3" w:rsidR="00956032" w:rsidRDefault="00956032" w:rsidP="00DB29C2">
      <w:pPr>
        <w:pStyle w:val="MNormaali"/>
        <w:ind w:left="1418"/>
      </w:pPr>
      <w:r w:rsidRPr="00956032">
        <w:rPr>
          <w:noProof/>
        </w:rPr>
        <w:drawing>
          <wp:inline distT="0" distB="0" distL="0" distR="0" wp14:anchorId="1633B6FF" wp14:editId="67F4BDE3">
            <wp:extent cx="5382880" cy="2186609"/>
            <wp:effectExtent l="0" t="0" r="8890" b="444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1" cy="2193320"/>
                    </a:xfrm>
                    <a:prstGeom prst="rect">
                      <a:avLst/>
                    </a:prstGeom>
                    <a:noFill/>
                    <a:ln>
                      <a:noFill/>
                    </a:ln>
                  </pic:spPr>
                </pic:pic>
              </a:graphicData>
            </a:graphic>
          </wp:inline>
        </w:drawing>
      </w:r>
    </w:p>
    <w:p w14:paraId="4723B3C7" w14:textId="498D7DC2" w:rsidR="007462E6" w:rsidRDefault="007462E6" w:rsidP="00DB29C2">
      <w:pPr>
        <w:pStyle w:val="MNormaali"/>
        <w:ind w:left="1418"/>
      </w:pPr>
    </w:p>
    <w:p w14:paraId="4F081C04" w14:textId="16125738" w:rsidR="00D8359E" w:rsidRDefault="00220239" w:rsidP="007A6C5E">
      <w:pPr>
        <w:pStyle w:val="Leipteksti"/>
        <w:ind w:left="1418"/>
        <w:rPr>
          <w:rFonts w:ascii="Times New Roman" w:hAnsi="Times New Roman" w:cs="Times New Roman"/>
          <w:sz w:val="24"/>
          <w:szCs w:val="24"/>
        </w:rPr>
      </w:pPr>
      <w:r w:rsidRPr="00DB29C2">
        <w:rPr>
          <w:rFonts w:ascii="Times New Roman" w:hAnsi="Times New Roman" w:cs="Times New Roman"/>
          <w:sz w:val="24"/>
          <w:szCs w:val="24"/>
        </w:rPr>
        <w:t xml:space="preserve">Edunvalvojan määräämisissä toiminnan </w:t>
      </w:r>
      <w:r>
        <w:rPr>
          <w:rFonts w:ascii="Times New Roman" w:hAnsi="Times New Roman" w:cs="Times New Roman"/>
          <w:sz w:val="24"/>
          <w:szCs w:val="24"/>
        </w:rPr>
        <w:t>tuottavuus tulee tulevina vuosina kasvamaan palvelujen digitalisoinnin myötä. Toisaalta e</w:t>
      </w:r>
      <w:r w:rsidRPr="00DB29C2">
        <w:rPr>
          <w:rFonts w:ascii="Times New Roman" w:hAnsi="Times New Roman" w:cs="Times New Roman"/>
          <w:sz w:val="24"/>
          <w:szCs w:val="24"/>
        </w:rPr>
        <w:t xml:space="preserve">dunvalvonnan palvelutarve kasvaa </w:t>
      </w:r>
      <w:r w:rsidR="00D8359E">
        <w:rPr>
          <w:rFonts w:ascii="Times New Roman" w:hAnsi="Times New Roman" w:cs="Times New Roman"/>
          <w:sz w:val="24"/>
          <w:szCs w:val="24"/>
        </w:rPr>
        <w:t xml:space="preserve">voimakkaasti (n. 5% vuodessa) </w:t>
      </w:r>
      <w:r w:rsidRPr="00DB29C2">
        <w:rPr>
          <w:rFonts w:ascii="Times New Roman" w:hAnsi="Times New Roman" w:cs="Times New Roman"/>
          <w:sz w:val="24"/>
          <w:szCs w:val="24"/>
        </w:rPr>
        <w:t>väestön ikääntyessä. Edunvalvojan määräämisten kysyntään vaikutta</w:t>
      </w:r>
      <w:r w:rsidR="0092255C">
        <w:rPr>
          <w:rFonts w:ascii="Times New Roman" w:hAnsi="Times New Roman" w:cs="Times New Roman"/>
          <w:sz w:val="24"/>
          <w:szCs w:val="24"/>
        </w:rPr>
        <w:t>vat</w:t>
      </w:r>
      <w:r w:rsidRPr="00DB29C2">
        <w:rPr>
          <w:rFonts w:ascii="Times New Roman" w:hAnsi="Times New Roman" w:cs="Times New Roman"/>
          <w:sz w:val="24"/>
          <w:szCs w:val="24"/>
        </w:rPr>
        <w:t xml:space="preserve"> kuitenkin ikärakenteen lisäksi edunvalvontavaltakirjojen </w:t>
      </w:r>
      <w:r w:rsidR="007462E6">
        <w:rPr>
          <w:rFonts w:ascii="Times New Roman" w:hAnsi="Times New Roman" w:cs="Times New Roman"/>
          <w:sz w:val="24"/>
          <w:szCs w:val="24"/>
        </w:rPr>
        <w:t>toivottava</w:t>
      </w:r>
      <w:r w:rsidRPr="00DB29C2">
        <w:rPr>
          <w:rFonts w:ascii="Times New Roman" w:hAnsi="Times New Roman" w:cs="Times New Roman"/>
          <w:sz w:val="24"/>
          <w:szCs w:val="24"/>
        </w:rPr>
        <w:t xml:space="preserve"> yleistyminen</w:t>
      </w:r>
      <w:r w:rsidR="00D8359E">
        <w:rPr>
          <w:rFonts w:ascii="Times New Roman" w:hAnsi="Times New Roman" w:cs="Times New Roman"/>
          <w:sz w:val="24"/>
          <w:szCs w:val="24"/>
        </w:rPr>
        <w:t>, johon virasto pyrkii myös v. 2022 tulossopimuksen mukaan vaikuttamaan esimerkiksi viestinnällä</w:t>
      </w:r>
      <w:r w:rsidRPr="00DB29C2">
        <w:rPr>
          <w:rFonts w:ascii="Times New Roman" w:hAnsi="Times New Roman" w:cs="Times New Roman"/>
          <w:sz w:val="24"/>
          <w:szCs w:val="24"/>
        </w:rPr>
        <w:t>.</w:t>
      </w:r>
      <w:r w:rsidR="00D8359E">
        <w:rPr>
          <w:rFonts w:ascii="Times New Roman" w:hAnsi="Times New Roman" w:cs="Times New Roman"/>
          <w:sz w:val="24"/>
          <w:szCs w:val="24"/>
        </w:rPr>
        <w:t xml:space="preserve"> Jos edunvalvontavaltakirjat yleistyvät, ta</w:t>
      </w:r>
      <w:r w:rsidRPr="00DB29C2">
        <w:rPr>
          <w:rFonts w:ascii="Times New Roman" w:hAnsi="Times New Roman" w:cs="Times New Roman"/>
          <w:sz w:val="24"/>
          <w:szCs w:val="24"/>
        </w:rPr>
        <w:t xml:space="preserve">rve </w:t>
      </w:r>
      <w:r w:rsidR="007462E6">
        <w:rPr>
          <w:rFonts w:ascii="Times New Roman" w:hAnsi="Times New Roman" w:cs="Times New Roman"/>
          <w:sz w:val="24"/>
          <w:szCs w:val="24"/>
        </w:rPr>
        <w:t xml:space="preserve">prosesseina raskaampiin </w:t>
      </w:r>
      <w:r w:rsidRPr="00DB29C2">
        <w:rPr>
          <w:rFonts w:ascii="Times New Roman" w:hAnsi="Times New Roman" w:cs="Times New Roman"/>
          <w:sz w:val="24"/>
          <w:szCs w:val="24"/>
        </w:rPr>
        <w:t>edunvalvonnan määräämisiin ja valvontapalveluihin vähenee</w:t>
      </w:r>
      <w:r w:rsidR="00D8359E">
        <w:rPr>
          <w:rFonts w:ascii="Times New Roman" w:hAnsi="Times New Roman" w:cs="Times New Roman"/>
          <w:sz w:val="24"/>
          <w:szCs w:val="24"/>
        </w:rPr>
        <w:t>. N</w:t>
      </w:r>
      <w:r w:rsidR="007462E6">
        <w:rPr>
          <w:rFonts w:ascii="Times New Roman" w:hAnsi="Times New Roman" w:cs="Times New Roman"/>
          <w:sz w:val="24"/>
          <w:szCs w:val="24"/>
        </w:rPr>
        <w:t>äi</w:t>
      </w:r>
      <w:r w:rsidR="0092255C">
        <w:rPr>
          <w:rFonts w:ascii="Times New Roman" w:hAnsi="Times New Roman" w:cs="Times New Roman"/>
          <w:sz w:val="24"/>
          <w:szCs w:val="24"/>
        </w:rPr>
        <w:t>den</w:t>
      </w:r>
      <w:r w:rsidR="007462E6">
        <w:rPr>
          <w:rFonts w:ascii="Times New Roman" w:hAnsi="Times New Roman" w:cs="Times New Roman"/>
          <w:sz w:val="24"/>
          <w:szCs w:val="24"/>
        </w:rPr>
        <w:t xml:space="preserve"> palvelujen kysynnän kehittymise</w:t>
      </w:r>
      <w:r w:rsidR="001C37C8">
        <w:rPr>
          <w:rFonts w:ascii="Times New Roman" w:hAnsi="Times New Roman" w:cs="Times New Roman"/>
          <w:sz w:val="24"/>
          <w:szCs w:val="24"/>
        </w:rPr>
        <w:t>e</w:t>
      </w:r>
      <w:r w:rsidR="007462E6">
        <w:rPr>
          <w:rFonts w:ascii="Times New Roman" w:hAnsi="Times New Roman" w:cs="Times New Roman"/>
          <w:sz w:val="24"/>
          <w:szCs w:val="24"/>
        </w:rPr>
        <w:t>n</w:t>
      </w:r>
      <w:r w:rsidR="001C37C8">
        <w:rPr>
          <w:rFonts w:ascii="Times New Roman" w:hAnsi="Times New Roman" w:cs="Times New Roman"/>
          <w:sz w:val="24"/>
          <w:szCs w:val="24"/>
        </w:rPr>
        <w:t xml:space="preserve"> liittyvien seikkojen ja toisaalta toiminnan tuottavuuden kasvun vuoksi</w:t>
      </w:r>
      <w:r w:rsidR="007462E6">
        <w:rPr>
          <w:rFonts w:ascii="Times New Roman" w:hAnsi="Times New Roman" w:cs="Times New Roman"/>
          <w:sz w:val="24"/>
          <w:szCs w:val="24"/>
        </w:rPr>
        <w:t xml:space="preserve"> </w:t>
      </w:r>
      <w:r w:rsidR="001C37C8">
        <w:rPr>
          <w:rFonts w:ascii="Times New Roman" w:hAnsi="Times New Roman" w:cs="Times New Roman"/>
          <w:sz w:val="24"/>
          <w:szCs w:val="24"/>
        </w:rPr>
        <w:t xml:space="preserve">edunvalvonnan määräämisten </w:t>
      </w:r>
      <w:r w:rsidR="007462E6">
        <w:rPr>
          <w:rFonts w:ascii="Times New Roman" w:hAnsi="Times New Roman" w:cs="Times New Roman"/>
          <w:sz w:val="24"/>
          <w:szCs w:val="24"/>
        </w:rPr>
        <w:t>hintojen pitäminen ennallaan on perusteltua</w:t>
      </w:r>
      <w:r w:rsidR="001C37C8">
        <w:rPr>
          <w:rFonts w:ascii="Times New Roman" w:hAnsi="Times New Roman" w:cs="Times New Roman"/>
          <w:sz w:val="24"/>
          <w:szCs w:val="24"/>
        </w:rPr>
        <w:t>.</w:t>
      </w:r>
    </w:p>
    <w:p w14:paraId="3927E5C7" w14:textId="37BB3F6E" w:rsidR="00956032" w:rsidRDefault="00220239" w:rsidP="007A6C5E">
      <w:pPr>
        <w:pStyle w:val="Leipteksti"/>
        <w:ind w:left="1418"/>
        <w:rPr>
          <w:rFonts w:ascii="Times New Roman" w:hAnsi="Times New Roman" w:cs="Times New Roman"/>
          <w:sz w:val="24"/>
          <w:szCs w:val="24"/>
        </w:rPr>
      </w:pPr>
      <w:r w:rsidRPr="00DB29C2">
        <w:rPr>
          <w:rFonts w:ascii="Times New Roman" w:hAnsi="Times New Roman" w:cs="Times New Roman"/>
          <w:sz w:val="24"/>
          <w:szCs w:val="24"/>
        </w:rPr>
        <w:t>Omakustannusarvon mukaisista suoritteista edunvalvontavaltuutukset ovat yhä alikatteellista toimintaa. Hinnankorotuksia suoritteille ei kuitenkaan esitetä, sillä palvelun hinnalla arvioidaan olevan suoria vaikutuksia palvelun kysyntään</w:t>
      </w:r>
      <w:r w:rsidR="00D8359E">
        <w:rPr>
          <w:rFonts w:ascii="Times New Roman" w:hAnsi="Times New Roman" w:cs="Times New Roman"/>
          <w:sz w:val="24"/>
          <w:szCs w:val="24"/>
        </w:rPr>
        <w:t xml:space="preserve"> ja tavoite prosessien yksinkertaistamisesta ja holhoustoimen tuottavuuden nostamisesta edunvalvontavaltuutusten avulla </w:t>
      </w:r>
      <w:r w:rsidR="001C37C8">
        <w:rPr>
          <w:rFonts w:ascii="Times New Roman" w:hAnsi="Times New Roman" w:cs="Times New Roman"/>
          <w:sz w:val="24"/>
          <w:szCs w:val="24"/>
        </w:rPr>
        <w:t>voisi vaarantua</w:t>
      </w:r>
      <w:r w:rsidR="00D8359E">
        <w:rPr>
          <w:rFonts w:ascii="Times New Roman" w:hAnsi="Times New Roman" w:cs="Times New Roman"/>
          <w:sz w:val="24"/>
          <w:szCs w:val="24"/>
        </w:rPr>
        <w:t>. Lisäksi</w:t>
      </w:r>
      <w:r w:rsidR="00D8359E" w:rsidRPr="00D8359E">
        <w:rPr>
          <w:rFonts w:ascii="Times New Roman" w:hAnsi="Times New Roman" w:cs="Times New Roman"/>
          <w:sz w:val="24"/>
          <w:szCs w:val="24"/>
        </w:rPr>
        <w:t xml:space="preserve"> e</w:t>
      </w:r>
      <w:r w:rsidRPr="00DB29C2">
        <w:rPr>
          <w:rFonts w:ascii="Times New Roman" w:hAnsi="Times New Roman" w:cs="Times New Roman"/>
          <w:sz w:val="24"/>
          <w:szCs w:val="24"/>
        </w:rPr>
        <w:t>dunvalvontavaltuutusten vahvistaminen konk</w:t>
      </w:r>
      <w:r w:rsidR="00D8359E" w:rsidRPr="00D8359E">
        <w:rPr>
          <w:rFonts w:ascii="Times New Roman" w:hAnsi="Times New Roman" w:cs="Times New Roman"/>
          <w:sz w:val="24"/>
          <w:szCs w:val="24"/>
        </w:rPr>
        <w:t>retisoituu virastoss</w:t>
      </w:r>
      <w:r w:rsidR="00D8359E">
        <w:rPr>
          <w:rFonts w:ascii="Times New Roman" w:hAnsi="Times New Roman" w:cs="Times New Roman"/>
          <w:sz w:val="24"/>
          <w:szCs w:val="24"/>
        </w:rPr>
        <w:t>a</w:t>
      </w:r>
      <w:r w:rsidR="00D8359E" w:rsidRPr="00D8359E">
        <w:rPr>
          <w:rFonts w:ascii="Times New Roman" w:hAnsi="Times New Roman" w:cs="Times New Roman"/>
          <w:sz w:val="24"/>
          <w:szCs w:val="24"/>
        </w:rPr>
        <w:t xml:space="preserve"> </w:t>
      </w:r>
      <w:r w:rsidRPr="00DB29C2">
        <w:rPr>
          <w:rFonts w:ascii="Times New Roman" w:hAnsi="Times New Roman" w:cs="Times New Roman"/>
          <w:sz w:val="24"/>
          <w:szCs w:val="24"/>
        </w:rPr>
        <w:t>vasta edunvalvonnan tarpeen toteutuessa, j</w:t>
      </w:r>
      <w:r w:rsidR="00956032">
        <w:rPr>
          <w:rFonts w:ascii="Times New Roman" w:hAnsi="Times New Roman" w:cs="Times New Roman"/>
          <w:sz w:val="24"/>
          <w:szCs w:val="24"/>
        </w:rPr>
        <w:t>a</w:t>
      </w:r>
      <w:r w:rsidRPr="00DB29C2">
        <w:rPr>
          <w:rFonts w:ascii="Times New Roman" w:hAnsi="Times New Roman" w:cs="Times New Roman"/>
          <w:sz w:val="24"/>
          <w:szCs w:val="24"/>
        </w:rPr>
        <w:t xml:space="preserve"> palvelun tulokertymän ennakointi on haastavaa.</w:t>
      </w:r>
      <w:bookmarkStart w:id="0" w:name="_Hlk85644475"/>
    </w:p>
    <w:p w14:paraId="49DA867C" w14:textId="77777777" w:rsidR="00956032" w:rsidRDefault="00220239" w:rsidP="007A6C5E">
      <w:pPr>
        <w:pStyle w:val="Leipteksti"/>
        <w:ind w:left="1418"/>
        <w:rPr>
          <w:rFonts w:ascii="Times New Roman" w:hAnsi="Times New Roman" w:cs="Times New Roman"/>
          <w:sz w:val="24"/>
          <w:szCs w:val="24"/>
        </w:rPr>
      </w:pPr>
      <w:r w:rsidRPr="00DB29C2">
        <w:rPr>
          <w:rFonts w:ascii="Times New Roman" w:hAnsi="Times New Roman" w:cs="Times New Roman"/>
          <w:sz w:val="24"/>
          <w:szCs w:val="24"/>
        </w:rPr>
        <w:t xml:space="preserve">Vuoden 2020 lopulla </w:t>
      </w:r>
      <w:r w:rsidR="00956032" w:rsidRPr="00C83AB0">
        <w:rPr>
          <w:rFonts w:ascii="Times New Roman" w:hAnsi="Times New Roman" w:cs="Times New Roman"/>
          <w:sz w:val="24"/>
          <w:szCs w:val="24"/>
        </w:rPr>
        <w:t>yleisten edunvalvojien tilintarkastuksissa</w:t>
      </w:r>
      <w:r w:rsidR="00956032" w:rsidRPr="00956032">
        <w:rPr>
          <w:rFonts w:ascii="Times New Roman" w:hAnsi="Times New Roman" w:cs="Times New Roman"/>
          <w:sz w:val="24"/>
          <w:szCs w:val="24"/>
        </w:rPr>
        <w:t xml:space="preserve"> </w:t>
      </w:r>
      <w:r w:rsidRPr="00DB29C2">
        <w:rPr>
          <w:rFonts w:ascii="Times New Roman" w:hAnsi="Times New Roman" w:cs="Times New Roman"/>
          <w:sz w:val="24"/>
          <w:szCs w:val="24"/>
        </w:rPr>
        <w:t>otettiin käyttöön Elsa-asianhallintajärjestelmä, mikä on tehostanut tarkastustoimintaa ja nostanut tilintarkastusten kustannusvastaavuuden lähelle tavoiteltua tasoa</w:t>
      </w:r>
      <w:bookmarkEnd w:id="0"/>
      <w:r w:rsidR="00956032" w:rsidRPr="00956032">
        <w:rPr>
          <w:rFonts w:ascii="Times New Roman" w:hAnsi="Times New Roman" w:cs="Times New Roman"/>
          <w:sz w:val="24"/>
          <w:szCs w:val="24"/>
        </w:rPr>
        <w:t xml:space="preserve">. </w:t>
      </w:r>
      <w:r w:rsidRPr="00DB29C2">
        <w:rPr>
          <w:rFonts w:ascii="Times New Roman" w:hAnsi="Times New Roman" w:cs="Times New Roman"/>
          <w:sz w:val="24"/>
          <w:szCs w:val="24"/>
        </w:rPr>
        <w:t>Elsa</w:t>
      </w:r>
      <w:r w:rsidR="00956032">
        <w:rPr>
          <w:rFonts w:ascii="Times New Roman" w:hAnsi="Times New Roman" w:cs="Times New Roman"/>
          <w:sz w:val="24"/>
          <w:szCs w:val="24"/>
        </w:rPr>
        <w:t>-järjestelmä</w:t>
      </w:r>
      <w:r w:rsidRPr="00DB29C2">
        <w:rPr>
          <w:rFonts w:ascii="Times New Roman" w:hAnsi="Times New Roman" w:cs="Times New Roman"/>
          <w:sz w:val="24"/>
          <w:szCs w:val="24"/>
        </w:rPr>
        <w:t xml:space="preserve"> otetaan käyttöön myös holhoustoimen lupa-asioissa vuoden 2021 lopulla. Loppuvuoden 2021 tuottojen ennustaminen uusien käyttöönottojen myötä on haastavaa, mutta on nähtävissä, että omakustannearvon mukaisten suoritteiden kustannusvastaavuus on nousemassa lähelle 100 prosenttia.</w:t>
      </w:r>
    </w:p>
    <w:p w14:paraId="101A037E" w14:textId="20072C83" w:rsidR="00220239" w:rsidRDefault="00220239" w:rsidP="007A6C5E">
      <w:pPr>
        <w:pStyle w:val="Leipteksti"/>
        <w:ind w:left="1418"/>
        <w:rPr>
          <w:rFonts w:ascii="Times New Roman" w:hAnsi="Times New Roman" w:cs="Times New Roman"/>
          <w:sz w:val="24"/>
          <w:szCs w:val="24"/>
        </w:rPr>
      </w:pPr>
      <w:r w:rsidRPr="00DB29C2">
        <w:rPr>
          <w:rFonts w:ascii="Times New Roman" w:hAnsi="Times New Roman" w:cs="Times New Roman"/>
          <w:sz w:val="24"/>
          <w:szCs w:val="24"/>
        </w:rPr>
        <w:t xml:space="preserve">Maksuasetuksen liitteenä olevaan maksutaulukkoon esitetään lisättäväksi </w:t>
      </w:r>
      <w:r w:rsidR="00D83C19" w:rsidRPr="00D83C19">
        <w:rPr>
          <w:rFonts w:ascii="Times New Roman" w:hAnsi="Times New Roman" w:cs="Times New Roman"/>
          <w:sz w:val="24"/>
          <w:szCs w:val="24"/>
        </w:rPr>
        <w:t xml:space="preserve">holhoustoimen valvontapalveluita koskevan II osan käräjäoikeudelle tehtäviä hakemuksia koskevaan 4. kohtaan </w:t>
      </w:r>
      <w:r w:rsidRPr="00DB29C2">
        <w:rPr>
          <w:rFonts w:ascii="Times New Roman" w:hAnsi="Times New Roman" w:cs="Times New Roman"/>
          <w:sz w:val="24"/>
          <w:szCs w:val="24"/>
        </w:rPr>
        <w:t>tarkennus holhousviranomaisen osallistumisesta</w:t>
      </w:r>
      <w:r w:rsidR="0092255C">
        <w:rPr>
          <w:rFonts w:ascii="Times New Roman" w:hAnsi="Times New Roman" w:cs="Times New Roman"/>
          <w:sz w:val="24"/>
          <w:szCs w:val="24"/>
        </w:rPr>
        <w:t xml:space="preserve"> asian </w:t>
      </w:r>
      <w:r w:rsidRPr="00DB29C2">
        <w:rPr>
          <w:rFonts w:ascii="Times New Roman" w:hAnsi="Times New Roman" w:cs="Times New Roman"/>
          <w:sz w:val="24"/>
          <w:szCs w:val="24"/>
        </w:rPr>
        <w:t xml:space="preserve">käsittelyyn </w:t>
      </w:r>
      <w:r w:rsidR="0092255C">
        <w:rPr>
          <w:rFonts w:ascii="Times New Roman" w:hAnsi="Times New Roman" w:cs="Times New Roman"/>
          <w:sz w:val="24"/>
          <w:szCs w:val="24"/>
        </w:rPr>
        <w:t xml:space="preserve">käräjäoikeuden istunnossa </w:t>
      </w:r>
      <w:r w:rsidRPr="00DB29C2">
        <w:rPr>
          <w:rFonts w:ascii="Times New Roman" w:hAnsi="Times New Roman" w:cs="Times New Roman"/>
          <w:sz w:val="24"/>
          <w:szCs w:val="24"/>
        </w:rPr>
        <w:t>etäyhteydellä.</w:t>
      </w:r>
    </w:p>
    <w:p w14:paraId="4E43696B" w14:textId="77777777" w:rsidR="007A6C5E" w:rsidRPr="00DB29C2" w:rsidRDefault="007A6C5E" w:rsidP="007A6C5E">
      <w:pPr>
        <w:pStyle w:val="Leipteksti"/>
        <w:ind w:left="1418"/>
        <w:rPr>
          <w:rFonts w:ascii="Times New Roman" w:hAnsi="Times New Roman" w:cs="Times New Roman"/>
          <w:sz w:val="24"/>
          <w:szCs w:val="24"/>
        </w:rPr>
      </w:pPr>
    </w:p>
    <w:p w14:paraId="5F6E7000" w14:textId="77777777" w:rsidR="005022F5" w:rsidRDefault="005022F5" w:rsidP="00054741">
      <w:pPr>
        <w:pStyle w:val="MNormaali"/>
      </w:pPr>
    </w:p>
    <w:p w14:paraId="0505868D" w14:textId="5F3496C3" w:rsidR="002843E0" w:rsidRDefault="00054741" w:rsidP="002843E0">
      <w:pPr>
        <w:pStyle w:val="MNormaali"/>
        <w:ind w:left="1418"/>
        <w:rPr>
          <w:i/>
        </w:rPr>
      </w:pPr>
      <w:r>
        <w:rPr>
          <w:i/>
        </w:rPr>
        <w:t>Nimen muuttamista koskevat hakemukset</w:t>
      </w:r>
    </w:p>
    <w:p w14:paraId="400772AA" w14:textId="77777777" w:rsidR="002843E0" w:rsidRPr="00B0404A" w:rsidRDefault="002843E0" w:rsidP="002843E0">
      <w:pPr>
        <w:pStyle w:val="MNormaali"/>
        <w:ind w:left="1418"/>
        <w:rPr>
          <w:i/>
        </w:rPr>
      </w:pPr>
    </w:p>
    <w:p w14:paraId="721970E5" w14:textId="53F5C3DA" w:rsidR="001C37C8" w:rsidRDefault="005A54BC" w:rsidP="00DB29C2">
      <w:pPr>
        <w:pStyle w:val="MNormaali"/>
        <w:ind w:left="1418"/>
      </w:pPr>
      <w:r w:rsidRPr="005A54BC">
        <w:t xml:space="preserve">Nimiasioiden julkisoikeudellisten suoritteiden kustannusvastaavuus </w:t>
      </w:r>
      <w:r w:rsidR="005022F5">
        <w:t>oli vuonna 20</w:t>
      </w:r>
      <w:r w:rsidR="001C37C8">
        <w:t>20 67</w:t>
      </w:r>
      <w:r w:rsidRPr="005A54BC">
        <w:t xml:space="preserve"> % ja sen ennustetaan vuonna 202</w:t>
      </w:r>
      <w:r w:rsidR="001C37C8">
        <w:t>1</w:t>
      </w:r>
      <w:r w:rsidRPr="005A54BC">
        <w:t xml:space="preserve"> olevan </w:t>
      </w:r>
      <w:r w:rsidR="001C37C8">
        <w:t>90</w:t>
      </w:r>
      <w:r w:rsidRPr="005A54BC">
        <w:t xml:space="preserve"> %</w:t>
      </w:r>
      <w:r w:rsidR="001C37C8">
        <w:t xml:space="preserve"> ja vuonna 2022 nousevan 92 %:iin</w:t>
      </w:r>
      <w:r w:rsidRPr="005A54BC">
        <w:t xml:space="preserve">. </w:t>
      </w:r>
    </w:p>
    <w:p w14:paraId="33F939BC" w14:textId="77777777" w:rsidR="001C37C8" w:rsidRDefault="001C37C8" w:rsidP="00DB29C2">
      <w:pPr>
        <w:pStyle w:val="MNormaali"/>
        <w:ind w:left="1418"/>
      </w:pPr>
    </w:p>
    <w:p w14:paraId="3356EE19" w14:textId="7B5E86AA" w:rsidR="001C37C8" w:rsidRDefault="001C37C8" w:rsidP="00DB29C2">
      <w:pPr>
        <w:pStyle w:val="MNormaali"/>
        <w:ind w:left="1418"/>
      </w:pPr>
      <w:r>
        <w:t>Nimenmuutosten kustannusvastaavuus on nous</w:t>
      </w:r>
      <w:r w:rsidR="008B1C81">
        <w:t xml:space="preserve">emassa </w:t>
      </w:r>
      <w:r>
        <w:t xml:space="preserve">vuoden 2021 alusta tehtyjen hinnankorotusten myötä </w:t>
      </w:r>
      <w:r w:rsidR="008B1C81">
        <w:t xml:space="preserve">vuoden 2020 </w:t>
      </w:r>
      <w:r>
        <w:t xml:space="preserve">74 prosentista </w:t>
      </w:r>
      <w:r w:rsidR="008B1C81">
        <w:t>vuoden 2021 90</w:t>
      </w:r>
      <w:r>
        <w:t xml:space="preserve"> prosenttiin</w:t>
      </w:r>
      <w:r w:rsidR="008B1C81">
        <w:t xml:space="preserve"> ja edelleen ennusteen mukaan 92 prosenttiin vuonna 2022</w:t>
      </w:r>
      <w:r>
        <w:t>.</w:t>
      </w:r>
      <w:r w:rsidR="008B1C81">
        <w:t xml:space="preserve"> Nimenmuutosten hintoihin ei esitetä korotuksia, koska n</w:t>
      </w:r>
      <w:r w:rsidR="008B1C81" w:rsidRPr="00C30453">
        <w:t xml:space="preserve">imenmuutoshakemusten käsittelyn arvioidaan </w:t>
      </w:r>
      <w:r w:rsidR="008B1C81">
        <w:t>tehostuvan prosessin säh</w:t>
      </w:r>
      <w:r w:rsidR="008B1C81" w:rsidRPr="00C30453">
        <w:t>köistämisen myötä. Kustannusten laskun myötä on mahdol</w:t>
      </w:r>
      <w:r w:rsidR="008B1C81">
        <w:t>lista tavoittaa 100 % kustannus</w:t>
      </w:r>
      <w:r w:rsidR="008B1C81" w:rsidRPr="00C30453">
        <w:t xml:space="preserve">vastaavuus </w:t>
      </w:r>
      <w:r w:rsidR="008B1C81">
        <w:t>jo lähivuosina</w:t>
      </w:r>
      <w:r w:rsidR="008B1C81" w:rsidRPr="00C30453">
        <w:t>.</w:t>
      </w:r>
    </w:p>
    <w:p w14:paraId="034497B9" w14:textId="1974288D" w:rsidR="008B1C81" w:rsidRDefault="008B1C81" w:rsidP="00DB29C2">
      <w:pPr>
        <w:pStyle w:val="MNormaali"/>
        <w:ind w:left="1418"/>
      </w:pPr>
    </w:p>
    <w:p w14:paraId="18446146" w14:textId="2452A9E1" w:rsidR="008B1C81" w:rsidRDefault="008B1C81" w:rsidP="00DB29C2">
      <w:pPr>
        <w:pStyle w:val="MNormaali"/>
        <w:ind w:left="1418"/>
      </w:pPr>
      <w:r w:rsidRPr="008B1C81">
        <w:rPr>
          <w:noProof/>
        </w:rPr>
        <w:drawing>
          <wp:inline distT="0" distB="0" distL="0" distR="0" wp14:anchorId="749AF032" wp14:editId="02E70349">
            <wp:extent cx="4858247" cy="1159047"/>
            <wp:effectExtent l="0" t="0" r="0" b="317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013" cy="1161138"/>
                    </a:xfrm>
                    <a:prstGeom prst="rect">
                      <a:avLst/>
                    </a:prstGeom>
                    <a:noFill/>
                    <a:ln>
                      <a:noFill/>
                    </a:ln>
                  </pic:spPr>
                </pic:pic>
              </a:graphicData>
            </a:graphic>
          </wp:inline>
        </w:drawing>
      </w:r>
    </w:p>
    <w:p w14:paraId="1314EDF0" w14:textId="77777777" w:rsidR="007E3A71" w:rsidRDefault="007E3A71" w:rsidP="00DB29C2">
      <w:pPr>
        <w:pStyle w:val="MNormaali"/>
        <w:ind w:left="1418"/>
      </w:pPr>
    </w:p>
    <w:p w14:paraId="2E300B9D" w14:textId="77777777" w:rsidR="00C30453" w:rsidRDefault="00C30453" w:rsidP="00C93E16">
      <w:pPr>
        <w:pStyle w:val="MNormaali"/>
        <w:ind w:left="1418"/>
        <w:rPr>
          <w:i/>
        </w:rPr>
      </w:pPr>
    </w:p>
    <w:p w14:paraId="5C27A72C" w14:textId="77777777" w:rsidR="00C30453" w:rsidRDefault="00C30453" w:rsidP="00C93E16">
      <w:pPr>
        <w:pStyle w:val="MNormaali"/>
        <w:ind w:left="1418"/>
        <w:rPr>
          <w:i/>
        </w:rPr>
      </w:pPr>
    </w:p>
    <w:p w14:paraId="1D278086" w14:textId="7F362B4A" w:rsidR="00424B5F" w:rsidRDefault="00C30453" w:rsidP="00C93E16">
      <w:pPr>
        <w:pStyle w:val="MNormaali"/>
        <w:ind w:left="1418"/>
        <w:rPr>
          <w:i/>
        </w:rPr>
      </w:pPr>
      <w:r>
        <w:rPr>
          <w:i/>
        </w:rPr>
        <w:t>Varmennepalvelut</w:t>
      </w:r>
    </w:p>
    <w:p w14:paraId="0FEE1273" w14:textId="4C94E0AC" w:rsidR="00424B5F" w:rsidRDefault="00424B5F" w:rsidP="00C93E16">
      <w:pPr>
        <w:pStyle w:val="MNormaali"/>
        <w:ind w:left="1418"/>
        <w:rPr>
          <w:i/>
        </w:rPr>
      </w:pPr>
    </w:p>
    <w:p w14:paraId="02BEDB19" w14:textId="066B1804" w:rsidR="008B1C81" w:rsidRDefault="008B1C81" w:rsidP="00DB29C2">
      <w:pPr>
        <w:pStyle w:val="MNormaali"/>
        <w:ind w:left="1418"/>
      </w:pPr>
      <w:r>
        <w:t>Varmennepalvelujen</w:t>
      </w:r>
      <w:r w:rsidR="0092255C">
        <w:t xml:space="preserve"> </w:t>
      </w:r>
      <w:r w:rsidR="00F7397B">
        <w:t xml:space="preserve">osalta </w:t>
      </w:r>
      <w:r w:rsidR="00F7397B" w:rsidRPr="00F7397B">
        <w:t>esitetään</w:t>
      </w:r>
      <w:r w:rsidRPr="00DB29C2">
        <w:t xml:space="preserve"> biovarmenteiden hinnoittelun yhtenäistämistä ja hintojen laskemista varmenteiden kysynnän kasvusta johtuvan ylikatteellisuuden hillitsemiseksi.</w:t>
      </w:r>
      <w:r w:rsidR="00F7397B" w:rsidRPr="00F7397B">
        <w:t xml:space="preserve"> </w:t>
      </w:r>
      <w:r w:rsidRPr="00F7397B">
        <w:t>Julkisoikeudellisten varmennepalvelu</w:t>
      </w:r>
      <w:r w:rsidR="0092255C">
        <w:t>jen</w:t>
      </w:r>
      <w:r w:rsidRPr="00F7397B">
        <w:t xml:space="preserve"> suoritteisiin esitetään biovarmenteiden hintojen alentamista tulevaisuuden kasvavien tuotantomäärien ennakoi</w:t>
      </w:r>
      <w:r w:rsidR="0092255C">
        <w:t>nnin vuoksi</w:t>
      </w:r>
      <w:r w:rsidRPr="00F7397B">
        <w:t>. Julkisoikeudellisten varmennepalveluiden</w:t>
      </w:r>
      <w:r>
        <w:t xml:space="preserve"> kustannusvastaavuus oli 110 % vuonna 2020. Vuonna 2021 tulojen odotetaan kasvavan kysynnän elpymisen myötä ja kustannusvastaavuuden ennustetaan olevan n. 116 %. </w:t>
      </w:r>
      <w:r w:rsidR="00F7397B">
        <w:t xml:space="preserve">Vuonna 2022 kustannusvastaavuuden ennustetaan nousevan 119 %:iin. </w:t>
      </w:r>
      <w:r>
        <w:t>Kysynnän lisääntyessä biovarmenteiden tuotantokustannukset eivät kasva samassa suhteessa.</w:t>
      </w:r>
    </w:p>
    <w:p w14:paraId="56106D58" w14:textId="1EC525F4" w:rsidR="00F7397B" w:rsidRDefault="00F7397B" w:rsidP="00DB29C2">
      <w:pPr>
        <w:pStyle w:val="MNormaali"/>
        <w:ind w:left="1418"/>
      </w:pPr>
    </w:p>
    <w:p w14:paraId="0C4DC4EE" w14:textId="0E38CC34" w:rsidR="00F7397B" w:rsidRDefault="00F7397B" w:rsidP="00DB29C2">
      <w:pPr>
        <w:pStyle w:val="MNormaali"/>
        <w:ind w:left="1418"/>
      </w:pPr>
      <w:r w:rsidRPr="00F7397B">
        <w:rPr>
          <w:noProof/>
        </w:rPr>
        <w:drawing>
          <wp:inline distT="0" distB="0" distL="0" distR="0" wp14:anchorId="4AE538ED" wp14:editId="15E94C7B">
            <wp:extent cx="5144494" cy="964302"/>
            <wp:effectExtent l="0" t="0" r="0" b="762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0343" cy="965398"/>
                    </a:xfrm>
                    <a:prstGeom prst="rect">
                      <a:avLst/>
                    </a:prstGeom>
                    <a:noFill/>
                    <a:ln>
                      <a:noFill/>
                    </a:ln>
                  </pic:spPr>
                </pic:pic>
              </a:graphicData>
            </a:graphic>
          </wp:inline>
        </w:drawing>
      </w:r>
    </w:p>
    <w:p w14:paraId="7113442C" w14:textId="77777777" w:rsidR="00F7397B" w:rsidRDefault="00F7397B" w:rsidP="00DB29C2">
      <w:pPr>
        <w:pStyle w:val="MNormaali"/>
        <w:ind w:left="1418"/>
      </w:pPr>
    </w:p>
    <w:p w14:paraId="67C4CE67" w14:textId="378F0CFC" w:rsidR="008B1C81" w:rsidRPr="00DB29C2" w:rsidRDefault="00F7397B"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Varmenteisiin esitetään</w:t>
      </w:r>
      <w:r w:rsidRPr="00F7397B">
        <w:rPr>
          <w:rFonts w:ascii="Times New Roman" w:hAnsi="Times New Roman" w:cs="Times New Roman"/>
          <w:sz w:val="24"/>
          <w:szCs w:val="24"/>
        </w:rPr>
        <w:t xml:space="preserve"> hinnan laskemista</w:t>
      </w:r>
      <w:r w:rsidR="008B1C81" w:rsidRPr="00DB29C2">
        <w:rPr>
          <w:rFonts w:ascii="Times New Roman" w:hAnsi="Times New Roman" w:cs="Times New Roman"/>
          <w:sz w:val="24"/>
          <w:szCs w:val="24"/>
        </w:rPr>
        <w:t xml:space="preserve"> </w:t>
      </w:r>
      <w:r w:rsidRPr="00DB29C2">
        <w:rPr>
          <w:rFonts w:ascii="Times New Roman" w:hAnsi="Times New Roman" w:cs="Times New Roman"/>
          <w:sz w:val="24"/>
          <w:szCs w:val="24"/>
        </w:rPr>
        <w:t>alla olevan taulukon mukaan</w:t>
      </w:r>
      <w:r w:rsidR="008B1C81" w:rsidRPr="00DB29C2">
        <w:rPr>
          <w:rFonts w:ascii="Times New Roman" w:hAnsi="Times New Roman" w:cs="Times New Roman"/>
          <w:sz w:val="24"/>
          <w:szCs w:val="24"/>
        </w:rPr>
        <w:t xml:space="preserve">. </w:t>
      </w:r>
    </w:p>
    <w:tbl>
      <w:tblPr>
        <w:tblW w:w="7877" w:type="dxa"/>
        <w:tblInd w:w="1696" w:type="dxa"/>
        <w:tblLayout w:type="fixed"/>
        <w:tblCellMar>
          <w:left w:w="70" w:type="dxa"/>
          <w:right w:w="70" w:type="dxa"/>
        </w:tblCellMar>
        <w:tblLook w:val="04A0" w:firstRow="1" w:lastRow="0" w:firstColumn="1" w:lastColumn="0" w:noHBand="0" w:noVBand="1"/>
      </w:tblPr>
      <w:tblGrid>
        <w:gridCol w:w="4545"/>
        <w:gridCol w:w="1111"/>
        <w:gridCol w:w="1110"/>
        <w:gridCol w:w="1111"/>
      </w:tblGrid>
      <w:tr w:rsidR="008B1C81" w:rsidRPr="00A54A45" w14:paraId="668B0198" w14:textId="77777777" w:rsidTr="0092255C">
        <w:trPr>
          <w:trHeight w:val="296"/>
        </w:trPr>
        <w:tc>
          <w:tcPr>
            <w:tcW w:w="4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F3CB5" w14:textId="77777777" w:rsidR="008B1C81" w:rsidRPr="00D64510" w:rsidRDefault="008B1C81" w:rsidP="00A64361">
            <w:pPr>
              <w:jc w:val="both"/>
              <w:rPr>
                <w:rFonts w:asciiTheme="majorHAnsi" w:eastAsia="Times New Roman" w:hAnsiTheme="majorHAnsi" w:cstheme="majorBidi"/>
                <w:b/>
                <w:bCs/>
                <w:color w:val="000000" w:themeColor="text1"/>
                <w:sz w:val="20"/>
                <w:szCs w:val="20"/>
                <w:lang w:eastAsia="fi-FI"/>
              </w:rPr>
            </w:pPr>
            <w:r w:rsidRPr="00D64510">
              <w:rPr>
                <w:rFonts w:asciiTheme="majorHAnsi" w:eastAsia="Times New Roman" w:hAnsiTheme="majorHAnsi" w:cstheme="majorBidi"/>
                <w:b/>
                <w:bCs/>
                <w:color w:val="000000" w:themeColor="text1"/>
                <w:sz w:val="20"/>
                <w:szCs w:val="20"/>
                <w:lang w:eastAsia="fi-FI"/>
              </w:rPr>
              <w:t>Yksikköhinta € / kpl</w:t>
            </w:r>
          </w:p>
        </w:tc>
        <w:tc>
          <w:tcPr>
            <w:tcW w:w="1111" w:type="dxa"/>
            <w:tcBorders>
              <w:top w:val="single" w:sz="4" w:space="0" w:color="auto"/>
              <w:left w:val="nil"/>
              <w:bottom w:val="single" w:sz="4" w:space="0" w:color="auto"/>
              <w:right w:val="single" w:sz="4" w:space="0" w:color="auto"/>
            </w:tcBorders>
            <w:shd w:val="clear" w:color="auto" w:fill="auto"/>
            <w:vAlign w:val="bottom"/>
          </w:tcPr>
          <w:p w14:paraId="2338A5D3" w14:textId="77777777" w:rsidR="008B1C81" w:rsidRPr="00D64510" w:rsidRDefault="008B1C81" w:rsidP="00A64361">
            <w:pPr>
              <w:jc w:val="both"/>
              <w:rPr>
                <w:rFonts w:asciiTheme="majorHAnsi" w:eastAsia="Times New Roman" w:hAnsiTheme="majorHAnsi" w:cstheme="majorBidi"/>
                <w:b/>
                <w:bCs/>
                <w:color w:val="000000" w:themeColor="text1"/>
                <w:sz w:val="20"/>
                <w:szCs w:val="20"/>
                <w:lang w:eastAsia="fi-FI"/>
              </w:rPr>
            </w:pPr>
            <w:r w:rsidRPr="00D64510">
              <w:rPr>
                <w:rFonts w:asciiTheme="majorHAnsi" w:eastAsia="Times New Roman" w:hAnsiTheme="majorHAnsi" w:cstheme="majorBidi"/>
                <w:b/>
                <w:bCs/>
                <w:color w:val="000000" w:themeColor="text1"/>
                <w:sz w:val="20"/>
                <w:szCs w:val="20"/>
                <w:lang w:eastAsia="fi-FI"/>
              </w:rPr>
              <w:t>2020</w:t>
            </w:r>
          </w:p>
        </w:tc>
        <w:tc>
          <w:tcPr>
            <w:tcW w:w="1110" w:type="dxa"/>
            <w:tcBorders>
              <w:top w:val="single" w:sz="4" w:space="0" w:color="auto"/>
              <w:left w:val="nil"/>
              <w:bottom w:val="single" w:sz="4" w:space="0" w:color="auto"/>
              <w:right w:val="single" w:sz="4" w:space="0" w:color="auto"/>
            </w:tcBorders>
            <w:shd w:val="clear" w:color="auto" w:fill="auto"/>
            <w:vAlign w:val="bottom"/>
          </w:tcPr>
          <w:p w14:paraId="4F3E60B9" w14:textId="77777777" w:rsidR="008B1C81" w:rsidRPr="00D64510" w:rsidRDefault="008B1C81" w:rsidP="00A64361">
            <w:pPr>
              <w:jc w:val="both"/>
              <w:rPr>
                <w:rFonts w:asciiTheme="majorHAnsi" w:eastAsia="Times New Roman" w:hAnsiTheme="majorHAnsi" w:cstheme="majorBidi"/>
                <w:b/>
                <w:bCs/>
                <w:color w:val="000000" w:themeColor="text1"/>
                <w:sz w:val="20"/>
                <w:szCs w:val="20"/>
                <w:lang w:eastAsia="fi-FI"/>
              </w:rPr>
            </w:pPr>
            <w:r w:rsidRPr="00D64510">
              <w:rPr>
                <w:rFonts w:asciiTheme="majorHAnsi" w:eastAsia="Times New Roman" w:hAnsiTheme="majorHAnsi" w:cstheme="majorBidi"/>
                <w:b/>
                <w:bCs/>
                <w:color w:val="000000" w:themeColor="text1"/>
                <w:sz w:val="20"/>
                <w:szCs w:val="20"/>
                <w:lang w:eastAsia="fi-FI"/>
              </w:rPr>
              <w:t xml:space="preserve">2021 </w:t>
            </w:r>
          </w:p>
        </w:tc>
        <w:tc>
          <w:tcPr>
            <w:tcW w:w="1111" w:type="dxa"/>
            <w:tcBorders>
              <w:top w:val="single" w:sz="4" w:space="0" w:color="auto"/>
              <w:left w:val="nil"/>
              <w:bottom w:val="single" w:sz="4" w:space="0" w:color="auto"/>
              <w:right w:val="single" w:sz="4" w:space="0" w:color="auto"/>
            </w:tcBorders>
            <w:shd w:val="clear" w:color="auto" w:fill="auto"/>
          </w:tcPr>
          <w:p w14:paraId="27118794" w14:textId="77777777" w:rsidR="008B1C81" w:rsidRPr="00D64510" w:rsidRDefault="008B1C81" w:rsidP="00A64361">
            <w:pPr>
              <w:jc w:val="both"/>
              <w:rPr>
                <w:rFonts w:asciiTheme="majorHAnsi" w:eastAsia="Times New Roman" w:hAnsiTheme="majorHAnsi" w:cstheme="majorBidi"/>
                <w:b/>
                <w:bCs/>
                <w:color w:val="000000" w:themeColor="text1"/>
                <w:sz w:val="20"/>
                <w:szCs w:val="20"/>
                <w:lang w:eastAsia="fi-FI"/>
              </w:rPr>
            </w:pPr>
            <w:r w:rsidRPr="00D64510">
              <w:rPr>
                <w:rFonts w:eastAsiaTheme="minorEastAsia" w:cstheme="minorBidi"/>
                <w:b/>
                <w:bCs/>
                <w:sz w:val="20"/>
                <w:szCs w:val="20"/>
              </w:rPr>
              <w:t>Esitetty hinta 1.1.2022 alkaen</w:t>
            </w:r>
          </w:p>
        </w:tc>
      </w:tr>
      <w:tr w:rsidR="008B1C81" w:rsidRPr="00A54A45" w14:paraId="17FF8286" w14:textId="77777777" w:rsidTr="0092255C">
        <w:trPr>
          <w:trHeight w:val="296"/>
        </w:trPr>
        <w:tc>
          <w:tcPr>
            <w:tcW w:w="4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91355" w14:textId="77777777" w:rsidR="008B1C81" w:rsidRPr="00D64510" w:rsidRDefault="008B1C81" w:rsidP="00A64361">
            <w:pPr>
              <w:jc w:val="both"/>
              <w:rPr>
                <w:rFonts w:asciiTheme="majorHAnsi" w:eastAsia="Times New Roman" w:hAnsiTheme="majorHAnsi" w:cstheme="majorBidi"/>
                <w:color w:val="000000" w:themeColor="text1"/>
                <w:sz w:val="20"/>
                <w:szCs w:val="20"/>
                <w:lang w:eastAsia="fi-FI"/>
              </w:rPr>
            </w:pPr>
            <w:r w:rsidRPr="00D64510">
              <w:rPr>
                <w:rFonts w:asciiTheme="majorHAnsi" w:eastAsia="Times New Roman" w:hAnsiTheme="majorHAnsi" w:cstheme="majorBidi"/>
                <w:color w:val="000000" w:themeColor="text1"/>
                <w:sz w:val="20"/>
                <w:szCs w:val="20"/>
                <w:lang w:eastAsia="fi-FI"/>
              </w:rPr>
              <w:t>Passivarmenne</w:t>
            </w:r>
          </w:p>
        </w:tc>
        <w:tc>
          <w:tcPr>
            <w:tcW w:w="1111" w:type="dxa"/>
            <w:tcBorders>
              <w:top w:val="single" w:sz="4" w:space="0" w:color="auto"/>
              <w:left w:val="nil"/>
              <w:bottom w:val="single" w:sz="4" w:space="0" w:color="auto"/>
              <w:right w:val="single" w:sz="4" w:space="0" w:color="auto"/>
            </w:tcBorders>
            <w:shd w:val="clear" w:color="auto" w:fill="auto"/>
            <w:vAlign w:val="bottom"/>
          </w:tcPr>
          <w:p w14:paraId="25F7B265" w14:textId="77777777" w:rsidR="008B1C81" w:rsidRPr="00D64510" w:rsidRDefault="008B1C81" w:rsidP="00A64361">
            <w:pPr>
              <w:jc w:val="both"/>
              <w:rPr>
                <w:rFonts w:ascii="Arial" w:hAnsi="Arial" w:cs="Arial"/>
                <w:color w:val="000000" w:themeColor="text1"/>
                <w:sz w:val="20"/>
                <w:szCs w:val="20"/>
              </w:rPr>
            </w:pPr>
            <w:r w:rsidRPr="00D64510">
              <w:rPr>
                <w:rFonts w:ascii="Arial" w:hAnsi="Arial" w:cs="Arial"/>
                <w:color w:val="000000" w:themeColor="text1"/>
                <w:sz w:val="20"/>
                <w:szCs w:val="20"/>
              </w:rPr>
              <w:t>3,1</w:t>
            </w:r>
            <w:r>
              <w:rPr>
                <w:rFonts w:ascii="Arial" w:hAnsi="Arial" w:cs="Arial"/>
                <w:color w:val="000000" w:themeColor="text1"/>
                <w:sz w:val="20"/>
                <w:szCs w:val="20"/>
              </w:rPr>
              <w:t xml:space="preserve"> </w:t>
            </w:r>
          </w:p>
        </w:tc>
        <w:tc>
          <w:tcPr>
            <w:tcW w:w="1110" w:type="dxa"/>
            <w:tcBorders>
              <w:top w:val="single" w:sz="4" w:space="0" w:color="auto"/>
              <w:left w:val="nil"/>
              <w:bottom w:val="single" w:sz="4" w:space="0" w:color="auto"/>
              <w:right w:val="single" w:sz="4" w:space="0" w:color="auto"/>
            </w:tcBorders>
            <w:vAlign w:val="bottom"/>
          </w:tcPr>
          <w:p w14:paraId="2A8392C0" w14:textId="77777777" w:rsidR="008B1C81" w:rsidRPr="00D64510" w:rsidRDefault="008B1C81" w:rsidP="00A64361">
            <w:pPr>
              <w:jc w:val="both"/>
              <w:rPr>
                <w:rFonts w:ascii="Arial" w:hAnsi="Arial" w:cs="Arial"/>
                <w:color w:val="000000" w:themeColor="text1"/>
                <w:sz w:val="20"/>
                <w:szCs w:val="20"/>
              </w:rPr>
            </w:pPr>
            <w:r w:rsidRPr="00D64510">
              <w:rPr>
                <w:rFonts w:ascii="Arial" w:hAnsi="Arial" w:cs="Arial"/>
                <w:color w:val="000000" w:themeColor="text1"/>
                <w:sz w:val="20"/>
                <w:szCs w:val="20"/>
              </w:rPr>
              <w:t>3,1</w:t>
            </w:r>
          </w:p>
        </w:tc>
        <w:tc>
          <w:tcPr>
            <w:tcW w:w="1111" w:type="dxa"/>
            <w:tcBorders>
              <w:top w:val="single" w:sz="4" w:space="0" w:color="auto"/>
              <w:left w:val="nil"/>
              <w:bottom w:val="single" w:sz="4" w:space="0" w:color="auto"/>
              <w:right w:val="single" w:sz="4" w:space="0" w:color="auto"/>
            </w:tcBorders>
            <w:vAlign w:val="bottom"/>
          </w:tcPr>
          <w:p w14:paraId="14A1A339" w14:textId="77777777" w:rsidR="008B1C81" w:rsidRPr="00D64510" w:rsidRDefault="008B1C81" w:rsidP="00A64361">
            <w:pPr>
              <w:rPr>
                <w:rFonts w:ascii="Arial" w:hAnsi="Arial" w:cs="Arial"/>
                <w:color w:val="000000" w:themeColor="text1"/>
                <w:sz w:val="20"/>
                <w:szCs w:val="20"/>
              </w:rPr>
            </w:pPr>
            <w:r w:rsidRPr="00D64510">
              <w:rPr>
                <w:rFonts w:ascii="Arial" w:hAnsi="Arial" w:cs="Arial"/>
                <w:color w:val="000000" w:themeColor="text1"/>
                <w:sz w:val="20"/>
                <w:szCs w:val="20"/>
              </w:rPr>
              <w:t>2,6</w:t>
            </w:r>
          </w:p>
        </w:tc>
      </w:tr>
      <w:tr w:rsidR="008B1C81" w:rsidRPr="00A54A45" w14:paraId="1AF67AF1" w14:textId="77777777" w:rsidTr="0092255C">
        <w:trPr>
          <w:trHeight w:val="347"/>
        </w:trPr>
        <w:tc>
          <w:tcPr>
            <w:tcW w:w="4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F06BA" w14:textId="77777777" w:rsidR="008B1C81" w:rsidRPr="00D64510" w:rsidRDefault="008B1C81" w:rsidP="00A64361">
            <w:pPr>
              <w:jc w:val="both"/>
              <w:rPr>
                <w:rFonts w:asciiTheme="majorHAnsi" w:eastAsia="Times New Roman" w:hAnsiTheme="majorHAnsi" w:cstheme="majorBidi"/>
                <w:color w:val="000000" w:themeColor="text1"/>
                <w:sz w:val="20"/>
                <w:szCs w:val="20"/>
                <w:lang w:eastAsia="fi-FI"/>
              </w:rPr>
            </w:pPr>
            <w:r w:rsidRPr="00D64510">
              <w:rPr>
                <w:rFonts w:asciiTheme="majorHAnsi" w:eastAsia="Times New Roman" w:hAnsiTheme="majorHAnsi" w:cstheme="majorBidi"/>
                <w:color w:val="000000" w:themeColor="text1"/>
                <w:sz w:val="20"/>
                <w:szCs w:val="20"/>
                <w:lang w:eastAsia="fi-FI"/>
              </w:rPr>
              <w:t>Passivarmenne sotaveteraaneille</w:t>
            </w:r>
          </w:p>
        </w:tc>
        <w:tc>
          <w:tcPr>
            <w:tcW w:w="1111" w:type="dxa"/>
            <w:tcBorders>
              <w:top w:val="single" w:sz="4" w:space="0" w:color="auto"/>
              <w:left w:val="nil"/>
              <w:bottom w:val="single" w:sz="4" w:space="0" w:color="auto"/>
              <w:right w:val="single" w:sz="4" w:space="0" w:color="auto"/>
            </w:tcBorders>
            <w:shd w:val="clear" w:color="auto" w:fill="auto"/>
            <w:vAlign w:val="bottom"/>
          </w:tcPr>
          <w:p w14:paraId="4CF1E250" w14:textId="77777777" w:rsidR="008B1C81" w:rsidRPr="00D64510" w:rsidRDefault="008B1C81" w:rsidP="00A64361">
            <w:pPr>
              <w:jc w:val="both"/>
              <w:rPr>
                <w:rFonts w:ascii="Arial" w:hAnsi="Arial" w:cs="Arial"/>
                <w:color w:val="000000" w:themeColor="text1"/>
                <w:sz w:val="20"/>
                <w:szCs w:val="20"/>
              </w:rPr>
            </w:pPr>
            <w:r w:rsidRPr="00D64510">
              <w:rPr>
                <w:rFonts w:ascii="Arial" w:hAnsi="Arial" w:cs="Arial"/>
                <w:color w:val="000000" w:themeColor="text1"/>
                <w:sz w:val="20"/>
                <w:szCs w:val="20"/>
              </w:rPr>
              <w:t>2,5</w:t>
            </w:r>
          </w:p>
        </w:tc>
        <w:tc>
          <w:tcPr>
            <w:tcW w:w="1110" w:type="dxa"/>
            <w:tcBorders>
              <w:top w:val="single" w:sz="4" w:space="0" w:color="auto"/>
              <w:left w:val="nil"/>
              <w:bottom w:val="single" w:sz="4" w:space="0" w:color="auto"/>
              <w:right w:val="single" w:sz="4" w:space="0" w:color="auto"/>
            </w:tcBorders>
            <w:vAlign w:val="bottom"/>
          </w:tcPr>
          <w:p w14:paraId="7684019C" w14:textId="77777777" w:rsidR="008B1C81" w:rsidRPr="00D64510" w:rsidRDefault="008B1C81" w:rsidP="00A64361">
            <w:pPr>
              <w:jc w:val="both"/>
              <w:rPr>
                <w:rFonts w:ascii="Arial" w:hAnsi="Arial" w:cs="Arial"/>
                <w:color w:val="000000" w:themeColor="text1"/>
                <w:sz w:val="20"/>
                <w:szCs w:val="20"/>
              </w:rPr>
            </w:pPr>
            <w:r w:rsidRPr="00D64510">
              <w:rPr>
                <w:rFonts w:ascii="Arial" w:hAnsi="Arial" w:cs="Arial"/>
                <w:color w:val="000000" w:themeColor="text1"/>
                <w:sz w:val="20"/>
                <w:szCs w:val="20"/>
              </w:rPr>
              <w:t>2,5</w:t>
            </w:r>
          </w:p>
        </w:tc>
        <w:tc>
          <w:tcPr>
            <w:tcW w:w="1111" w:type="dxa"/>
            <w:tcBorders>
              <w:top w:val="single" w:sz="4" w:space="0" w:color="auto"/>
              <w:left w:val="nil"/>
              <w:bottom w:val="single" w:sz="4" w:space="0" w:color="auto"/>
              <w:right w:val="single" w:sz="4" w:space="0" w:color="auto"/>
            </w:tcBorders>
            <w:vAlign w:val="bottom"/>
          </w:tcPr>
          <w:p w14:paraId="413EA2C0" w14:textId="77777777" w:rsidR="008B1C81" w:rsidRPr="00D64510" w:rsidRDefault="008B1C81" w:rsidP="00A64361">
            <w:pPr>
              <w:rPr>
                <w:rFonts w:ascii="Arial" w:hAnsi="Arial" w:cs="Arial"/>
                <w:color w:val="000000" w:themeColor="text1"/>
                <w:sz w:val="20"/>
                <w:szCs w:val="20"/>
              </w:rPr>
            </w:pPr>
            <w:r w:rsidRPr="00D64510">
              <w:rPr>
                <w:rFonts w:ascii="Arial" w:hAnsi="Arial" w:cs="Arial"/>
                <w:color w:val="000000" w:themeColor="text1"/>
                <w:sz w:val="20"/>
                <w:szCs w:val="20"/>
              </w:rPr>
              <w:t>2,1</w:t>
            </w:r>
          </w:p>
        </w:tc>
      </w:tr>
      <w:tr w:rsidR="008B1C81" w:rsidRPr="00A54A45" w14:paraId="55EE8827" w14:textId="77777777" w:rsidTr="0092255C">
        <w:trPr>
          <w:trHeight w:val="411"/>
        </w:trPr>
        <w:tc>
          <w:tcPr>
            <w:tcW w:w="4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72532" w14:textId="77777777" w:rsidR="008B1C81" w:rsidRPr="00D64510" w:rsidRDefault="008B1C81" w:rsidP="00A64361">
            <w:pPr>
              <w:rPr>
                <w:rFonts w:asciiTheme="majorHAnsi" w:eastAsia="Times New Roman" w:hAnsiTheme="majorHAnsi" w:cstheme="majorBidi"/>
                <w:color w:val="000000" w:themeColor="text1"/>
                <w:sz w:val="20"/>
                <w:szCs w:val="20"/>
                <w:lang w:eastAsia="fi-FI"/>
              </w:rPr>
            </w:pPr>
            <w:r w:rsidRPr="00D64510">
              <w:rPr>
                <w:rFonts w:asciiTheme="majorHAnsi" w:eastAsia="Times New Roman" w:hAnsiTheme="majorHAnsi" w:cstheme="majorBidi"/>
                <w:color w:val="000000" w:themeColor="text1"/>
                <w:sz w:val="20"/>
                <w:szCs w:val="20"/>
                <w:lang w:eastAsia="fi-FI"/>
              </w:rPr>
              <w:t>Oleskelulupakortin tai oleskelukortin biovarmenne</w:t>
            </w:r>
          </w:p>
        </w:tc>
        <w:tc>
          <w:tcPr>
            <w:tcW w:w="1111" w:type="dxa"/>
            <w:tcBorders>
              <w:top w:val="single" w:sz="4" w:space="0" w:color="auto"/>
              <w:left w:val="nil"/>
              <w:bottom w:val="single" w:sz="4" w:space="0" w:color="auto"/>
              <w:right w:val="single" w:sz="4" w:space="0" w:color="auto"/>
            </w:tcBorders>
            <w:shd w:val="clear" w:color="auto" w:fill="auto"/>
            <w:vAlign w:val="bottom"/>
          </w:tcPr>
          <w:p w14:paraId="64BAF176" w14:textId="77777777" w:rsidR="008B1C81" w:rsidRPr="00D64510" w:rsidRDefault="008B1C81" w:rsidP="00A64361">
            <w:pPr>
              <w:jc w:val="both"/>
              <w:rPr>
                <w:rFonts w:ascii="Arial" w:hAnsi="Arial" w:cs="Arial"/>
                <w:color w:val="000000" w:themeColor="text1"/>
                <w:sz w:val="20"/>
                <w:szCs w:val="20"/>
              </w:rPr>
            </w:pPr>
            <w:r w:rsidRPr="00D64510">
              <w:rPr>
                <w:rFonts w:ascii="Arial" w:hAnsi="Arial" w:cs="Arial"/>
                <w:color w:val="000000" w:themeColor="text1"/>
                <w:sz w:val="20"/>
                <w:szCs w:val="20"/>
              </w:rPr>
              <w:t>3,1</w:t>
            </w:r>
          </w:p>
        </w:tc>
        <w:tc>
          <w:tcPr>
            <w:tcW w:w="1110" w:type="dxa"/>
            <w:tcBorders>
              <w:top w:val="single" w:sz="4" w:space="0" w:color="auto"/>
              <w:left w:val="nil"/>
              <w:bottom w:val="single" w:sz="4" w:space="0" w:color="auto"/>
              <w:right w:val="single" w:sz="4" w:space="0" w:color="auto"/>
            </w:tcBorders>
            <w:vAlign w:val="bottom"/>
          </w:tcPr>
          <w:p w14:paraId="72CE3745" w14:textId="77777777" w:rsidR="008B1C81" w:rsidRPr="00D64510" w:rsidRDefault="008B1C81" w:rsidP="00A64361">
            <w:pPr>
              <w:jc w:val="both"/>
              <w:rPr>
                <w:rFonts w:ascii="Arial" w:hAnsi="Arial" w:cs="Arial"/>
                <w:color w:val="000000" w:themeColor="text1"/>
                <w:sz w:val="20"/>
                <w:szCs w:val="20"/>
              </w:rPr>
            </w:pPr>
            <w:r w:rsidRPr="00D64510">
              <w:rPr>
                <w:rFonts w:ascii="Arial" w:hAnsi="Arial" w:cs="Arial"/>
                <w:color w:val="000000" w:themeColor="text1"/>
                <w:sz w:val="20"/>
                <w:szCs w:val="20"/>
              </w:rPr>
              <w:t>3,1</w:t>
            </w:r>
          </w:p>
        </w:tc>
        <w:tc>
          <w:tcPr>
            <w:tcW w:w="1111" w:type="dxa"/>
            <w:tcBorders>
              <w:top w:val="single" w:sz="4" w:space="0" w:color="auto"/>
              <w:left w:val="nil"/>
              <w:bottom w:val="single" w:sz="4" w:space="0" w:color="auto"/>
              <w:right w:val="single" w:sz="4" w:space="0" w:color="auto"/>
            </w:tcBorders>
            <w:vAlign w:val="bottom"/>
          </w:tcPr>
          <w:p w14:paraId="6C2B587C" w14:textId="77777777" w:rsidR="008B1C81" w:rsidRPr="00D64510" w:rsidRDefault="008B1C81" w:rsidP="00A64361">
            <w:pPr>
              <w:rPr>
                <w:rFonts w:ascii="Arial" w:hAnsi="Arial" w:cs="Arial"/>
                <w:color w:val="000000" w:themeColor="text1"/>
                <w:sz w:val="20"/>
                <w:szCs w:val="20"/>
              </w:rPr>
            </w:pPr>
            <w:r w:rsidRPr="00D64510">
              <w:rPr>
                <w:rFonts w:ascii="Arial" w:hAnsi="Arial" w:cs="Arial"/>
                <w:color w:val="000000" w:themeColor="text1"/>
                <w:sz w:val="20"/>
                <w:szCs w:val="20"/>
              </w:rPr>
              <w:t>2,6</w:t>
            </w:r>
          </w:p>
        </w:tc>
      </w:tr>
      <w:tr w:rsidR="008B1C81" w:rsidRPr="00A54A45" w14:paraId="27E6CAFD" w14:textId="77777777" w:rsidTr="0092255C">
        <w:trPr>
          <w:trHeight w:val="325"/>
        </w:trPr>
        <w:tc>
          <w:tcPr>
            <w:tcW w:w="4545" w:type="dxa"/>
            <w:tcBorders>
              <w:top w:val="single" w:sz="4" w:space="0" w:color="auto"/>
              <w:left w:val="single" w:sz="4" w:space="0" w:color="auto"/>
              <w:bottom w:val="single" w:sz="4" w:space="0" w:color="auto"/>
              <w:right w:val="single" w:sz="4" w:space="0" w:color="auto"/>
            </w:tcBorders>
            <w:shd w:val="clear" w:color="auto" w:fill="auto"/>
            <w:vAlign w:val="bottom"/>
          </w:tcPr>
          <w:p w14:paraId="3AEA2ACB" w14:textId="77777777" w:rsidR="008B1C81" w:rsidRPr="00D64510" w:rsidRDefault="008B1C81" w:rsidP="00A64361">
            <w:pPr>
              <w:jc w:val="both"/>
              <w:rPr>
                <w:rFonts w:asciiTheme="majorHAnsi" w:eastAsia="Times New Roman" w:hAnsiTheme="majorHAnsi" w:cstheme="majorBidi"/>
                <w:color w:val="000000" w:themeColor="text1"/>
                <w:sz w:val="20"/>
                <w:szCs w:val="20"/>
                <w:lang w:eastAsia="fi-FI"/>
              </w:rPr>
            </w:pPr>
            <w:r w:rsidRPr="00D64510">
              <w:rPr>
                <w:rFonts w:asciiTheme="majorHAnsi" w:eastAsia="Times New Roman" w:hAnsiTheme="majorHAnsi" w:cstheme="majorBidi"/>
                <w:color w:val="000000" w:themeColor="text1"/>
                <w:sz w:val="20"/>
                <w:szCs w:val="20"/>
                <w:lang w:eastAsia="fi-FI"/>
              </w:rPr>
              <w:t>Henkilökortin biovarmenne</w:t>
            </w:r>
          </w:p>
        </w:tc>
        <w:tc>
          <w:tcPr>
            <w:tcW w:w="1111" w:type="dxa"/>
            <w:tcBorders>
              <w:top w:val="single" w:sz="4" w:space="0" w:color="auto"/>
              <w:left w:val="nil"/>
              <w:bottom w:val="single" w:sz="4" w:space="0" w:color="auto"/>
              <w:right w:val="single" w:sz="4" w:space="0" w:color="auto"/>
            </w:tcBorders>
            <w:shd w:val="clear" w:color="auto" w:fill="auto"/>
            <w:vAlign w:val="bottom"/>
          </w:tcPr>
          <w:p w14:paraId="4478736E" w14:textId="77777777" w:rsidR="008B1C81" w:rsidRPr="00D64510" w:rsidRDefault="008B1C81" w:rsidP="00A64361">
            <w:pPr>
              <w:jc w:val="both"/>
              <w:rPr>
                <w:rFonts w:ascii="Arial" w:hAnsi="Arial" w:cs="Arial"/>
                <w:color w:val="000000" w:themeColor="text1"/>
                <w:sz w:val="20"/>
                <w:szCs w:val="20"/>
              </w:rPr>
            </w:pPr>
            <w:r w:rsidRPr="00D64510">
              <w:rPr>
                <w:rFonts w:ascii="Arial" w:hAnsi="Arial" w:cs="Arial"/>
                <w:color w:val="000000" w:themeColor="text1"/>
                <w:sz w:val="20"/>
                <w:szCs w:val="20"/>
              </w:rPr>
              <w:t>-</w:t>
            </w:r>
          </w:p>
        </w:tc>
        <w:tc>
          <w:tcPr>
            <w:tcW w:w="1110" w:type="dxa"/>
            <w:tcBorders>
              <w:top w:val="single" w:sz="4" w:space="0" w:color="auto"/>
              <w:left w:val="nil"/>
              <w:bottom w:val="single" w:sz="4" w:space="0" w:color="auto"/>
              <w:right w:val="single" w:sz="4" w:space="0" w:color="auto"/>
            </w:tcBorders>
            <w:vAlign w:val="bottom"/>
          </w:tcPr>
          <w:p w14:paraId="5BF119F4" w14:textId="77777777" w:rsidR="008B1C81" w:rsidRPr="00D64510" w:rsidRDefault="008B1C81" w:rsidP="00A64361">
            <w:pPr>
              <w:jc w:val="both"/>
              <w:rPr>
                <w:rFonts w:ascii="Arial" w:hAnsi="Arial" w:cs="Arial"/>
                <w:color w:val="000000" w:themeColor="text1"/>
                <w:sz w:val="20"/>
                <w:szCs w:val="20"/>
              </w:rPr>
            </w:pPr>
            <w:r w:rsidRPr="00D64510">
              <w:rPr>
                <w:rFonts w:ascii="Arial" w:hAnsi="Arial" w:cs="Arial"/>
                <w:color w:val="000000" w:themeColor="text1"/>
                <w:sz w:val="20"/>
                <w:szCs w:val="20"/>
              </w:rPr>
              <w:t>3,1</w:t>
            </w:r>
          </w:p>
        </w:tc>
        <w:tc>
          <w:tcPr>
            <w:tcW w:w="1111" w:type="dxa"/>
            <w:tcBorders>
              <w:top w:val="single" w:sz="4" w:space="0" w:color="auto"/>
              <w:left w:val="nil"/>
              <w:bottom w:val="single" w:sz="4" w:space="0" w:color="auto"/>
              <w:right w:val="single" w:sz="4" w:space="0" w:color="auto"/>
            </w:tcBorders>
            <w:vAlign w:val="bottom"/>
          </w:tcPr>
          <w:p w14:paraId="4B7D7B0F" w14:textId="77777777" w:rsidR="008B1C81" w:rsidRPr="00D64510" w:rsidRDefault="008B1C81" w:rsidP="00A64361">
            <w:pPr>
              <w:rPr>
                <w:rFonts w:ascii="Arial" w:hAnsi="Arial" w:cs="Arial"/>
                <w:color w:val="000000" w:themeColor="text1"/>
                <w:sz w:val="20"/>
                <w:szCs w:val="20"/>
              </w:rPr>
            </w:pPr>
            <w:r w:rsidRPr="00D64510">
              <w:rPr>
                <w:rFonts w:ascii="Arial" w:hAnsi="Arial" w:cs="Arial"/>
                <w:color w:val="000000" w:themeColor="text1"/>
                <w:sz w:val="20"/>
                <w:szCs w:val="20"/>
              </w:rPr>
              <w:t>2,6</w:t>
            </w:r>
          </w:p>
        </w:tc>
      </w:tr>
    </w:tbl>
    <w:p w14:paraId="00A867DE" w14:textId="77777777" w:rsidR="00F7397B" w:rsidRDefault="008B1C81" w:rsidP="00DB29C2">
      <w:pPr>
        <w:pStyle w:val="Leipteksti"/>
        <w:ind w:left="1304"/>
        <w:rPr>
          <w:rFonts w:ascii="Times New Roman" w:hAnsi="Times New Roman" w:cs="Times New Roman"/>
          <w:sz w:val="24"/>
          <w:szCs w:val="24"/>
        </w:rPr>
      </w:pPr>
      <w:r>
        <w:br/>
      </w:r>
      <w:r w:rsidRPr="00DB29C2">
        <w:rPr>
          <w:rFonts w:ascii="Times New Roman" w:hAnsi="Times New Roman" w:cs="Times New Roman"/>
          <w:sz w:val="24"/>
          <w:szCs w:val="24"/>
        </w:rPr>
        <w:t>Hinnanmuutokset johtuvat skaalaedusta, joka saadaan tuottamalla varmennejärjestelmästä aiempaa suurempi määrä biovarmenteita. Biovarmenteiden kustannusvastaavuus vaihtelee myytyjen varmenteiden määrästä johtuen ja kysynnällä voi olla voimakastakin vuosivaihtelua. Kysyntäpiikki tekee toiminnasta ylikatteellista, minkä hillitsemiseksi esitetään hintojen laskun lisäksi varmenteiden kappalemäärään sidotun hinnanalennusmekanismin käyttöönottoa. Biovarmenteen hinta olisi edellä olevassa taulukossa esitetystä poiketen 1 €/kpl sen jälkeen, kun Digi- ja väestötietoviraston myytyjen biovarmenteiden yhteiskappalemäärä ylittää 1,2 miljoonaa kappaletta vuoden aikana.</w:t>
      </w:r>
    </w:p>
    <w:p w14:paraId="53282C99" w14:textId="079F7880" w:rsidR="008B1C81" w:rsidRDefault="008B1C81"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 xml:space="preserve">Lisäksi esitetään maksuasetukseen ja liitteenä olevaan maksutaulukkoon sosiaali- ja terveydenhuollon asiakastietojen sähköistä käsittelyä koskevien </w:t>
      </w:r>
      <w:r w:rsidR="00D83C19">
        <w:rPr>
          <w:rFonts w:ascii="Times New Roman" w:hAnsi="Times New Roman" w:cs="Times New Roman"/>
          <w:sz w:val="24"/>
          <w:szCs w:val="24"/>
        </w:rPr>
        <w:t>säädös</w:t>
      </w:r>
      <w:r w:rsidRPr="00DB29C2">
        <w:rPr>
          <w:rFonts w:ascii="Times New Roman" w:hAnsi="Times New Roman" w:cs="Times New Roman"/>
          <w:sz w:val="24"/>
          <w:szCs w:val="24"/>
        </w:rPr>
        <w:t xml:space="preserve">viittausten päivittämistä lainmuutoksen mukaisesti. Laki sosiaali- ja terveydenhuollon asiakastietojen sähköisestä käsittelystä (159/2007) on kumottu uudella lailla (784/2021), joka </w:t>
      </w:r>
      <w:r w:rsidR="00C52C2E" w:rsidRPr="001E222A">
        <w:rPr>
          <w:rFonts w:ascii="Times New Roman" w:hAnsi="Times New Roman" w:cs="Times New Roman"/>
          <w:sz w:val="24"/>
          <w:szCs w:val="24"/>
        </w:rPr>
        <w:t>tuli voimaan</w:t>
      </w:r>
      <w:r w:rsidRPr="00DB29C2">
        <w:rPr>
          <w:rFonts w:ascii="Times New Roman" w:hAnsi="Times New Roman" w:cs="Times New Roman"/>
          <w:sz w:val="24"/>
          <w:szCs w:val="24"/>
        </w:rPr>
        <w:t xml:space="preserve"> 1.11.2021.</w:t>
      </w:r>
    </w:p>
    <w:p w14:paraId="3AA6FC8B" w14:textId="77777777" w:rsidR="00104597" w:rsidRPr="00424B5F" w:rsidRDefault="00104597" w:rsidP="003D0AC1">
      <w:pPr>
        <w:pStyle w:val="MNormaali"/>
        <w:ind w:left="1418"/>
      </w:pPr>
    </w:p>
    <w:p w14:paraId="22F7D680" w14:textId="77777777" w:rsidR="00424B5F" w:rsidRDefault="00424B5F" w:rsidP="00C93E16">
      <w:pPr>
        <w:pStyle w:val="MNormaali"/>
        <w:ind w:left="1418"/>
        <w:rPr>
          <w:i/>
        </w:rPr>
      </w:pPr>
    </w:p>
    <w:p w14:paraId="4C024063" w14:textId="69F433CE" w:rsidR="007D3287" w:rsidRDefault="00B007A7" w:rsidP="00C93E16">
      <w:pPr>
        <w:pStyle w:val="MNormaali"/>
        <w:ind w:left="1418"/>
        <w:rPr>
          <w:i/>
        </w:rPr>
      </w:pPr>
      <w:r>
        <w:rPr>
          <w:i/>
        </w:rPr>
        <w:t>Rekisteritietojen luovutus ja tietopalvelut</w:t>
      </w:r>
    </w:p>
    <w:p w14:paraId="712E6DA1" w14:textId="0576C214" w:rsidR="000A5029" w:rsidRDefault="000A5029" w:rsidP="00C93E16">
      <w:pPr>
        <w:pStyle w:val="MNormaali"/>
        <w:ind w:left="1418"/>
      </w:pPr>
    </w:p>
    <w:p w14:paraId="7F204DA5" w14:textId="77777777" w:rsidR="00DC0F98" w:rsidRDefault="006364D4" w:rsidP="00C93E16">
      <w:pPr>
        <w:pStyle w:val="MNormaali"/>
        <w:ind w:left="1418"/>
      </w:pPr>
      <w:r>
        <w:t>Rekisteritietojen luovutus ja tietopalvelut muodostuvat seuraavista suoriteryhmistä: kyselyt, muutostietopalvelu, perustietotoimitus, j</w:t>
      </w:r>
      <w:r w:rsidRPr="006364D4">
        <w:t>ulk</w:t>
      </w:r>
      <w:r>
        <w:t>ishallinnon päivityspalvelu, j</w:t>
      </w:r>
      <w:r w:rsidRPr="006364D4">
        <w:t>u</w:t>
      </w:r>
      <w:r>
        <w:t>lkishallinnon poimintapalvelu,</w:t>
      </w:r>
      <w:r w:rsidRPr="006364D4">
        <w:t xml:space="preserve"> Digi- ja väestötietoviraston asiakkaiden itse suorittamat poiminnat</w:t>
      </w:r>
      <w:r>
        <w:t>, v</w:t>
      </w:r>
      <w:r w:rsidRPr="006364D4">
        <w:t xml:space="preserve">äestötietojärjestelmän otteiden </w:t>
      </w:r>
      <w:r>
        <w:t>luovutus ja sukuselvitykset, t</w:t>
      </w:r>
      <w:r w:rsidRPr="006364D4">
        <w:t>ietopalvelu teknisen ra</w:t>
      </w:r>
      <w:r>
        <w:t>japinnan välityksellä Digi- ja väestötietoviraston eräistä henkilörekistereistä annetussa laissa sekä holhoustoimesta annetussa laissa mainituista rekistereistä sekä r</w:t>
      </w:r>
      <w:r w:rsidRPr="006364D4">
        <w:t>ekisteritietojen luovutus muista rekistereistä</w:t>
      </w:r>
      <w:r>
        <w:t>.</w:t>
      </w:r>
    </w:p>
    <w:p w14:paraId="41D99FB6" w14:textId="77777777" w:rsidR="00DC0F98" w:rsidRDefault="00DC0F98" w:rsidP="00C93E16">
      <w:pPr>
        <w:pStyle w:val="MNormaali"/>
        <w:ind w:left="1418"/>
      </w:pPr>
    </w:p>
    <w:p w14:paraId="2BB957DF" w14:textId="5894FD97" w:rsidR="00DC0F98" w:rsidRDefault="00DC0F98" w:rsidP="00C93E16">
      <w:pPr>
        <w:pStyle w:val="MNormaali"/>
        <w:ind w:left="1418"/>
      </w:pPr>
      <w:r>
        <w:t xml:space="preserve">Rekisteritietojen luovutukseen ja tietopalveluihin esitetään </w:t>
      </w:r>
      <w:r w:rsidR="003136AA">
        <w:t xml:space="preserve">joitakin </w:t>
      </w:r>
      <w:r>
        <w:t>hinnanmuutoksia, j</w:t>
      </w:r>
      <w:r w:rsidR="003136AA">
        <w:t>a</w:t>
      </w:r>
      <w:r>
        <w:t xml:space="preserve"> </w:t>
      </w:r>
      <w:r w:rsidR="003136AA">
        <w:t>palvelujen kustannusvastaavuuksien</w:t>
      </w:r>
      <w:r>
        <w:t xml:space="preserve"> </w:t>
      </w:r>
      <w:r w:rsidR="003136AA">
        <w:t xml:space="preserve">ennustetaan </w:t>
      </w:r>
      <w:r>
        <w:t>kehittyvä</w:t>
      </w:r>
      <w:r w:rsidR="003136AA">
        <w:t>n</w:t>
      </w:r>
      <w:r>
        <w:t xml:space="preserve"> seuraava</w:t>
      </w:r>
      <w:r w:rsidR="00C52C2E">
        <w:t xml:space="preserve">ssa taulukossa esitetyllä </w:t>
      </w:r>
      <w:r>
        <w:t>tavalla.</w:t>
      </w:r>
      <w:r w:rsidR="003136AA">
        <w:t xml:space="preserve"> Useiden palvelujen (mm. </w:t>
      </w:r>
      <w:r w:rsidR="003136AA" w:rsidRPr="00F85631">
        <w:rPr>
          <w:rFonts w:eastAsiaTheme="minorEastAsia" w:cstheme="minorBidi"/>
        </w:rPr>
        <w:t>VTJ</w:t>
      </w:r>
      <w:r w:rsidR="003136AA" w:rsidRPr="00DA249B">
        <w:rPr>
          <w:rFonts w:eastAsiaTheme="minorEastAsia" w:cstheme="minorBidi"/>
        </w:rPr>
        <w:t>-otteiden luovutu</w:t>
      </w:r>
      <w:r w:rsidR="003136AA">
        <w:rPr>
          <w:rFonts w:eastAsiaTheme="minorEastAsia" w:cstheme="minorBidi"/>
        </w:rPr>
        <w:t>s</w:t>
      </w:r>
      <w:r w:rsidR="003136AA" w:rsidRPr="00DA249B">
        <w:rPr>
          <w:rFonts w:eastAsiaTheme="minorEastAsia" w:cstheme="minorBidi"/>
        </w:rPr>
        <w:t xml:space="preserve"> ja sukuselvityks</w:t>
      </w:r>
      <w:r w:rsidR="003136AA">
        <w:rPr>
          <w:rFonts w:eastAsiaTheme="minorEastAsia" w:cstheme="minorBidi"/>
        </w:rPr>
        <w:t>et)</w:t>
      </w:r>
      <w:r w:rsidR="003136AA" w:rsidRPr="00DA249B">
        <w:rPr>
          <w:rFonts w:eastAsiaTheme="minorEastAsia" w:cstheme="minorBidi"/>
        </w:rPr>
        <w:t xml:space="preserve"> </w:t>
      </w:r>
      <w:r w:rsidR="003136AA">
        <w:rPr>
          <w:rFonts w:eastAsiaTheme="minorEastAsia" w:cstheme="minorBidi"/>
        </w:rPr>
        <w:t xml:space="preserve">tuottavuus kasvaa digitalisoinnin ja muiden </w:t>
      </w:r>
      <w:r w:rsidR="003136AA" w:rsidRPr="00DA249B">
        <w:rPr>
          <w:rFonts w:eastAsiaTheme="minorEastAsia" w:cstheme="minorBidi"/>
        </w:rPr>
        <w:t xml:space="preserve">Vaaka-hankkeen </w:t>
      </w:r>
      <w:r w:rsidR="003136AA">
        <w:rPr>
          <w:rFonts w:eastAsiaTheme="minorEastAsia" w:cstheme="minorBidi"/>
        </w:rPr>
        <w:t>kehittämistoimien myötä, minkä odotetaan näkyvän palvelujen kustannusvastaavuuksien paranemisena edelleen.</w:t>
      </w:r>
    </w:p>
    <w:p w14:paraId="6BD0B347" w14:textId="7CD1F9AE" w:rsidR="00DC0F98" w:rsidRDefault="00DC0F98" w:rsidP="00C93E16">
      <w:pPr>
        <w:pStyle w:val="MNormaali"/>
        <w:ind w:left="1418"/>
      </w:pPr>
      <w:r w:rsidRPr="00DC0F98">
        <w:t xml:space="preserve"> </w:t>
      </w:r>
    </w:p>
    <w:p w14:paraId="1D4654E0" w14:textId="77777777" w:rsidR="00DC0F98" w:rsidRDefault="00DC0F98" w:rsidP="00C93E16">
      <w:pPr>
        <w:pStyle w:val="MNormaali"/>
        <w:ind w:left="1418"/>
      </w:pPr>
    </w:p>
    <w:p w14:paraId="380034C3" w14:textId="55DD3CA5" w:rsidR="000A5029" w:rsidRDefault="00DC0F98" w:rsidP="00C93E16">
      <w:pPr>
        <w:pStyle w:val="MNormaali"/>
        <w:ind w:left="1418"/>
      </w:pPr>
      <w:r>
        <w:t xml:space="preserve"> </w:t>
      </w:r>
      <w:r w:rsidRPr="00DC0F98">
        <w:rPr>
          <w:noProof/>
        </w:rPr>
        <w:drawing>
          <wp:inline distT="0" distB="0" distL="0" distR="0" wp14:anchorId="043ADC5B" wp14:editId="2D4BBE4F">
            <wp:extent cx="4929809" cy="2573653"/>
            <wp:effectExtent l="0" t="0" r="4445"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2585" cy="2575102"/>
                    </a:xfrm>
                    <a:prstGeom prst="rect">
                      <a:avLst/>
                    </a:prstGeom>
                    <a:noFill/>
                    <a:ln>
                      <a:noFill/>
                    </a:ln>
                  </pic:spPr>
                </pic:pic>
              </a:graphicData>
            </a:graphic>
          </wp:inline>
        </w:drawing>
      </w:r>
    </w:p>
    <w:p w14:paraId="2815BCF3" w14:textId="6071A4D7" w:rsidR="00DC0F98" w:rsidRDefault="00DC0F98" w:rsidP="00C93E16">
      <w:pPr>
        <w:pStyle w:val="MNormaali"/>
        <w:ind w:left="1418"/>
      </w:pPr>
    </w:p>
    <w:p w14:paraId="7869D541" w14:textId="0199DCD9" w:rsidR="005742F5" w:rsidRDefault="005742F5" w:rsidP="00673737">
      <w:pPr>
        <w:pStyle w:val="MNormaali"/>
        <w:ind w:left="1418"/>
      </w:pPr>
    </w:p>
    <w:p w14:paraId="2854E313" w14:textId="77777777" w:rsidR="005742F5" w:rsidRPr="005742F5" w:rsidRDefault="005742F5" w:rsidP="00DB29C2"/>
    <w:p w14:paraId="73FD5B58" w14:textId="77777777" w:rsidR="005742F5" w:rsidRPr="00DB29C2" w:rsidRDefault="005742F5" w:rsidP="00DB29C2">
      <w:pPr>
        <w:pStyle w:val="Leipteksti"/>
        <w:ind w:left="1304"/>
        <w:rPr>
          <w:rFonts w:ascii="Times New Roman" w:hAnsi="Times New Roman" w:cs="Times New Roman"/>
          <w:i/>
          <w:sz w:val="24"/>
          <w:szCs w:val="24"/>
        </w:rPr>
      </w:pPr>
      <w:r w:rsidRPr="00DB29C2">
        <w:rPr>
          <w:rFonts w:ascii="Times New Roman" w:hAnsi="Times New Roman" w:cs="Times New Roman"/>
          <w:i/>
          <w:sz w:val="24"/>
          <w:szCs w:val="24"/>
        </w:rPr>
        <w:t>Organisaatioasiakkaiden väestötietopalvelut</w:t>
      </w:r>
    </w:p>
    <w:p w14:paraId="5C0FC15C" w14:textId="18A97B0C" w:rsidR="0057352F" w:rsidRDefault="00DC0F98" w:rsidP="00DB29C2">
      <w:pPr>
        <w:pStyle w:val="Leipteksti"/>
        <w:ind w:left="1304"/>
        <w:rPr>
          <w:rFonts w:ascii="Times New Roman" w:hAnsi="Times New Roman" w:cs="Times New Roman"/>
          <w:sz w:val="24"/>
          <w:szCs w:val="24"/>
        </w:rPr>
      </w:pPr>
      <w:r>
        <w:rPr>
          <w:rFonts w:ascii="Times New Roman" w:hAnsi="Times New Roman" w:cs="Times New Roman"/>
          <w:sz w:val="24"/>
          <w:szCs w:val="24"/>
        </w:rPr>
        <w:t>V</w:t>
      </w:r>
      <w:r w:rsidR="005742F5">
        <w:rPr>
          <w:rFonts w:ascii="Times New Roman" w:hAnsi="Times New Roman" w:cs="Times New Roman"/>
          <w:sz w:val="24"/>
          <w:szCs w:val="24"/>
        </w:rPr>
        <w:t>äestötietojärjeste</w:t>
      </w:r>
      <w:r w:rsidR="007A6C5E">
        <w:rPr>
          <w:rFonts w:ascii="Times New Roman" w:hAnsi="Times New Roman" w:cs="Times New Roman"/>
          <w:sz w:val="24"/>
          <w:szCs w:val="24"/>
        </w:rPr>
        <w:t>l</w:t>
      </w:r>
      <w:r w:rsidR="005742F5">
        <w:rPr>
          <w:rFonts w:ascii="Times New Roman" w:hAnsi="Times New Roman" w:cs="Times New Roman"/>
          <w:sz w:val="24"/>
          <w:szCs w:val="24"/>
        </w:rPr>
        <w:t>män (</w:t>
      </w:r>
      <w:r w:rsidR="005742F5" w:rsidRPr="00DB29C2">
        <w:rPr>
          <w:rFonts w:ascii="Times New Roman" w:hAnsi="Times New Roman" w:cs="Times New Roman"/>
          <w:sz w:val="24"/>
          <w:szCs w:val="24"/>
        </w:rPr>
        <w:t>VTJ</w:t>
      </w:r>
      <w:r w:rsidR="005742F5">
        <w:rPr>
          <w:rFonts w:ascii="Times New Roman" w:hAnsi="Times New Roman" w:cs="Times New Roman"/>
          <w:sz w:val="24"/>
          <w:szCs w:val="24"/>
        </w:rPr>
        <w:t>)</w:t>
      </w:r>
      <w:r w:rsidR="0057352F">
        <w:rPr>
          <w:rFonts w:ascii="Times New Roman" w:hAnsi="Times New Roman" w:cs="Times New Roman"/>
          <w:sz w:val="24"/>
          <w:szCs w:val="24"/>
        </w:rPr>
        <w:t xml:space="preserve"> </w:t>
      </w:r>
      <w:r w:rsidR="005742F5" w:rsidRPr="00DB29C2">
        <w:rPr>
          <w:rFonts w:ascii="Times New Roman" w:hAnsi="Times New Roman" w:cs="Times New Roman"/>
          <w:sz w:val="24"/>
          <w:szCs w:val="24"/>
        </w:rPr>
        <w:t>muutosrajapintapalvelu</w:t>
      </w:r>
      <w:r w:rsidR="00C52C2E">
        <w:rPr>
          <w:rFonts w:ascii="Times New Roman" w:hAnsi="Times New Roman" w:cs="Times New Roman"/>
          <w:sz w:val="24"/>
          <w:szCs w:val="24"/>
        </w:rPr>
        <w:t>n</w:t>
      </w:r>
      <w:r w:rsidR="005742F5" w:rsidRPr="00DB29C2">
        <w:rPr>
          <w:rFonts w:ascii="Times New Roman" w:hAnsi="Times New Roman" w:cs="Times New Roman"/>
          <w:sz w:val="24"/>
          <w:szCs w:val="24"/>
        </w:rPr>
        <w:t xml:space="preserve"> ja </w:t>
      </w:r>
      <w:r>
        <w:rPr>
          <w:rFonts w:ascii="Times New Roman" w:hAnsi="Times New Roman" w:cs="Times New Roman"/>
          <w:sz w:val="24"/>
          <w:szCs w:val="24"/>
        </w:rPr>
        <w:t>organisaatio</w:t>
      </w:r>
      <w:r w:rsidR="005742F5" w:rsidRPr="00DB29C2">
        <w:rPr>
          <w:rFonts w:ascii="Times New Roman" w:hAnsi="Times New Roman" w:cs="Times New Roman"/>
          <w:sz w:val="24"/>
          <w:szCs w:val="24"/>
        </w:rPr>
        <w:t>asiakkaiden itse suorittami</w:t>
      </w:r>
      <w:r w:rsidR="00C52C2E">
        <w:rPr>
          <w:rFonts w:ascii="Times New Roman" w:hAnsi="Times New Roman" w:cs="Times New Roman"/>
          <w:sz w:val="24"/>
          <w:szCs w:val="24"/>
        </w:rPr>
        <w:t>en</w:t>
      </w:r>
      <w:r w:rsidR="005742F5" w:rsidRPr="00DB29C2">
        <w:rPr>
          <w:rFonts w:ascii="Times New Roman" w:hAnsi="Times New Roman" w:cs="Times New Roman"/>
          <w:sz w:val="24"/>
          <w:szCs w:val="24"/>
        </w:rPr>
        <w:t xml:space="preserve"> poimin</w:t>
      </w:r>
      <w:r w:rsidR="00C52C2E">
        <w:rPr>
          <w:rFonts w:ascii="Times New Roman" w:hAnsi="Times New Roman" w:cs="Times New Roman"/>
          <w:sz w:val="24"/>
          <w:szCs w:val="24"/>
        </w:rPr>
        <w:t>tojen osalta</w:t>
      </w:r>
      <w:r w:rsidR="005742F5" w:rsidRPr="00DB29C2">
        <w:rPr>
          <w:rFonts w:ascii="Times New Roman" w:hAnsi="Times New Roman" w:cs="Times New Roman"/>
          <w:sz w:val="24"/>
          <w:szCs w:val="24"/>
        </w:rPr>
        <w:t xml:space="preserve"> </w:t>
      </w:r>
      <w:r w:rsidR="005742F5">
        <w:rPr>
          <w:rFonts w:ascii="Times New Roman" w:hAnsi="Times New Roman" w:cs="Times New Roman"/>
          <w:sz w:val="24"/>
          <w:szCs w:val="24"/>
        </w:rPr>
        <w:t xml:space="preserve">esitetään </w:t>
      </w:r>
      <w:r>
        <w:rPr>
          <w:rFonts w:ascii="Times New Roman" w:hAnsi="Times New Roman" w:cs="Times New Roman"/>
          <w:sz w:val="24"/>
          <w:szCs w:val="24"/>
        </w:rPr>
        <w:t xml:space="preserve">hinnanmuutoksia. </w:t>
      </w:r>
      <w:r w:rsidR="00951D76" w:rsidRPr="00951D76">
        <w:rPr>
          <w:rFonts w:ascii="Times New Roman" w:hAnsi="Times New Roman" w:cs="Times New Roman"/>
          <w:sz w:val="24"/>
          <w:szCs w:val="24"/>
        </w:rPr>
        <w:t xml:space="preserve">Organisaatioasiakkaille tarjottavien rekisteritietojen luovutusta koskevien </w:t>
      </w:r>
      <w:r w:rsidR="00951D76">
        <w:rPr>
          <w:rFonts w:ascii="Times New Roman" w:hAnsi="Times New Roman" w:cs="Times New Roman"/>
          <w:sz w:val="24"/>
          <w:szCs w:val="24"/>
        </w:rPr>
        <w:t xml:space="preserve">palveluiden </w:t>
      </w:r>
      <w:r w:rsidR="005742F5" w:rsidRPr="00DB29C2">
        <w:rPr>
          <w:rFonts w:ascii="Times New Roman" w:hAnsi="Times New Roman" w:cs="Times New Roman"/>
          <w:sz w:val="24"/>
          <w:szCs w:val="24"/>
        </w:rPr>
        <w:t>omakustannusarvon mukaisten suoritteiden kustannusvastaavuus oli vuonna 2020 117 % ja sen ennustetaan vuonna 2021 olevan 1</w:t>
      </w:r>
      <w:r w:rsidR="0057352F">
        <w:rPr>
          <w:rFonts w:ascii="Times New Roman" w:hAnsi="Times New Roman" w:cs="Times New Roman"/>
          <w:sz w:val="24"/>
          <w:szCs w:val="24"/>
        </w:rPr>
        <w:t>22</w:t>
      </w:r>
      <w:r w:rsidR="005742F5" w:rsidRPr="00DB29C2">
        <w:rPr>
          <w:rFonts w:ascii="Times New Roman" w:hAnsi="Times New Roman" w:cs="Times New Roman"/>
          <w:sz w:val="24"/>
          <w:szCs w:val="24"/>
        </w:rPr>
        <w:t xml:space="preserve"> %</w:t>
      </w:r>
      <w:r w:rsidR="0057352F">
        <w:rPr>
          <w:rFonts w:ascii="Times New Roman" w:hAnsi="Times New Roman" w:cs="Times New Roman"/>
          <w:sz w:val="24"/>
          <w:szCs w:val="24"/>
        </w:rPr>
        <w:t>. Seuraavassa esitettyjen hinnanmuutosten jälkeen kustannusvastaavuuden arvioidaan olevan vuonna 2022 114%</w:t>
      </w:r>
      <w:r w:rsidR="005742F5" w:rsidRPr="00DB29C2">
        <w:rPr>
          <w:rFonts w:ascii="Times New Roman" w:hAnsi="Times New Roman" w:cs="Times New Roman"/>
          <w:sz w:val="24"/>
          <w:szCs w:val="24"/>
        </w:rPr>
        <w:t>.</w:t>
      </w:r>
    </w:p>
    <w:p w14:paraId="5A688DCE" w14:textId="3AC61491" w:rsidR="005742F5" w:rsidRPr="00DB29C2" w:rsidRDefault="005742F5"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 xml:space="preserve"> Maksutaulukkoon esitettävät muutokset koskevat vakiomuotoisten aineistopohjaisten tietopalveluiden sekä perustietotoimitusten </w:t>
      </w:r>
      <w:r w:rsidR="0057352F" w:rsidRPr="0057352F">
        <w:rPr>
          <w:rFonts w:ascii="Times New Roman" w:hAnsi="Times New Roman" w:cs="Times New Roman"/>
          <w:sz w:val="24"/>
          <w:szCs w:val="24"/>
        </w:rPr>
        <w:t>korvautumista</w:t>
      </w:r>
      <w:r w:rsidRPr="00DB29C2">
        <w:rPr>
          <w:rFonts w:ascii="Times New Roman" w:hAnsi="Times New Roman" w:cs="Times New Roman"/>
          <w:sz w:val="24"/>
          <w:szCs w:val="24"/>
        </w:rPr>
        <w:t xml:space="preserve"> VTJ-muutosrajapintapalvelulla, jonka hinnoittelua </w:t>
      </w:r>
      <w:r w:rsidR="0057352F">
        <w:rPr>
          <w:rFonts w:ascii="Times New Roman" w:hAnsi="Times New Roman" w:cs="Times New Roman"/>
          <w:sz w:val="24"/>
          <w:szCs w:val="24"/>
        </w:rPr>
        <w:t>esitetään muutettavaksi</w:t>
      </w:r>
      <w:r w:rsidRPr="00DB29C2">
        <w:rPr>
          <w:rFonts w:ascii="Times New Roman" w:hAnsi="Times New Roman" w:cs="Times New Roman"/>
          <w:sz w:val="24"/>
          <w:szCs w:val="24"/>
        </w:rPr>
        <w:t xml:space="preserve"> vastaamaan paremmin palvelun käyttöä tulevaisuudessa. </w:t>
      </w:r>
      <w:r w:rsidR="0057352F">
        <w:rPr>
          <w:rFonts w:ascii="Times New Roman" w:hAnsi="Times New Roman" w:cs="Times New Roman"/>
          <w:sz w:val="24"/>
          <w:szCs w:val="24"/>
        </w:rPr>
        <w:t>Tämän lisäksi</w:t>
      </w:r>
      <w:r w:rsidRPr="00DB29C2">
        <w:rPr>
          <w:rFonts w:ascii="Times New Roman" w:hAnsi="Times New Roman" w:cs="Times New Roman"/>
          <w:sz w:val="24"/>
          <w:szCs w:val="24"/>
        </w:rPr>
        <w:t xml:space="preserve"> esit</w:t>
      </w:r>
      <w:r w:rsidR="0057352F">
        <w:rPr>
          <w:rFonts w:ascii="Times New Roman" w:hAnsi="Times New Roman" w:cs="Times New Roman"/>
          <w:sz w:val="24"/>
          <w:szCs w:val="24"/>
        </w:rPr>
        <w:t>etään</w:t>
      </w:r>
      <w:r w:rsidRPr="00DB29C2">
        <w:rPr>
          <w:rFonts w:ascii="Times New Roman" w:hAnsi="Times New Roman" w:cs="Times New Roman"/>
          <w:sz w:val="24"/>
          <w:szCs w:val="24"/>
        </w:rPr>
        <w:t xml:space="preserve">, että vakiomuotoisten aineistopohjaisten tietopalveluiden ja perustietotoimitusten hinnat säilytetään maksutaulukossa vanhoille asiakkaille siirtymäkauden vuoden 2024 loppuun. </w:t>
      </w:r>
    </w:p>
    <w:p w14:paraId="5F610712" w14:textId="68376D74" w:rsidR="0057352F" w:rsidRDefault="005742F5"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VTJ-muutosrajapintapalvelun käyttöönottomaksu (1000 €) veloitettaisiin kaikilta asiakkailta, myös 2</w:t>
      </w:r>
      <w:r w:rsidR="00951D76">
        <w:rPr>
          <w:rFonts w:ascii="Times New Roman" w:hAnsi="Times New Roman" w:cs="Times New Roman"/>
          <w:sz w:val="24"/>
          <w:szCs w:val="24"/>
        </w:rPr>
        <w:t xml:space="preserve"> §:n</w:t>
      </w:r>
      <w:r w:rsidRPr="00DB29C2">
        <w:rPr>
          <w:rFonts w:ascii="Times New Roman" w:hAnsi="Times New Roman" w:cs="Times New Roman"/>
          <w:sz w:val="24"/>
          <w:szCs w:val="24"/>
        </w:rPr>
        <w:t xml:space="preserve"> 4 </w:t>
      </w:r>
      <w:r w:rsidR="00951D76">
        <w:rPr>
          <w:rFonts w:ascii="Times New Roman" w:hAnsi="Times New Roman" w:cs="Times New Roman"/>
          <w:sz w:val="24"/>
          <w:szCs w:val="24"/>
        </w:rPr>
        <w:t xml:space="preserve">kohdan mukaisesti </w:t>
      </w:r>
      <w:r w:rsidRPr="00DB29C2">
        <w:rPr>
          <w:rFonts w:ascii="Times New Roman" w:hAnsi="Times New Roman" w:cs="Times New Roman"/>
          <w:sz w:val="24"/>
          <w:szCs w:val="24"/>
        </w:rPr>
        <w:t xml:space="preserve">maksuttomaan vakiomuotoiseen palveluun oikeutetuilta. Käyttöönottomaksun arviossa on mukana keskimääräinen kehitystyökustannus eli kehittäjäresurssin käyttö ja </w:t>
      </w:r>
      <w:r w:rsidR="0057352F">
        <w:rPr>
          <w:rFonts w:ascii="Times New Roman" w:hAnsi="Times New Roman" w:cs="Times New Roman"/>
          <w:sz w:val="24"/>
          <w:szCs w:val="24"/>
        </w:rPr>
        <w:t xml:space="preserve">viraston </w:t>
      </w:r>
      <w:r w:rsidRPr="00DB29C2">
        <w:rPr>
          <w:rFonts w:ascii="Times New Roman" w:hAnsi="Times New Roman" w:cs="Times New Roman"/>
          <w:sz w:val="24"/>
          <w:szCs w:val="24"/>
        </w:rPr>
        <w:t xml:space="preserve">asiakaskäyttöönoton tehtävät (tietolupa, käyttäjätunnukset, testauksen ja käyttöönoton tuki). Nykyisten sovelluskehityssopimusten mukaan kehittäjän keskihinta on 800–1000 euroa/päivä. </w:t>
      </w:r>
      <w:r w:rsidR="0057352F">
        <w:rPr>
          <w:rFonts w:ascii="Times New Roman" w:hAnsi="Times New Roman" w:cs="Times New Roman"/>
          <w:sz w:val="24"/>
          <w:szCs w:val="24"/>
        </w:rPr>
        <w:t xml:space="preserve">Viraston </w:t>
      </w:r>
      <w:r w:rsidR="0057352F" w:rsidRPr="0057352F">
        <w:rPr>
          <w:rFonts w:ascii="Times New Roman" w:hAnsi="Times New Roman" w:cs="Times New Roman"/>
          <w:sz w:val="24"/>
          <w:szCs w:val="24"/>
        </w:rPr>
        <w:t>veloituksena</w:t>
      </w:r>
      <w:r w:rsidRPr="00DB29C2">
        <w:rPr>
          <w:rFonts w:ascii="Times New Roman" w:hAnsi="Times New Roman" w:cs="Times New Roman"/>
          <w:sz w:val="24"/>
          <w:szCs w:val="24"/>
        </w:rPr>
        <w:t xml:space="preserve"> tuntityöstä on käytetty 70 euroa. Arvio perustuu siihen, että ostopalvelua tarvitaan keskimäärin </w:t>
      </w:r>
      <w:r w:rsidR="0057352F">
        <w:rPr>
          <w:rFonts w:ascii="Times New Roman" w:hAnsi="Times New Roman" w:cs="Times New Roman"/>
          <w:sz w:val="24"/>
          <w:szCs w:val="24"/>
        </w:rPr>
        <w:t>1 päivä/käyttöönotto</w:t>
      </w:r>
      <w:r w:rsidRPr="00DB29C2">
        <w:rPr>
          <w:rFonts w:ascii="Times New Roman" w:hAnsi="Times New Roman" w:cs="Times New Roman"/>
          <w:sz w:val="24"/>
          <w:szCs w:val="24"/>
        </w:rPr>
        <w:t xml:space="preserve">. Uuden palvelun käyttöönottovaiheessa työmäärä on ollut suurempikin, mutta työmäärän arvioidaan pienenevän kokemuksen myötä, etenkin jos suunniteltu tuotehallintaväline saadaan </w:t>
      </w:r>
      <w:r w:rsidR="0057352F">
        <w:rPr>
          <w:rFonts w:ascii="Times New Roman" w:hAnsi="Times New Roman" w:cs="Times New Roman"/>
          <w:sz w:val="24"/>
          <w:szCs w:val="24"/>
        </w:rPr>
        <w:t xml:space="preserve">viraston </w:t>
      </w:r>
      <w:r w:rsidRPr="00DB29C2">
        <w:rPr>
          <w:rFonts w:ascii="Times New Roman" w:hAnsi="Times New Roman" w:cs="Times New Roman"/>
          <w:sz w:val="24"/>
          <w:szCs w:val="24"/>
        </w:rPr>
        <w:t>käyttöön.</w:t>
      </w:r>
    </w:p>
    <w:p w14:paraId="028CA2AF" w14:textId="764CC957" w:rsidR="005742F5" w:rsidRPr="00DB29C2" w:rsidRDefault="005742F5"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Asiakkaan itse VTJ-kyselyn poimintakyselysovelluksella suorittamien poimintojen käyttöönottomaksua esitetään alennettavan 400 eurosta 300 euroon. Lisäksi poimintakäyttäjistä esitetään veloitettavaksi käyttäjäkohtainen kuukausimaksu 1€/käyttäjätunnus. Maksutaulukkoon esitetään lisättävän myös poiminnan vähimmäiskuukausilaskutus 7 €. Näin yhtenäistetään asiakkaan itse suorittamien poimintojen ja viraston VTJ</w:t>
      </w:r>
      <w:r w:rsidR="0057352F">
        <w:rPr>
          <w:rFonts w:ascii="Times New Roman" w:hAnsi="Times New Roman" w:cs="Times New Roman"/>
          <w:sz w:val="24"/>
          <w:szCs w:val="24"/>
        </w:rPr>
        <w:t>-</w:t>
      </w:r>
      <w:r w:rsidRPr="00DB29C2">
        <w:rPr>
          <w:rFonts w:ascii="Times New Roman" w:hAnsi="Times New Roman" w:cs="Times New Roman"/>
          <w:sz w:val="24"/>
          <w:szCs w:val="24"/>
        </w:rPr>
        <w:t>kyselypalvelun hinnoittelua.</w:t>
      </w:r>
      <w:r w:rsidR="00DC0F98" w:rsidRPr="00DC0F98">
        <w:rPr>
          <w:rFonts w:ascii="Times New Roman" w:hAnsi="Times New Roman" w:cs="Times New Roman"/>
          <w:sz w:val="24"/>
          <w:szCs w:val="24"/>
        </w:rPr>
        <w:t xml:space="preserve"> </w:t>
      </w:r>
    </w:p>
    <w:p w14:paraId="6849CF5D" w14:textId="7CC14BA2" w:rsidR="005742F5" w:rsidRPr="00DB29C2" w:rsidRDefault="00DC0F98" w:rsidP="00DB29C2">
      <w:pPr>
        <w:pStyle w:val="Leipteksti"/>
        <w:spacing w:after="0"/>
        <w:ind w:firstLine="1304"/>
        <w:rPr>
          <w:rFonts w:ascii="Times New Roman" w:hAnsi="Times New Roman" w:cs="Times New Roman"/>
          <w:sz w:val="24"/>
          <w:szCs w:val="24"/>
        </w:rPr>
      </w:pPr>
      <w:r>
        <w:rPr>
          <w:rFonts w:ascii="Times New Roman" w:hAnsi="Times New Roman" w:cs="Times New Roman"/>
          <w:sz w:val="24"/>
          <w:szCs w:val="24"/>
        </w:rPr>
        <w:t>Seuraavassa t</w:t>
      </w:r>
      <w:r w:rsidR="005742F5" w:rsidRPr="00DB29C2">
        <w:rPr>
          <w:rFonts w:ascii="Times New Roman" w:hAnsi="Times New Roman" w:cs="Times New Roman"/>
          <w:sz w:val="24"/>
          <w:szCs w:val="24"/>
        </w:rPr>
        <w:t>iivistelmä esitettävistä muutoksista:</w:t>
      </w:r>
    </w:p>
    <w:p w14:paraId="72A5210A" w14:textId="77777777" w:rsidR="005742F5" w:rsidRPr="00DB29C2" w:rsidRDefault="005742F5" w:rsidP="005742F5">
      <w:pPr>
        <w:pStyle w:val="Leipteksti"/>
        <w:spacing w:after="0"/>
        <w:rPr>
          <w:rFonts w:ascii="Times New Roman" w:hAnsi="Times New Roman" w:cs="Times New Roman"/>
          <w:sz w:val="24"/>
          <w:szCs w:val="24"/>
        </w:rPr>
      </w:pPr>
    </w:p>
    <w:p w14:paraId="43F16FF3" w14:textId="77777777" w:rsidR="005742F5" w:rsidRPr="00DB29C2" w:rsidRDefault="005742F5" w:rsidP="00DB29C2">
      <w:pPr>
        <w:pStyle w:val="Leipteksti"/>
        <w:spacing w:after="0"/>
        <w:ind w:firstLine="1304"/>
        <w:rPr>
          <w:rFonts w:ascii="Times New Roman" w:hAnsi="Times New Roman" w:cs="Times New Roman"/>
          <w:color w:val="5B9BD5" w:themeColor="accent1"/>
          <w:sz w:val="24"/>
          <w:szCs w:val="24"/>
        </w:rPr>
      </w:pPr>
      <w:r w:rsidRPr="00DB29C2">
        <w:rPr>
          <w:rFonts w:ascii="Times New Roman" w:hAnsi="Times New Roman" w:cs="Times New Roman"/>
          <w:sz w:val="24"/>
          <w:szCs w:val="24"/>
        </w:rPr>
        <w:t>Poistuvat palvelut (jätetään siirtymäajaksi maksutaulukkoon):</w:t>
      </w:r>
    </w:p>
    <w:p w14:paraId="206085BC" w14:textId="77777777" w:rsidR="005742F5" w:rsidRPr="00DB29C2" w:rsidRDefault="005742F5" w:rsidP="005742F5">
      <w:pPr>
        <w:pStyle w:val="Leipteksti"/>
        <w:numPr>
          <w:ilvl w:val="0"/>
          <w:numId w:val="21"/>
        </w:numPr>
        <w:spacing w:after="0"/>
        <w:rPr>
          <w:rFonts w:ascii="Times New Roman" w:hAnsi="Times New Roman" w:cs="Times New Roman"/>
          <w:color w:val="5B9BD5" w:themeColor="accent1"/>
          <w:sz w:val="24"/>
          <w:szCs w:val="24"/>
        </w:rPr>
      </w:pPr>
      <w:r w:rsidRPr="00DB29C2">
        <w:rPr>
          <w:rFonts w:ascii="Times New Roman" w:hAnsi="Times New Roman" w:cs="Times New Roman"/>
          <w:sz w:val="24"/>
          <w:szCs w:val="24"/>
        </w:rPr>
        <w:t xml:space="preserve">OSA A: 2.1 Aineistopohjainen muutostietopalvelu. Siirtymäaika arviolta vuoden 2023 loppuun. </w:t>
      </w:r>
    </w:p>
    <w:p w14:paraId="31F74993" w14:textId="77777777" w:rsidR="005742F5" w:rsidRPr="00DB29C2" w:rsidRDefault="005742F5" w:rsidP="005742F5">
      <w:pPr>
        <w:pStyle w:val="Leipteksti"/>
        <w:numPr>
          <w:ilvl w:val="0"/>
          <w:numId w:val="21"/>
        </w:numPr>
        <w:spacing w:after="0"/>
        <w:rPr>
          <w:rFonts w:ascii="Times New Roman" w:hAnsi="Times New Roman" w:cs="Times New Roman"/>
          <w:color w:val="5B9BD5" w:themeColor="accent1"/>
          <w:sz w:val="24"/>
          <w:szCs w:val="24"/>
        </w:rPr>
      </w:pPr>
      <w:r w:rsidRPr="00DB29C2">
        <w:rPr>
          <w:rFonts w:ascii="Times New Roman" w:hAnsi="Times New Roman" w:cs="Times New Roman"/>
          <w:sz w:val="24"/>
          <w:szCs w:val="24"/>
        </w:rPr>
        <w:t>OSA B: 3. Perustietotoimitus. Siirtymäaika arviolta vuoden 2024 loppuun</w:t>
      </w:r>
    </w:p>
    <w:p w14:paraId="76CE62CB" w14:textId="77777777" w:rsidR="005742F5" w:rsidRPr="00DB29C2" w:rsidRDefault="005742F5" w:rsidP="00DB29C2">
      <w:pPr>
        <w:pStyle w:val="Leipteksti"/>
        <w:spacing w:after="0"/>
        <w:ind w:firstLine="1304"/>
        <w:rPr>
          <w:rFonts w:ascii="Times New Roman" w:hAnsi="Times New Roman" w:cs="Times New Roman"/>
          <w:color w:val="5B9BD5" w:themeColor="accent1"/>
          <w:sz w:val="24"/>
          <w:szCs w:val="24"/>
        </w:rPr>
      </w:pPr>
      <w:r w:rsidRPr="00DB29C2">
        <w:rPr>
          <w:rFonts w:ascii="Times New Roman" w:hAnsi="Times New Roman" w:cs="Times New Roman"/>
          <w:sz w:val="24"/>
          <w:szCs w:val="24"/>
        </w:rPr>
        <w:t>Korvaava palvelu:</w:t>
      </w:r>
    </w:p>
    <w:p w14:paraId="66B0F024" w14:textId="77777777" w:rsidR="005742F5" w:rsidRPr="00DB29C2" w:rsidRDefault="005742F5" w:rsidP="005742F5">
      <w:pPr>
        <w:pStyle w:val="Leipteksti"/>
        <w:numPr>
          <w:ilvl w:val="0"/>
          <w:numId w:val="21"/>
        </w:numPr>
        <w:spacing w:after="0"/>
        <w:rPr>
          <w:rFonts w:ascii="Times New Roman" w:hAnsi="Times New Roman" w:cs="Times New Roman"/>
          <w:color w:val="5B9BD5" w:themeColor="accent1"/>
          <w:sz w:val="24"/>
          <w:szCs w:val="24"/>
        </w:rPr>
      </w:pPr>
      <w:r w:rsidRPr="00DB29C2">
        <w:rPr>
          <w:rFonts w:ascii="Times New Roman" w:hAnsi="Times New Roman" w:cs="Times New Roman"/>
          <w:sz w:val="24"/>
          <w:szCs w:val="24"/>
        </w:rPr>
        <w:t>2.2 VTJ-muutosrajapinta</w:t>
      </w:r>
    </w:p>
    <w:p w14:paraId="2CF99296" w14:textId="77777777" w:rsidR="005742F5" w:rsidRPr="00DB29C2" w:rsidRDefault="005742F5" w:rsidP="005742F5">
      <w:pPr>
        <w:pStyle w:val="Leipteksti"/>
        <w:numPr>
          <w:ilvl w:val="1"/>
          <w:numId w:val="21"/>
        </w:numPr>
        <w:spacing w:after="0"/>
        <w:rPr>
          <w:rFonts w:ascii="Times New Roman" w:hAnsi="Times New Roman" w:cs="Times New Roman"/>
          <w:color w:val="5B9BD5" w:themeColor="accent1"/>
          <w:sz w:val="24"/>
          <w:szCs w:val="24"/>
        </w:rPr>
      </w:pPr>
      <w:r w:rsidRPr="00DB29C2">
        <w:rPr>
          <w:rFonts w:ascii="Times New Roman" w:hAnsi="Times New Roman" w:cs="Times New Roman"/>
          <w:sz w:val="24"/>
          <w:szCs w:val="24"/>
        </w:rPr>
        <w:t>Palvelun käyttö pääosin maksutonta</w:t>
      </w:r>
    </w:p>
    <w:p w14:paraId="7D79417B" w14:textId="77777777" w:rsidR="005742F5" w:rsidRPr="00DB29C2" w:rsidRDefault="005742F5" w:rsidP="005742F5">
      <w:pPr>
        <w:pStyle w:val="Leipteksti"/>
        <w:numPr>
          <w:ilvl w:val="1"/>
          <w:numId w:val="21"/>
        </w:numPr>
        <w:spacing w:after="0"/>
        <w:rPr>
          <w:rFonts w:ascii="Times New Roman" w:hAnsi="Times New Roman" w:cs="Times New Roman"/>
          <w:color w:val="5B9BD5" w:themeColor="accent1"/>
          <w:sz w:val="24"/>
          <w:szCs w:val="24"/>
        </w:rPr>
      </w:pPr>
      <w:r w:rsidRPr="00DB29C2">
        <w:rPr>
          <w:rFonts w:ascii="Times New Roman" w:hAnsi="Times New Roman" w:cs="Times New Roman"/>
          <w:sz w:val="24"/>
          <w:szCs w:val="24"/>
        </w:rPr>
        <w:t>Käyttöönottomaksu kaikille uusille asiakkaille 1000 €</w:t>
      </w:r>
    </w:p>
    <w:p w14:paraId="2FD20658" w14:textId="77777777" w:rsidR="005742F5" w:rsidRPr="00DB29C2" w:rsidRDefault="005742F5" w:rsidP="005742F5">
      <w:pPr>
        <w:pStyle w:val="Leipteksti"/>
        <w:numPr>
          <w:ilvl w:val="1"/>
          <w:numId w:val="21"/>
        </w:numPr>
        <w:spacing w:after="0"/>
        <w:rPr>
          <w:rFonts w:ascii="Times New Roman" w:hAnsi="Times New Roman" w:cs="Times New Roman"/>
          <w:color w:val="5B9BD5" w:themeColor="accent1"/>
          <w:sz w:val="24"/>
          <w:szCs w:val="24"/>
        </w:rPr>
      </w:pPr>
      <w:r w:rsidRPr="00DB29C2">
        <w:rPr>
          <w:rFonts w:ascii="Times New Roman" w:hAnsi="Times New Roman" w:cs="Times New Roman"/>
          <w:sz w:val="24"/>
          <w:szCs w:val="24"/>
        </w:rPr>
        <w:t>Tietoyksikkömaksu 0,036 €/tietue (sekä perus- että muutostiedot)</w:t>
      </w:r>
    </w:p>
    <w:p w14:paraId="274A1EC9" w14:textId="77777777" w:rsidR="005742F5" w:rsidRPr="00DB29C2" w:rsidRDefault="005742F5" w:rsidP="00DB29C2">
      <w:pPr>
        <w:pStyle w:val="Leipteksti"/>
        <w:spacing w:after="0"/>
        <w:ind w:firstLine="1304"/>
        <w:rPr>
          <w:rFonts w:ascii="Times New Roman" w:hAnsi="Times New Roman" w:cs="Times New Roman"/>
          <w:sz w:val="24"/>
          <w:szCs w:val="24"/>
        </w:rPr>
      </w:pPr>
      <w:r w:rsidRPr="00DB29C2">
        <w:rPr>
          <w:rFonts w:ascii="Times New Roman" w:hAnsi="Times New Roman" w:cs="Times New Roman"/>
          <w:sz w:val="24"/>
          <w:szCs w:val="24"/>
        </w:rPr>
        <w:t xml:space="preserve">Hinnanmuutos: </w:t>
      </w:r>
    </w:p>
    <w:p w14:paraId="618BBD10" w14:textId="77777777" w:rsidR="005742F5" w:rsidRPr="00DB29C2" w:rsidRDefault="005742F5" w:rsidP="005742F5">
      <w:pPr>
        <w:pStyle w:val="Leipteksti"/>
        <w:numPr>
          <w:ilvl w:val="0"/>
          <w:numId w:val="21"/>
        </w:numPr>
        <w:spacing w:after="0"/>
        <w:rPr>
          <w:rFonts w:ascii="Times New Roman" w:hAnsi="Times New Roman" w:cs="Times New Roman"/>
          <w:sz w:val="24"/>
          <w:szCs w:val="24"/>
        </w:rPr>
      </w:pPr>
      <w:r w:rsidRPr="00DB29C2">
        <w:rPr>
          <w:rFonts w:ascii="Times New Roman" w:hAnsi="Times New Roman" w:cs="Times New Roman"/>
          <w:sz w:val="24"/>
          <w:szCs w:val="24"/>
        </w:rPr>
        <w:t>6 Asiakkaan itse suorittamat poiminnat</w:t>
      </w:r>
    </w:p>
    <w:p w14:paraId="48E109EB" w14:textId="77777777" w:rsidR="005742F5" w:rsidRPr="00DB29C2" w:rsidRDefault="005742F5" w:rsidP="005742F5">
      <w:pPr>
        <w:pStyle w:val="Leipteksti"/>
        <w:numPr>
          <w:ilvl w:val="1"/>
          <w:numId w:val="21"/>
        </w:numPr>
        <w:spacing w:after="0"/>
        <w:rPr>
          <w:rFonts w:ascii="Times New Roman" w:hAnsi="Times New Roman" w:cs="Times New Roman"/>
          <w:color w:val="5B9BD5" w:themeColor="accent1"/>
          <w:sz w:val="24"/>
          <w:szCs w:val="24"/>
        </w:rPr>
      </w:pPr>
      <w:r w:rsidRPr="00DB29C2">
        <w:rPr>
          <w:rFonts w:ascii="Times New Roman" w:hAnsi="Times New Roman" w:cs="Times New Roman"/>
          <w:sz w:val="24"/>
          <w:szCs w:val="24"/>
        </w:rPr>
        <w:t xml:space="preserve">Käyttöönottomaksu 400 € </w:t>
      </w:r>
      <w:r w:rsidRPr="00DB29C2">
        <w:rPr>
          <w:rFonts w:ascii="Times New Roman" w:hAnsi="Times New Roman" w:cs="Times New Roman"/>
          <w:sz w:val="24"/>
          <w:szCs w:val="24"/>
        </w:rPr>
        <w:sym w:font="Wingdings" w:char="F0E0"/>
      </w:r>
      <w:r w:rsidRPr="00DB29C2">
        <w:rPr>
          <w:rFonts w:ascii="Times New Roman" w:hAnsi="Times New Roman" w:cs="Times New Roman"/>
          <w:sz w:val="24"/>
          <w:szCs w:val="24"/>
        </w:rPr>
        <w:t xml:space="preserve"> 300 €</w:t>
      </w:r>
    </w:p>
    <w:p w14:paraId="7C4666EA" w14:textId="44C7C725" w:rsidR="005742F5" w:rsidRDefault="005742F5" w:rsidP="005742F5">
      <w:pPr>
        <w:pStyle w:val="Leipteksti"/>
        <w:numPr>
          <w:ilvl w:val="1"/>
          <w:numId w:val="21"/>
        </w:numPr>
        <w:spacing w:after="0"/>
        <w:rPr>
          <w:rFonts w:ascii="Times New Roman" w:hAnsi="Times New Roman" w:cs="Times New Roman"/>
          <w:sz w:val="24"/>
          <w:szCs w:val="24"/>
        </w:rPr>
      </w:pPr>
      <w:r w:rsidRPr="00DB29C2">
        <w:rPr>
          <w:rFonts w:ascii="Times New Roman" w:hAnsi="Times New Roman" w:cs="Times New Roman"/>
          <w:sz w:val="24"/>
          <w:szCs w:val="24"/>
        </w:rPr>
        <w:t>Lisätään maininta vähimmäisveloituksesta 7€/poiminta ja käyttäjäkohtaisesta 1€ kuukausiveloituksesta/käyttäjätunnus</w:t>
      </w:r>
    </w:p>
    <w:p w14:paraId="3F2F9D79" w14:textId="77777777" w:rsidR="00DC0F98" w:rsidRPr="00DB29C2" w:rsidRDefault="00DC0F98" w:rsidP="00DB29C2">
      <w:pPr>
        <w:pStyle w:val="Leipteksti"/>
        <w:spacing w:after="0"/>
        <w:ind w:left="2781"/>
        <w:rPr>
          <w:rFonts w:ascii="Times New Roman" w:hAnsi="Times New Roman" w:cs="Times New Roman"/>
          <w:sz w:val="24"/>
          <w:szCs w:val="24"/>
        </w:rPr>
      </w:pPr>
    </w:p>
    <w:p w14:paraId="52F489CA" w14:textId="77777777" w:rsidR="00DC0F98" w:rsidRDefault="00DC0F98" w:rsidP="00DB29C2">
      <w:pPr>
        <w:pStyle w:val="Otsikko3"/>
        <w:keepLines/>
        <w:numPr>
          <w:ilvl w:val="0"/>
          <w:numId w:val="0"/>
        </w:numPr>
        <w:spacing w:before="0" w:after="220"/>
        <w:ind w:left="851"/>
        <w:rPr>
          <w:rFonts w:ascii="Times New Roman" w:hAnsi="Times New Roman" w:cs="Times New Roman"/>
          <w:sz w:val="24"/>
          <w:szCs w:val="24"/>
        </w:rPr>
      </w:pPr>
    </w:p>
    <w:p w14:paraId="6A64248A" w14:textId="796C8343" w:rsidR="005742F5" w:rsidRPr="00DB29C2" w:rsidRDefault="005742F5" w:rsidP="00DB29C2">
      <w:pPr>
        <w:pStyle w:val="Otsikko3"/>
        <w:keepLines/>
        <w:numPr>
          <w:ilvl w:val="0"/>
          <w:numId w:val="0"/>
        </w:numPr>
        <w:spacing w:before="0" w:after="220"/>
        <w:ind w:left="1304"/>
        <w:rPr>
          <w:rFonts w:ascii="Times New Roman" w:hAnsi="Times New Roman" w:cs="Times New Roman"/>
          <w:b w:val="0"/>
          <w:i/>
          <w:sz w:val="24"/>
          <w:szCs w:val="24"/>
        </w:rPr>
      </w:pPr>
      <w:r w:rsidRPr="00DB29C2">
        <w:rPr>
          <w:rFonts w:ascii="Times New Roman" w:hAnsi="Times New Roman" w:cs="Times New Roman"/>
          <w:b w:val="0"/>
          <w:i/>
          <w:sz w:val="24"/>
          <w:szCs w:val="24"/>
        </w:rPr>
        <w:t>Väestötietojärjestelmän otteiden luovutus, sukuselvitykset ja rekisteritietojen luovutus muista rekistereistä</w:t>
      </w:r>
    </w:p>
    <w:p w14:paraId="1EDAC303" w14:textId="0A7538FD" w:rsidR="005742F5" w:rsidRPr="00DB29C2" w:rsidRDefault="00DC0F98" w:rsidP="00DB29C2">
      <w:pPr>
        <w:pStyle w:val="Leipteksti"/>
        <w:ind w:left="1304"/>
        <w:rPr>
          <w:rFonts w:ascii="Times New Roman" w:hAnsi="Times New Roman" w:cs="Times New Roman"/>
          <w:sz w:val="24"/>
          <w:szCs w:val="24"/>
        </w:rPr>
      </w:pPr>
      <w:r>
        <w:rPr>
          <w:rFonts w:ascii="Times New Roman" w:hAnsi="Times New Roman" w:cs="Times New Roman"/>
          <w:sz w:val="24"/>
          <w:szCs w:val="24"/>
        </w:rPr>
        <w:t>Väestötietojärjestelmän otteiden luovutuksen, sukuselvitysten ja muista rekistereistä luovutettavien rekisteritietojen osalta ei esitetä hinna</w:t>
      </w:r>
      <w:r w:rsidR="00D64678">
        <w:rPr>
          <w:rFonts w:ascii="Times New Roman" w:hAnsi="Times New Roman" w:cs="Times New Roman"/>
          <w:sz w:val="24"/>
          <w:szCs w:val="24"/>
        </w:rPr>
        <w:t>n</w:t>
      </w:r>
      <w:r>
        <w:rPr>
          <w:rFonts w:ascii="Times New Roman" w:hAnsi="Times New Roman" w:cs="Times New Roman"/>
          <w:sz w:val="24"/>
          <w:szCs w:val="24"/>
        </w:rPr>
        <w:t xml:space="preserve">muutoksia, </w:t>
      </w:r>
      <w:r w:rsidRPr="00D64678">
        <w:rPr>
          <w:rFonts w:ascii="Times New Roman" w:hAnsi="Times New Roman" w:cs="Times New Roman"/>
          <w:sz w:val="24"/>
          <w:szCs w:val="24"/>
        </w:rPr>
        <w:t>mutta e</w:t>
      </w:r>
      <w:r w:rsidR="005742F5" w:rsidRPr="00DB29C2">
        <w:rPr>
          <w:rFonts w:ascii="Times New Roman" w:hAnsi="Times New Roman" w:cs="Times New Roman"/>
          <w:sz w:val="24"/>
          <w:szCs w:val="24"/>
        </w:rPr>
        <w:t>sitetään uuden sähköisestä väestötietojärjestelmästä tehdyn sukuselvityksen lisäämistä maksutaulukkoon.</w:t>
      </w:r>
    </w:p>
    <w:p w14:paraId="78E899B0" w14:textId="77777777" w:rsidR="00D64678" w:rsidRDefault="005742F5"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Otteiden luovutukset väestötietojärjestelmästä ja muista rekistereistä sekä sukuselvitysten julkisoikeudellisten suoritteiden kustannusvastaavuus vuonna 2020 oli 51 %. Vuoden 2021 alusta tehtyjen hinnankorotusten myötä kustannusvastaavuuden ennustetaan nousevan 75 prosenttiin</w:t>
      </w:r>
      <w:r w:rsidR="00D64678">
        <w:rPr>
          <w:rFonts w:ascii="Times New Roman" w:hAnsi="Times New Roman" w:cs="Times New Roman"/>
          <w:sz w:val="24"/>
          <w:szCs w:val="24"/>
        </w:rPr>
        <w:t xml:space="preserve"> ja edelleen vuonna 2022 76 prosenttiin</w:t>
      </w:r>
      <w:r w:rsidRPr="00DB29C2">
        <w:rPr>
          <w:rFonts w:ascii="Times New Roman" w:hAnsi="Times New Roman" w:cs="Times New Roman"/>
          <w:sz w:val="24"/>
          <w:szCs w:val="24"/>
        </w:rPr>
        <w:t xml:space="preserve">. </w:t>
      </w:r>
    </w:p>
    <w:p w14:paraId="59AB4A33" w14:textId="77777777" w:rsidR="00D64678" w:rsidRDefault="005742F5"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 xml:space="preserve">Maksuasetuksen liitteenä olevaan maksutaulukkoon esitetään lisättäväksi uusi suorite sähköisestä väestötietojärjestelmästä tehtävälle sukuselvitykselle (30 €), joka vaatii vain pieniä muutostarpeita. Perinteisen, manuaalisesti väestökirja-aineistoista laadittavaan sukuselvitykseen (60 €) käytetään huomattavasti enemmän henkilötyötä eikä sen hintaan esitetä muutoksia. </w:t>
      </w:r>
    </w:p>
    <w:p w14:paraId="0669E3B7" w14:textId="77777777" w:rsidR="00D64678" w:rsidRDefault="005742F5"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 xml:space="preserve">Tällä hetkellä otemuotoisia sukuselvityksiä on </w:t>
      </w:r>
      <w:r w:rsidR="00D64678">
        <w:rPr>
          <w:rFonts w:ascii="Times New Roman" w:hAnsi="Times New Roman" w:cs="Times New Roman"/>
          <w:sz w:val="24"/>
          <w:szCs w:val="24"/>
        </w:rPr>
        <w:t>toimitettu</w:t>
      </w:r>
      <w:r w:rsidRPr="00DB29C2">
        <w:rPr>
          <w:rFonts w:ascii="Times New Roman" w:hAnsi="Times New Roman" w:cs="Times New Roman"/>
          <w:sz w:val="24"/>
          <w:szCs w:val="24"/>
        </w:rPr>
        <w:t xml:space="preserve"> käyttötarpeesta riippuen sukuselvitysten lisäksi viraston laatimina otteina väestötietojärjestelmästä. Uusi, käyttötapaa ja työmäärää todenmukaisemmin kuvaava sähköisestä väestötietojärjestelmästä tehty sukuselvitys selkiyttäisi otteiden ja sukuselvitysten välistä jakoa. Sähköisestä väestötietojärjestelmästä tehdyn sukuselvityksen laatimiseen sisältyy väestötietojärjestelmästä haetun tiedon muokkaamista ja rajaamista, jolloin työmäärä ja sukuselvityksen laatimiseen käytetty työaika on suurempi kuin suoraan väestötietojärjestelmän tiedoilla annetussa otteessa, mutta pienempi kuin digitoidusta väestökirja-aineistosta haettua tietoa sisältävässä sukuselvityksessä. </w:t>
      </w:r>
    </w:p>
    <w:p w14:paraId="420D2076" w14:textId="719F2BCF" w:rsidR="005742F5" w:rsidRPr="00DB29C2" w:rsidRDefault="005742F5" w:rsidP="00DB29C2">
      <w:pPr>
        <w:pStyle w:val="Leipteksti"/>
        <w:ind w:left="1304"/>
        <w:rPr>
          <w:rFonts w:ascii="Times New Roman" w:hAnsi="Times New Roman" w:cs="Times New Roman"/>
          <w:sz w:val="24"/>
          <w:szCs w:val="24"/>
        </w:rPr>
      </w:pPr>
      <w:r w:rsidRPr="00DB29C2">
        <w:rPr>
          <w:rFonts w:ascii="Times New Roman" w:hAnsi="Times New Roman" w:cs="Times New Roman"/>
          <w:sz w:val="24"/>
          <w:szCs w:val="24"/>
        </w:rPr>
        <w:t xml:space="preserve">Tietoja joudutaan rajaamaan myös siksi, että </w:t>
      </w:r>
      <w:r w:rsidR="00A73815">
        <w:rPr>
          <w:rFonts w:ascii="Times New Roman" w:hAnsi="Times New Roman" w:cs="Times New Roman"/>
          <w:sz w:val="24"/>
          <w:szCs w:val="24"/>
        </w:rPr>
        <w:t>la</w:t>
      </w:r>
      <w:r w:rsidR="00837208">
        <w:rPr>
          <w:rFonts w:ascii="Times New Roman" w:hAnsi="Times New Roman" w:cs="Times New Roman"/>
          <w:sz w:val="24"/>
          <w:szCs w:val="24"/>
        </w:rPr>
        <w:t>issa</w:t>
      </w:r>
      <w:r w:rsidR="00A73815">
        <w:rPr>
          <w:rFonts w:ascii="Times New Roman" w:hAnsi="Times New Roman" w:cs="Times New Roman"/>
          <w:sz w:val="24"/>
          <w:szCs w:val="24"/>
        </w:rPr>
        <w:t xml:space="preserve"> väestötietojärjestelmästä ja Digi- ja väestötietojärjestelmän varmennepalveluista (661</w:t>
      </w:r>
      <w:r w:rsidR="00837208">
        <w:rPr>
          <w:rFonts w:ascii="Times New Roman" w:hAnsi="Times New Roman" w:cs="Times New Roman"/>
          <w:sz w:val="24"/>
          <w:szCs w:val="24"/>
        </w:rPr>
        <w:t>/2009</w:t>
      </w:r>
      <w:r w:rsidR="00A73815">
        <w:rPr>
          <w:rFonts w:ascii="Times New Roman" w:hAnsi="Times New Roman" w:cs="Times New Roman"/>
          <w:sz w:val="24"/>
          <w:szCs w:val="24"/>
        </w:rPr>
        <w:t xml:space="preserve">) </w:t>
      </w:r>
      <w:r w:rsidR="00837208">
        <w:rPr>
          <w:rFonts w:ascii="Times New Roman" w:hAnsi="Times New Roman" w:cs="Times New Roman"/>
          <w:sz w:val="24"/>
          <w:szCs w:val="24"/>
        </w:rPr>
        <w:t>annetut säännökset</w:t>
      </w:r>
      <w:r w:rsidRPr="00DB29C2">
        <w:rPr>
          <w:rFonts w:ascii="Times New Roman" w:hAnsi="Times New Roman" w:cs="Times New Roman"/>
          <w:sz w:val="24"/>
          <w:szCs w:val="24"/>
        </w:rPr>
        <w:t xml:space="preserve"> ainoastaan käyttötarkoitukseen nähden tarpeellisten </w:t>
      </w:r>
      <w:r w:rsidR="00837208">
        <w:rPr>
          <w:rFonts w:ascii="Times New Roman" w:hAnsi="Times New Roman" w:cs="Times New Roman"/>
          <w:sz w:val="24"/>
          <w:szCs w:val="24"/>
        </w:rPr>
        <w:t xml:space="preserve">väestötietojärjestelmän </w:t>
      </w:r>
      <w:r w:rsidRPr="00DB29C2">
        <w:rPr>
          <w:rFonts w:ascii="Times New Roman" w:hAnsi="Times New Roman" w:cs="Times New Roman"/>
          <w:sz w:val="24"/>
          <w:szCs w:val="24"/>
        </w:rPr>
        <w:t>tietojen luovuttamisesta toteutu</w:t>
      </w:r>
      <w:r w:rsidR="00837208">
        <w:rPr>
          <w:rFonts w:ascii="Times New Roman" w:hAnsi="Times New Roman" w:cs="Times New Roman"/>
          <w:sz w:val="24"/>
          <w:szCs w:val="24"/>
        </w:rPr>
        <w:t>vat</w:t>
      </w:r>
      <w:r w:rsidRPr="00DB29C2">
        <w:rPr>
          <w:rFonts w:ascii="Times New Roman" w:hAnsi="Times New Roman" w:cs="Times New Roman"/>
          <w:sz w:val="24"/>
          <w:szCs w:val="24"/>
        </w:rPr>
        <w:t>. Sähköisten sukuselvitysten määrä tulee lisääntymään 1.1.2022 alkaen, kun sukuselvityksiä väestötietojärjestelmän tiedoista ryhdytään tekemään 1.1.1983 lähtien. Aiemmin raja on ollut 1.10.1999. Muutoksesta johtuen digitaalisia sukuselvityksiä tullaan tekemään huomattavasti enemmän ja vastaavasti digitoidusta väestökirja-aineistosta laadittuja sukuselvityksiä vähemmän. Muuto</w:t>
      </w:r>
      <w:r w:rsidR="00D64678">
        <w:rPr>
          <w:rFonts w:ascii="Times New Roman" w:hAnsi="Times New Roman" w:cs="Times New Roman"/>
          <w:sz w:val="24"/>
          <w:szCs w:val="24"/>
        </w:rPr>
        <w:t>ksen</w:t>
      </w:r>
      <w:r w:rsidRPr="00DB29C2">
        <w:rPr>
          <w:rFonts w:ascii="Times New Roman" w:hAnsi="Times New Roman" w:cs="Times New Roman"/>
          <w:sz w:val="24"/>
          <w:szCs w:val="24"/>
        </w:rPr>
        <w:t xml:space="preserve"> kokonaisvaikutu</w:t>
      </w:r>
      <w:r w:rsidR="00837208">
        <w:rPr>
          <w:rFonts w:ascii="Times New Roman" w:hAnsi="Times New Roman" w:cs="Times New Roman"/>
          <w:sz w:val="24"/>
          <w:szCs w:val="24"/>
        </w:rPr>
        <w:t>ksen</w:t>
      </w:r>
      <w:r w:rsidRPr="00DB29C2">
        <w:rPr>
          <w:rFonts w:ascii="Times New Roman" w:hAnsi="Times New Roman" w:cs="Times New Roman"/>
          <w:sz w:val="24"/>
          <w:szCs w:val="24"/>
        </w:rPr>
        <w:t xml:space="preserve"> tuloihin arvioidaan olevan pien</w:t>
      </w:r>
      <w:r w:rsidR="00837208">
        <w:rPr>
          <w:rFonts w:ascii="Times New Roman" w:hAnsi="Times New Roman" w:cs="Times New Roman"/>
          <w:sz w:val="24"/>
          <w:szCs w:val="24"/>
        </w:rPr>
        <w:t>en</w:t>
      </w:r>
      <w:r w:rsidRPr="00DB29C2">
        <w:rPr>
          <w:rFonts w:ascii="Times New Roman" w:hAnsi="Times New Roman" w:cs="Times New Roman"/>
          <w:sz w:val="24"/>
          <w:szCs w:val="24"/>
        </w:rPr>
        <w:t>. Muutokset suoritteisiin on esitetty alla olevassa taulukossa:</w:t>
      </w:r>
    </w:p>
    <w:tbl>
      <w:tblPr>
        <w:tblStyle w:val="TaulukkoRuudukko"/>
        <w:tblW w:w="8304" w:type="dxa"/>
        <w:jc w:val="right"/>
        <w:tblLook w:val="04A0" w:firstRow="1" w:lastRow="0" w:firstColumn="1" w:lastColumn="0" w:noHBand="0" w:noVBand="1"/>
      </w:tblPr>
      <w:tblGrid>
        <w:gridCol w:w="5541"/>
        <w:gridCol w:w="1140"/>
        <w:gridCol w:w="1623"/>
      </w:tblGrid>
      <w:tr w:rsidR="005742F5" w:rsidRPr="005742F5" w14:paraId="489D92BF" w14:textId="77777777" w:rsidTr="00F24029">
        <w:trPr>
          <w:trHeight w:val="540"/>
          <w:jc w:val="right"/>
        </w:trPr>
        <w:tc>
          <w:tcPr>
            <w:tcW w:w="5541" w:type="dxa"/>
          </w:tcPr>
          <w:p w14:paraId="0CA31E38" w14:textId="77777777" w:rsidR="005742F5" w:rsidRPr="00DB29C2" w:rsidRDefault="005742F5" w:rsidP="00A64361">
            <w:pPr>
              <w:rPr>
                <w:rFonts w:ascii="Times New Roman" w:eastAsiaTheme="minorEastAsia" w:hAnsi="Times New Roman" w:cs="Times New Roman"/>
                <w:b/>
                <w:bCs/>
                <w:sz w:val="24"/>
                <w:szCs w:val="24"/>
              </w:rPr>
            </w:pPr>
            <w:r w:rsidRPr="00DB29C2">
              <w:rPr>
                <w:rFonts w:ascii="Times New Roman" w:eastAsiaTheme="minorEastAsia" w:hAnsi="Times New Roman" w:cs="Times New Roman"/>
                <w:b/>
                <w:bCs/>
                <w:sz w:val="24"/>
                <w:szCs w:val="24"/>
              </w:rPr>
              <w:t>Hinta €/suorite</w:t>
            </w:r>
          </w:p>
        </w:tc>
        <w:tc>
          <w:tcPr>
            <w:tcW w:w="1140" w:type="dxa"/>
          </w:tcPr>
          <w:p w14:paraId="68CB0B87" w14:textId="77777777" w:rsidR="005742F5" w:rsidRPr="00DB29C2" w:rsidRDefault="005742F5" w:rsidP="00A64361">
            <w:pPr>
              <w:rPr>
                <w:rFonts w:ascii="Times New Roman" w:eastAsiaTheme="minorEastAsia" w:hAnsi="Times New Roman" w:cs="Times New Roman"/>
                <w:b/>
                <w:bCs/>
                <w:sz w:val="24"/>
                <w:szCs w:val="24"/>
              </w:rPr>
            </w:pPr>
            <w:r w:rsidRPr="00DB29C2">
              <w:rPr>
                <w:rFonts w:ascii="Times New Roman" w:eastAsiaTheme="minorEastAsia" w:hAnsi="Times New Roman" w:cs="Times New Roman"/>
                <w:b/>
                <w:bCs/>
                <w:sz w:val="24"/>
                <w:szCs w:val="24"/>
              </w:rPr>
              <w:t>Hinta 2021</w:t>
            </w:r>
          </w:p>
        </w:tc>
        <w:tc>
          <w:tcPr>
            <w:tcW w:w="1623" w:type="dxa"/>
          </w:tcPr>
          <w:p w14:paraId="50863B4B" w14:textId="77777777" w:rsidR="005742F5" w:rsidRPr="00DB29C2" w:rsidRDefault="005742F5" w:rsidP="00A64361">
            <w:pPr>
              <w:rPr>
                <w:rFonts w:ascii="Times New Roman" w:eastAsiaTheme="minorEastAsia" w:hAnsi="Times New Roman" w:cs="Times New Roman"/>
                <w:b/>
                <w:bCs/>
                <w:sz w:val="24"/>
                <w:szCs w:val="24"/>
              </w:rPr>
            </w:pPr>
            <w:r w:rsidRPr="00DB29C2">
              <w:rPr>
                <w:rFonts w:ascii="Times New Roman" w:eastAsiaTheme="minorEastAsia" w:hAnsi="Times New Roman" w:cs="Times New Roman"/>
                <w:b/>
                <w:bCs/>
                <w:sz w:val="24"/>
                <w:szCs w:val="24"/>
              </w:rPr>
              <w:t>Esitetty hinta 1.1.2022 alkaen</w:t>
            </w:r>
          </w:p>
        </w:tc>
      </w:tr>
      <w:tr w:rsidR="005742F5" w:rsidRPr="005742F5" w14:paraId="07CFCE06" w14:textId="77777777" w:rsidTr="00F24029">
        <w:trPr>
          <w:trHeight w:val="395"/>
          <w:jc w:val="right"/>
        </w:trPr>
        <w:tc>
          <w:tcPr>
            <w:tcW w:w="5541" w:type="dxa"/>
            <w:vAlign w:val="center"/>
          </w:tcPr>
          <w:p w14:paraId="601395CE"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Digi- ja väestötietovirastossa laadittu ote</w:t>
            </w:r>
          </w:p>
        </w:tc>
        <w:tc>
          <w:tcPr>
            <w:tcW w:w="1140" w:type="dxa"/>
            <w:vAlign w:val="center"/>
          </w:tcPr>
          <w:p w14:paraId="6A66F9AB"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18 €</w:t>
            </w:r>
          </w:p>
        </w:tc>
        <w:tc>
          <w:tcPr>
            <w:tcW w:w="1623" w:type="dxa"/>
            <w:vAlign w:val="center"/>
          </w:tcPr>
          <w:p w14:paraId="0B84FC4D"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Ei muutosta</w:t>
            </w:r>
          </w:p>
        </w:tc>
      </w:tr>
      <w:tr w:rsidR="005742F5" w:rsidRPr="005742F5" w14:paraId="5F385C17" w14:textId="77777777" w:rsidTr="00F24029">
        <w:trPr>
          <w:trHeight w:val="395"/>
          <w:jc w:val="right"/>
        </w:trPr>
        <w:tc>
          <w:tcPr>
            <w:tcW w:w="5541" w:type="dxa"/>
            <w:vAlign w:val="center"/>
          </w:tcPr>
          <w:p w14:paraId="4A1F6A8F"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Sähköisen itsepalvelun kautta tilattu todistus postitse</w:t>
            </w:r>
          </w:p>
        </w:tc>
        <w:tc>
          <w:tcPr>
            <w:tcW w:w="1140" w:type="dxa"/>
            <w:vAlign w:val="center"/>
          </w:tcPr>
          <w:p w14:paraId="3247DA80"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14 €</w:t>
            </w:r>
          </w:p>
        </w:tc>
        <w:tc>
          <w:tcPr>
            <w:tcW w:w="1623" w:type="dxa"/>
            <w:vAlign w:val="center"/>
          </w:tcPr>
          <w:p w14:paraId="09961F38"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Ei muutosta</w:t>
            </w:r>
          </w:p>
        </w:tc>
      </w:tr>
      <w:tr w:rsidR="005742F5" w:rsidRPr="005742F5" w14:paraId="6DCF3F6A" w14:textId="77777777" w:rsidTr="00F24029">
        <w:trPr>
          <w:trHeight w:val="395"/>
          <w:jc w:val="right"/>
        </w:trPr>
        <w:tc>
          <w:tcPr>
            <w:tcW w:w="5541" w:type="dxa"/>
            <w:vAlign w:val="center"/>
          </w:tcPr>
          <w:p w14:paraId="1031D9C4"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Sähköinen todistus, jonka asiakas tilaa itsepalveluna</w:t>
            </w:r>
          </w:p>
        </w:tc>
        <w:tc>
          <w:tcPr>
            <w:tcW w:w="1140" w:type="dxa"/>
            <w:vAlign w:val="center"/>
          </w:tcPr>
          <w:p w14:paraId="637BEDE5"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10 €</w:t>
            </w:r>
          </w:p>
        </w:tc>
        <w:tc>
          <w:tcPr>
            <w:tcW w:w="1623" w:type="dxa"/>
            <w:vAlign w:val="center"/>
          </w:tcPr>
          <w:p w14:paraId="24626527"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Ei muutosta</w:t>
            </w:r>
          </w:p>
        </w:tc>
      </w:tr>
      <w:tr w:rsidR="005742F5" w:rsidRPr="005742F5" w14:paraId="6A90BF19" w14:textId="77777777" w:rsidTr="00F24029">
        <w:trPr>
          <w:trHeight w:val="395"/>
          <w:jc w:val="right"/>
        </w:trPr>
        <w:tc>
          <w:tcPr>
            <w:tcW w:w="5541" w:type="dxa"/>
            <w:vAlign w:val="center"/>
          </w:tcPr>
          <w:p w14:paraId="42C0B2D4"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Sukuselvitys digitoidusta väestökirja-aineistosta</w:t>
            </w:r>
          </w:p>
        </w:tc>
        <w:tc>
          <w:tcPr>
            <w:tcW w:w="1140" w:type="dxa"/>
            <w:vAlign w:val="center"/>
          </w:tcPr>
          <w:p w14:paraId="75994973"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60 €</w:t>
            </w:r>
          </w:p>
        </w:tc>
        <w:tc>
          <w:tcPr>
            <w:tcW w:w="1623" w:type="dxa"/>
            <w:vAlign w:val="center"/>
          </w:tcPr>
          <w:p w14:paraId="14A3CA33"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Ei muutosta</w:t>
            </w:r>
          </w:p>
        </w:tc>
      </w:tr>
      <w:tr w:rsidR="005742F5" w:rsidRPr="005742F5" w14:paraId="76ABC59A" w14:textId="77777777" w:rsidTr="00F24029">
        <w:trPr>
          <w:trHeight w:val="787"/>
          <w:jc w:val="right"/>
        </w:trPr>
        <w:tc>
          <w:tcPr>
            <w:tcW w:w="5541" w:type="dxa"/>
            <w:vAlign w:val="center"/>
          </w:tcPr>
          <w:p w14:paraId="4E00013E"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b/>
                <w:bCs/>
                <w:sz w:val="24"/>
                <w:szCs w:val="24"/>
              </w:rPr>
              <w:t>Uusi suorite:</w:t>
            </w:r>
            <w:r w:rsidRPr="00DB29C2">
              <w:rPr>
                <w:rFonts w:ascii="Times New Roman" w:hAnsi="Times New Roman" w:cs="Times New Roman"/>
                <w:sz w:val="24"/>
                <w:szCs w:val="24"/>
              </w:rPr>
              <w:br/>
            </w:r>
            <w:r w:rsidRPr="00DB29C2">
              <w:rPr>
                <w:rFonts w:ascii="Times New Roman" w:eastAsiaTheme="minorEastAsia" w:hAnsi="Times New Roman" w:cs="Times New Roman"/>
                <w:sz w:val="24"/>
                <w:szCs w:val="24"/>
              </w:rPr>
              <w:t>Sähköisestä väestötietojärjestelmästä laadittu sukuselvitys (digitaalinen)</w:t>
            </w:r>
          </w:p>
        </w:tc>
        <w:tc>
          <w:tcPr>
            <w:tcW w:w="1140" w:type="dxa"/>
            <w:vAlign w:val="center"/>
          </w:tcPr>
          <w:p w14:paraId="713C7539"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w:t>
            </w:r>
          </w:p>
        </w:tc>
        <w:tc>
          <w:tcPr>
            <w:tcW w:w="1623" w:type="dxa"/>
            <w:vAlign w:val="center"/>
          </w:tcPr>
          <w:p w14:paraId="3769F369"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30 €</w:t>
            </w:r>
          </w:p>
        </w:tc>
      </w:tr>
      <w:tr w:rsidR="005742F5" w:rsidRPr="005742F5" w14:paraId="2E937517" w14:textId="77777777" w:rsidTr="00F24029">
        <w:trPr>
          <w:trHeight w:val="406"/>
          <w:jc w:val="right"/>
        </w:trPr>
        <w:tc>
          <w:tcPr>
            <w:tcW w:w="5541" w:type="dxa"/>
            <w:vAlign w:val="center"/>
          </w:tcPr>
          <w:p w14:paraId="36C8A992"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Manuaalisesti laadittavat otteet ja todistukset</w:t>
            </w:r>
          </w:p>
        </w:tc>
        <w:tc>
          <w:tcPr>
            <w:tcW w:w="1140" w:type="dxa"/>
            <w:vAlign w:val="center"/>
          </w:tcPr>
          <w:p w14:paraId="4B1E0CFF"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60 €</w:t>
            </w:r>
          </w:p>
        </w:tc>
        <w:tc>
          <w:tcPr>
            <w:tcW w:w="1623" w:type="dxa"/>
            <w:vAlign w:val="center"/>
          </w:tcPr>
          <w:p w14:paraId="5AE56D00"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Ei muutosta</w:t>
            </w:r>
          </w:p>
        </w:tc>
      </w:tr>
      <w:tr w:rsidR="005742F5" w:rsidRPr="005742F5" w14:paraId="2F22CE4C" w14:textId="77777777" w:rsidTr="00F24029">
        <w:trPr>
          <w:trHeight w:val="274"/>
          <w:jc w:val="right"/>
        </w:trPr>
        <w:tc>
          <w:tcPr>
            <w:tcW w:w="5541" w:type="dxa"/>
            <w:vAlign w:val="center"/>
          </w:tcPr>
          <w:p w14:paraId="69FFAFE5"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Otteeseen liitettävä EU:n monikielinen vakiolomake</w:t>
            </w:r>
          </w:p>
        </w:tc>
        <w:tc>
          <w:tcPr>
            <w:tcW w:w="1140" w:type="dxa"/>
            <w:vAlign w:val="center"/>
          </w:tcPr>
          <w:p w14:paraId="110BDB68"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10 €</w:t>
            </w:r>
          </w:p>
        </w:tc>
        <w:tc>
          <w:tcPr>
            <w:tcW w:w="1623" w:type="dxa"/>
            <w:vAlign w:val="center"/>
          </w:tcPr>
          <w:p w14:paraId="0EECD7E3" w14:textId="77777777" w:rsidR="005742F5" w:rsidRPr="00DB29C2" w:rsidRDefault="005742F5" w:rsidP="00A64361">
            <w:pPr>
              <w:rPr>
                <w:rFonts w:ascii="Times New Roman" w:eastAsiaTheme="minorEastAsia" w:hAnsi="Times New Roman" w:cs="Times New Roman"/>
                <w:sz w:val="24"/>
                <w:szCs w:val="24"/>
              </w:rPr>
            </w:pPr>
            <w:r w:rsidRPr="00DB29C2">
              <w:rPr>
                <w:rFonts w:ascii="Times New Roman" w:eastAsiaTheme="minorEastAsia" w:hAnsi="Times New Roman" w:cs="Times New Roman"/>
                <w:sz w:val="24"/>
                <w:szCs w:val="24"/>
              </w:rPr>
              <w:t>Ei muutosta</w:t>
            </w:r>
          </w:p>
        </w:tc>
      </w:tr>
    </w:tbl>
    <w:p w14:paraId="6551013D" w14:textId="77777777" w:rsidR="005742F5" w:rsidRPr="00DB29C2" w:rsidRDefault="005742F5" w:rsidP="005742F5">
      <w:pPr>
        <w:pStyle w:val="Leipteksti"/>
        <w:rPr>
          <w:rFonts w:ascii="Times New Roman" w:hAnsi="Times New Roman" w:cs="Times New Roman"/>
          <w:sz w:val="24"/>
          <w:szCs w:val="24"/>
        </w:rPr>
      </w:pPr>
    </w:p>
    <w:p w14:paraId="6FA973DF" w14:textId="096ABDEB" w:rsidR="005742F5" w:rsidRPr="00DB29C2" w:rsidRDefault="005742F5" w:rsidP="00DB29C2">
      <w:pPr>
        <w:pStyle w:val="Leipteksti"/>
        <w:ind w:left="1418"/>
        <w:rPr>
          <w:rFonts w:ascii="Times New Roman" w:hAnsi="Times New Roman" w:cs="Times New Roman"/>
          <w:sz w:val="24"/>
          <w:szCs w:val="24"/>
        </w:rPr>
      </w:pPr>
      <w:r w:rsidRPr="00DB29C2">
        <w:rPr>
          <w:rFonts w:ascii="Times New Roman" w:hAnsi="Times New Roman" w:cs="Times New Roman"/>
          <w:sz w:val="24"/>
          <w:szCs w:val="24"/>
        </w:rPr>
        <w:t>Sähköisesti Todistukset-palvelun kautta tilattaviin otteisiin ei vaadita henkilötyötä, mutta palvelusta on tällä hetkellä saatavilla ainoastaan vakiomuotoisia otteita ja suuri osa otteista myydään viraston laatimina otteina. Mikäli itsepalvelusta olisi saatavilla myös sisällöltään asiakkaan itse valitsema ote, vähenisi</w:t>
      </w:r>
      <w:r w:rsidR="00D64678">
        <w:rPr>
          <w:rFonts w:ascii="Times New Roman" w:hAnsi="Times New Roman" w:cs="Times New Roman"/>
          <w:sz w:val="24"/>
          <w:szCs w:val="24"/>
        </w:rPr>
        <w:t>vät</w:t>
      </w:r>
      <w:r w:rsidRPr="00DB29C2">
        <w:rPr>
          <w:rFonts w:ascii="Times New Roman" w:hAnsi="Times New Roman" w:cs="Times New Roman"/>
          <w:sz w:val="24"/>
          <w:szCs w:val="24"/>
        </w:rPr>
        <w:t xml:space="preserve"> viraston laatimat otteet huomattavasti. Tällöin otteiden hinnoitteluperusteita itsepalvelun ja viraston laatimien otteiden välillä olisi syytä tarkastella uudelleen. Manuaalinen ote ja todistus on silloin, kun tietoa ei saada automatisoidusti väestötietojärjestelmästä, vaan tieto otteelle viedään manuaalisesti. Manuaalisella todistuksella tarkoitetaan myös todistusta, jonka Digi- ja väestötietovirasto antaa väestötietojärjestelmästä </w:t>
      </w:r>
      <w:r w:rsidR="00951D76">
        <w:rPr>
          <w:rFonts w:ascii="Times New Roman" w:hAnsi="Times New Roman" w:cs="Times New Roman"/>
          <w:sz w:val="24"/>
          <w:szCs w:val="24"/>
        </w:rPr>
        <w:t xml:space="preserve">annetun valtioneuvoston asetuksen </w:t>
      </w:r>
      <w:r w:rsidRPr="00DB29C2">
        <w:rPr>
          <w:rFonts w:ascii="Times New Roman" w:hAnsi="Times New Roman" w:cs="Times New Roman"/>
          <w:sz w:val="24"/>
          <w:szCs w:val="24"/>
        </w:rPr>
        <w:t>(</w:t>
      </w:r>
      <w:r w:rsidR="00951D76">
        <w:rPr>
          <w:rFonts w:ascii="Times New Roman" w:hAnsi="Times New Roman" w:cs="Times New Roman"/>
          <w:sz w:val="24"/>
          <w:szCs w:val="24"/>
        </w:rPr>
        <w:t>128/</w:t>
      </w:r>
      <w:r w:rsidRPr="00DB29C2">
        <w:rPr>
          <w:rFonts w:ascii="Times New Roman" w:hAnsi="Times New Roman" w:cs="Times New Roman"/>
          <w:sz w:val="24"/>
          <w:szCs w:val="24"/>
        </w:rPr>
        <w:t>2010) 39 §:n perusteella. Manuaalisen otteen hintaan ei esitetä muutoksia, mutta perusteita esitetään päivitettäväksi myös maksutaulukkoon.</w:t>
      </w:r>
    </w:p>
    <w:p w14:paraId="52CF35BC" w14:textId="717B0EB9" w:rsidR="005742F5" w:rsidRPr="00DB29C2" w:rsidRDefault="005742F5" w:rsidP="00DB29C2">
      <w:pPr>
        <w:pStyle w:val="Leipteksti"/>
        <w:ind w:left="1418"/>
        <w:rPr>
          <w:rFonts w:ascii="Times New Roman" w:hAnsi="Times New Roman" w:cs="Times New Roman"/>
          <w:sz w:val="24"/>
          <w:szCs w:val="24"/>
        </w:rPr>
      </w:pPr>
      <w:r w:rsidRPr="00DB29C2">
        <w:rPr>
          <w:rFonts w:ascii="Times New Roman" w:hAnsi="Times New Roman" w:cs="Times New Roman"/>
          <w:sz w:val="24"/>
          <w:szCs w:val="24"/>
        </w:rPr>
        <w:t xml:space="preserve">Lisäksi </w:t>
      </w:r>
      <w:r w:rsidR="00D64678">
        <w:rPr>
          <w:rFonts w:ascii="Times New Roman" w:hAnsi="Times New Roman" w:cs="Times New Roman"/>
          <w:sz w:val="24"/>
          <w:szCs w:val="24"/>
        </w:rPr>
        <w:t xml:space="preserve">maksutaulukkoon </w:t>
      </w:r>
      <w:r w:rsidRPr="00DB29C2">
        <w:rPr>
          <w:rFonts w:ascii="Times New Roman" w:hAnsi="Times New Roman" w:cs="Times New Roman"/>
          <w:sz w:val="24"/>
          <w:szCs w:val="24"/>
        </w:rPr>
        <w:t>esitetään muutoksia maksutaulukon käsitteisiin ja suoritteiden kuvauksiin paremmin nykyistä palvelukäsitteistöä vastaavaksi</w:t>
      </w:r>
      <w:r w:rsidR="00D64678" w:rsidRPr="00D64678">
        <w:rPr>
          <w:rFonts w:ascii="Times New Roman" w:hAnsi="Times New Roman" w:cs="Times New Roman"/>
          <w:sz w:val="24"/>
          <w:szCs w:val="24"/>
        </w:rPr>
        <w:t>.</w:t>
      </w:r>
    </w:p>
    <w:p w14:paraId="0C613038" w14:textId="220A5B03" w:rsidR="0078520E" w:rsidRDefault="0078520E" w:rsidP="00F24029">
      <w:pPr>
        <w:pStyle w:val="MNormaali"/>
        <w:ind w:left="1988"/>
        <w:rPr>
          <w:i/>
        </w:rPr>
      </w:pPr>
    </w:p>
    <w:p w14:paraId="5C6D2656" w14:textId="3F0F1E9E" w:rsidR="00B83826" w:rsidRDefault="00B83826" w:rsidP="00D92948">
      <w:pPr>
        <w:pStyle w:val="MNormaali"/>
      </w:pPr>
    </w:p>
    <w:p w14:paraId="42166E96" w14:textId="77777777" w:rsidR="00AE63D4" w:rsidRPr="008F4855" w:rsidRDefault="00AE63D4" w:rsidP="00D92948">
      <w:pPr>
        <w:pStyle w:val="MNormaali"/>
      </w:pPr>
    </w:p>
    <w:p w14:paraId="48648449" w14:textId="77777777" w:rsidR="000415E6" w:rsidRDefault="007F0720" w:rsidP="00C5187E">
      <w:pPr>
        <w:pStyle w:val="M2Otsikkotaso"/>
        <w:numPr>
          <w:ilvl w:val="0"/>
          <w:numId w:val="9"/>
        </w:numPr>
      </w:pPr>
      <w:r>
        <w:t>Vaikutukset</w:t>
      </w:r>
    </w:p>
    <w:p w14:paraId="626493D9" w14:textId="4BD5A7E1" w:rsidR="007F0720" w:rsidRDefault="004043BB" w:rsidP="000415E6">
      <w:pPr>
        <w:pStyle w:val="M2Otsikkotaso"/>
        <w:numPr>
          <w:ilvl w:val="1"/>
          <w:numId w:val="9"/>
        </w:numPr>
      </w:pPr>
      <w:r>
        <w:t>Digi- ja väestötietoviraston kustannuslaskennan kuvaus</w:t>
      </w:r>
      <w:r w:rsidR="007F0720">
        <w:t xml:space="preserve"> </w:t>
      </w:r>
    </w:p>
    <w:p w14:paraId="03D927E5" w14:textId="423096BA" w:rsidR="00111B47" w:rsidRPr="00111B47" w:rsidRDefault="00111B47" w:rsidP="00111B47">
      <w:pPr>
        <w:pStyle w:val="M2Otsikkotaso"/>
        <w:ind w:left="1418"/>
        <w:rPr>
          <w:b w:val="0"/>
        </w:rPr>
      </w:pPr>
      <w:r w:rsidRPr="00111B47">
        <w:rPr>
          <w:b w:val="0"/>
        </w:rPr>
        <w:t>Digi- ja väestötietoviraston kustannuslaskenta perustuu va</w:t>
      </w:r>
      <w:r>
        <w:rPr>
          <w:b w:val="0"/>
        </w:rPr>
        <w:t>ltion yhteiseen kustannuslasken</w:t>
      </w:r>
      <w:r w:rsidRPr="00111B47">
        <w:rPr>
          <w:b w:val="0"/>
        </w:rPr>
        <w:t>tamalliin. Kustannuslaskenta on toteutettu toiminto- ja jako</w:t>
      </w:r>
      <w:r>
        <w:rPr>
          <w:b w:val="0"/>
        </w:rPr>
        <w:t>laskennan periaatteita noudatta</w:t>
      </w:r>
      <w:r w:rsidRPr="00111B47">
        <w:rPr>
          <w:b w:val="0"/>
        </w:rPr>
        <w:t>en.</w:t>
      </w:r>
    </w:p>
    <w:p w14:paraId="3CDC20E8" w14:textId="68C1F524" w:rsidR="00111B47" w:rsidRPr="00111B47" w:rsidRDefault="00111B47" w:rsidP="00111B47">
      <w:pPr>
        <w:pStyle w:val="M2Otsikkotaso"/>
        <w:ind w:left="1418"/>
        <w:rPr>
          <w:b w:val="0"/>
        </w:rPr>
      </w:pPr>
      <w:r w:rsidRPr="00111B47">
        <w:rPr>
          <w:b w:val="0"/>
        </w:rPr>
        <w:t>Kustannukset jakaantuvat ydintoimintojen välittömiin kustannuksiin sekä ydintoiminnoille vyörytettäviin välillisiin kustannuksiin. Ydintoimintojen välittömät kustannukset kohdistetaan suoraan ydintoiminnoille silloin, kun se voidaan yksiselitteisesti ja taloudellisesti toteuttaa. Osa välittömistä kustannuksista, kuten ydintoimintojen tieto</w:t>
      </w:r>
      <w:r>
        <w:rPr>
          <w:b w:val="0"/>
        </w:rPr>
        <w:t>järjestelmien kustannukset, koh</w:t>
      </w:r>
      <w:r w:rsidRPr="00111B47">
        <w:rPr>
          <w:b w:val="0"/>
        </w:rPr>
        <w:t xml:space="preserve">dennetaan ydintoiminnoille asiantuntija-arvioiden mukaisesti. Välilliset kustannukset, joita ovat tukitoiminnot ja palkalliset poissaolot, kohdennetaan aiheuttamisperiaatteen mukaisesti ydintoimintaan joko työaikaan, työkustannukseen tai asiantuntija-arvioihin perustuen. </w:t>
      </w:r>
      <w:r w:rsidR="00C673DE" w:rsidRPr="00C673DE">
        <w:rPr>
          <w:b w:val="0"/>
        </w:rPr>
        <w:t>Palkalliset poissaolot kohdennetaan palkkakustannuksen mukaisesti. Kiinteistöhallintoon, henkilöstöhallintoon ja yleishallintoon liittyvät tukitoiminnot k</w:t>
      </w:r>
      <w:r w:rsidR="00C673DE">
        <w:rPr>
          <w:b w:val="0"/>
        </w:rPr>
        <w:t>ohdennetaan palveluille henkilö</w:t>
      </w:r>
      <w:r w:rsidR="00C673DE" w:rsidRPr="00C673DE">
        <w:rPr>
          <w:b w:val="0"/>
        </w:rPr>
        <w:t>työvuosien suhteessa. Muut tukito</w:t>
      </w:r>
      <w:r w:rsidR="005D011C">
        <w:rPr>
          <w:b w:val="0"/>
        </w:rPr>
        <w:t>iminnot kohdennetaan palveluille</w:t>
      </w:r>
      <w:r w:rsidR="00C673DE" w:rsidRPr="00C673DE">
        <w:rPr>
          <w:b w:val="0"/>
        </w:rPr>
        <w:t xml:space="preserve"> asiantuntija-arvioiden mukaisesti, esimerkiksi tulojen käsittelyyn liittyvät kustannukset kohdennetaan maksullisille palveluille hyödyntäen myyntilaskujen lukumäärää. Asiantunt</w:t>
      </w:r>
      <w:r w:rsidR="00C673DE">
        <w:rPr>
          <w:b w:val="0"/>
        </w:rPr>
        <w:t>ija-arviot perustuvat mm. palve</w:t>
      </w:r>
      <w:r w:rsidR="00C673DE" w:rsidRPr="00C673DE">
        <w:rPr>
          <w:b w:val="0"/>
        </w:rPr>
        <w:t>lunomistajien näkemykseen ja jakoperusteiden pohjana vo</w:t>
      </w:r>
      <w:r w:rsidR="00C673DE">
        <w:rPr>
          <w:b w:val="0"/>
        </w:rPr>
        <w:t>idaan hyödyntää esimerkiksi suo</w:t>
      </w:r>
      <w:r w:rsidR="00C673DE" w:rsidRPr="00C673DE">
        <w:rPr>
          <w:b w:val="0"/>
        </w:rPr>
        <w:t>ritemääriä.</w:t>
      </w:r>
    </w:p>
    <w:p w14:paraId="63E73E45" w14:textId="0F1B6E92" w:rsidR="00111B47" w:rsidRPr="00111B47" w:rsidRDefault="00111B47" w:rsidP="00111B47">
      <w:pPr>
        <w:pStyle w:val="M2Otsikkotaso"/>
        <w:ind w:left="1418"/>
        <w:rPr>
          <w:b w:val="0"/>
        </w:rPr>
      </w:pPr>
      <w:r w:rsidRPr="00111B47">
        <w:rPr>
          <w:b w:val="0"/>
        </w:rPr>
        <w:t>DVV:n sisällä kustannukset lasketaan samalla tavalla kaikilla e</w:t>
      </w:r>
      <w:r>
        <w:rPr>
          <w:b w:val="0"/>
        </w:rPr>
        <w:t>ri toiminta-alueilla, eli viran</w:t>
      </w:r>
      <w:r w:rsidRPr="00111B47">
        <w:rPr>
          <w:b w:val="0"/>
        </w:rPr>
        <w:t>omaistoiminnassa sekä maksullisessa ja yhteisrahoitteisessa toiminnassa. Sama periaate koskee myös kehittämis- ja investointirahoitusta. Näin va</w:t>
      </w:r>
      <w:r>
        <w:rPr>
          <w:b w:val="0"/>
        </w:rPr>
        <w:t>rmistetaan kustannusten yhdenmu</w:t>
      </w:r>
      <w:r w:rsidRPr="00111B47">
        <w:rPr>
          <w:b w:val="0"/>
        </w:rPr>
        <w:t>kainen ja tasapuolinen käsittely kustannuslaskennassa ja erityisesti välillisten kustannusten kohdentaminen lopullisille seurantakohteille yhdenmukaisesti ja tasapuolisesti.</w:t>
      </w:r>
    </w:p>
    <w:p w14:paraId="606A6D69" w14:textId="1B5002D9" w:rsidR="00F24029" w:rsidRDefault="00111B47" w:rsidP="00111B47">
      <w:pPr>
        <w:pStyle w:val="M2Otsikkotaso"/>
        <w:ind w:left="1418"/>
        <w:rPr>
          <w:b w:val="0"/>
        </w:rPr>
      </w:pPr>
      <w:r w:rsidRPr="00111B47">
        <w:rPr>
          <w:b w:val="0"/>
        </w:rPr>
        <w:t>Kokonaiskustannukset ja sen myötä kustannusvastaavuud</w:t>
      </w:r>
      <w:r>
        <w:rPr>
          <w:b w:val="0"/>
        </w:rPr>
        <w:t>et lasketaan kullekin palveluko</w:t>
      </w:r>
      <w:r w:rsidRPr="00111B47">
        <w:rPr>
          <w:b w:val="0"/>
        </w:rPr>
        <w:t xml:space="preserve">konaisuudelle erikseen. </w:t>
      </w:r>
      <w:r>
        <w:rPr>
          <w:b w:val="0"/>
        </w:rPr>
        <w:t>Suorittei</w:t>
      </w:r>
      <w:r w:rsidRPr="00111B47">
        <w:rPr>
          <w:b w:val="0"/>
        </w:rPr>
        <w:t>den hinta palvelukokonaisuuden sisällä määräytyy asiantuntijoiden arvioiden mukaisesti. Hinnoittelussa voidaan esimerkiksi huomioida tuotteen/pal</w:t>
      </w:r>
      <w:r>
        <w:rPr>
          <w:b w:val="0"/>
        </w:rPr>
        <w:t>velun tuottamiseen käytetyn työ</w:t>
      </w:r>
      <w:r w:rsidRPr="00111B47">
        <w:rPr>
          <w:b w:val="0"/>
        </w:rPr>
        <w:t>ajan suhde muihin saman palvelun sisällä oleviin tuotteisiin</w:t>
      </w:r>
      <w:r>
        <w:rPr>
          <w:b w:val="0"/>
        </w:rPr>
        <w:t xml:space="preserve"> nähden tai miten ostopalvelume</w:t>
      </w:r>
      <w:r w:rsidRPr="00111B47">
        <w:rPr>
          <w:b w:val="0"/>
        </w:rPr>
        <w:t xml:space="preserve">not kohdentuvat tuoteryhmän tuotteille. Holhoustoimen lupa-asioissa ja tilintarkastuksessa on käytössä progressiivinen hinnoittelu. </w:t>
      </w:r>
    </w:p>
    <w:p w14:paraId="5EB01F9B" w14:textId="6789FDC5" w:rsidR="00111B47" w:rsidRDefault="00F24029" w:rsidP="00111B47">
      <w:pPr>
        <w:pStyle w:val="M2Otsikkotaso"/>
        <w:ind w:left="1418"/>
        <w:rPr>
          <w:b w:val="0"/>
        </w:rPr>
      </w:pPr>
      <w:r>
        <w:rPr>
          <w:b w:val="0"/>
        </w:rPr>
        <w:t>Viraston v. 2021 täysimääräisesti käyttöönotetussa uudessa</w:t>
      </w:r>
      <w:r w:rsidRPr="00111B47">
        <w:rPr>
          <w:b w:val="0"/>
        </w:rPr>
        <w:t xml:space="preserve"> kustannuslaskennass</w:t>
      </w:r>
      <w:r>
        <w:rPr>
          <w:b w:val="0"/>
        </w:rPr>
        <w:t>a kustannusten aiheutta</w:t>
      </w:r>
      <w:r w:rsidRPr="00111B47">
        <w:rPr>
          <w:b w:val="0"/>
        </w:rPr>
        <w:t xml:space="preserve">misperiaate </w:t>
      </w:r>
      <w:r>
        <w:rPr>
          <w:b w:val="0"/>
        </w:rPr>
        <w:t xml:space="preserve">saadaan </w:t>
      </w:r>
      <w:r w:rsidRPr="00111B47">
        <w:rPr>
          <w:b w:val="0"/>
        </w:rPr>
        <w:t>aiempaa paremmin huomioiduksi ja kustannukset kattavammin mukaan.</w:t>
      </w:r>
    </w:p>
    <w:p w14:paraId="6EBDA83D" w14:textId="77777777" w:rsidR="00F24029" w:rsidRPr="00F24029" w:rsidRDefault="00F24029" w:rsidP="00F24029">
      <w:pPr>
        <w:pStyle w:val="MNormaali"/>
      </w:pPr>
    </w:p>
    <w:p w14:paraId="73A82CDA" w14:textId="34A6F634" w:rsidR="009119EA" w:rsidRDefault="00885160" w:rsidP="009119EA">
      <w:pPr>
        <w:pStyle w:val="M2Otsikkotaso"/>
        <w:numPr>
          <w:ilvl w:val="1"/>
          <w:numId w:val="9"/>
        </w:numPr>
      </w:pPr>
      <w:r>
        <w:t>Julkisoikeudellisen toiminnan kustannusvastaavuus</w:t>
      </w:r>
    </w:p>
    <w:p w14:paraId="485E36B1" w14:textId="6B09FBB7" w:rsidR="00C673DE" w:rsidRDefault="00C673DE" w:rsidP="00C673DE">
      <w:pPr>
        <w:pStyle w:val="MKappalejako"/>
      </w:pPr>
      <w:r>
        <w:t>Digi- ja väestötietoviraston maksuperustelain mukaisten maksullisten julkisoikeudellisten suoritteiden tuottojen arvioidaan vuonna 202</w:t>
      </w:r>
      <w:r w:rsidR="000E5295">
        <w:t>1</w:t>
      </w:r>
      <w:r>
        <w:t xml:space="preserve"> olevan 2</w:t>
      </w:r>
      <w:r w:rsidR="000E5295">
        <w:t>5</w:t>
      </w:r>
      <w:r>
        <w:t>,</w:t>
      </w:r>
      <w:r w:rsidR="000E5295">
        <w:t>9</w:t>
      </w:r>
      <w:r>
        <w:t xml:space="preserve"> miljoonaa euroa ja kustannu</w:t>
      </w:r>
      <w:r w:rsidR="000E5295">
        <w:t>sten</w:t>
      </w:r>
      <w:r>
        <w:t xml:space="preserve"> 3</w:t>
      </w:r>
      <w:r w:rsidR="000E5295">
        <w:t>4</w:t>
      </w:r>
      <w:r>
        <w:t>,</w:t>
      </w:r>
      <w:r w:rsidR="000E5295">
        <w:t>2</w:t>
      </w:r>
      <w:r>
        <w:t xml:space="preserve"> miljoonaa euroa. Kokonaiskustannusvastaavuuden arvioidaan vuonna 202</w:t>
      </w:r>
      <w:r w:rsidR="000E5295">
        <w:t>1</w:t>
      </w:r>
      <w:r>
        <w:t xml:space="preserve"> olevan </w:t>
      </w:r>
      <w:r w:rsidR="000E5295">
        <w:t>7</w:t>
      </w:r>
      <w:r>
        <w:t>6 %. Vuonna 202</w:t>
      </w:r>
      <w:r w:rsidR="000E5295">
        <w:t>2</w:t>
      </w:r>
      <w:r>
        <w:t xml:space="preserve"> tuottojen arvioidaan olevan 2</w:t>
      </w:r>
      <w:r w:rsidR="000E5295">
        <w:t>8</w:t>
      </w:r>
      <w:r>
        <w:t>,</w:t>
      </w:r>
      <w:r w:rsidR="000E5295">
        <w:t>4</w:t>
      </w:r>
      <w:r>
        <w:t xml:space="preserve"> miljoonaa euroa ja kustannusten 3</w:t>
      </w:r>
      <w:r w:rsidR="000E5295">
        <w:t>6</w:t>
      </w:r>
      <w:r>
        <w:t>,</w:t>
      </w:r>
      <w:r w:rsidR="000E5295">
        <w:t>8</w:t>
      </w:r>
      <w:r>
        <w:t xml:space="preserve"> miljoonaa euroa. Kokonaiskustannusvastaavuuden arvioidaan vuonna 202</w:t>
      </w:r>
      <w:r w:rsidR="000E5295">
        <w:t>2</w:t>
      </w:r>
      <w:r>
        <w:t xml:space="preserve"> olevan 7</w:t>
      </w:r>
      <w:r w:rsidR="000E5295">
        <w:t>7</w:t>
      </w:r>
      <w:r>
        <w:t xml:space="preserve"> %.  </w:t>
      </w:r>
    </w:p>
    <w:p w14:paraId="3A8CF660" w14:textId="77777777" w:rsidR="00F24029" w:rsidRDefault="00F24029" w:rsidP="00F24029">
      <w:pPr>
        <w:pStyle w:val="MKappalejako"/>
        <w:ind w:left="1304"/>
        <w:rPr>
          <w:rFonts w:eastAsiaTheme="minorHAnsi"/>
        </w:rPr>
      </w:pPr>
      <w:r>
        <w:t xml:space="preserve">Digi- ja väestötietovirastolla on myös muihin maksusäädöksiin perustuvaa maksullista julkisoikeudellista toimintaa. Digi- ja väestötietoviraston erityislakien mukaisia suoritteita ovat sosiaali- ja terveydenhuollon varmenteet, avioliittoasetuksen 16 ja 16 a §:n nojalla annetut suoritteet, kaupanvahvistajista annetun lain perusteella annetut suoritteet, julkisoikeudellinen kauppa- ja yhdistysrekisterin tietopalvelun suoritteet sekä kiinteistötietojärjestelmästä ja siitä tuotettavasta tietopalvelusta annetun lain perusteella annettavat suoritteet. Näiden julkisoikeudellisten suoritteiden kustannusvastaavuuden arvioidaan vuonna 2021 olevan 60 % ja nousevan vuonna 2022 69 %:iin. </w:t>
      </w:r>
    </w:p>
    <w:p w14:paraId="4CD4929F" w14:textId="4D7050E8" w:rsidR="00F24029" w:rsidRDefault="00F24029" w:rsidP="00F24029">
      <w:pPr>
        <w:pStyle w:val="MKappalejako"/>
        <w:ind w:left="1304"/>
      </w:pPr>
      <w:r>
        <w:t>Siten kaikkien julkisoikeudellisten suoritteiden tuottojen arvioidaan vuonna 2021 olevan 25,9 miljoonaa euroa ja kustannusten 34</w:t>
      </w:r>
      <w:r w:rsidR="0029391F">
        <w:t>,3</w:t>
      </w:r>
      <w:r>
        <w:t xml:space="preserve"> miljoonaa euroa. Julkisoikeudellisten suoritteiden kustannusvastaavuuden arvioidaan vuonna 2021 olevan 76 %</w:t>
      </w:r>
      <w:r w:rsidR="0029391F">
        <w:t>, kun se vielä vuonna 2020 oli 62%</w:t>
      </w:r>
      <w:r>
        <w:t xml:space="preserve">. Vuonna 2022 </w:t>
      </w:r>
      <w:r w:rsidR="0029391F">
        <w:t>tuottojen arvioidaan olevan 28,5</w:t>
      </w:r>
      <w:r>
        <w:t xml:space="preserve"> milj</w:t>
      </w:r>
      <w:r w:rsidR="0029391F">
        <w:t>oonaa euroa ja kustannusten 36,7</w:t>
      </w:r>
      <w:r>
        <w:t xml:space="preserve"> miljoonaa euroa. Julkisoikeudellisten suoritteiden kustannusvastaavuuden arvioidaan vuonna 2022 olevan </w:t>
      </w:r>
      <w:r w:rsidR="0029391F">
        <w:t xml:space="preserve">78 </w:t>
      </w:r>
      <w:r>
        <w:t xml:space="preserve">%, kun vuoden 2022 talousarviossa tavoitteeksi on esitetty 83 %. </w:t>
      </w:r>
    </w:p>
    <w:p w14:paraId="68DCA67A" w14:textId="236FD278" w:rsidR="0029391F" w:rsidRDefault="0029391F" w:rsidP="00F24029">
      <w:pPr>
        <w:pStyle w:val="MKappalejako"/>
        <w:ind w:left="1304"/>
      </w:pPr>
      <w:r w:rsidRPr="0029391F">
        <w:rPr>
          <w:noProof/>
        </w:rPr>
        <w:drawing>
          <wp:inline distT="0" distB="0" distL="0" distR="0" wp14:anchorId="429722A9" wp14:editId="16795833">
            <wp:extent cx="5248992" cy="620202"/>
            <wp:effectExtent l="0" t="0" r="0" b="889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1361" cy="661837"/>
                    </a:xfrm>
                    <a:prstGeom prst="rect">
                      <a:avLst/>
                    </a:prstGeom>
                    <a:noFill/>
                    <a:ln>
                      <a:noFill/>
                    </a:ln>
                  </pic:spPr>
                </pic:pic>
              </a:graphicData>
            </a:graphic>
          </wp:inline>
        </w:drawing>
      </w:r>
    </w:p>
    <w:p w14:paraId="6581B690" w14:textId="4262A858" w:rsidR="0029391F" w:rsidRDefault="0029391F" w:rsidP="00F24029">
      <w:pPr>
        <w:pStyle w:val="MKappalejako"/>
        <w:ind w:left="1304"/>
      </w:pPr>
      <w:r w:rsidRPr="0029391F">
        <w:rPr>
          <w:noProof/>
        </w:rPr>
        <w:drawing>
          <wp:inline distT="0" distB="0" distL="0" distR="0" wp14:anchorId="27CB0693" wp14:editId="5E5ADA27">
            <wp:extent cx="5248593" cy="476885"/>
            <wp:effectExtent l="0" t="0" r="9525"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6240" cy="490300"/>
                    </a:xfrm>
                    <a:prstGeom prst="rect">
                      <a:avLst/>
                    </a:prstGeom>
                    <a:noFill/>
                    <a:ln>
                      <a:noFill/>
                    </a:ln>
                  </pic:spPr>
                </pic:pic>
              </a:graphicData>
            </a:graphic>
          </wp:inline>
        </w:drawing>
      </w:r>
    </w:p>
    <w:p w14:paraId="678260D7" w14:textId="77777777" w:rsidR="009119EA" w:rsidRPr="009119EA" w:rsidRDefault="009119EA" w:rsidP="009119EA">
      <w:pPr>
        <w:pStyle w:val="MNormaali"/>
      </w:pPr>
    </w:p>
    <w:p w14:paraId="519748EA" w14:textId="2065CEA0" w:rsidR="00885160" w:rsidRDefault="00885160" w:rsidP="00885160">
      <w:pPr>
        <w:pStyle w:val="M2Otsikkotaso"/>
        <w:numPr>
          <w:ilvl w:val="1"/>
          <w:numId w:val="9"/>
        </w:numPr>
      </w:pPr>
      <w:r>
        <w:t xml:space="preserve">Liiketaloudellisen toiminnan kustannusvastaavuus </w:t>
      </w:r>
    </w:p>
    <w:p w14:paraId="6CEB48D8" w14:textId="0DDD5040" w:rsidR="00803F53" w:rsidRDefault="00803F53" w:rsidP="00803F53">
      <w:pPr>
        <w:pStyle w:val="MKappalejako"/>
      </w:pPr>
      <w:r>
        <w:t>Liiketaloudellisten suoritteiden tuottojen arvioidaan vuonna 202</w:t>
      </w:r>
      <w:r w:rsidR="00A64361">
        <w:t>2</w:t>
      </w:r>
      <w:r>
        <w:t xml:space="preserve"> olevan kokonaisuutena 18,</w:t>
      </w:r>
      <w:r w:rsidR="00A64361">
        <w:t>9</w:t>
      </w:r>
      <w:r>
        <w:t xml:space="preserve"> miljoonaa euroa ja kustannukset 1</w:t>
      </w:r>
      <w:r w:rsidR="00A64361">
        <w:t>1</w:t>
      </w:r>
      <w:r>
        <w:t>,</w:t>
      </w:r>
      <w:r w:rsidR="00A64361">
        <w:t>5</w:t>
      </w:r>
      <w:r>
        <w:t xml:space="preserve"> miljoonaa euroa. Täten liiketaloudellisten suoritteiden kokonaiskustannusvastaavuus on 1</w:t>
      </w:r>
      <w:r w:rsidR="00E955F7">
        <w:t>64</w:t>
      </w:r>
      <w:r>
        <w:t xml:space="preserve"> %, kun vuoden 202</w:t>
      </w:r>
      <w:r w:rsidR="00E955F7">
        <w:t>2</w:t>
      </w:r>
      <w:r>
        <w:t xml:space="preserve"> talousarviossa tavoitteeksi on esitetty </w:t>
      </w:r>
      <w:r w:rsidR="00E955F7">
        <w:t>180</w:t>
      </w:r>
      <w:r>
        <w:t xml:space="preserve"> %.</w:t>
      </w:r>
    </w:p>
    <w:p w14:paraId="7AEF2D69" w14:textId="142DC10B" w:rsidR="0029391F" w:rsidRDefault="0029391F" w:rsidP="00803F53">
      <w:pPr>
        <w:pStyle w:val="MKappalejako"/>
      </w:pPr>
      <w:r w:rsidRPr="0029391F">
        <w:rPr>
          <w:noProof/>
        </w:rPr>
        <w:drawing>
          <wp:inline distT="0" distB="0" distL="0" distR="0" wp14:anchorId="3A5385E8" wp14:editId="3144F6FD">
            <wp:extent cx="5248992" cy="620202"/>
            <wp:effectExtent l="0" t="0" r="0" b="889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1361" cy="661837"/>
                    </a:xfrm>
                    <a:prstGeom prst="rect">
                      <a:avLst/>
                    </a:prstGeom>
                    <a:noFill/>
                    <a:ln>
                      <a:noFill/>
                    </a:ln>
                  </pic:spPr>
                </pic:pic>
              </a:graphicData>
            </a:graphic>
          </wp:inline>
        </w:drawing>
      </w:r>
    </w:p>
    <w:p w14:paraId="2E936D5E" w14:textId="3F2887F9" w:rsidR="00103A58" w:rsidRPr="00064879" w:rsidRDefault="0029391F" w:rsidP="00803F53">
      <w:pPr>
        <w:pStyle w:val="MKappalejako"/>
      </w:pPr>
      <w:r w:rsidRPr="0029391F">
        <w:rPr>
          <w:noProof/>
        </w:rPr>
        <w:drawing>
          <wp:inline distT="0" distB="0" distL="0" distR="0" wp14:anchorId="23A239B6" wp14:editId="553DF55A">
            <wp:extent cx="5238625" cy="516835"/>
            <wp:effectExtent l="0" t="0" r="635"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6394" cy="524508"/>
                    </a:xfrm>
                    <a:prstGeom prst="rect">
                      <a:avLst/>
                    </a:prstGeom>
                    <a:noFill/>
                    <a:ln>
                      <a:noFill/>
                    </a:ln>
                  </pic:spPr>
                </pic:pic>
              </a:graphicData>
            </a:graphic>
          </wp:inline>
        </w:drawing>
      </w:r>
    </w:p>
    <w:p w14:paraId="6EFC02BB" w14:textId="5ACC4990" w:rsidR="00CD5AE4" w:rsidRDefault="00CD5AE4" w:rsidP="00CD5AE4">
      <w:pPr>
        <w:pStyle w:val="MNormaali"/>
      </w:pPr>
    </w:p>
    <w:p w14:paraId="6A2F0B5A" w14:textId="3C147A11" w:rsidR="000819A2" w:rsidRDefault="000819A2" w:rsidP="00CD5AE4">
      <w:pPr>
        <w:pStyle w:val="MNormaali"/>
      </w:pPr>
    </w:p>
    <w:p w14:paraId="789BB983" w14:textId="0968D400" w:rsidR="007A6C5E" w:rsidRDefault="007A6C5E" w:rsidP="00CD5AE4">
      <w:pPr>
        <w:pStyle w:val="MNormaali"/>
      </w:pPr>
    </w:p>
    <w:p w14:paraId="1599C9C3" w14:textId="014FDD5F" w:rsidR="007A6C5E" w:rsidRDefault="007A6C5E" w:rsidP="00CD5AE4">
      <w:pPr>
        <w:pStyle w:val="MNormaali"/>
      </w:pPr>
    </w:p>
    <w:p w14:paraId="6FEC3217" w14:textId="77777777" w:rsidR="007A6C5E" w:rsidRDefault="007A6C5E" w:rsidP="00CD5AE4">
      <w:pPr>
        <w:pStyle w:val="MNormaali"/>
      </w:pPr>
    </w:p>
    <w:p w14:paraId="5B01EB24" w14:textId="77777777" w:rsidR="000819A2" w:rsidRPr="00CD5AE4" w:rsidRDefault="000819A2" w:rsidP="00CD5AE4">
      <w:pPr>
        <w:pStyle w:val="MNormaali"/>
      </w:pPr>
    </w:p>
    <w:p w14:paraId="5501BC04" w14:textId="77777777" w:rsidR="007F0720" w:rsidRDefault="007F0720" w:rsidP="00C5187E">
      <w:pPr>
        <w:pStyle w:val="M2Otsikkotaso"/>
        <w:numPr>
          <w:ilvl w:val="0"/>
          <w:numId w:val="9"/>
        </w:numPr>
      </w:pPr>
      <w:r>
        <w:t>Valmistelu</w:t>
      </w:r>
    </w:p>
    <w:p w14:paraId="743DE75C" w14:textId="1EE20B14" w:rsidR="000415E6" w:rsidRPr="00DB29C2" w:rsidRDefault="00496F50" w:rsidP="00406A70">
      <w:pPr>
        <w:pStyle w:val="MKappalejako"/>
      </w:pPr>
      <w:r>
        <w:t xml:space="preserve">Asetusehdotus </w:t>
      </w:r>
      <w:r w:rsidR="00ED24BF">
        <w:t xml:space="preserve">on valmisteltu </w:t>
      </w:r>
      <w:r w:rsidR="00ED24BF" w:rsidRPr="00ED24BF">
        <w:t>val</w:t>
      </w:r>
      <w:r w:rsidR="000415E6">
        <w:t>tiov</w:t>
      </w:r>
      <w:r w:rsidR="00FD3100">
        <w:t xml:space="preserve">arainministeriössä ja valmistelun pohjana on </w:t>
      </w:r>
      <w:r w:rsidR="00FD3100" w:rsidRPr="00DB29C2">
        <w:t>ollut Digi- ja väestötietoviraston esitys viraston suoritteiden maksuista.</w:t>
      </w:r>
      <w:r w:rsidR="00ED24BF" w:rsidRPr="00DB29C2">
        <w:t xml:space="preserve"> </w:t>
      </w:r>
      <w:r w:rsidR="00406A70" w:rsidRPr="00DB29C2">
        <w:t xml:space="preserve">Asetusehdotus </w:t>
      </w:r>
      <w:r w:rsidR="00003B68" w:rsidRPr="00DB29C2">
        <w:t xml:space="preserve">on </w:t>
      </w:r>
      <w:r w:rsidR="00406A70" w:rsidRPr="00DB29C2">
        <w:t>tarkastettu oikeusministeriön laintarkastuksessa.</w:t>
      </w:r>
      <w:r w:rsidR="00B800E3" w:rsidRPr="00DB29C2">
        <w:t xml:space="preserve"> </w:t>
      </w:r>
    </w:p>
    <w:p w14:paraId="3E96B780" w14:textId="138E3A02" w:rsidR="007F0720" w:rsidRPr="00DB29C2" w:rsidRDefault="00496F50" w:rsidP="00D86041">
      <w:pPr>
        <w:pStyle w:val="MKappalejako"/>
      </w:pPr>
      <w:r w:rsidRPr="00DB29C2">
        <w:t xml:space="preserve">Asetuksesta </w:t>
      </w:r>
      <w:r w:rsidR="006554CA" w:rsidRPr="00DB29C2">
        <w:t xml:space="preserve">on pyydetty lausunnot </w:t>
      </w:r>
      <w:r w:rsidR="00DB1A42">
        <w:t>5</w:t>
      </w:r>
      <w:r w:rsidR="00F04BBA">
        <w:t xml:space="preserve">8 keskeiseltä </w:t>
      </w:r>
      <w:r w:rsidR="006554CA" w:rsidRPr="00DB29C2">
        <w:t>asiakka</w:t>
      </w:r>
      <w:r w:rsidR="00F04BBA">
        <w:t>alta</w:t>
      </w:r>
      <w:r w:rsidR="006554CA" w:rsidRPr="00DB29C2">
        <w:t>, jotka maksavat viraston suoritteista. Asetusluonnos oli lausuntokierroksella</w:t>
      </w:r>
      <w:r w:rsidR="00FD3100" w:rsidRPr="00DB29C2">
        <w:t xml:space="preserve"> </w:t>
      </w:r>
      <w:r w:rsidR="00E04691">
        <w:t>22</w:t>
      </w:r>
      <w:bookmarkStart w:id="1" w:name="_GoBack"/>
      <w:bookmarkEnd w:id="1"/>
      <w:r w:rsidR="000819A2" w:rsidRPr="00DB29C2">
        <w:t>.11.2021</w:t>
      </w:r>
      <w:r w:rsidR="00B800E3" w:rsidRPr="00DB29C2">
        <w:t>–</w:t>
      </w:r>
      <w:r w:rsidR="00E04691">
        <w:t>3</w:t>
      </w:r>
      <w:r w:rsidR="000819A2" w:rsidRPr="00DB29C2">
        <w:t>.12</w:t>
      </w:r>
      <w:r w:rsidR="00B800E3" w:rsidRPr="00DB29C2">
        <w:t>.2020</w:t>
      </w:r>
      <w:r w:rsidR="006554CA" w:rsidRPr="00DB29C2">
        <w:t>. Kirjallisessa kuulemisessa hyödynnettiin Lausuntopalvelu.fi-palvelua, jonka kautta asetusluonnokset olivat vapaasti</w:t>
      </w:r>
      <w:r w:rsidR="00B800E3" w:rsidRPr="00DB29C2">
        <w:t xml:space="preserve"> myös muiden kuin lausuntojakelussa olleiden tahojen</w:t>
      </w:r>
      <w:r w:rsidR="006554CA" w:rsidRPr="00DB29C2">
        <w:t xml:space="preserve"> saatavilla. </w:t>
      </w:r>
      <w:r w:rsidR="001C3D9E" w:rsidRPr="00DB29C2">
        <w:t xml:space="preserve">Asetusluonnoksesta annettiin </w:t>
      </w:r>
      <w:r w:rsidR="00003B68" w:rsidRPr="00DB29C2">
        <w:t>x</w:t>
      </w:r>
      <w:r w:rsidR="001C3D9E" w:rsidRPr="00DB29C2">
        <w:t xml:space="preserve"> lausuntoa, minkä lisäksi </w:t>
      </w:r>
      <w:r w:rsidR="00003B68" w:rsidRPr="00DB29C2">
        <w:t>x</w:t>
      </w:r>
      <w:r w:rsidR="001C3D9E" w:rsidRPr="00DB29C2">
        <w:t xml:space="preserve"> lausunnonantajaa ilmoitti, ettei ole huomautettavaa asetusluonnokseen. </w:t>
      </w:r>
    </w:p>
    <w:p w14:paraId="58A87058" w14:textId="7D752F83" w:rsidR="00DB29C2" w:rsidRDefault="00DB29C2" w:rsidP="00D86041">
      <w:pPr>
        <w:pStyle w:val="MKappalejako"/>
      </w:pPr>
      <w:r w:rsidRPr="00DB29C2">
        <w:t>Lausunnonantaja x kiinnitti lausunnossaan huomiota jne.</w:t>
      </w:r>
    </w:p>
    <w:p w14:paraId="66F4DC65" w14:textId="77777777" w:rsidR="006554CA" w:rsidRDefault="006554CA" w:rsidP="00D86041">
      <w:pPr>
        <w:pStyle w:val="MKappalejako"/>
      </w:pPr>
    </w:p>
    <w:p w14:paraId="370A7F5E" w14:textId="77777777" w:rsidR="007F0720" w:rsidRDefault="007F0720" w:rsidP="00C5187E">
      <w:pPr>
        <w:pStyle w:val="M2Otsikkotaso"/>
        <w:numPr>
          <w:ilvl w:val="0"/>
          <w:numId w:val="9"/>
        </w:numPr>
      </w:pPr>
      <w:r>
        <w:t>Voimaantulo</w:t>
      </w:r>
    </w:p>
    <w:p w14:paraId="02F4E898" w14:textId="3ECA4ABC" w:rsidR="007F0720" w:rsidRDefault="00FD3100" w:rsidP="00526B0B">
      <w:pPr>
        <w:pStyle w:val="M2Otsikkotaso"/>
        <w:ind w:left="1418"/>
        <w:rPr>
          <w:b w:val="0"/>
        </w:rPr>
      </w:pPr>
      <w:r>
        <w:rPr>
          <w:b w:val="0"/>
        </w:rPr>
        <w:t>Asetus ehdotetaan tulemaan voimaan 1.1.202</w:t>
      </w:r>
      <w:r w:rsidR="00003B68">
        <w:rPr>
          <w:b w:val="0"/>
        </w:rPr>
        <w:t>2</w:t>
      </w:r>
      <w:r>
        <w:rPr>
          <w:b w:val="0"/>
        </w:rPr>
        <w:t>.</w:t>
      </w:r>
    </w:p>
    <w:p w14:paraId="797DFBA0" w14:textId="77777777" w:rsidR="007B4D03" w:rsidRDefault="007B4D03" w:rsidP="00E13776">
      <w:pPr>
        <w:pStyle w:val="MNormaali"/>
        <w:rPr>
          <w:b/>
        </w:rPr>
      </w:pPr>
      <w:r>
        <w:rPr>
          <w:b/>
        </w:rPr>
        <w:br w:type="page"/>
      </w:r>
    </w:p>
    <w:p w14:paraId="3F0C4398" w14:textId="35672FBB" w:rsidR="00E13776" w:rsidRPr="00E13776" w:rsidRDefault="00E13776" w:rsidP="00E13776">
      <w:pPr>
        <w:pStyle w:val="MNormaali"/>
        <w:rPr>
          <w:b/>
        </w:rPr>
      </w:pPr>
      <w:r w:rsidRPr="00E13776">
        <w:rPr>
          <w:b/>
        </w:rPr>
        <w:t>Kustannusvastaavuuslaskelmat palveluryhmittäin</w:t>
      </w:r>
    </w:p>
    <w:p w14:paraId="51D653E5" w14:textId="272E382B" w:rsidR="00E13776" w:rsidRDefault="00E13776" w:rsidP="00E13776">
      <w:pPr>
        <w:pStyle w:val="MNormaali"/>
      </w:pPr>
    </w:p>
    <w:p w14:paraId="0E3E99AD" w14:textId="74E318D9" w:rsidR="00DB6706" w:rsidRDefault="000819A2" w:rsidP="00E13776">
      <w:pPr>
        <w:pStyle w:val="MNormaali"/>
      </w:pPr>
      <w:r w:rsidRPr="000819A2">
        <w:rPr>
          <w:noProof/>
        </w:rPr>
        <w:drawing>
          <wp:inline distT="0" distB="0" distL="0" distR="0" wp14:anchorId="760BE5E7" wp14:editId="6E6FAAC2">
            <wp:extent cx="6120130" cy="324645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246455"/>
                    </a:xfrm>
                    <a:prstGeom prst="rect">
                      <a:avLst/>
                    </a:prstGeom>
                    <a:noFill/>
                    <a:ln>
                      <a:noFill/>
                    </a:ln>
                  </pic:spPr>
                </pic:pic>
              </a:graphicData>
            </a:graphic>
          </wp:inline>
        </w:drawing>
      </w:r>
    </w:p>
    <w:p w14:paraId="7268882C" w14:textId="77777777" w:rsidR="00DB6706" w:rsidRDefault="00DB6706" w:rsidP="00E13776">
      <w:pPr>
        <w:pStyle w:val="MNormaali"/>
      </w:pPr>
    </w:p>
    <w:p w14:paraId="099210E8" w14:textId="4FE9C25B" w:rsidR="00E13776" w:rsidRDefault="000819A2" w:rsidP="00E13776">
      <w:pPr>
        <w:pStyle w:val="MNormaali"/>
      </w:pPr>
      <w:r w:rsidRPr="000819A2">
        <w:rPr>
          <w:noProof/>
        </w:rPr>
        <w:drawing>
          <wp:inline distT="0" distB="0" distL="0" distR="0" wp14:anchorId="19C9B884" wp14:editId="79711EAD">
            <wp:extent cx="6120130" cy="2802125"/>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2802125"/>
                    </a:xfrm>
                    <a:prstGeom prst="rect">
                      <a:avLst/>
                    </a:prstGeom>
                    <a:noFill/>
                    <a:ln>
                      <a:noFill/>
                    </a:ln>
                  </pic:spPr>
                </pic:pic>
              </a:graphicData>
            </a:graphic>
          </wp:inline>
        </w:drawing>
      </w:r>
    </w:p>
    <w:p w14:paraId="55D1F326" w14:textId="01D12F05" w:rsidR="000819A2" w:rsidRDefault="000819A2" w:rsidP="00E13776">
      <w:pPr>
        <w:pStyle w:val="MNormaali"/>
      </w:pPr>
    </w:p>
    <w:p w14:paraId="51058E89" w14:textId="18AD94AC" w:rsidR="000819A2" w:rsidRDefault="000819A2" w:rsidP="00E13776">
      <w:pPr>
        <w:pStyle w:val="MNormaali"/>
      </w:pPr>
      <w:r w:rsidRPr="000819A2">
        <w:rPr>
          <w:noProof/>
        </w:rPr>
        <w:drawing>
          <wp:inline distT="0" distB="0" distL="0" distR="0" wp14:anchorId="45E17A4B" wp14:editId="50CD3599">
            <wp:extent cx="6120130" cy="1592214"/>
            <wp:effectExtent l="0" t="0" r="0" b="8255"/>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592214"/>
                    </a:xfrm>
                    <a:prstGeom prst="rect">
                      <a:avLst/>
                    </a:prstGeom>
                    <a:noFill/>
                    <a:ln>
                      <a:noFill/>
                    </a:ln>
                  </pic:spPr>
                </pic:pic>
              </a:graphicData>
            </a:graphic>
          </wp:inline>
        </w:drawing>
      </w:r>
    </w:p>
    <w:p w14:paraId="562D569C" w14:textId="68505FF6" w:rsidR="000819A2" w:rsidRDefault="000819A2" w:rsidP="00E13776">
      <w:pPr>
        <w:pStyle w:val="MNormaali"/>
      </w:pPr>
    </w:p>
    <w:p w14:paraId="6E7E5FAB" w14:textId="1E31A2FE" w:rsidR="000819A2" w:rsidRDefault="007A3677" w:rsidP="00E13776">
      <w:pPr>
        <w:pStyle w:val="MNormaali"/>
      </w:pPr>
      <w:r>
        <w:t xml:space="preserve">  </w:t>
      </w:r>
      <w:r w:rsidR="00963A7A" w:rsidRPr="00963A7A">
        <w:rPr>
          <w:noProof/>
        </w:rPr>
        <w:drawing>
          <wp:inline distT="0" distB="0" distL="0" distR="0" wp14:anchorId="21C6487B" wp14:editId="779BB6C8">
            <wp:extent cx="6120130" cy="1508669"/>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1508669"/>
                    </a:xfrm>
                    <a:prstGeom prst="rect">
                      <a:avLst/>
                    </a:prstGeom>
                    <a:noFill/>
                    <a:ln>
                      <a:noFill/>
                    </a:ln>
                  </pic:spPr>
                </pic:pic>
              </a:graphicData>
            </a:graphic>
          </wp:inline>
        </w:drawing>
      </w:r>
    </w:p>
    <w:p w14:paraId="7146B8DF" w14:textId="7F1DFA3F" w:rsidR="00963A7A" w:rsidRDefault="00963A7A" w:rsidP="00E13776">
      <w:pPr>
        <w:pStyle w:val="MNormaali"/>
      </w:pPr>
    </w:p>
    <w:p w14:paraId="3C164BB5" w14:textId="0FDEF436" w:rsidR="00963A7A" w:rsidRPr="00E13776" w:rsidRDefault="00963A7A" w:rsidP="00E13776">
      <w:pPr>
        <w:pStyle w:val="MNormaali"/>
      </w:pPr>
      <w:r w:rsidRPr="00963A7A">
        <w:rPr>
          <w:noProof/>
        </w:rPr>
        <w:drawing>
          <wp:inline distT="0" distB="0" distL="0" distR="0" wp14:anchorId="387C6193" wp14:editId="39933D43">
            <wp:extent cx="6120130" cy="3830139"/>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830139"/>
                    </a:xfrm>
                    <a:prstGeom prst="rect">
                      <a:avLst/>
                    </a:prstGeom>
                    <a:noFill/>
                    <a:ln>
                      <a:noFill/>
                    </a:ln>
                  </pic:spPr>
                </pic:pic>
              </a:graphicData>
            </a:graphic>
          </wp:inline>
        </w:drawing>
      </w:r>
    </w:p>
    <w:sectPr w:rsidR="00963A7A" w:rsidRPr="00E13776" w:rsidSect="009F1E51">
      <w:headerReference w:type="even" r:id="rId24"/>
      <w:headerReference w:type="default" r:id="rId25"/>
      <w:headerReference w:type="first" r:id="rId26"/>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0B6F" w14:textId="77777777" w:rsidR="004F5B4A" w:rsidRDefault="004F5B4A">
      <w:r>
        <w:separator/>
      </w:r>
    </w:p>
    <w:p w14:paraId="54EA9097" w14:textId="77777777" w:rsidR="004F5B4A" w:rsidRDefault="004F5B4A"/>
  </w:endnote>
  <w:endnote w:type="continuationSeparator" w:id="0">
    <w:p w14:paraId="07DD8F95" w14:textId="77777777" w:rsidR="004F5B4A" w:rsidRDefault="004F5B4A">
      <w:r>
        <w:continuationSeparator/>
      </w:r>
    </w:p>
    <w:p w14:paraId="59DA0D69" w14:textId="77777777" w:rsidR="004F5B4A" w:rsidRDefault="004F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0D0B" w14:textId="77777777" w:rsidR="004F5B4A" w:rsidRDefault="004F5B4A">
      <w:r>
        <w:separator/>
      </w:r>
    </w:p>
    <w:p w14:paraId="01CA4BF2" w14:textId="77777777" w:rsidR="004F5B4A" w:rsidRDefault="004F5B4A"/>
  </w:footnote>
  <w:footnote w:type="continuationSeparator" w:id="0">
    <w:p w14:paraId="776464C2" w14:textId="77777777" w:rsidR="004F5B4A" w:rsidRDefault="004F5B4A">
      <w:r>
        <w:continuationSeparator/>
      </w:r>
    </w:p>
    <w:p w14:paraId="617A5645" w14:textId="77777777" w:rsidR="004F5B4A" w:rsidRDefault="004F5B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F3E1" w14:textId="77777777" w:rsidR="0028158A" w:rsidRDefault="0028158A"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414F80C" w14:textId="77777777" w:rsidR="0028158A" w:rsidRDefault="0028158A" w:rsidP="00C16765">
    <w:pPr>
      <w:pStyle w:val="Yltunniste"/>
      <w:ind w:right="360"/>
    </w:pPr>
  </w:p>
  <w:p w14:paraId="137CC133" w14:textId="77777777" w:rsidR="0028158A" w:rsidRDefault="002815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158B" w14:textId="79B53773" w:rsidR="0028158A" w:rsidRDefault="0028158A"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E04691">
      <w:rPr>
        <w:rStyle w:val="Sivunumero"/>
        <w:noProof/>
      </w:rPr>
      <w:t>16</w:t>
    </w:r>
    <w:r>
      <w:rPr>
        <w:rStyle w:val="Sivunumero"/>
      </w:rPr>
      <w:fldChar w:fldCharType="end"/>
    </w:r>
  </w:p>
  <w:p w14:paraId="582A52B5" w14:textId="77777777" w:rsidR="0028158A" w:rsidRDefault="0028158A" w:rsidP="00C16765">
    <w:pPr>
      <w:pStyle w:val="Yltunniste"/>
      <w:ind w:right="360"/>
    </w:pPr>
  </w:p>
  <w:p w14:paraId="6AB3C218" w14:textId="77777777" w:rsidR="0028158A" w:rsidRDefault="0028158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ayout w:type="fixed"/>
      <w:tblLook w:val="00A0" w:firstRow="1" w:lastRow="0" w:firstColumn="1" w:lastColumn="0" w:noHBand="0" w:noVBand="0"/>
    </w:tblPr>
    <w:tblGrid>
      <w:gridCol w:w="5148"/>
      <w:gridCol w:w="2160"/>
      <w:gridCol w:w="2723"/>
    </w:tblGrid>
    <w:tr w:rsidR="0028158A" w14:paraId="0ABE6EAC" w14:textId="77777777" w:rsidTr="00683ACE">
      <w:tc>
        <w:tcPr>
          <w:tcW w:w="5148" w:type="dxa"/>
        </w:tcPr>
        <w:p w14:paraId="1D481168" w14:textId="77777777" w:rsidR="0028158A" w:rsidRDefault="0028158A" w:rsidP="00E55B2F">
          <w:pPr>
            <w:pStyle w:val="MMinisterio"/>
          </w:pPr>
          <w:r>
            <w:t>valtiovarainministeriö</w:t>
          </w:r>
        </w:p>
      </w:tc>
      <w:tc>
        <w:tcPr>
          <w:tcW w:w="2160" w:type="dxa"/>
        </w:tcPr>
        <w:p w14:paraId="70D08983" w14:textId="737BF1E0" w:rsidR="0028158A" w:rsidRDefault="007F26C1" w:rsidP="007F26C1">
          <w:pPr>
            <w:pStyle w:val="MAsiakirjatyyppi"/>
          </w:pPr>
          <w:r>
            <w:t xml:space="preserve">Perustelumuistio </w:t>
          </w:r>
        </w:p>
      </w:tc>
      <w:tc>
        <w:tcPr>
          <w:tcW w:w="2723" w:type="dxa"/>
        </w:tcPr>
        <w:p w14:paraId="0B38526A" w14:textId="3A0E7093" w:rsidR="0028158A" w:rsidRDefault="0028158A" w:rsidP="002B457C">
          <w:pPr>
            <w:pStyle w:val="MLiite"/>
          </w:pPr>
        </w:p>
      </w:tc>
    </w:tr>
    <w:tr w:rsidR="0028158A" w14:paraId="45AB1AF7" w14:textId="77777777" w:rsidTr="00683ACE">
      <w:tc>
        <w:tcPr>
          <w:tcW w:w="5148" w:type="dxa"/>
        </w:tcPr>
        <w:p w14:paraId="46A87EDF" w14:textId="77777777" w:rsidR="0028158A" w:rsidRDefault="0028158A" w:rsidP="00C35CC2">
          <w:pPr>
            <w:pStyle w:val="MVirkanimike"/>
          </w:pPr>
          <w:r>
            <w:t>Julkisen hallinnon tieto- ja viestintätekninen osasto</w:t>
          </w:r>
        </w:p>
        <w:p w14:paraId="4918084E" w14:textId="36644CA5" w:rsidR="0028158A" w:rsidRPr="00354799" w:rsidRDefault="0028158A" w:rsidP="000A4107">
          <w:pPr>
            <w:pStyle w:val="MNormaali"/>
            <w:rPr>
              <w:i/>
              <w:lang w:eastAsia="en-US"/>
            </w:rPr>
          </w:pPr>
          <w:r>
            <w:rPr>
              <w:i/>
              <w:lang w:eastAsia="en-US"/>
            </w:rPr>
            <w:t>Tietohallintoneuvos Marjukka Ala-Harja</w:t>
          </w:r>
        </w:p>
      </w:tc>
      <w:tc>
        <w:tcPr>
          <w:tcW w:w="2160" w:type="dxa"/>
        </w:tcPr>
        <w:p w14:paraId="3A036344" w14:textId="5CFB1630" w:rsidR="0028158A" w:rsidRDefault="007F26C1" w:rsidP="00692015">
          <w:pPr>
            <w:pStyle w:val="Mpaivamaara"/>
          </w:pPr>
          <w:r>
            <w:t>18</w:t>
          </w:r>
          <w:r w:rsidR="00692015">
            <w:t>.1</w:t>
          </w:r>
          <w:r>
            <w:t>1</w:t>
          </w:r>
          <w:r w:rsidR="0028158A">
            <w:t>.2021</w:t>
          </w:r>
        </w:p>
      </w:tc>
      <w:tc>
        <w:tcPr>
          <w:tcW w:w="2723" w:type="dxa"/>
        </w:tcPr>
        <w:p w14:paraId="2F03F3C2" w14:textId="79D2BDD0" w:rsidR="0028158A" w:rsidRDefault="0028158A" w:rsidP="00FD6CAB">
          <w:pPr>
            <w:pStyle w:val="MDnro"/>
            <w:jc w:val="left"/>
          </w:pPr>
        </w:p>
      </w:tc>
    </w:tr>
    <w:tr w:rsidR="0028158A" w14:paraId="232D5FE8" w14:textId="77777777" w:rsidTr="00683ACE">
      <w:tc>
        <w:tcPr>
          <w:tcW w:w="5148" w:type="dxa"/>
        </w:tcPr>
        <w:p w14:paraId="50364621" w14:textId="77777777" w:rsidR="0028158A" w:rsidRPr="009B1A3E" w:rsidRDefault="0028158A" w:rsidP="00C35CC2">
          <w:pPr>
            <w:pStyle w:val="MNimi"/>
          </w:pPr>
        </w:p>
      </w:tc>
      <w:tc>
        <w:tcPr>
          <w:tcW w:w="2160" w:type="dxa"/>
        </w:tcPr>
        <w:p w14:paraId="4D2D3601" w14:textId="77777777" w:rsidR="0028158A" w:rsidRDefault="0028158A" w:rsidP="00535926">
          <w:pPr>
            <w:pStyle w:val="MAsiakirjanTila"/>
          </w:pPr>
        </w:p>
      </w:tc>
      <w:tc>
        <w:tcPr>
          <w:tcW w:w="2723" w:type="dxa"/>
        </w:tcPr>
        <w:p w14:paraId="5A7DB248" w14:textId="77777777" w:rsidR="0028158A" w:rsidRDefault="0028158A" w:rsidP="00CE1E6A">
          <w:pPr>
            <w:pStyle w:val="MAsiakirjanTila"/>
          </w:pPr>
        </w:p>
      </w:tc>
    </w:tr>
  </w:tbl>
  <w:p w14:paraId="1EC50267" w14:textId="77777777" w:rsidR="0028158A" w:rsidRDefault="0028158A"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AF1746B"/>
    <w:multiLevelType w:val="hybridMultilevel"/>
    <w:tmpl w:val="49209EC2"/>
    <w:lvl w:ilvl="0" w:tplc="4712E2FA">
      <w:start w:val="25"/>
      <w:numFmt w:val="bullet"/>
      <w:lvlText w:val="-"/>
      <w:lvlJc w:val="left"/>
      <w:pPr>
        <w:ind w:left="2138" w:hanging="360"/>
      </w:pPr>
      <w:rPr>
        <w:rFonts w:ascii="Arial" w:eastAsia="Times New Roman" w:hAnsi="Arial" w:cs="Arial" w:hint="default"/>
        <w:sz w:val="22"/>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2285039B"/>
    <w:multiLevelType w:val="hybridMultilevel"/>
    <w:tmpl w:val="0F16FEB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5" w15:restartNumberingAfterBreak="0">
    <w:nsid w:val="27563F74"/>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3025452C"/>
    <w:multiLevelType w:val="hybridMultilevel"/>
    <w:tmpl w:val="F9CA830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0" w15:restartNumberingAfterBreak="0">
    <w:nsid w:val="3F1C57B5"/>
    <w:multiLevelType w:val="hybridMultilevel"/>
    <w:tmpl w:val="FC025EDC"/>
    <w:lvl w:ilvl="0" w:tplc="45321BF6">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1"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2"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3" w15:restartNumberingAfterBreak="0">
    <w:nsid w:val="4DE93AF3"/>
    <w:multiLevelType w:val="hybridMultilevel"/>
    <w:tmpl w:val="74D8F830"/>
    <w:lvl w:ilvl="0" w:tplc="F5B840D0">
      <w:start w:val="1"/>
      <w:numFmt w:val="decimal"/>
      <w:lvlText w:val="%1)"/>
      <w:lvlJc w:val="left"/>
      <w:pPr>
        <w:ind w:left="1778" w:hanging="360"/>
      </w:pPr>
      <w:rPr>
        <w:rFonts w:hint="default"/>
        <w:b w:val="0"/>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4" w15:restartNumberingAfterBreak="0">
    <w:nsid w:val="51DB17F6"/>
    <w:multiLevelType w:val="hybridMultilevel"/>
    <w:tmpl w:val="CE7CF81C"/>
    <w:lvl w:ilvl="0" w:tplc="4712E2FA">
      <w:start w:val="25"/>
      <w:numFmt w:val="bullet"/>
      <w:lvlText w:val="-"/>
      <w:lvlJc w:val="left"/>
      <w:pPr>
        <w:ind w:left="2138" w:hanging="360"/>
      </w:pPr>
      <w:rPr>
        <w:rFonts w:ascii="Arial" w:eastAsia="Times New Roman" w:hAnsi="Arial" w:cs="Arial" w:hint="default"/>
        <w:sz w:val="22"/>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5" w15:restartNumberingAfterBreak="0">
    <w:nsid w:val="52A25DE0"/>
    <w:multiLevelType w:val="hybridMultilevel"/>
    <w:tmpl w:val="7AAEF2CA"/>
    <w:lvl w:ilvl="0" w:tplc="1C5EA488">
      <w:start w:val="71"/>
      <w:numFmt w:val="bullet"/>
      <w:lvlText w:val="-"/>
      <w:lvlJc w:val="left"/>
      <w:pPr>
        <w:ind w:left="2061" w:hanging="360"/>
      </w:pPr>
      <w:rPr>
        <w:rFonts w:ascii="Arial" w:eastAsiaTheme="minorHAnsi" w:hAnsi="Arial" w:cs="Arial" w:hint="default"/>
      </w:rPr>
    </w:lvl>
    <w:lvl w:ilvl="1" w:tplc="040B0003">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16" w15:restartNumberingAfterBreak="0">
    <w:nsid w:val="562E7A1F"/>
    <w:multiLevelType w:val="hybridMultilevel"/>
    <w:tmpl w:val="7CF8961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7"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8" w15:restartNumberingAfterBreak="0">
    <w:nsid w:val="64A14A0B"/>
    <w:multiLevelType w:val="hybridMultilevel"/>
    <w:tmpl w:val="0D2A68D0"/>
    <w:lvl w:ilvl="0" w:tplc="801C49B4">
      <w:start w:val="70"/>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19" w15:restartNumberingAfterBreak="0">
    <w:nsid w:val="6594269A"/>
    <w:multiLevelType w:val="hybridMultilevel"/>
    <w:tmpl w:val="96666E2C"/>
    <w:lvl w:ilvl="0" w:tplc="1BBE926A">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8333288"/>
    <w:multiLevelType w:val="hybridMultilevel"/>
    <w:tmpl w:val="C2582596"/>
    <w:lvl w:ilvl="0" w:tplc="C5B89618">
      <w:start w:val="89"/>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1" w15:restartNumberingAfterBreak="0">
    <w:nsid w:val="724C1629"/>
    <w:multiLevelType w:val="hybridMultilevel"/>
    <w:tmpl w:val="4D9CD26A"/>
    <w:lvl w:ilvl="0" w:tplc="A1B4F9DE">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2"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3" w15:restartNumberingAfterBreak="0">
    <w:nsid w:val="7D1A13AF"/>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4" w15:restartNumberingAfterBreak="0">
    <w:nsid w:val="7F9E2FA7"/>
    <w:multiLevelType w:val="hybridMultilevel"/>
    <w:tmpl w:val="A01A9BD6"/>
    <w:lvl w:ilvl="0" w:tplc="DC761FF2">
      <w:start w:val="1"/>
      <w:numFmt w:val="bullet"/>
      <w:lvlText w:val="–"/>
      <w:lvlJc w:val="left"/>
      <w:pPr>
        <w:tabs>
          <w:tab w:val="num" w:pos="720"/>
        </w:tabs>
        <w:ind w:left="720" w:hanging="360"/>
      </w:pPr>
      <w:rPr>
        <w:rFonts w:ascii="Corbel" w:hAnsi="Corbel" w:hint="default"/>
      </w:rPr>
    </w:lvl>
    <w:lvl w:ilvl="1" w:tplc="E2C079C2">
      <w:start w:val="1"/>
      <w:numFmt w:val="bullet"/>
      <w:lvlText w:val="–"/>
      <w:lvlJc w:val="left"/>
      <w:pPr>
        <w:tabs>
          <w:tab w:val="num" w:pos="1440"/>
        </w:tabs>
        <w:ind w:left="1440" w:hanging="360"/>
      </w:pPr>
      <w:rPr>
        <w:rFonts w:ascii="Corbel" w:hAnsi="Corbel" w:hint="default"/>
      </w:rPr>
    </w:lvl>
    <w:lvl w:ilvl="2" w:tplc="6862FA2A" w:tentative="1">
      <w:start w:val="1"/>
      <w:numFmt w:val="bullet"/>
      <w:lvlText w:val="–"/>
      <w:lvlJc w:val="left"/>
      <w:pPr>
        <w:tabs>
          <w:tab w:val="num" w:pos="2160"/>
        </w:tabs>
        <w:ind w:left="2160" w:hanging="360"/>
      </w:pPr>
      <w:rPr>
        <w:rFonts w:ascii="Corbel" w:hAnsi="Corbel" w:hint="default"/>
      </w:rPr>
    </w:lvl>
    <w:lvl w:ilvl="3" w:tplc="D30AD398" w:tentative="1">
      <w:start w:val="1"/>
      <w:numFmt w:val="bullet"/>
      <w:lvlText w:val="–"/>
      <w:lvlJc w:val="left"/>
      <w:pPr>
        <w:tabs>
          <w:tab w:val="num" w:pos="2880"/>
        </w:tabs>
        <w:ind w:left="2880" w:hanging="360"/>
      </w:pPr>
      <w:rPr>
        <w:rFonts w:ascii="Corbel" w:hAnsi="Corbel" w:hint="default"/>
      </w:rPr>
    </w:lvl>
    <w:lvl w:ilvl="4" w:tplc="040CBCC8" w:tentative="1">
      <w:start w:val="1"/>
      <w:numFmt w:val="bullet"/>
      <w:lvlText w:val="–"/>
      <w:lvlJc w:val="left"/>
      <w:pPr>
        <w:tabs>
          <w:tab w:val="num" w:pos="3600"/>
        </w:tabs>
        <w:ind w:left="3600" w:hanging="360"/>
      </w:pPr>
      <w:rPr>
        <w:rFonts w:ascii="Corbel" w:hAnsi="Corbel" w:hint="default"/>
      </w:rPr>
    </w:lvl>
    <w:lvl w:ilvl="5" w:tplc="B700037A" w:tentative="1">
      <w:start w:val="1"/>
      <w:numFmt w:val="bullet"/>
      <w:lvlText w:val="–"/>
      <w:lvlJc w:val="left"/>
      <w:pPr>
        <w:tabs>
          <w:tab w:val="num" w:pos="4320"/>
        </w:tabs>
        <w:ind w:left="4320" w:hanging="360"/>
      </w:pPr>
      <w:rPr>
        <w:rFonts w:ascii="Corbel" w:hAnsi="Corbel" w:hint="default"/>
      </w:rPr>
    </w:lvl>
    <w:lvl w:ilvl="6" w:tplc="D4B0F3CA" w:tentative="1">
      <w:start w:val="1"/>
      <w:numFmt w:val="bullet"/>
      <w:lvlText w:val="–"/>
      <w:lvlJc w:val="left"/>
      <w:pPr>
        <w:tabs>
          <w:tab w:val="num" w:pos="5040"/>
        </w:tabs>
        <w:ind w:left="5040" w:hanging="360"/>
      </w:pPr>
      <w:rPr>
        <w:rFonts w:ascii="Corbel" w:hAnsi="Corbel" w:hint="default"/>
      </w:rPr>
    </w:lvl>
    <w:lvl w:ilvl="7" w:tplc="3450400C" w:tentative="1">
      <w:start w:val="1"/>
      <w:numFmt w:val="bullet"/>
      <w:lvlText w:val="–"/>
      <w:lvlJc w:val="left"/>
      <w:pPr>
        <w:tabs>
          <w:tab w:val="num" w:pos="5760"/>
        </w:tabs>
        <w:ind w:left="5760" w:hanging="360"/>
      </w:pPr>
      <w:rPr>
        <w:rFonts w:ascii="Corbel" w:hAnsi="Corbel" w:hint="default"/>
      </w:rPr>
    </w:lvl>
    <w:lvl w:ilvl="8" w:tplc="5ABC35A4" w:tentative="1">
      <w:start w:val="1"/>
      <w:numFmt w:val="bullet"/>
      <w:lvlText w:val="–"/>
      <w:lvlJc w:val="left"/>
      <w:pPr>
        <w:tabs>
          <w:tab w:val="num" w:pos="6480"/>
        </w:tabs>
        <w:ind w:left="6480" w:hanging="360"/>
      </w:pPr>
      <w:rPr>
        <w:rFonts w:ascii="Corbel" w:hAnsi="Corbel" w:hint="default"/>
      </w:rPr>
    </w:lvl>
  </w:abstractNum>
  <w:num w:numId="1">
    <w:abstractNumId w:val="22"/>
  </w:num>
  <w:num w:numId="2">
    <w:abstractNumId w:val="12"/>
  </w:num>
  <w:num w:numId="3">
    <w:abstractNumId w:val="17"/>
  </w:num>
  <w:num w:numId="4">
    <w:abstractNumId w:val="6"/>
  </w:num>
  <w:num w:numId="5">
    <w:abstractNumId w:val="8"/>
  </w:num>
  <w:num w:numId="6">
    <w:abstractNumId w:val="3"/>
  </w:num>
  <w:num w:numId="7">
    <w:abstractNumId w:val="11"/>
  </w:num>
  <w:num w:numId="8">
    <w:abstractNumId w:val="7"/>
  </w:num>
  <w:num w:numId="9">
    <w:abstractNumId w:val="5"/>
  </w:num>
  <w:num w:numId="10">
    <w:abstractNumId w:val="24"/>
  </w:num>
  <w:num w:numId="11">
    <w:abstractNumId w:val="23"/>
  </w:num>
  <w:num w:numId="12">
    <w:abstractNumId w:val="10"/>
  </w:num>
  <w:num w:numId="13">
    <w:abstractNumId w:val="13"/>
  </w:num>
  <w:num w:numId="14">
    <w:abstractNumId w:val="21"/>
  </w:num>
  <w:num w:numId="15">
    <w:abstractNumId w:val="2"/>
  </w:num>
  <w:num w:numId="16">
    <w:abstractNumId w:val="14"/>
  </w:num>
  <w:num w:numId="17">
    <w:abstractNumId w:val="19"/>
  </w:num>
  <w:num w:numId="18">
    <w:abstractNumId w:val="20"/>
  </w:num>
  <w:num w:numId="19">
    <w:abstractNumId w:val="18"/>
  </w:num>
  <w:num w:numId="20">
    <w:abstractNumId w:val="0"/>
  </w:num>
  <w:num w:numId="21">
    <w:abstractNumId w:val="15"/>
  </w:num>
  <w:num w:numId="22">
    <w:abstractNumId w:val="9"/>
  </w:num>
  <w:num w:numId="23">
    <w:abstractNumId w:val="16"/>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284"/>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E9"/>
    <w:rsid w:val="000008C0"/>
    <w:rsid w:val="00001ABE"/>
    <w:rsid w:val="00001FAF"/>
    <w:rsid w:val="0000312D"/>
    <w:rsid w:val="00003B68"/>
    <w:rsid w:val="00004E1D"/>
    <w:rsid w:val="00010781"/>
    <w:rsid w:val="0001323A"/>
    <w:rsid w:val="0001795A"/>
    <w:rsid w:val="00017D49"/>
    <w:rsid w:val="00020F92"/>
    <w:rsid w:val="00022A99"/>
    <w:rsid w:val="00024076"/>
    <w:rsid w:val="00030869"/>
    <w:rsid w:val="00030DDB"/>
    <w:rsid w:val="00036C60"/>
    <w:rsid w:val="00040283"/>
    <w:rsid w:val="000415E6"/>
    <w:rsid w:val="000430E1"/>
    <w:rsid w:val="00043104"/>
    <w:rsid w:val="00043A41"/>
    <w:rsid w:val="00043EE3"/>
    <w:rsid w:val="000440CB"/>
    <w:rsid w:val="00044B7D"/>
    <w:rsid w:val="00045C4D"/>
    <w:rsid w:val="00054741"/>
    <w:rsid w:val="00055BB1"/>
    <w:rsid w:val="0006006D"/>
    <w:rsid w:val="000614BF"/>
    <w:rsid w:val="00063236"/>
    <w:rsid w:val="00064879"/>
    <w:rsid w:val="00066D9B"/>
    <w:rsid w:val="000721AE"/>
    <w:rsid w:val="00076C47"/>
    <w:rsid w:val="00076E87"/>
    <w:rsid w:val="000819A2"/>
    <w:rsid w:val="00084E83"/>
    <w:rsid w:val="000859F2"/>
    <w:rsid w:val="00090676"/>
    <w:rsid w:val="00093221"/>
    <w:rsid w:val="00096B92"/>
    <w:rsid w:val="000A0233"/>
    <w:rsid w:val="000A0A3F"/>
    <w:rsid w:val="000A2FCA"/>
    <w:rsid w:val="000A357B"/>
    <w:rsid w:val="000A3943"/>
    <w:rsid w:val="000A3D67"/>
    <w:rsid w:val="000A4107"/>
    <w:rsid w:val="000A44D3"/>
    <w:rsid w:val="000A5029"/>
    <w:rsid w:val="000B10A3"/>
    <w:rsid w:val="000B21CB"/>
    <w:rsid w:val="000B6C47"/>
    <w:rsid w:val="000B6EF6"/>
    <w:rsid w:val="000C3E7F"/>
    <w:rsid w:val="000D15EB"/>
    <w:rsid w:val="000D62D8"/>
    <w:rsid w:val="000D78E0"/>
    <w:rsid w:val="000E197A"/>
    <w:rsid w:val="000E2873"/>
    <w:rsid w:val="000E3810"/>
    <w:rsid w:val="000E5295"/>
    <w:rsid w:val="000E68F9"/>
    <w:rsid w:val="000E6D17"/>
    <w:rsid w:val="000E6E16"/>
    <w:rsid w:val="000E7652"/>
    <w:rsid w:val="000F1D8F"/>
    <w:rsid w:val="00101A3C"/>
    <w:rsid w:val="00103A58"/>
    <w:rsid w:val="00104597"/>
    <w:rsid w:val="001107C4"/>
    <w:rsid w:val="00111B47"/>
    <w:rsid w:val="001129E2"/>
    <w:rsid w:val="00114762"/>
    <w:rsid w:val="00117436"/>
    <w:rsid w:val="00132FF4"/>
    <w:rsid w:val="001371C2"/>
    <w:rsid w:val="001374AC"/>
    <w:rsid w:val="00140823"/>
    <w:rsid w:val="001412F3"/>
    <w:rsid w:val="00143213"/>
    <w:rsid w:val="00144758"/>
    <w:rsid w:val="001517E7"/>
    <w:rsid w:val="00155F8C"/>
    <w:rsid w:val="00157C1B"/>
    <w:rsid w:val="001615BD"/>
    <w:rsid w:val="0016247A"/>
    <w:rsid w:val="001662DC"/>
    <w:rsid w:val="001717F4"/>
    <w:rsid w:val="001724B4"/>
    <w:rsid w:val="001769BB"/>
    <w:rsid w:val="00180CD7"/>
    <w:rsid w:val="00185D7C"/>
    <w:rsid w:val="00186413"/>
    <w:rsid w:val="00186FE5"/>
    <w:rsid w:val="001945AF"/>
    <w:rsid w:val="001969A8"/>
    <w:rsid w:val="00196A57"/>
    <w:rsid w:val="001B3BEF"/>
    <w:rsid w:val="001B7177"/>
    <w:rsid w:val="001B7D50"/>
    <w:rsid w:val="001C04AA"/>
    <w:rsid w:val="001C37C8"/>
    <w:rsid w:val="001C3D9E"/>
    <w:rsid w:val="001C5C52"/>
    <w:rsid w:val="001C6032"/>
    <w:rsid w:val="001C656B"/>
    <w:rsid w:val="001C7D4F"/>
    <w:rsid w:val="001E0DD0"/>
    <w:rsid w:val="001E1793"/>
    <w:rsid w:val="001E222A"/>
    <w:rsid w:val="001F2DF4"/>
    <w:rsid w:val="00200E3C"/>
    <w:rsid w:val="002039A5"/>
    <w:rsid w:val="00203BC7"/>
    <w:rsid w:val="00204309"/>
    <w:rsid w:val="002055F8"/>
    <w:rsid w:val="002067E4"/>
    <w:rsid w:val="00214FED"/>
    <w:rsid w:val="00220239"/>
    <w:rsid w:val="00227595"/>
    <w:rsid w:val="00230DCA"/>
    <w:rsid w:val="00231552"/>
    <w:rsid w:val="00231A95"/>
    <w:rsid w:val="00232229"/>
    <w:rsid w:val="002358C0"/>
    <w:rsid w:val="00237047"/>
    <w:rsid w:val="002445D1"/>
    <w:rsid w:val="00250BC1"/>
    <w:rsid w:val="00250EA1"/>
    <w:rsid w:val="00255489"/>
    <w:rsid w:val="002563DA"/>
    <w:rsid w:val="00261746"/>
    <w:rsid w:val="0026244A"/>
    <w:rsid w:val="0026319E"/>
    <w:rsid w:val="00267F4E"/>
    <w:rsid w:val="00270D6C"/>
    <w:rsid w:val="00271573"/>
    <w:rsid w:val="00272A6C"/>
    <w:rsid w:val="00274080"/>
    <w:rsid w:val="002771DF"/>
    <w:rsid w:val="002801A4"/>
    <w:rsid w:val="0028158A"/>
    <w:rsid w:val="002829F8"/>
    <w:rsid w:val="002843E0"/>
    <w:rsid w:val="0029077D"/>
    <w:rsid w:val="00291B97"/>
    <w:rsid w:val="002926FA"/>
    <w:rsid w:val="0029391F"/>
    <w:rsid w:val="002948EA"/>
    <w:rsid w:val="002959A2"/>
    <w:rsid w:val="002A2EFB"/>
    <w:rsid w:val="002A6D64"/>
    <w:rsid w:val="002B2A6D"/>
    <w:rsid w:val="002B457C"/>
    <w:rsid w:val="002B465E"/>
    <w:rsid w:val="002B472A"/>
    <w:rsid w:val="002C7264"/>
    <w:rsid w:val="002D2221"/>
    <w:rsid w:val="002D677E"/>
    <w:rsid w:val="002E05BC"/>
    <w:rsid w:val="002E347F"/>
    <w:rsid w:val="002F1111"/>
    <w:rsid w:val="002F1CD0"/>
    <w:rsid w:val="002F3CE6"/>
    <w:rsid w:val="002F4F3B"/>
    <w:rsid w:val="002F5ADA"/>
    <w:rsid w:val="00301771"/>
    <w:rsid w:val="00305FB3"/>
    <w:rsid w:val="003111BF"/>
    <w:rsid w:val="003136AA"/>
    <w:rsid w:val="0032257C"/>
    <w:rsid w:val="00327425"/>
    <w:rsid w:val="0033193E"/>
    <w:rsid w:val="00333024"/>
    <w:rsid w:val="003372A6"/>
    <w:rsid w:val="003373ED"/>
    <w:rsid w:val="003414B2"/>
    <w:rsid w:val="0034235D"/>
    <w:rsid w:val="00347B82"/>
    <w:rsid w:val="003512D4"/>
    <w:rsid w:val="00352F01"/>
    <w:rsid w:val="003536D7"/>
    <w:rsid w:val="00354799"/>
    <w:rsid w:val="003600B5"/>
    <w:rsid w:val="003628BD"/>
    <w:rsid w:val="00363829"/>
    <w:rsid w:val="00364C01"/>
    <w:rsid w:val="0036512E"/>
    <w:rsid w:val="00365336"/>
    <w:rsid w:val="00365B0B"/>
    <w:rsid w:val="00374557"/>
    <w:rsid w:val="00375973"/>
    <w:rsid w:val="00376551"/>
    <w:rsid w:val="0037683C"/>
    <w:rsid w:val="00377FC3"/>
    <w:rsid w:val="00381DF8"/>
    <w:rsid w:val="0038289C"/>
    <w:rsid w:val="0039408C"/>
    <w:rsid w:val="00394D75"/>
    <w:rsid w:val="0039501B"/>
    <w:rsid w:val="00395A74"/>
    <w:rsid w:val="00396D98"/>
    <w:rsid w:val="00397305"/>
    <w:rsid w:val="003A27A7"/>
    <w:rsid w:val="003A46A0"/>
    <w:rsid w:val="003A4DDC"/>
    <w:rsid w:val="003A7179"/>
    <w:rsid w:val="003B44EE"/>
    <w:rsid w:val="003B4FFF"/>
    <w:rsid w:val="003C0E2E"/>
    <w:rsid w:val="003C1336"/>
    <w:rsid w:val="003C1A6B"/>
    <w:rsid w:val="003D0AC1"/>
    <w:rsid w:val="003E53CD"/>
    <w:rsid w:val="003E684D"/>
    <w:rsid w:val="003F1658"/>
    <w:rsid w:val="003F5CF3"/>
    <w:rsid w:val="003F75BE"/>
    <w:rsid w:val="00401391"/>
    <w:rsid w:val="004043BB"/>
    <w:rsid w:val="00405236"/>
    <w:rsid w:val="00406A70"/>
    <w:rsid w:val="004104B3"/>
    <w:rsid w:val="00414699"/>
    <w:rsid w:val="004207EA"/>
    <w:rsid w:val="00421D0C"/>
    <w:rsid w:val="004220DA"/>
    <w:rsid w:val="004224D1"/>
    <w:rsid w:val="00422707"/>
    <w:rsid w:val="0042375E"/>
    <w:rsid w:val="00424B5F"/>
    <w:rsid w:val="00427992"/>
    <w:rsid w:val="0043412F"/>
    <w:rsid w:val="00436212"/>
    <w:rsid w:val="00436483"/>
    <w:rsid w:val="00453458"/>
    <w:rsid w:val="00455822"/>
    <w:rsid w:val="0045621A"/>
    <w:rsid w:val="00461F62"/>
    <w:rsid w:val="00462DB3"/>
    <w:rsid w:val="00464D49"/>
    <w:rsid w:val="0046696A"/>
    <w:rsid w:val="00473657"/>
    <w:rsid w:val="0047385A"/>
    <w:rsid w:val="0047535D"/>
    <w:rsid w:val="0047753F"/>
    <w:rsid w:val="004810C9"/>
    <w:rsid w:val="00481716"/>
    <w:rsid w:val="00481A80"/>
    <w:rsid w:val="00483F45"/>
    <w:rsid w:val="00487091"/>
    <w:rsid w:val="0048729B"/>
    <w:rsid w:val="00487A86"/>
    <w:rsid w:val="00490B15"/>
    <w:rsid w:val="00490CE6"/>
    <w:rsid w:val="004912D1"/>
    <w:rsid w:val="00491624"/>
    <w:rsid w:val="00496F50"/>
    <w:rsid w:val="004A5403"/>
    <w:rsid w:val="004A5D65"/>
    <w:rsid w:val="004A606B"/>
    <w:rsid w:val="004A75DC"/>
    <w:rsid w:val="004B6566"/>
    <w:rsid w:val="004B6EE5"/>
    <w:rsid w:val="004B798C"/>
    <w:rsid w:val="004C0D7E"/>
    <w:rsid w:val="004C539B"/>
    <w:rsid w:val="004C74AD"/>
    <w:rsid w:val="004C7E6C"/>
    <w:rsid w:val="004D01AA"/>
    <w:rsid w:val="004D09B9"/>
    <w:rsid w:val="004D147B"/>
    <w:rsid w:val="004D651D"/>
    <w:rsid w:val="004E1E7B"/>
    <w:rsid w:val="004E3B3F"/>
    <w:rsid w:val="004E59C0"/>
    <w:rsid w:val="004E6542"/>
    <w:rsid w:val="004E74A5"/>
    <w:rsid w:val="004F09E8"/>
    <w:rsid w:val="004F1FF4"/>
    <w:rsid w:val="004F50CD"/>
    <w:rsid w:val="004F5B4A"/>
    <w:rsid w:val="005022F5"/>
    <w:rsid w:val="00502C05"/>
    <w:rsid w:val="00506F26"/>
    <w:rsid w:val="00510F9A"/>
    <w:rsid w:val="00512D9C"/>
    <w:rsid w:val="00514662"/>
    <w:rsid w:val="00514D78"/>
    <w:rsid w:val="005160A2"/>
    <w:rsid w:val="005214BD"/>
    <w:rsid w:val="00521984"/>
    <w:rsid w:val="0052531C"/>
    <w:rsid w:val="00526978"/>
    <w:rsid w:val="00526B0B"/>
    <w:rsid w:val="00526C45"/>
    <w:rsid w:val="005313E5"/>
    <w:rsid w:val="00531D5B"/>
    <w:rsid w:val="0053228F"/>
    <w:rsid w:val="00535926"/>
    <w:rsid w:val="00535B37"/>
    <w:rsid w:val="00535C2C"/>
    <w:rsid w:val="005422C5"/>
    <w:rsid w:val="00542D1E"/>
    <w:rsid w:val="00550F57"/>
    <w:rsid w:val="00553A4F"/>
    <w:rsid w:val="005560B4"/>
    <w:rsid w:val="005569D8"/>
    <w:rsid w:val="00560A64"/>
    <w:rsid w:val="005611D3"/>
    <w:rsid w:val="00564677"/>
    <w:rsid w:val="00570293"/>
    <w:rsid w:val="00572E5C"/>
    <w:rsid w:val="0057352F"/>
    <w:rsid w:val="005742F5"/>
    <w:rsid w:val="005747B0"/>
    <w:rsid w:val="0057552A"/>
    <w:rsid w:val="00576547"/>
    <w:rsid w:val="00582A53"/>
    <w:rsid w:val="0058415D"/>
    <w:rsid w:val="005854CE"/>
    <w:rsid w:val="0058578E"/>
    <w:rsid w:val="00585E3C"/>
    <w:rsid w:val="005864FE"/>
    <w:rsid w:val="00596161"/>
    <w:rsid w:val="00596B15"/>
    <w:rsid w:val="005A0FD9"/>
    <w:rsid w:val="005A1C5D"/>
    <w:rsid w:val="005A2C57"/>
    <w:rsid w:val="005A49AA"/>
    <w:rsid w:val="005A54BC"/>
    <w:rsid w:val="005B0537"/>
    <w:rsid w:val="005B088B"/>
    <w:rsid w:val="005C0F66"/>
    <w:rsid w:val="005C1A99"/>
    <w:rsid w:val="005C2AA3"/>
    <w:rsid w:val="005C2C7D"/>
    <w:rsid w:val="005C3387"/>
    <w:rsid w:val="005C6692"/>
    <w:rsid w:val="005C7B21"/>
    <w:rsid w:val="005D011C"/>
    <w:rsid w:val="005D1D63"/>
    <w:rsid w:val="005D28C1"/>
    <w:rsid w:val="005D5916"/>
    <w:rsid w:val="005D77A5"/>
    <w:rsid w:val="005E0F67"/>
    <w:rsid w:val="005E2018"/>
    <w:rsid w:val="005E2EA3"/>
    <w:rsid w:val="005E35A6"/>
    <w:rsid w:val="005E43F7"/>
    <w:rsid w:val="005E6795"/>
    <w:rsid w:val="005E7FE4"/>
    <w:rsid w:val="0060150E"/>
    <w:rsid w:val="006074B6"/>
    <w:rsid w:val="00610B52"/>
    <w:rsid w:val="0061100A"/>
    <w:rsid w:val="00611492"/>
    <w:rsid w:val="00613779"/>
    <w:rsid w:val="006166AB"/>
    <w:rsid w:val="00616C81"/>
    <w:rsid w:val="006202F3"/>
    <w:rsid w:val="006234D3"/>
    <w:rsid w:val="00624DC2"/>
    <w:rsid w:val="006253C1"/>
    <w:rsid w:val="00625731"/>
    <w:rsid w:val="00625A68"/>
    <w:rsid w:val="00627CC3"/>
    <w:rsid w:val="006364D4"/>
    <w:rsid w:val="006369E9"/>
    <w:rsid w:val="00642AD4"/>
    <w:rsid w:val="0064685F"/>
    <w:rsid w:val="006554CA"/>
    <w:rsid w:val="0065797A"/>
    <w:rsid w:val="0066183E"/>
    <w:rsid w:val="00671A40"/>
    <w:rsid w:val="006727F5"/>
    <w:rsid w:val="00673737"/>
    <w:rsid w:val="006774BA"/>
    <w:rsid w:val="00677DBD"/>
    <w:rsid w:val="00683ACE"/>
    <w:rsid w:val="006863FC"/>
    <w:rsid w:val="00687686"/>
    <w:rsid w:val="006910FD"/>
    <w:rsid w:val="00691EA0"/>
    <w:rsid w:val="00692015"/>
    <w:rsid w:val="006943CB"/>
    <w:rsid w:val="006943CD"/>
    <w:rsid w:val="006A1C44"/>
    <w:rsid w:val="006A1D52"/>
    <w:rsid w:val="006A7FB2"/>
    <w:rsid w:val="006B09CF"/>
    <w:rsid w:val="006B3DB6"/>
    <w:rsid w:val="006B61FA"/>
    <w:rsid w:val="006C075F"/>
    <w:rsid w:val="006C154F"/>
    <w:rsid w:val="006C673C"/>
    <w:rsid w:val="006E28C8"/>
    <w:rsid w:val="006E4485"/>
    <w:rsid w:val="006F0435"/>
    <w:rsid w:val="006F2AD9"/>
    <w:rsid w:val="006F5346"/>
    <w:rsid w:val="00702132"/>
    <w:rsid w:val="00702D52"/>
    <w:rsid w:val="00704B41"/>
    <w:rsid w:val="00706CCD"/>
    <w:rsid w:val="0071076F"/>
    <w:rsid w:val="007122D6"/>
    <w:rsid w:val="0071346F"/>
    <w:rsid w:val="007151A7"/>
    <w:rsid w:val="00716502"/>
    <w:rsid w:val="00720E96"/>
    <w:rsid w:val="00723CB9"/>
    <w:rsid w:val="007301DD"/>
    <w:rsid w:val="00730549"/>
    <w:rsid w:val="0073315B"/>
    <w:rsid w:val="00741565"/>
    <w:rsid w:val="007462E6"/>
    <w:rsid w:val="007473A1"/>
    <w:rsid w:val="00750850"/>
    <w:rsid w:val="007526B8"/>
    <w:rsid w:val="0075649A"/>
    <w:rsid w:val="0075698A"/>
    <w:rsid w:val="00757E5C"/>
    <w:rsid w:val="007637CD"/>
    <w:rsid w:val="007637F5"/>
    <w:rsid w:val="0076438C"/>
    <w:rsid w:val="00767CAD"/>
    <w:rsid w:val="0077088A"/>
    <w:rsid w:val="00770FC1"/>
    <w:rsid w:val="00773BD0"/>
    <w:rsid w:val="007744D2"/>
    <w:rsid w:val="00774D65"/>
    <w:rsid w:val="00775D62"/>
    <w:rsid w:val="0078182B"/>
    <w:rsid w:val="0078520E"/>
    <w:rsid w:val="00786C44"/>
    <w:rsid w:val="007873EB"/>
    <w:rsid w:val="00790CC3"/>
    <w:rsid w:val="00791DF1"/>
    <w:rsid w:val="00792C5E"/>
    <w:rsid w:val="007A14E9"/>
    <w:rsid w:val="007A2B6B"/>
    <w:rsid w:val="007A3677"/>
    <w:rsid w:val="007A5DEE"/>
    <w:rsid w:val="007A6C5E"/>
    <w:rsid w:val="007A73A4"/>
    <w:rsid w:val="007B00D2"/>
    <w:rsid w:val="007B4D03"/>
    <w:rsid w:val="007B5EB1"/>
    <w:rsid w:val="007C014D"/>
    <w:rsid w:val="007C3EF3"/>
    <w:rsid w:val="007C58E9"/>
    <w:rsid w:val="007D080B"/>
    <w:rsid w:val="007D3287"/>
    <w:rsid w:val="007E3992"/>
    <w:rsid w:val="007E3A71"/>
    <w:rsid w:val="007E6C44"/>
    <w:rsid w:val="007E6F82"/>
    <w:rsid w:val="007F0720"/>
    <w:rsid w:val="007F0B7D"/>
    <w:rsid w:val="007F26C1"/>
    <w:rsid w:val="007F3256"/>
    <w:rsid w:val="007F5111"/>
    <w:rsid w:val="007F5BCF"/>
    <w:rsid w:val="0080374A"/>
    <w:rsid w:val="00803F53"/>
    <w:rsid w:val="0080679E"/>
    <w:rsid w:val="00810422"/>
    <w:rsid w:val="00814A93"/>
    <w:rsid w:val="00815C8C"/>
    <w:rsid w:val="00815FA3"/>
    <w:rsid w:val="00831F5A"/>
    <w:rsid w:val="0083698F"/>
    <w:rsid w:val="00836E45"/>
    <w:rsid w:val="00837208"/>
    <w:rsid w:val="008372BC"/>
    <w:rsid w:val="00837A36"/>
    <w:rsid w:val="00840F2D"/>
    <w:rsid w:val="00845387"/>
    <w:rsid w:val="008453D7"/>
    <w:rsid w:val="00846C6E"/>
    <w:rsid w:val="00850C3E"/>
    <w:rsid w:val="008523BF"/>
    <w:rsid w:val="00853B1E"/>
    <w:rsid w:val="008551C5"/>
    <w:rsid w:val="008604F3"/>
    <w:rsid w:val="00860B1E"/>
    <w:rsid w:val="00860F21"/>
    <w:rsid w:val="0086124D"/>
    <w:rsid w:val="008613DB"/>
    <w:rsid w:val="00862A48"/>
    <w:rsid w:val="0086435B"/>
    <w:rsid w:val="00866871"/>
    <w:rsid w:val="008766F3"/>
    <w:rsid w:val="00880B29"/>
    <w:rsid w:val="00880CAB"/>
    <w:rsid w:val="00884525"/>
    <w:rsid w:val="00885160"/>
    <w:rsid w:val="008869DE"/>
    <w:rsid w:val="008876E7"/>
    <w:rsid w:val="008901AE"/>
    <w:rsid w:val="0089347A"/>
    <w:rsid w:val="008A1C0E"/>
    <w:rsid w:val="008B06AE"/>
    <w:rsid w:val="008B1C81"/>
    <w:rsid w:val="008B29AE"/>
    <w:rsid w:val="008B4BEC"/>
    <w:rsid w:val="008B4D46"/>
    <w:rsid w:val="008B7566"/>
    <w:rsid w:val="008C12D6"/>
    <w:rsid w:val="008C2EC1"/>
    <w:rsid w:val="008D1CAA"/>
    <w:rsid w:val="008D3399"/>
    <w:rsid w:val="008D3BDC"/>
    <w:rsid w:val="008D43A6"/>
    <w:rsid w:val="008D4F7A"/>
    <w:rsid w:val="008E0698"/>
    <w:rsid w:val="008E15B5"/>
    <w:rsid w:val="008E4758"/>
    <w:rsid w:val="008E56C5"/>
    <w:rsid w:val="008E7287"/>
    <w:rsid w:val="008F1B5B"/>
    <w:rsid w:val="008F3569"/>
    <w:rsid w:val="008F4855"/>
    <w:rsid w:val="008F4D4F"/>
    <w:rsid w:val="008F6456"/>
    <w:rsid w:val="008F6892"/>
    <w:rsid w:val="008F6A61"/>
    <w:rsid w:val="0090018C"/>
    <w:rsid w:val="009025E1"/>
    <w:rsid w:val="00905BDB"/>
    <w:rsid w:val="009119EA"/>
    <w:rsid w:val="00912FEE"/>
    <w:rsid w:val="00914D2B"/>
    <w:rsid w:val="0091587A"/>
    <w:rsid w:val="00917BC5"/>
    <w:rsid w:val="00917C50"/>
    <w:rsid w:val="0092255C"/>
    <w:rsid w:val="00934EB7"/>
    <w:rsid w:val="00935EAD"/>
    <w:rsid w:val="009367F2"/>
    <w:rsid w:val="00940958"/>
    <w:rsid w:val="009415A0"/>
    <w:rsid w:val="009453DE"/>
    <w:rsid w:val="009468F5"/>
    <w:rsid w:val="009473D5"/>
    <w:rsid w:val="009475B0"/>
    <w:rsid w:val="00951D76"/>
    <w:rsid w:val="00952531"/>
    <w:rsid w:val="00954148"/>
    <w:rsid w:val="00954308"/>
    <w:rsid w:val="00954D2E"/>
    <w:rsid w:val="00956032"/>
    <w:rsid w:val="0095789B"/>
    <w:rsid w:val="0096080D"/>
    <w:rsid w:val="009609C9"/>
    <w:rsid w:val="00960F2C"/>
    <w:rsid w:val="00963A7A"/>
    <w:rsid w:val="00975C85"/>
    <w:rsid w:val="00976380"/>
    <w:rsid w:val="009775DC"/>
    <w:rsid w:val="00982519"/>
    <w:rsid w:val="00983312"/>
    <w:rsid w:val="0098609B"/>
    <w:rsid w:val="009913E0"/>
    <w:rsid w:val="0099434D"/>
    <w:rsid w:val="00994D8D"/>
    <w:rsid w:val="00997024"/>
    <w:rsid w:val="009974C8"/>
    <w:rsid w:val="00997C68"/>
    <w:rsid w:val="009A074B"/>
    <w:rsid w:val="009A0B8F"/>
    <w:rsid w:val="009B0D18"/>
    <w:rsid w:val="009B1A3E"/>
    <w:rsid w:val="009B210E"/>
    <w:rsid w:val="009B460E"/>
    <w:rsid w:val="009B48FD"/>
    <w:rsid w:val="009B4F5E"/>
    <w:rsid w:val="009C6F3C"/>
    <w:rsid w:val="009C77E2"/>
    <w:rsid w:val="009C77E9"/>
    <w:rsid w:val="009D1B7D"/>
    <w:rsid w:val="009D2474"/>
    <w:rsid w:val="009D2D15"/>
    <w:rsid w:val="009D5437"/>
    <w:rsid w:val="009D5678"/>
    <w:rsid w:val="009E1140"/>
    <w:rsid w:val="009F1E51"/>
    <w:rsid w:val="009F4F54"/>
    <w:rsid w:val="009F7428"/>
    <w:rsid w:val="00A00FB1"/>
    <w:rsid w:val="00A05CF9"/>
    <w:rsid w:val="00A06E73"/>
    <w:rsid w:val="00A0787D"/>
    <w:rsid w:val="00A10094"/>
    <w:rsid w:val="00A12720"/>
    <w:rsid w:val="00A12885"/>
    <w:rsid w:val="00A14FD2"/>
    <w:rsid w:val="00A15904"/>
    <w:rsid w:val="00A16711"/>
    <w:rsid w:val="00A1779B"/>
    <w:rsid w:val="00A17A33"/>
    <w:rsid w:val="00A17F62"/>
    <w:rsid w:val="00A204CF"/>
    <w:rsid w:val="00A221DB"/>
    <w:rsid w:val="00A31814"/>
    <w:rsid w:val="00A33AB3"/>
    <w:rsid w:val="00A33B94"/>
    <w:rsid w:val="00A4046A"/>
    <w:rsid w:val="00A408C7"/>
    <w:rsid w:val="00A46A4A"/>
    <w:rsid w:val="00A50708"/>
    <w:rsid w:val="00A52FE0"/>
    <w:rsid w:val="00A532EA"/>
    <w:rsid w:val="00A53FE8"/>
    <w:rsid w:val="00A64361"/>
    <w:rsid w:val="00A65C91"/>
    <w:rsid w:val="00A678D8"/>
    <w:rsid w:val="00A70263"/>
    <w:rsid w:val="00A716A0"/>
    <w:rsid w:val="00A737F4"/>
    <w:rsid w:val="00A737FB"/>
    <w:rsid w:val="00A73815"/>
    <w:rsid w:val="00A7436C"/>
    <w:rsid w:val="00A8528F"/>
    <w:rsid w:val="00A87807"/>
    <w:rsid w:val="00A93CE3"/>
    <w:rsid w:val="00A9707E"/>
    <w:rsid w:val="00AA0E9E"/>
    <w:rsid w:val="00AA1449"/>
    <w:rsid w:val="00AA1DE6"/>
    <w:rsid w:val="00AA28E3"/>
    <w:rsid w:val="00AA56F1"/>
    <w:rsid w:val="00AB7BBB"/>
    <w:rsid w:val="00AC0B34"/>
    <w:rsid w:val="00AC0E19"/>
    <w:rsid w:val="00AC2E1F"/>
    <w:rsid w:val="00AC7854"/>
    <w:rsid w:val="00AD140D"/>
    <w:rsid w:val="00AD2CD0"/>
    <w:rsid w:val="00AD5776"/>
    <w:rsid w:val="00AE05BD"/>
    <w:rsid w:val="00AE102A"/>
    <w:rsid w:val="00AE19A5"/>
    <w:rsid w:val="00AE3757"/>
    <w:rsid w:val="00AE63D4"/>
    <w:rsid w:val="00AF0CB1"/>
    <w:rsid w:val="00AF0ECA"/>
    <w:rsid w:val="00AF3654"/>
    <w:rsid w:val="00AF4DB9"/>
    <w:rsid w:val="00AF577C"/>
    <w:rsid w:val="00B007A7"/>
    <w:rsid w:val="00B03574"/>
    <w:rsid w:val="00B0404A"/>
    <w:rsid w:val="00B05488"/>
    <w:rsid w:val="00B06545"/>
    <w:rsid w:val="00B06DA0"/>
    <w:rsid w:val="00B11B33"/>
    <w:rsid w:val="00B13655"/>
    <w:rsid w:val="00B15986"/>
    <w:rsid w:val="00B208D6"/>
    <w:rsid w:val="00B2285F"/>
    <w:rsid w:val="00B23E89"/>
    <w:rsid w:val="00B25577"/>
    <w:rsid w:val="00B26A6B"/>
    <w:rsid w:val="00B35902"/>
    <w:rsid w:val="00B37A77"/>
    <w:rsid w:val="00B37DE8"/>
    <w:rsid w:val="00B4641A"/>
    <w:rsid w:val="00B473B2"/>
    <w:rsid w:val="00B50277"/>
    <w:rsid w:val="00B519C2"/>
    <w:rsid w:val="00B51C56"/>
    <w:rsid w:val="00B5498A"/>
    <w:rsid w:val="00B62BD2"/>
    <w:rsid w:val="00B63303"/>
    <w:rsid w:val="00B63AEA"/>
    <w:rsid w:val="00B63CDD"/>
    <w:rsid w:val="00B655C2"/>
    <w:rsid w:val="00B70ABE"/>
    <w:rsid w:val="00B75689"/>
    <w:rsid w:val="00B800E3"/>
    <w:rsid w:val="00B805F0"/>
    <w:rsid w:val="00B8071C"/>
    <w:rsid w:val="00B80CDB"/>
    <w:rsid w:val="00B83699"/>
    <w:rsid w:val="00B83826"/>
    <w:rsid w:val="00B87CC5"/>
    <w:rsid w:val="00B9163F"/>
    <w:rsid w:val="00B91AF2"/>
    <w:rsid w:val="00B94986"/>
    <w:rsid w:val="00B9716B"/>
    <w:rsid w:val="00BA0268"/>
    <w:rsid w:val="00BA03B9"/>
    <w:rsid w:val="00BA174F"/>
    <w:rsid w:val="00BA178C"/>
    <w:rsid w:val="00BA3A60"/>
    <w:rsid w:val="00BA618B"/>
    <w:rsid w:val="00BA7128"/>
    <w:rsid w:val="00BA7606"/>
    <w:rsid w:val="00BA7832"/>
    <w:rsid w:val="00BA7DE4"/>
    <w:rsid w:val="00BB0517"/>
    <w:rsid w:val="00BB1E08"/>
    <w:rsid w:val="00BB251D"/>
    <w:rsid w:val="00BB2AE6"/>
    <w:rsid w:val="00BB41CF"/>
    <w:rsid w:val="00BB4C16"/>
    <w:rsid w:val="00BC1D49"/>
    <w:rsid w:val="00BC2B8F"/>
    <w:rsid w:val="00BC383E"/>
    <w:rsid w:val="00BC3A6A"/>
    <w:rsid w:val="00BC4A95"/>
    <w:rsid w:val="00BC6214"/>
    <w:rsid w:val="00BC6F6B"/>
    <w:rsid w:val="00BC79F6"/>
    <w:rsid w:val="00BD32AE"/>
    <w:rsid w:val="00BD56CA"/>
    <w:rsid w:val="00BE4AF0"/>
    <w:rsid w:val="00BF26E4"/>
    <w:rsid w:val="00BF2796"/>
    <w:rsid w:val="00BF3153"/>
    <w:rsid w:val="00BF392E"/>
    <w:rsid w:val="00C00DFD"/>
    <w:rsid w:val="00C03423"/>
    <w:rsid w:val="00C06368"/>
    <w:rsid w:val="00C07C87"/>
    <w:rsid w:val="00C16765"/>
    <w:rsid w:val="00C16F46"/>
    <w:rsid w:val="00C22FD7"/>
    <w:rsid w:val="00C2304C"/>
    <w:rsid w:val="00C232FA"/>
    <w:rsid w:val="00C25F8A"/>
    <w:rsid w:val="00C269D4"/>
    <w:rsid w:val="00C30453"/>
    <w:rsid w:val="00C31324"/>
    <w:rsid w:val="00C34CA2"/>
    <w:rsid w:val="00C356D6"/>
    <w:rsid w:val="00C35CC2"/>
    <w:rsid w:val="00C37877"/>
    <w:rsid w:val="00C45237"/>
    <w:rsid w:val="00C5187E"/>
    <w:rsid w:val="00C52C2E"/>
    <w:rsid w:val="00C53B93"/>
    <w:rsid w:val="00C55BE5"/>
    <w:rsid w:val="00C55D2E"/>
    <w:rsid w:val="00C56C67"/>
    <w:rsid w:val="00C631AB"/>
    <w:rsid w:val="00C64708"/>
    <w:rsid w:val="00C66162"/>
    <w:rsid w:val="00C673DE"/>
    <w:rsid w:val="00C74B38"/>
    <w:rsid w:val="00C75581"/>
    <w:rsid w:val="00C76460"/>
    <w:rsid w:val="00C830CF"/>
    <w:rsid w:val="00C85E50"/>
    <w:rsid w:val="00C908EB"/>
    <w:rsid w:val="00C90FF3"/>
    <w:rsid w:val="00C93E16"/>
    <w:rsid w:val="00C95BAE"/>
    <w:rsid w:val="00CA1CFF"/>
    <w:rsid w:val="00CA42A3"/>
    <w:rsid w:val="00CA4483"/>
    <w:rsid w:val="00CB1A87"/>
    <w:rsid w:val="00CB6304"/>
    <w:rsid w:val="00CC3BF4"/>
    <w:rsid w:val="00CC4B2F"/>
    <w:rsid w:val="00CC5138"/>
    <w:rsid w:val="00CC5404"/>
    <w:rsid w:val="00CC5790"/>
    <w:rsid w:val="00CC5CF8"/>
    <w:rsid w:val="00CC6839"/>
    <w:rsid w:val="00CC7A4D"/>
    <w:rsid w:val="00CD23B7"/>
    <w:rsid w:val="00CD2792"/>
    <w:rsid w:val="00CD27AC"/>
    <w:rsid w:val="00CD361B"/>
    <w:rsid w:val="00CD53AF"/>
    <w:rsid w:val="00CD5AE4"/>
    <w:rsid w:val="00CE1E6A"/>
    <w:rsid w:val="00CF25C6"/>
    <w:rsid w:val="00CF2B41"/>
    <w:rsid w:val="00CF3170"/>
    <w:rsid w:val="00D0155C"/>
    <w:rsid w:val="00D06FE4"/>
    <w:rsid w:val="00D070BC"/>
    <w:rsid w:val="00D072F7"/>
    <w:rsid w:val="00D07870"/>
    <w:rsid w:val="00D07C10"/>
    <w:rsid w:val="00D1595E"/>
    <w:rsid w:val="00D15962"/>
    <w:rsid w:val="00D16D4A"/>
    <w:rsid w:val="00D2122E"/>
    <w:rsid w:val="00D21D90"/>
    <w:rsid w:val="00D30271"/>
    <w:rsid w:val="00D314A9"/>
    <w:rsid w:val="00D31E94"/>
    <w:rsid w:val="00D3391A"/>
    <w:rsid w:val="00D34CD8"/>
    <w:rsid w:val="00D34DAA"/>
    <w:rsid w:val="00D37C72"/>
    <w:rsid w:val="00D41456"/>
    <w:rsid w:val="00D44586"/>
    <w:rsid w:val="00D460C5"/>
    <w:rsid w:val="00D57B35"/>
    <w:rsid w:val="00D61065"/>
    <w:rsid w:val="00D64678"/>
    <w:rsid w:val="00D64B91"/>
    <w:rsid w:val="00D65A0C"/>
    <w:rsid w:val="00D674D3"/>
    <w:rsid w:val="00D70EBB"/>
    <w:rsid w:val="00D70EE5"/>
    <w:rsid w:val="00D72123"/>
    <w:rsid w:val="00D72181"/>
    <w:rsid w:val="00D72A89"/>
    <w:rsid w:val="00D72A91"/>
    <w:rsid w:val="00D769FC"/>
    <w:rsid w:val="00D8359E"/>
    <w:rsid w:val="00D83C19"/>
    <w:rsid w:val="00D844AC"/>
    <w:rsid w:val="00D86041"/>
    <w:rsid w:val="00D86077"/>
    <w:rsid w:val="00D919D0"/>
    <w:rsid w:val="00D92948"/>
    <w:rsid w:val="00D942FA"/>
    <w:rsid w:val="00DA17B5"/>
    <w:rsid w:val="00DA6715"/>
    <w:rsid w:val="00DB12AB"/>
    <w:rsid w:val="00DB1447"/>
    <w:rsid w:val="00DB1A42"/>
    <w:rsid w:val="00DB29C2"/>
    <w:rsid w:val="00DB5796"/>
    <w:rsid w:val="00DB6584"/>
    <w:rsid w:val="00DB6706"/>
    <w:rsid w:val="00DC024D"/>
    <w:rsid w:val="00DC0F98"/>
    <w:rsid w:val="00DC1FB3"/>
    <w:rsid w:val="00DC240E"/>
    <w:rsid w:val="00DC707B"/>
    <w:rsid w:val="00DD4CB9"/>
    <w:rsid w:val="00DD5818"/>
    <w:rsid w:val="00DE17A4"/>
    <w:rsid w:val="00DE52B1"/>
    <w:rsid w:val="00DE5A46"/>
    <w:rsid w:val="00DE5FCC"/>
    <w:rsid w:val="00DE6718"/>
    <w:rsid w:val="00DE727C"/>
    <w:rsid w:val="00DF2FF9"/>
    <w:rsid w:val="00DF40CE"/>
    <w:rsid w:val="00E009A8"/>
    <w:rsid w:val="00E00FE8"/>
    <w:rsid w:val="00E01D0B"/>
    <w:rsid w:val="00E02E21"/>
    <w:rsid w:val="00E036E2"/>
    <w:rsid w:val="00E04691"/>
    <w:rsid w:val="00E06D16"/>
    <w:rsid w:val="00E12BC5"/>
    <w:rsid w:val="00E13776"/>
    <w:rsid w:val="00E15AAA"/>
    <w:rsid w:val="00E17E33"/>
    <w:rsid w:val="00E2312A"/>
    <w:rsid w:val="00E2481F"/>
    <w:rsid w:val="00E25F15"/>
    <w:rsid w:val="00E2778D"/>
    <w:rsid w:val="00E27A77"/>
    <w:rsid w:val="00E27C61"/>
    <w:rsid w:val="00E3147B"/>
    <w:rsid w:val="00E35C4F"/>
    <w:rsid w:val="00E403BA"/>
    <w:rsid w:val="00E412E3"/>
    <w:rsid w:val="00E4506D"/>
    <w:rsid w:val="00E45FD4"/>
    <w:rsid w:val="00E4689F"/>
    <w:rsid w:val="00E506BB"/>
    <w:rsid w:val="00E54FDF"/>
    <w:rsid w:val="00E55B2F"/>
    <w:rsid w:val="00E5609F"/>
    <w:rsid w:val="00E56238"/>
    <w:rsid w:val="00E57BC5"/>
    <w:rsid w:val="00E603F7"/>
    <w:rsid w:val="00E67725"/>
    <w:rsid w:val="00E73843"/>
    <w:rsid w:val="00E7544B"/>
    <w:rsid w:val="00E77A08"/>
    <w:rsid w:val="00E82D07"/>
    <w:rsid w:val="00E83B52"/>
    <w:rsid w:val="00E8520A"/>
    <w:rsid w:val="00E85EA9"/>
    <w:rsid w:val="00E93F28"/>
    <w:rsid w:val="00E955F7"/>
    <w:rsid w:val="00E9592B"/>
    <w:rsid w:val="00E970A1"/>
    <w:rsid w:val="00EA03B1"/>
    <w:rsid w:val="00EA1F05"/>
    <w:rsid w:val="00EA2F4B"/>
    <w:rsid w:val="00EA3578"/>
    <w:rsid w:val="00EA7501"/>
    <w:rsid w:val="00EB038C"/>
    <w:rsid w:val="00EB3108"/>
    <w:rsid w:val="00EC2980"/>
    <w:rsid w:val="00EC2C46"/>
    <w:rsid w:val="00EC55B1"/>
    <w:rsid w:val="00EC6FB1"/>
    <w:rsid w:val="00ED24BF"/>
    <w:rsid w:val="00ED367B"/>
    <w:rsid w:val="00ED3916"/>
    <w:rsid w:val="00ED5341"/>
    <w:rsid w:val="00EE0538"/>
    <w:rsid w:val="00EE0A84"/>
    <w:rsid w:val="00EE195D"/>
    <w:rsid w:val="00EE4ED8"/>
    <w:rsid w:val="00EE6FB0"/>
    <w:rsid w:val="00EF0B1E"/>
    <w:rsid w:val="00EF14B4"/>
    <w:rsid w:val="00EF2AB3"/>
    <w:rsid w:val="00EF3507"/>
    <w:rsid w:val="00EF56F4"/>
    <w:rsid w:val="00EF6E67"/>
    <w:rsid w:val="00F04BBA"/>
    <w:rsid w:val="00F103EC"/>
    <w:rsid w:val="00F12EC6"/>
    <w:rsid w:val="00F13357"/>
    <w:rsid w:val="00F14579"/>
    <w:rsid w:val="00F15E1D"/>
    <w:rsid w:val="00F17047"/>
    <w:rsid w:val="00F17848"/>
    <w:rsid w:val="00F20FE2"/>
    <w:rsid w:val="00F24029"/>
    <w:rsid w:val="00F24150"/>
    <w:rsid w:val="00F2435D"/>
    <w:rsid w:val="00F268F4"/>
    <w:rsid w:val="00F26FD0"/>
    <w:rsid w:val="00F30BCE"/>
    <w:rsid w:val="00F31053"/>
    <w:rsid w:val="00F31FEB"/>
    <w:rsid w:val="00F32AE4"/>
    <w:rsid w:val="00F36109"/>
    <w:rsid w:val="00F51DE1"/>
    <w:rsid w:val="00F54F89"/>
    <w:rsid w:val="00F56B84"/>
    <w:rsid w:val="00F619EA"/>
    <w:rsid w:val="00F64AFD"/>
    <w:rsid w:val="00F7008C"/>
    <w:rsid w:val="00F70ECA"/>
    <w:rsid w:val="00F7397B"/>
    <w:rsid w:val="00F761A6"/>
    <w:rsid w:val="00F80C37"/>
    <w:rsid w:val="00F81B42"/>
    <w:rsid w:val="00F83CC9"/>
    <w:rsid w:val="00F846E5"/>
    <w:rsid w:val="00F86D07"/>
    <w:rsid w:val="00F918FD"/>
    <w:rsid w:val="00F92EEA"/>
    <w:rsid w:val="00F93556"/>
    <w:rsid w:val="00F93F49"/>
    <w:rsid w:val="00F957C9"/>
    <w:rsid w:val="00F972B4"/>
    <w:rsid w:val="00FA3ABE"/>
    <w:rsid w:val="00FA57FB"/>
    <w:rsid w:val="00FA78FF"/>
    <w:rsid w:val="00FB397B"/>
    <w:rsid w:val="00FB45E8"/>
    <w:rsid w:val="00FB466B"/>
    <w:rsid w:val="00FB75CE"/>
    <w:rsid w:val="00FC44C6"/>
    <w:rsid w:val="00FC5A0D"/>
    <w:rsid w:val="00FC7C80"/>
    <w:rsid w:val="00FD18C1"/>
    <w:rsid w:val="00FD2788"/>
    <w:rsid w:val="00FD3100"/>
    <w:rsid w:val="00FD3222"/>
    <w:rsid w:val="00FD5EE3"/>
    <w:rsid w:val="00FD6CAB"/>
    <w:rsid w:val="00FD7EDA"/>
    <w:rsid w:val="00FE0F39"/>
    <w:rsid w:val="00FE1930"/>
    <w:rsid w:val="00FE3A59"/>
    <w:rsid w:val="00FE645E"/>
    <w:rsid w:val="00FF3689"/>
    <w:rsid w:val="00FF57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EE4B9"/>
  <w15:chartTrackingRefBased/>
  <w15:docId w15:val="{5DA159B8-784E-4E67-93C2-85839985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129E2"/>
    <w:rPr>
      <w:rFonts w:asciiTheme="minorHAnsi" w:eastAsiaTheme="minorHAnsi" w:hAnsiTheme="minorHAnsi" w:cstheme="minorHAnsi"/>
      <w:sz w:val="22"/>
      <w:szCs w:val="22"/>
      <w:lang w:eastAsia="en-US"/>
    </w:rPr>
  </w:style>
  <w:style w:type="paragraph" w:styleId="Otsikko1">
    <w:name w:val="heading 1"/>
    <w:basedOn w:val="Normaali"/>
    <w:next w:val="Normaali"/>
    <w:link w:val="Otsikko1Char"/>
    <w:qFormat/>
    <w:rsid w:val="000A5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uiPriority w:val="59"/>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Luettelokappale">
    <w:name w:val="List Paragraph"/>
    <w:basedOn w:val="Normaali"/>
    <w:uiPriority w:val="34"/>
    <w:qFormat/>
    <w:rsid w:val="00491624"/>
    <w:pPr>
      <w:ind w:left="720"/>
      <w:contextualSpacing/>
    </w:pPr>
    <w:rPr>
      <w:szCs w:val="24"/>
      <w:lang w:eastAsia="fi-FI"/>
    </w:rPr>
  </w:style>
  <w:style w:type="character" w:styleId="Kommentinviite">
    <w:name w:val="annotation reference"/>
    <w:uiPriority w:val="99"/>
    <w:rsid w:val="005C0F66"/>
    <w:rPr>
      <w:sz w:val="16"/>
      <w:szCs w:val="16"/>
    </w:rPr>
  </w:style>
  <w:style w:type="paragraph" w:styleId="Kommentinteksti">
    <w:name w:val="annotation text"/>
    <w:basedOn w:val="Normaali"/>
    <w:link w:val="KommentintekstiChar"/>
    <w:uiPriority w:val="99"/>
    <w:rsid w:val="005C0F66"/>
    <w:rPr>
      <w:sz w:val="20"/>
    </w:rPr>
  </w:style>
  <w:style w:type="character" w:customStyle="1" w:styleId="KommentintekstiChar">
    <w:name w:val="Kommentin teksti Char"/>
    <w:link w:val="Kommentinteksti"/>
    <w:uiPriority w:val="99"/>
    <w:rsid w:val="005C0F66"/>
    <w:rPr>
      <w:lang w:eastAsia="en-US"/>
    </w:rPr>
  </w:style>
  <w:style w:type="paragraph" w:styleId="Kommentinotsikko">
    <w:name w:val="annotation subject"/>
    <w:basedOn w:val="Kommentinteksti"/>
    <w:next w:val="Kommentinteksti"/>
    <w:link w:val="KommentinotsikkoChar"/>
    <w:rsid w:val="005C0F66"/>
    <w:rPr>
      <w:b/>
      <w:bCs/>
    </w:rPr>
  </w:style>
  <w:style w:type="character" w:customStyle="1" w:styleId="KommentinotsikkoChar">
    <w:name w:val="Kommentin otsikko Char"/>
    <w:link w:val="Kommentinotsikko"/>
    <w:rsid w:val="005C0F66"/>
    <w:rPr>
      <w:b/>
      <w:bCs/>
      <w:lang w:eastAsia="en-US"/>
    </w:rPr>
  </w:style>
  <w:style w:type="paragraph" w:styleId="Seliteteksti">
    <w:name w:val="Balloon Text"/>
    <w:basedOn w:val="Normaali"/>
    <w:link w:val="SelitetekstiChar"/>
    <w:rsid w:val="005C0F66"/>
    <w:rPr>
      <w:rFonts w:ascii="Tahoma" w:hAnsi="Tahoma" w:cs="Tahoma"/>
      <w:sz w:val="16"/>
      <w:szCs w:val="16"/>
    </w:rPr>
  </w:style>
  <w:style w:type="character" w:customStyle="1" w:styleId="SelitetekstiChar">
    <w:name w:val="Seliteteksti Char"/>
    <w:link w:val="Seliteteksti"/>
    <w:rsid w:val="005C0F66"/>
    <w:rPr>
      <w:rFonts w:ascii="Tahoma" w:hAnsi="Tahoma" w:cs="Tahoma"/>
      <w:sz w:val="16"/>
      <w:szCs w:val="16"/>
      <w:lang w:eastAsia="en-US"/>
    </w:rPr>
  </w:style>
  <w:style w:type="character" w:styleId="Hyperlinkki">
    <w:name w:val="Hyperlink"/>
    <w:uiPriority w:val="99"/>
    <w:unhideWhenUsed/>
    <w:rsid w:val="002829F8"/>
    <w:rPr>
      <w:color w:val="0000FF"/>
      <w:u w:val="single"/>
    </w:rPr>
  </w:style>
  <w:style w:type="paragraph" w:styleId="Leipteksti">
    <w:name w:val="Body Text"/>
    <w:basedOn w:val="Normaali"/>
    <w:link w:val="LeiptekstiChar"/>
    <w:rsid w:val="009119EA"/>
    <w:pPr>
      <w:spacing w:after="120"/>
    </w:pPr>
  </w:style>
  <w:style w:type="character" w:customStyle="1" w:styleId="LeiptekstiChar">
    <w:name w:val="Leipäteksti Char"/>
    <w:basedOn w:val="Kappaleenoletusfontti"/>
    <w:link w:val="Leipteksti"/>
    <w:rsid w:val="009119EA"/>
    <w:rPr>
      <w:sz w:val="24"/>
      <w:lang w:eastAsia="en-US"/>
    </w:rPr>
  </w:style>
  <w:style w:type="character" w:customStyle="1" w:styleId="Otsikko1Char">
    <w:name w:val="Otsikko 1 Char"/>
    <w:basedOn w:val="Kappaleenoletusfontti"/>
    <w:link w:val="Otsikko1"/>
    <w:rsid w:val="000A5029"/>
    <w:rPr>
      <w:rFonts w:asciiTheme="majorHAnsi" w:eastAsiaTheme="majorEastAsia" w:hAnsiTheme="majorHAnsi" w:cstheme="majorBidi"/>
      <w:color w:val="2E74B5" w:themeColor="accent1" w:themeShade="BF"/>
      <w:sz w:val="32"/>
      <w:szCs w:val="32"/>
      <w:lang w:eastAsia="en-US"/>
    </w:rPr>
  </w:style>
  <w:style w:type="paragraph" w:styleId="NormaaliWWW">
    <w:name w:val="Normal (Web)"/>
    <w:basedOn w:val="Normaali"/>
    <w:uiPriority w:val="99"/>
    <w:unhideWhenUsed/>
    <w:rsid w:val="00E2481F"/>
    <w:pPr>
      <w:spacing w:before="100" w:beforeAutospacing="1" w:after="100" w:afterAutospacing="1"/>
    </w:pPr>
    <w:rPr>
      <w:rFonts w:ascii="Times New Roman" w:eastAsiaTheme="minorEastAsia" w:hAnsi="Times New Roman" w:cs="Times New Roman"/>
      <w:sz w:val="24"/>
      <w:szCs w:val="24"/>
      <w:lang w:eastAsia="fi-FI"/>
    </w:rPr>
  </w:style>
  <w:style w:type="paragraph" w:styleId="Leipteksti2">
    <w:name w:val="Body Text 2"/>
    <w:basedOn w:val="Normaali"/>
    <w:link w:val="Leipteksti2Char"/>
    <w:rsid w:val="004E59C0"/>
    <w:pPr>
      <w:spacing w:after="120" w:line="480" w:lineRule="auto"/>
    </w:pPr>
  </w:style>
  <w:style w:type="character" w:customStyle="1" w:styleId="Leipteksti2Char">
    <w:name w:val="Leipäteksti 2 Char"/>
    <w:basedOn w:val="Kappaleenoletusfontti"/>
    <w:link w:val="Leipteksti2"/>
    <w:rsid w:val="004E59C0"/>
    <w:rPr>
      <w:rFonts w:asciiTheme="minorHAnsi" w:eastAsiaTheme="minorHAnsi" w:hAnsiTheme="minorHAnsi" w:cstheme="minorHAnsi"/>
      <w:sz w:val="22"/>
      <w:szCs w:val="22"/>
      <w:lang w:eastAsia="en-US"/>
    </w:rPr>
  </w:style>
  <w:style w:type="paragraph" w:customStyle="1" w:styleId="Default">
    <w:name w:val="Default"/>
    <w:rsid w:val="007526B8"/>
    <w:pPr>
      <w:autoSpaceDE w:val="0"/>
      <w:autoSpaceDN w:val="0"/>
      <w:adjustRightInd w:val="0"/>
    </w:pPr>
    <w:rPr>
      <w:rFonts w:ascii="Arial" w:eastAsiaTheme="minorHAnsi" w:hAnsi="Arial" w:cs="Arial"/>
      <w:color w:val="000000"/>
      <w:sz w:val="24"/>
      <w:szCs w:val="24"/>
      <w:lang w:eastAsia="en-US"/>
    </w:rPr>
  </w:style>
  <w:style w:type="paragraph" w:customStyle="1" w:styleId="LLSaadoksenNimi">
    <w:name w:val="LLSaadoksenNimi"/>
    <w:next w:val="Normaali"/>
    <w:rsid w:val="000A4107"/>
    <w:pPr>
      <w:spacing w:after="220" w:line="220" w:lineRule="exact"/>
      <w:jc w:val="center"/>
      <w:outlineLvl w:val="1"/>
    </w:pPr>
    <w:rPr>
      <w:b/>
      <w:sz w:val="21"/>
      <w:szCs w:val="24"/>
    </w:rPr>
  </w:style>
  <w:style w:type="paragraph" w:customStyle="1" w:styleId="LLKappalejako">
    <w:name w:val="LLKappalejako"/>
    <w:link w:val="LLKappalejakoChar"/>
    <w:rsid w:val="00A93CE3"/>
    <w:pPr>
      <w:spacing w:line="220" w:lineRule="exact"/>
      <w:ind w:firstLine="170"/>
      <w:jc w:val="both"/>
    </w:pPr>
    <w:rPr>
      <w:sz w:val="22"/>
      <w:szCs w:val="24"/>
    </w:rPr>
  </w:style>
  <w:style w:type="character" w:customStyle="1" w:styleId="LLKappalejakoChar">
    <w:name w:val="LLKappalejako Char"/>
    <w:link w:val="LLKappalejako"/>
    <w:locked/>
    <w:rsid w:val="00A93CE3"/>
    <w:rPr>
      <w:sz w:val="22"/>
      <w:szCs w:val="24"/>
    </w:rPr>
  </w:style>
  <w:style w:type="paragraph" w:customStyle="1" w:styleId="LLPykala">
    <w:name w:val="LLPykala"/>
    <w:next w:val="Normaali"/>
    <w:rsid w:val="00A93CE3"/>
    <w:pPr>
      <w:spacing w:line="220" w:lineRule="exact"/>
      <w:jc w:val="center"/>
    </w:pPr>
    <w:rPr>
      <w:sz w:val="22"/>
      <w:szCs w:val="24"/>
    </w:rPr>
  </w:style>
  <w:style w:type="paragraph" w:customStyle="1" w:styleId="LLPykalanOtsikko">
    <w:name w:val="LLPykalanOtsikko"/>
    <w:next w:val="Normaali"/>
    <w:rsid w:val="00A93CE3"/>
    <w:pPr>
      <w:spacing w:before="220" w:after="220" w:line="220" w:lineRule="exact"/>
      <w:jc w:val="center"/>
    </w:pPr>
    <w:rPr>
      <w:i/>
      <w:sz w:val="22"/>
      <w:szCs w:val="24"/>
    </w:rPr>
  </w:style>
  <w:style w:type="paragraph" w:customStyle="1" w:styleId="LLJohtolauseKappaleet">
    <w:name w:val="LLJohtolauseKappaleet"/>
    <w:rsid w:val="00A93CE3"/>
    <w:pPr>
      <w:spacing w:line="220" w:lineRule="exact"/>
      <w:ind w:firstLine="170"/>
      <w:jc w:val="both"/>
    </w:pPr>
    <w:rPr>
      <w:sz w:val="22"/>
      <w:szCs w:val="24"/>
    </w:rPr>
  </w:style>
  <w:style w:type="paragraph" w:customStyle="1" w:styleId="LLNormaali">
    <w:name w:val="LLNormaali"/>
    <w:basedOn w:val="Normaali"/>
    <w:qFormat/>
    <w:rsid w:val="00A93CE3"/>
    <w:pPr>
      <w:spacing w:line="220" w:lineRule="exact"/>
    </w:pPr>
    <w:rPr>
      <w:rFonts w:ascii="Times New Roman" w:eastAsia="Calibri" w:hAnsi="Times New Roman" w:cs="Times New Roman"/>
    </w:rPr>
  </w:style>
  <w:style w:type="paragraph" w:customStyle="1" w:styleId="perustelukappaleet">
    <w:name w:val="perustelukappaleet"/>
    <w:basedOn w:val="Normaali"/>
    <w:link w:val="perustelukappaleetChar"/>
    <w:qFormat/>
    <w:rsid w:val="00FB45E8"/>
    <w:pPr>
      <w:spacing w:line="288" w:lineRule="auto"/>
      <w:jc w:val="both"/>
    </w:pPr>
    <w:rPr>
      <w:rFonts w:ascii="Times New Roman" w:eastAsia="Times New Roman" w:hAnsi="Times New Roman" w:cs="Times New Roman"/>
      <w:szCs w:val="24"/>
    </w:rPr>
  </w:style>
  <w:style w:type="character" w:customStyle="1" w:styleId="perustelukappaleetChar">
    <w:name w:val="perustelukappaleet Char"/>
    <w:basedOn w:val="Kappaleenoletusfontti"/>
    <w:link w:val="perustelukappaleet"/>
    <w:rsid w:val="00FB45E8"/>
    <w:rPr>
      <w:sz w:val="22"/>
      <w:szCs w:val="24"/>
      <w:lang w:eastAsia="en-US"/>
    </w:rPr>
  </w:style>
  <w:style w:type="character" w:styleId="Korostus">
    <w:name w:val="Emphasis"/>
    <w:basedOn w:val="Kappaleenoletusfontti"/>
    <w:qFormat/>
    <w:rsid w:val="005742F5"/>
    <w:rPr>
      <w:i/>
      <w:iCs/>
    </w:rPr>
  </w:style>
  <w:style w:type="paragraph" w:customStyle="1" w:styleId="LLOsa">
    <w:name w:val="LLOsa"/>
    <w:next w:val="Normaali"/>
    <w:rsid w:val="00401391"/>
    <w:pPr>
      <w:spacing w:after="220" w:line="220" w:lineRule="exact"/>
      <w:jc w:val="center"/>
    </w:pPr>
    <w:rPr>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3440">
      <w:bodyDiv w:val="1"/>
      <w:marLeft w:val="0"/>
      <w:marRight w:val="0"/>
      <w:marTop w:val="0"/>
      <w:marBottom w:val="0"/>
      <w:divBdr>
        <w:top w:val="none" w:sz="0" w:space="0" w:color="auto"/>
        <w:left w:val="none" w:sz="0" w:space="0" w:color="auto"/>
        <w:bottom w:val="none" w:sz="0" w:space="0" w:color="auto"/>
        <w:right w:val="none" w:sz="0" w:space="0" w:color="auto"/>
      </w:divBdr>
    </w:div>
    <w:div w:id="33585020">
      <w:bodyDiv w:val="1"/>
      <w:marLeft w:val="0"/>
      <w:marRight w:val="0"/>
      <w:marTop w:val="0"/>
      <w:marBottom w:val="0"/>
      <w:divBdr>
        <w:top w:val="none" w:sz="0" w:space="0" w:color="auto"/>
        <w:left w:val="none" w:sz="0" w:space="0" w:color="auto"/>
        <w:bottom w:val="none" w:sz="0" w:space="0" w:color="auto"/>
        <w:right w:val="none" w:sz="0" w:space="0" w:color="auto"/>
      </w:divBdr>
    </w:div>
    <w:div w:id="37094737">
      <w:bodyDiv w:val="1"/>
      <w:marLeft w:val="0"/>
      <w:marRight w:val="0"/>
      <w:marTop w:val="0"/>
      <w:marBottom w:val="0"/>
      <w:divBdr>
        <w:top w:val="none" w:sz="0" w:space="0" w:color="auto"/>
        <w:left w:val="none" w:sz="0" w:space="0" w:color="auto"/>
        <w:bottom w:val="none" w:sz="0" w:space="0" w:color="auto"/>
        <w:right w:val="none" w:sz="0" w:space="0" w:color="auto"/>
      </w:divBdr>
    </w:div>
    <w:div w:id="78213640">
      <w:bodyDiv w:val="1"/>
      <w:marLeft w:val="0"/>
      <w:marRight w:val="0"/>
      <w:marTop w:val="0"/>
      <w:marBottom w:val="0"/>
      <w:divBdr>
        <w:top w:val="none" w:sz="0" w:space="0" w:color="auto"/>
        <w:left w:val="none" w:sz="0" w:space="0" w:color="auto"/>
        <w:bottom w:val="none" w:sz="0" w:space="0" w:color="auto"/>
        <w:right w:val="none" w:sz="0" w:space="0" w:color="auto"/>
      </w:divBdr>
    </w:div>
    <w:div w:id="83651621">
      <w:bodyDiv w:val="1"/>
      <w:marLeft w:val="0"/>
      <w:marRight w:val="0"/>
      <w:marTop w:val="0"/>
      <w:marBottom w:val="0"/>
      <w:divBdr>
        <w:top w:val="none" w:sz="0" w:space="0" w:color="auto"/>
        <w:left w:val="none" w:sz="0" w:space="0" w:color="auto"/>
        <w:bottom w:val="none" w:sz="0" w:space="0" w:color="auto"/>
        <w:right w:val="none" w:sz="0" w:space="0" w:color="auto"/>
      </w:divBdr>
    </w:div>
    <w:div w:id="95172986">
      <w:bodyDiv w:val="1"/>
      <w:marLeft w:val="0"/>
      <w:marRight w:val="0"/>
      <w:marTop w:val="0"/>
      <w:marBottom w:val="0"/>
      <w:divBdr>
        <w:top w:val="none" w:sz="0" w:space="0" w:color="auto"/>
        <w:left w:val="none" w:sz="0" w:space="0" w:color="auto"/>
        <w:bottom w:val="none" w:sz="0" w:space="0" w:color="auto"/>
        <w:right w:val="none" w:sz="0" w:space="0" w:color="auto"/>
      </w:divBdr>
    </w:div>
    <w:div w:id="141578216">
      <w:bodyDiv w:val="1"/>
      <w:marLeft w:val="0"/>
      <w:marRight w:val="0"/>
      <w:marTop w:val="0"/>
      <w:marBottom w:val="0"/>
      <w:divBdr>
        <w:top w:val="none" w:sz="0" w:space="0" w:color="auto"/>
        <w:left w:val="none" w:sz="0" w:space="0" w:color="auto"/>
        <w:bottom w:val="none" w:sz="0" w:space="0" w:color="auto"/>
        <w:right w:val="none" w:sz="0" w:space="0" w:color="auto"/>
      </w:divBdr>
    </w:div>
    <w:div w:id="141849900">
      <w:bodyDiv w:val="1"/>
      <w:marLeft w:val="0"/>
      <w:marRight w:val="0"/>
      <w:marTop w:val="0"/>
      <w:marBottom w:val="0"/>
      <w:divBdr>
        <w:top w:val="none" w:sz="0" w:space="0" w:color="auto"/>
        <w:left w:val="none" w:sz="0" w:space="0" w:color="auto"/>
        <w:bottom w:val="none" w:sz="0" w:space="0" w:color="auto"/>
        <w:right w:val="none" w:sz="0" w:space="0" w:color="auto"/>
      </w:divBdr>
    </w:div>
    <w:div w:id="145169028">
      <w:bodyDiv w:val="1"/>
      <w:marLeft w:val="0"/>
      <w:marRight w:val="0"/>
      <w:marTop w:val="0"/>
      <w:marBottom w:val="0"/>
      <w:divBdr>
        <w:top w:val="none" w:sz="0" w:space="0" w:color="auto"/>
        <w:left w:val="none" w:sz="0" w:space="0" w:color="auto"/>
        <w:bottom w:val="none" w:sz="0" w:space="0" w:color="auto"/>
        <w:right w:val="none" w:sz="0" w:space="0" w:color="auto"/>
      </w:divBdr>
    </w:div>
    <w:div w:id="160892643">
      <w:bodyDiv w:val="1"/>
      <w:marLeft w:val="0"/>
      <w:marRight w:val="0"/>
      <w:marTop w:val="0"/>
      <w:marBottom w:val="0"/>
      <w:divBdr>
        <w:top w:val="none" w:sz="0" w:space="0" w:color="auto"/>
        <w:left w:val="none" w:sz="0" w:space="0" w:color="auto"/>
        <w:bottom w:val="none" w:sz="0" w:space="0" w:color="auto"/>
        <w:right w:val="none" w:sz="0" w:space="0" w:color="auto"/>
      </w:divBdr>
    </w:div>
    <w:div w:id="192965449">
      <w:bodyDiv w:val="1"/>
      <w:marLeft w:val="0"/>
      <w:marRight w:val="0"/>
      <w:marTop w:val="0"/>
      <w:marBottom w:val="0"/>
      <w:divBdr>
        <w:top w:val="none" w:sz="0" w:space="0" w:color="auto"/>
        <w:left w:val="none" w:sz="0" w:space="0" w:color="auto"/>
        <w:bottom w:val="none" w:sz="0" w:space="0" w:color="auto"/>
        <w:right w:val="none" w:sz="0" w:space="0" w:color="auto"/>
      </w:divBdr>
    </w:div>
    <w:div w:id="396363106">
      <w:bodyDiv w:val="1"/>
      <w:marLeft w:val="0"/>
      <w:marRight w:val="0"/>
      <w:marTop w:val="0"/>
      <w:marBottom w:val="0"/>
      <w:divBdr>
        <w:top w:val="none" w:sz="0" w:space="0" w:color="auto"/>
        <w:left w:val="none" w:sz="0" w:space="0" w:color="auto"/>
        <w:bottom w:val="none" w:sz="0" w:space="0" w:color="auto"/>
        <w:right w:val="none" w:sz="0" w:space="0" w:color="auto"/>
      </w:divBdr>
    </w:div>
    <w:div w:id="461122367">
      <w:bodyDiv w:val="1"/>
      <w:marLeft w:val="0"/>
      <w:marRight w:val="0"/>
      <w:marTop w:val="0"/>
      <w:marBottom w:val="0"/>
      <w:divBdr>
        <w:top w:val="none" w:sz="0" w:space="0" w:color="auto"/>
        <w:left w:val="none" w:sz="0" w:space="0" w:color="auto"/>
        <w:bottom w:val="none" w:sz="0" w:space="0" w:color="auto"/>
        <w:right w:val="none" w:sz="0" w:space="0" w:color="auto"/>
      </w:divBdr>
    </w:div>
    <w:div w:id="557016588">
      <w:bodyDiv w:val="1"/>
      <w:marLeft w:val="0"/>
      <w:marRight w:val="0"/>
      <w:marTop w:val="0"/>
      <w:marBottom w:val="0"/>
      <w:divBdr>
        <w:top w:val="none" w:sz="0" w:space="0" w:color="auto"/>
        <w:left w:val="none" w:sz="0" w:space="0" w:color="auto"/>
        <w:bottom w:val="none" w:sz="0" w:space="0" w:color="auto"/>
        <w:right w:val="none" w:sz="0" w:space="0" w:color="auto"/>
      </w:divBdr>
    </w:div>
    <w:div w:id="563760271">
      <w:bodyDiv w:val="1"/>
      <w:marLeft w:val="0"/>
      <w:marRight w:val="0"/>
      <w:marTop w:val="0"/>
      <w:marBottom w:val="0"/>
      <w:divBdr>
        <w:top w:val="none" w:sz="0" w:space="0" w:color="auto"/>
        <w:left w:val="none" w:sz="0" w:space="0" w:color="auto"/>
        <w:bottom w:val="none" w:sz="0" w:space="0" w:color="auto"/>
        <w:right w:val="none" w:sz="0" w:space="0" w:color="auto"/>
      </w:divBdr>
    </w:div>
    <w:div w:id="571044396">
      <w:bodyDiv w:val="1"/>
      <w:marLeft w:val="0"/>
      <w:marRight w:val="0"/>
      <w:marTop w:val="0"/>
      <w:marBottom w:val="0"/>
      <w:divBdr>
        <w:top w:val="none" w:sz="0" w:space="0" w:color="auto"/>
        <w:left w:val="none" w:sz="0" w:space="0" w:color="auto"/>
        <w:bottom w:val="none" w:sz="0" w:space="0" w:color="auto"/>
        <w:right w:val="none" w:sz="0" w:space="0" w:color="auto"/>
      </w:divBdr>
    </w:div>
    <w:div w:id="596444017">
      <w:bodyDiv w:val="1"/>
      <w:marLeft w:val="0"/>
      <w:marRight w:val="0"/>
      <w:marTop w:val="0"/>
      <w:marBottom w:val="0"/>
      <w:divBdr>
        <w:top w:val="none" w:sz="0" w:space="0" w:color="auto"/>
        <w:left w:val="none" w:sz="0" w:space="0" w:color="auto"/>
        <w:bottom w:val="none" w:sz="0" w:space="0" w:color="auto"/>
        <w:right w:val="none" w:sz="0" w:space="0" w:color="auto"/>
      </w:divBdr>
    </w:div>
    <w:div w:id="677119264">
      <w:bodyDiv w:val="1"/>
      <w:marLeft w:val="0"/>
      <w:marRight w:val="0"/>
      <w:marTop w:val="0"/>
      <w:marBottom w:val="0"/>
      <w:divBdr>
        <w:top w:val="none" w:sz="0" w:space="0" w:color="auto"/>
        <w:left w:val="none" w:sz="0" w:space="0" w:color="auto"/>
        <w:bottom w:val="none" w:sz="0" w:space="0" w:color="auto"/>
        <w:right w:val="none" w:sz="0" w:space="0" w:color="auto"/>
      </w:divBdr>
    </w:div>
    <w:div w:id="740641416">
      <w:bodyDiv w:val="1"/>
      <w:marLeft w:val="0"/>
      <w:marRight w:val="0"/>
      <w:marTop w:val="0"/>
      <w:marBottom w:val="0"/>
      <w:divBdr>
        <w:top w:val="none" w:sz="0" w:space="0" w:color="auto"/>
        <w:left w:val="none" w:sz="0" w:space="0" w:color="auto"/>
        <w:bottom w:val="none" w:sz="0" w:space="0" w:color="auto"/>
        <w:right w:val="none" w:sz="0" w:space="0" w:color="auto"/>
      </w:divBdr>
    </w:div>
    <w:div w:id="836575821">
      <w:bodyDiv w:val="1"/>
      <w:marLeft w:val="0"/>
      <w:marRight w:val="0"/>
      <w:marTop w:val="0"/>
      <w:marBottom w:val="0"/>
      <w:divBdr>
        <w:top w:val="none" w:sz="0" w:space="0" w:color="auto"/>
        <w:left w:val="none" w:sz="0" w:space="0" w:color="auto"/>
        <w:bottom w:val="none" w:sz="0" w:space="0" w:color="auto"/>
        <w:right w:val="none" w:sz="0" w:space="0" w:color="auto"/>
      </w:divBdr>
    </w:div>
    <w:div w:id="935483412">
      <w:bodyDiv w:val="1"/>
      <w:marLeft w:val="0"/>
      <w:marRight w:val="0"/>
      <w:marTop w:val="0"/>
      <w:marBottom w:val="0"/>
      <w:divBdr>
        <w:top w:val="none" w:sz="0" w:space="0" w:color="auto"/>
        <w:left w:val="none" w:sz="0" w:space="0" w:color="auto"/>
        <w:bottom w:val="none" w:sz="0" w:space="0" w:color="auto"/>
        <w:right w:val="none" w:sz="0" w:space="0" w:color="auto"/>
      </w:divBdr>
    </w:div>
    <w:div w:id="1072628624">
      <w:bodyDiv w:val="1"/>
      <w:marLeft w:val="0"/>
      <w:marRight w:val="0"/>
      <w:marTop w:val="0"/>
      <w:marBottom w:val="0"/>
      <w:divBdr>
        <w:top w:val="none" w:sz="0" w:space="0" w:color="auto"/>
        <w:left w:val="none" w:sz="0" w:space="0" w:color="auto"/>
        <w:bottom w:val="none" w:sz="0" w:space="0" w:color="auto"/>
        <w:right w:val="none" w:sz="0" w:space="0" w:color="auto"/>
      </w:divBdr>
    </w:div>
    <w:div w:id="1093673266">
      <w:bodyDiv w:val="1"/>
      <w:marLeft w:val="0"/>
      <w:marRight w:val="0"/>
      <w:marTop w:val="0"/>
      <w:marBottom w:val="0"/>
      <w:divBdr>
        <w:top w:val="none" w:sz="0" w:space="0" w:color="auto"/>
        <w:left w:val="none" w:sz="0" w:space="0" w:color="auto"/>
        <w:bottom w:val="none" w:sz="0" w:space="0" w:color="auto"/>
        <w:right w:val="none" w:sz="0" w:space="0" w:color="auto"/>
      </w:divBdr>
    </w:div>
    <w:div w:id="1148860510">
      <w:bodyDiv w:val="1"/>
      <w:marLeft w:val="0"/>
      <w:marRight w:val="0"/>
      <w:marTop w:val="0"/>
      <w:marBottom w:val="0"/>
      <w:divBdr>
        <w:top w:val="none" w:sz="0" w:space="0" w:color="auto"/>
        <w:left w:val="none" w:sz="0" w:space="0" w:color="auto"/>
        <w:bottom w:val="none" w:sz="0" w:space="0" w:color="auto"/>
        <w:right w:val="none" w:sz="0" w:space="0" w:color="auto"/>
      </w:divBdr>
    </w:div>
    <w:div w:id="1208446147">
      <w:bodyDiv w:val="1"/>
      <w:marLeft w:val="0"/>
      <w:marRight w:val="0"/>
      <w:marTop w:val="0"/>
      <w:marBottom w:val="0"/>
      <w:divBdr>
        <w:top w:val="none" w:sz="0" w:space="0" w:color="auto"/>
        <w:left w:val="none" w:sz="0" w:space="0" w:color="auto"/>
        <w:bottom w:val="none" w:sz="0" w:space="0" w:color="auto"/>
        <w:right w:val="none" w:sz="0" w:space="0" w:color="auto"/>
      </w:divBdr>
    </w:div>
    <w:div w:id="1313680348">
      <w:bodyDiv w:val="1"/>
      <w:marLeft w:val="0"/>
      <w:marRight w:val="0"/>
      <w:marTop w:val="0"/>
      <w:marBottom w:val="0"/>
      <w:divBdr>
        <w:top w:val="none" w:sz="0" w:space="0" w:color="auto"/>
        <w:left w:val="none" w:sz="0" w:space="0" w:color="auto"/>
        <w:bottom w:val="none" w:sz="0" w:space="0" w:color="auto"/>
        <w:right w:val="none" w:sz="0" w:space="0" w:color="auto"/>
      </w:divBdr>
    </w:div>
    <w:div w:id="1476876339">
      <w:bodyDiv w:val="1"/>
      <w:marLeft w:val="0"/>
      <w:marRight w:val="0"/>
      <w:marTop w:val="0"/>
      <w:marBottom w:val="0"/>
      <w:divBdr>
        <w:top w:val="none" w:sz="0" w:space="0" w:color="auto"/>
        <w:left w:val="none" w:sz="0" w:space="0" w:color="auto"/>
        <w:bottom w:val="none" w:sz="0" w:space="0" w:color="auto"/>
        <w:right w:val="none" w:sz="0" w:space="0" w:color="auto"/>
      </w:divBdr>
    </w:div>
    <w:div w:id="1494292401">
      <w:bodyDiv w:val="1"/>
      <w:marLeft w:val="0"/>
      <w:marRight w:val="0"/>
      <w:marTop w:val="0"/>
      <w:marBottom w:val="0"/>
      <w:divBdr>
        <w:top w:val="none" w:sz="0" w:space="0" w:color="auto"/>
        <w:left w:val="none" w:sz="0" w:space="0" w:color="auto"/>
        <w:bottom w:val="none" w:sz="0" w:space="0" w:color="auto"/>
        <w:right w:val="none" w:sz="0" w:space="0" w:color="auto"/>
      </w:divBdr>
    </w:div>
    <w:div w:id="1592936267">
      <w:bodyDiv w:val="1"/>
      <w:marLeft w:val="0"/>
      <w:marRight w:val="0"/>
      <w:marTop w:val="0"/>
      <w:marBottom w:val="0"/>
      <w:divBdr>
        <w:top w:val="none" w:sz="0" w:space="0" w:color="auto"/>
        <w:left w:val="none" w:sz="0" w:space="0" w:color="auto"/>
        <w:bottom w:val="none" w:sz="0" w:space="0" w:color="auto"/>
        <w:right w:val="none" w:sz="0" w:space="0" w:color="auto"/>
      </w:divBdr>
    </w:div>
    <w:div w:id="1593540212">
      <w:bodyDiv w:val="1"/>
      <w:marLeft w:val="0"/>
      <w:marRight w:val="0"/>
      <w:marTop w:val="0"/>
      <w:marBottom w:val="0"/>
      <w:divBdr>
        <w:top w:val="none" w:sz="0" w:space="0" w:color="auto"/>
        <w:left w:val="none" w:sz="0" w:space="0" w:color="auto"/>
        <w:bottom w:val="none" w:sz="0" w:space="0" w:color="auto"/>
        <w:right w:val="none" w:sz="0" w:space="0" w:color="auto"/>
      </w:divBdr>
    </w:div>
    <w:div w:id="1641500262">
      <w:bodyDiv w:val="1"/>
      <w:marLeft w:val="0"/>
      <w:marRight w:val="0"/>
      <w:marTop w:val="0"/>
      <w:marBottom w:val="0"/>
      <w:divBdr>
        <w:top w:val="none" w:sz="0" w:space="0" w:color="auto"/>
        <w:left w:val="none" w:sz="0" w:space="0" w:color="auto"/>
        <w:bottom w:val="none" w:sz="0" w:space="0" w:color="auto"/>
        <w:right w:val="none" w:sz="0" w:space="0" w:color="auto"/>
      </w:divBdr>
    </w:div>
    <w:div w:id="1657345534">
      <w:bodyDiv w:val="1"/>
      <w:marLeft w:val="0"/>
      <w:marRight w:val="0"/>
      <w:marTop w:val="0"/>
      <w:marBottom w:val="0"/>
      <w:divBdr>
        <w:top w:val="none" w:sz="0" w:space="0" w:color="auto"/>
        <w:left w:val="none" w:sz="0" w:space="0" w:color="auto"/>
        <w:bottom w:val="none" w:sz="0" w:space="0" w:color="auto"/>
        <w:right w:val="none" w:sz="0" w:space="0" w:color="auto"/>
      </w:divBdr>
      <w:divsChild>
        <w:div w:id="612371880">
          <w:marLeft w:val="1310"/>
          <w:marRight w:val="0"/>
          <w:marTop w:val="62"/>
          <w:marBottom w:val="0"/>
          <w:divBdr>
            <w:top w:val="none" w:sz="0" w:space="0" w:color="auto"/>
            <w:left w:val="none" w:sz="0" w:space="0" w:color="auto"/>
            <w:bottom w:val="none" w:sz="0" w:space="0" w:color="auto"/>
            <w:right w:val="none" w:sz="0" w:space="0" w:color="auto"/>
          </w:divBdr>
        </w:div>
      </w:divsChild>
    </w:div>
    <w:div w:id="1684278992">
      <w:bodyDiv w:val="1"/>
      <w:marLeft w:val="0"/>
      <w:marRight w:val="0"/>
      <w:marTop w:val="0"/>
      <w:marBottom w:val="0"/>
      <w:divBdr>
        <w:top w:val="none" w:sz="0" w:space="0" w:color="auto"/>
        <w:left w:val="none" w:sz="0" w:space="0" w:color="auto"/>
        <w:bottom w:val="none" w:sz="0" w:space="0" w:color="auto"/>
        <w:right w:val="none" w:sz="0" w:space="0" w:color="auto"/>
      </w:divBdr>
    </w:div>
    <w:div w:id="1773435959">
      <w:bodyDiv w:val="1"/>
      <w:marLeft w:val="0"/>
      <w:marRight w:val="0"/>
      <w:marTop w:val="0"/>
      <w:marBottom w:val="0"/>
      <w:divBdr>
        <w:top w:val="none" w:sz="0" w:space="0" w:color="auto"/>
        <w:left w:val="none" w:sz="0" w:space="0" w:color="auto"/>
        <w:bottom w:val="none" w:sz="0" w:space="0" w:color="auto"/>
        <w:right w:val="none" w:sz="0" w:space="0" w:color="auto"/>
      </w:divBdr>
    </w:div>
    <w:div w:id="1795831328">
      <w:bodyDiv w:val="1"/>
      <w:marLeft w:val="0"/>
      <w:marRight w:val="0"/>
      <w:marTop w:val="0"/>
      <w:marBottom w:val="0"/>
      <w:divBdr>
        <w:top w:val="none" w:sz="0" w:space="0" w:color="auto"/>
        <w:left w:val="none" w:sz="0" w:space="0" w:color="auto"/>
        <w:bottom w:val="none" w:sz="0" w:space="0" w:color="auto"/>
        <w:right w:val="none" w:sz="0" w:space="0" w:color="auto"/>
      </w:divBdr>
    </w:div>
    <w:div w:id="1802842384">
      <w:bodyDiv w:val="1"/>
      <w:marLeft w:val="0"/>
      <w:marRight w:val="0"/>
      <w:marTop w:val="0"/>
      <w:marBottom w:val="0"/>
      <w:divBdr>
        <w:top w:val="none" w:sz="0" w:space="0" w:color="auto"/>
        <w:left w:val="none" w:sz="0" w:space="0" w:color="auto"/>
        <w:bottom w:val="none" w:sz="0" w:space="0" w:color="auto"/>
        <w:right w:val="none" w:sz="0" w:space="0" w:color="auto"/>
      </w:divBdr>
    </w:div>
    <w:div w:id="1857765373">
      <w:bodyDiv w:val="1"/>
      <w:marLeft w:val="0"/>
      <w:marRight w:val="0"/>
      <w:marTop w:val="0"/>
      <w:marBottom w:val="0"/>
      <w:divBdr>
        <w:top w:val="none" w:sz="0" w:space="0" w:color="auto"/>
        <w:left w:val="none" w:sz="0" w:space="0" w:color="auto"/>
        <w:bottom w:val="none" w:sz="0" w:space="0" w:color="auto"/>
        <w:right w:val="none" w:sz="0" w:space="0" w:color="auto"/>
      </w:divBdr>
    </w:div>
    <w:div w:id="1894995981">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35672657">
      <w:bodyDiv w:val="1"/>
      <w:marLeft w:val="0"/>
      <w:marRight w:val="0"/>
      <w:marTop w:val="0"/>
      <w:marBottom w:val="0"/>
      <w:divBdr>
        <w:top w:val="none" w:sz="0" w:space="0" w:color="auto"/>
        <w:left w:val="none" w:sz="0" w:space="0" w:color="auto"/>
        <w:bottom w:val="none" w:sz="0" w:space="0" w:color="auto"/>
        <w:right w:val="none" w:sz="0" w:space="0" w:color="auto"/>
      </w:divBdr>
    </w:div>
    <w:div w:id="1948344997">
      <w:bodyDiv w:val="1"/>
      <w:marLeft w:val="0"/>
      <w:marRight w:val="0"/>
      <w:marTop w:val="0"/>
      <w:marBottom w:val="0"/>
      <w:divBdr>
        <w:top w:val="none" w:sz="0" w:space="0" w:color="auto"/>
        <w:left w:val="none" w:sz="0" w:space="0" w:color="auto"/>
        <w:bottom w:val="none" w:sz="0" w:space="0" w:color="auto"/>
        <w:right w:val="none" w:sz="0" w:space="0" w:color="auto"/>
      </w:divBdr>
    </w:div>
    <w:div w:id="1977182321">
      <w:bodyDiv w:val="1"/>
      <w:marLeft w:val="0"/>
      <w:marRight w:val="0"/>
      <w:marTop w:val="0"/>
      <w:marBottom w:val="0"/>
      <w:divBdr>
        <w:top w:val="none" w:sz="0" w:space="0" w:color="auto"/>
        <w:left w:val="none" w:sz="0" w:space="0" w:color="auto"/>
        <w:bottom w:val="none" w:sz="0" w:space="0" w:color="auto"/>
        <w:right w:val="none" w:sz="0" w:space="0" w:color="auto"/>
      </w:divBdr>
    </w:div>
    <w:div w:id="2067989966">
      <w:bodyDiv w:val="1"/>
      <w:marLeft w:val="0"/>
      <w:marRight w:val="0"/>
      <w:marTop w:val="0"/>
      <w:marBottom w:val="0"/>
      <w:divBdr>
        <w:top w:val="none" w:sz="0" w:space="0" w:color="auto"/>
        <w:left w:val="none" w:sz="0" w:space="0" w:color="auto"/>
        <w:bottom w:val="none" w:sz="0" w:space="0" w:color="auto"/>
        <w:right w:val="none" w:sz="0" w:space="0" w:color="auto"/>
      </w:divBdr>
    </w:div>
    <w:div w:id="20975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CDB0888CA80FD47B6B81A2830921788" ma:contentTypeVersion="" ma:contentTypeDescription="Luo uusi asiakirja." ma:contentTypeScope="" ma:versionID="72f73d0a6cdb541909064b02031744ad">
  <xsd:schema xmlns:xsd="http://www.w3.org/2001/XMLSchema" xmlns:xs="http://www.w3.org/2001/XMLSchema" xmlns:p="http://schemas.microsoft.com/office/2006/metadata/properties" xmlns:ns2="8d32d700-cf48-49cf-9c2e-94ab5e8de13f" targetNamespace="http://schemas.microsoft.com/office/2006/metadata/properties" ma:root="true" ma:fieldsID="97d32d31caae95076156526d7a042ce8" ns2:_="">
    <xsd:import namespace="8d32d700-cf48-49cf-9c2e-94ab5e8de13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2d700-cf48-49cf-9c2e-94ab5e8de13f" elementFormDefault="qualified">
    <xsd:import namespace="http://schemas.microsoft.com/office/2006/documentManagement/types"/>
    <xsd:import namespace="http://schemas.microsoft.com/office/infopath/2007/PartnerControls"/>
    <xsd:element name="SharedWithUsers" ma:index="9"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ma:index="8" ma:displayName="Kommentit"/>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9AF7-79D4-46C2-9A8C-21DA03A8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2d700-cf48-49cf-9c2e-94ab5e8de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C10A6-BE35-4AA4-AA10-493F18D18688}">
  <ds:schemaRefs>
    <ds:schemaRef ds:uri="http://schemas.microsoft.com/sharepoint/v3/contenttype/forms"/>
  </ds:schemaRefs>
</ds:datastoreItem>
</file>

<file path=customXml/itemProps3.xml><?xml version="1.0" encoding="utf-8"?>
<ds:datastoreItem xmlns:ds="http://schemas.openxmlformats.org/officeDocument/2006/customXml" ds:itemID="{31620277-C07F-4051-9DC1-FBF4B8AC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3548</Words>
  <Characters>28745</Characters>
  <Application>Microsoft Office Word</Application>
  <DocSecurity>0</DocSecurity>
  <Lines>239</Lines>
  <Paragraphs>64</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Ala-Harja Marjukka</dc:creator>
  <cp:keywords/>
  <dc:description/>
  <cp:lastModifiedBy>Ala-Harja Marjukka</cp:lastModifiedBy>
  <cp:revision>2</cp:revision>
  <cp:lastPrinted>2019-10-28T11:53:00Z</cp:lastPrinted>
  <dcterms:created xsi:type="dcterms:W3CDTF">2021-11-18T15:22:00Z</dcterms:created>
  <dcterms:modified xsi:type="dcterms:W3CDTF">2021-11-18T15:22:00Z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