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D18E" w14:textId="4AC9C4DA" w:rsidR="007B4BA3" w:rsidRDefault="000B3025" w:rsidP="003F5421">
      <w:r>
        <w:t xml:space="preserve">Utkast </w:t>
      </w:r>
      <w:r w:rsidR="00883564">
        <w:t>29.11</w:t>
      </w:r>
      <w:bookmarkStart w:id="0" w:name="_GoBack"/>
      <w:bookmarkEnd w:id="0"/>
      <w:r>
        <w:t>.2021</w:t>
      </w:r>
    </w:p>
    <w:p w14:paraId="40581B76" w14:textId="17AC17E1" w:rsidR="000B3025" w:rsidRDefault="007B4BA3" w:rsidP="003F5421">
      <w:r>
        <w:t>EOS/AL</w:t>
      </w:r>
    </w:p>
    <w:p w14:paraId="401CDC9E" w14:textId="012D2179" w:rsidR="00473706" w:rsidRDefault="00473706" w:rsidP="003F5421"/>
    <w:p w14:paraId="3B69DD00" w14:textId="35BC6D6C" w:rsidR="00473706" w:rsidRDefault="00473706" w:rsidP="003F5421"/>
    <w:p w14:paraId="18BEA6DF" w14:textId="77777777" w:rsidR="00473706" w:rsidRDefault="00473706" w:rsidP="003F5421"/>
    <w:p w14:paraId="0F2266D8" w14:textId="77777777" w:rsidR="00C766A0" w:rsidRDefault="00C766A0" w:rsidP="003F5421"/>
    <w:p w14:paraId="50B1AD01" w14:textId="77777777" w:rsidR="000B3025" w:rsidRPr="002416FC" w:rsidRDefault="000B3025" w:rsidP="002416FC">
      <w:pPr>
        <w:jc w:val="center"/>
        <w:rPr>
          <w:b/>
        </w:rPr>
      </w:pPr>
    </w:p>
    <w:p w14:paraId="4B46DEAC" w14:textId="77777777" w:rsidR="003F5421" w:rsidRPr="002416FC" w:rsidRDefault="003F5421" w:rsidP="002416FC">
      <w:pPr>
        <w:jc w:val="center"/>
        <w:rPr>
          <w:b/>
        </w:rPr>
      </w:pPr>
      <w:r>
        <w:rPr>
          <w:b/>
          <w:bCs/>
        </w:rPr>
        <w:t>Statsrådets förordning</w:t>
      </w:r>
    </w:p>
    <w:p w14:paraId="78D9481E" w14:textId="77777777" w:rsidR="004B5D50" w:rsidRPr="002416FC" w:rsidRDefault="003F5421" w:rsidP="002416FC">
      <w:pPr>
        <w:jc w:val="center"/>
        <w:rPr>
          <w:b/>
        </w:rPr>
      </w:pPr>
      <w:r>
        <w:rPr>
          <w:b/>
        </w:rPr>
        <w:t>om skyddsupplag för bränntorv</w:t>
      </w:r>
    </w:p>
    <w:p w14:paraId="42B0ACB8" w14:textId="77777777" w:rsidR="009D0320" w:rsidRDefault="009D0320" w:rsidP="003F5421"/>
    <w:p w14:paraId="0EDEF892" w14:textId="77777777" w:rsidR="004B5D50" w:rsidRDefault="004B5D50" w:rsidP="009D0320">
      <w:r>
        <w:t>I enlighet med statsrådets beslut föreskrivs med stöd av lagen om skyddsupplag för bränntorv (xx/20xx):</w:t>
      </w:r>
    </w:p>
    <w:p w14:paraId="1AF2B7D5" w14:textId="77777777" w:rsidR="003F5421" w:rsidRDefault="003F5421" w:rsidP="003F5421"/>
    <w:p w14:paraId="6C832218" w14:textId="77777777" w:rsidR="009D0320" w:rsidRDefault="003F5421" w:rsidP="003F5421">
      <w:r>
        <w:t xml:space="preserve">1 § </w:t>
      </w:r>
    </w:p>
    <w:p w14:paraId="7DBFEA00" w14:textId="77777777" w:rsidR="003F5421" w:rsidRDefault="003F5421" w:rsidP="003F5421">
      <w:r>
        <w:t>Tillämpningsområde</w:t>
      </w:r>
    </w:p>
    <w:p w14:paraId="468108CC" w14:textId="77777777" w:rsidR="009D0320" w:rsidRDefault="009D0320" w:rsidP="003F5421"/>
    <w:p w14:paraId="5F3B4B41" w14:textId="762905F5" w:rsidR="009D0320" w:rsidRDefault="003F5421" w:rsidP="003F5421">
      <w:r>
        <w:t>Denna förordning tillämpas på sådan skyddsupplagring av bränntorv som avses i lagen om skyddsupplag för bränntorv (xx/20xx).</w:t>
      </w:r>
    </w:p>
    <w:p w14:paraId="00C2F1F5" w14:textId="77777777" w:rsidR="003F5421" w:rsidRDefault="003F5421" w:rsidP="003F5421"/>
    <w:p w14:paraId="51C8E259" w14:textId="77777777" w:rsidR="003F5421" w:rsidRDefault="003F5421" w:rsidP="003F5421">
      <w:r>
        <w:t>2 §</w:t>
      </w:r>
    </w:p>
    <w:p w14:paraId="22A05FD4" w14:textId="77777777" w:rsidR="003F5421" w:rsidRDefault="003F5421" w:rsidP="003F5421">
      <w:r>
        <w:t>Framställan om inrättande av skyddsupplag</w:t>
      </w:r>
    </w:p>
    <w:p w14:paraId="7D8911BE" w14:textId="77777777" w:rsidR="009D0320" w:rsidRDefault="009D0320" w:rsidP="003F5421"/>
    <w:p w14:paraId="0E7A9C0A" w14:textId="77777777" w:rsidR="003F5421" w:rsidRDefault="003F5421" w:rsidP="003F5421">
      <w:r>
        <w:t>En framställning om inrättande av ett skyddsupplag för bränntorv ska göras skriftligen till Försörjningsberedskapscentralen före utgången av oktober månad det år då bränntorven har brutits.</w:t>
      </w:r>
    </w:p>
    <w:p w14:paraId="10C0E269" w14:textId="77777777" w:rsidR="003F5421" w:rsidRDefault="003F5421" w:rsidP="003F5421"/>
    <w:p w14:paraId="52BA8127" w14:textId="77777777" w:rsidR="003F5421" w:rsidRDefault="003F5421" w:rsidP="003F5421">
      <w:r>
        <w:t>Framställningen ska innehålla</w:t>
      </w:r>
    </w:p>
    <w:p w14:paraId="57F9990C" w14:textId="77777777" w:rsidR="003F5421" w:rsidRDefault="003F5421" w:rsidP="003F5421">
      <w:r>
        <w:t>1) uppgift om storleken hos skyddsupplaget specificerad enligt energiinnehållet i den bränntorv som ska upplagras,</w:t>
      </w:r>
    </w:p>
    <w:p w14:paraId="1D714012" w14:textId="77777777" w:rsidR="003F5421" w:rsidRDefault="003F5421" w:rsidP="003F5421">
      <w:r>
        <w:t>2) en plan över de torvmarker och torvstackar som ska höra till skyddsupplaget i fråga,</w:t>
      </w:r>
    </w:p>
    <w:p w14:paraId="1CB3BCCC" w14:textId="77355743" w:rsidR="003F5421" w:rsidRDefault="003F5421" w:rsidP="003F5421">
      <w:r>
        <w:t>3) en redogörelse för den mängd bränntorv som leverantören av bränntorv under de fem föregående åren har levererat till värmeproduktionsanläggningar,</w:t>
      </w:r>
    </w:p>
    <w:p w14:paraId="365E91D0" w14:textId="77777777" w:rsidR="003F5421" w:rsidRDefault="003F5421" w:rsidP="003F5421">
      <w:r>
        <w:t>4) uppgift om sådana befintliga avtal om skyddsupplag för bränntorv som leverantören av bränntorv har ingått.</w:t>
      </w:r>
    </w:p>
    <w:p w14:paraId="650C98C6" w14:textId="77777777" w:rsidR="00406935" w:rsidRDefault="00406935" w:rsidP="003F5421"/>
    <w:p w14:paraId="2F4DD752" w14:textId="77777777" w:rsidR="003F5421" w:rsidRDefault="003F5421" w:rsidP="003F5421">
      <w:r>
        <w:t>3 §</w:t>
      </w:r>
    </w:p>
    <w:p w14:paraId="584A3423" w14:textId="77777777" w:rsidR="003F5421" w:rsidRDefault="003F5421" w:rsidP="003F5421">
      <w:r>
        <w:t>Innehållet i avtal om skyddsupplag</w:t>
      </w:r>
    </w:p>
    <w:p w14:paraId="31BF0A44" w14:textId="77777777" w:rsidR="007030AC" w:rsidRDefault="007030AC" w:rsidP="003F5421"/>
    <w:p w14:paraId="08F9AD98" w14:textId="77777777" w:rsidR="003F5421" w:rsidRDefault="003F5421" w:rsidP="003F5421">
      <w:r>
        <w:t>Avtal om skyddsupplag ska innehålla följande villkor:</w:t>
      </w:r>
    </w:p>
    <w:p w14:paraId="6D85605B" w14:textId="6B1AD107" w:rsidR="003F5421" w:rsidRDefault="003F5421" w:rsidP="00C210CC">
      <w:r>
        <w:t>1) en av uppläggaren given förbindelse om inrättande och upprätthållande av ett skyddsupplag för bränntorv i enlighet med lagen om skyddsupplag för bränntorv samt ett omnämnande om att skyddsupplagringen är en sådan allmännyttig tjänst som avses i kommissionens beslut (2012/21/EU) om tillämpningen av artikel 106.2 i fördraget om Europeiska unionens funktionssätt på statligt stöd i form av ersättning för allmännyttiga tjänster som beviljas vissa företag som fått i uppdrag att tillhandahålla tjänster av allmänt ekonomiskt intresse,</w:t>
      </w:r>
    </w:p>
    <w:p w14:paraId="30CE6F7B" w14:textId="77777777" w:rsidR="003F5421" w:rsidRDefault="003F5421" w:rsidP="003F5421">
      <w:r>
        <w:t>2) handelsnamnet på den bränntorv som ska upplagras samt dess totala mängd och lägsta kvalitet vid den tidpunkt då avtalet upphör att gälla,</w:t>
      </w:r>
    </w:p>
    <w:p w14:paraId="7A97953A" w14:textId="77777777" w:rsidR="003F5421" w:rsidRDefault="003F5421" w:rsidP="003F5421">
      <w:r>
        <w:t>3) de särskilda villkor som eventuellt förorsakas av kvaliteten på den bränntorv som ska upplagras,</w:t>
      </w:r>
    </w:p>
    <w:p w14:paraId="2444C038" w14:textId="77777777" w:rsidR="003F5421" w:rsidRDefault="003F5421" w:rsidP="003F5421">
      <w:r>
        <w:t>4) en tillräckligt noggrann kartskiss över eller annan framställning av upplagsplatserna för den bränntorv som omfattas av avtalet,</w:t>
      </w:r>
    </w:p>
    <w:p w14:paraId="0F1163EE" w14:textId="0D7EEB5F" w:rsidR="003F5421" w:rsidRPr="00406935" w:rsidRDefault="003F5421" w:rsidP="00592316">
      <w:pPr>
        <w:rPr>
          <w:i/>
        </w:rPr>
      </w:pPr>
      <w:r>
        <w:t>5) en plan över lagercirkulationen för den bränntorv som ska upplagras.</w:t>
      </w:r>
      <w:r>
        <w:rPr>
          <w:i/>
        </w:rPr>
        <w:t xml:space="preserve"> </w:t>
      </w:r>
    </w:p>
    <w:p w14:paraId="29335A09" w14:textId="77777777" w:rsidR="003F5421" w:rsidRDefault="003F5421" w:rsidP="003F5421"/>
    <w:p w14:paraId="3211C411" w14:textId="77777777" w:rsidR="003F5421" w:rsidRDefault="003F5421" w:rsidP="003F5421">
      <w:r>
        <w:lastRenderedPageBreak/>
        <w:t>I avtal om skyddsupplag kan dessutom intas avtalsspecifika villkor som är av betydelse för uppnåendet av syftet med skyddsupplagringen.</w:t>
      </w:r>
    </w:p>
    <w:p w14:paraId="6E9B8DE0" w14:textId="77777777" w:rsidR="003F5421" w:rsidRDefault="003F5421" w:rsidP="003F5421"/>
    <w:p w14:paraId="609EB213" w14:textId="77777777" w:rsidR="003F5421" w:rsidRDefault="003F5421" w:rsidP="003F5421">
      <w:r>
        <w:t>4 §</w:t>
      </w:r>
    </w:p>
    <w:p w14:paraId="43226BBA" w14:textId="77777777" w:rsidR="003F5421" w:rsidRDefault="003F5421" w:rsidP="003F5421">
      <w:r>
        <w:t>Bestämmande av mängden och kvaliteten i fråga om bränntorv</w:t>
      </w:r>
    </w:p>
    <w:p w14:paraId="1A8B9CD5" w14:textId="77777777" w:rsidR="007030AC" w:rsidRDefault="007030AC" w:rsidP="003F5421"/>
    <w:p w14:paraId="790C5E2F" w14:textId="77777777" w:rsidR="003F5421" w:rsidRDefault="003F5421" w:rsidP="003F5421">
      <w:r>
        <w:t>Skyddsupplagets storlek bestäms utgående från energiinnehållet i den bränntorv som finns upplagrad med hjälp av sådana mätnings- och beräkningsmetoder som är allmänt godkända inom branschen och verifierbara.</w:t>
      </w:r>
    </w:p>
    <w:p w14:paraId="6A8623DD" w14:textId="77777777" w:rsidR="003F5421" w:rsidRDefault="003F5421" w:rsidP="003F5421"/>
    <w:p w14:paraId="371AB99D" w14:textId="77777777" w:rsidR="003F5421" w:rsidRDefault="003F5421" w:rsidP="003F5421">
      <w:r>
        <w:t xml:space="preserve">Kvaliteten på den bränntorv som finns upplagrad ska bestämmas i enlighet med den av Nordic Innovation Centre den 1 september 2006 utgivna kvalitetshandboken för energitorv (NT ENVIR 009.fi) eller en senare upplaga av denna. </w:t>
      </w:r>
    </w:p>
    <w:p w14:paraId="174F9E32" w14:textId="77777777" w:rsidR="003F5421" w:rsidRDefault="003F5421" w:rsidP="003F5421"/>
    <w:p w14:paraId="647495B1" w14:textId="77777777" w:rsidR="003F5421" w:rsidRDefault="003F5421" w:rsidP="003F5421">
      <w:r>
        <w:t>5 §</w:t>
      </w:r>
    </w:p>
    <w:p w14:paraId="679F839C" w14:textId="77777777" w:rsidR="003F5421" w:rsidRDefault="003F5421" w:rsidP="003F5421">
      <w:r>
        <w:t>Kvaliteten på den bränntorv som upplagras</w:t>
      </w:r>
    </w:p>
    <w:p w14:paraId="6D88EF7B" w14:textId="77777777" w:rsidR="002416FC" w:rsidRDefault="002416FC" w:rsidP="003F5421"/>
    <w:p w14:paraId="39582C88" w14:textId="77777777" w:rsidR="003F5421" w:rsidRDefault="003F5421" w:rsidP="003F5421">
      <w:r>
        <w:t>Den bränntorv som upplagras ska vara av sådan kvalitet att torven förblir användbar avtalsperioden ut. Kraven beträffande den kvalitet som bränntorven förutsätts ha vid tidpunkten för avtalets utgång skrivs in i avtalet om skyddsupplag uttryckta som nettovärmevärde och fuktighetsklass.</w:t>
      </w:r>
    </w:p>
    <w:p w14:paraId="06B13826" w14:textId="77777777" w:rsidR="003F5421" w:rsidRDefault="003F5421" w:rsidP="003F5421"/>
    <w:p w14:paraId="57C3BC01" w14:textId="77777777" w:rsidR="003F5421" w:rsidRDefault="003F5421" w:rsidP="003F5421">
      <w:r>
        <w:t>6 §</w:t>
      </w:r>
    </w:p>
    <w:p w14:paraId="0B106708" w14:textId="77777777" w:rsidR="003F5421" w:rsidRDefault="003F5421" w:rsidP="003F5421">
      <w:r>
        <w:t>Bestämmande av upplagsnivån och lagercirkulation för bränntorv</w:t>
      </w:r>
    </w:p>
    <w:p w14:paraId="0F4D4A44" w14:textId="77777777" w:rsidR="002416FC" w:rsidRDefault="002416FC" w:rsidP="003F5421"/>
    <w:p w14:paraId="2326DA90" w14:textId="40FEA2FC" w:rsidR="003F5421" w:rsidRDefault="003F5421" w:rsidP="003F5421">
      <w:r>
        <w:t>Nettovärmeeffekten hos en enskild torvstack bestående av frästorv som godkänns för ett avtal om skyddsupplag ska uppgå till minst 2 500 megawattimmar och nettovärmeeffekten hos en enskild torvstack bestående av stycketorv till minst 2 000 megawattimmar.</w:t>
      </w:r>
    </w:p>
    <w:p w14:paraId="249B8135" w14:textId="77777777" w:rsidR="003F5421" w:rsidRDefault="003F5421" w:rsidP="003F5421"/>
    <w:p w14:paraId="7CB89F3F" w14:textId="77777777" w:rsidR="003F5421" w:rsidRDefault="003F5421" w:rsidP="003F5421">
      <w:r>
        <w:t>Mängden bränntorv i en enskild torvstack får inte under avtalsperioden underskrida det energiinnehåll som fastställts för stacken i fråga i avtalet om skyddsupplag.</w:t>
      </w:r>
    </w:p>
    <w:p w14:paraId="51C241A6" w14:textId="77777777" w:rsidR="003F5421" w:rsidRDefault="003F5421" w:rsidP="003F5421"/>
    <w:p w14:paraId="245D709F" w14:textId="77777777" w:rsidR="003F5421" w:rsidRDefault="003F5421" w:rsidP="003F5421">
      <w:r>
        <w:t>Uppläggaren får låta den bränntorv som finns i skyddsupplag cirkulera i affärsverksamheten, om mängden av och kvaliteten på den bränntorv som finns upplagrad fortlöpande uppfyller villkoren i avtalet om skyddsupplag. Cirkulationen ska verkställas årligen efter produktionsperiodens slut och omfatta hela torvstackar. I samband med lagercirkulationen får dock det avtalsenliga antalet torvstackar ändras. Nya torvstackar som ska ingå i ett skyddsupplag ska märkas ut innan de gamla torvstackarna tas i bruk. Arbetskrafts- och näringscentralen ska underrättas om lagercirkulationen av bränntorv i det närmast följande månadsmeddelandet.</w:t>
      </w:r>
    </w:p>
    <w:p w14:paraId="2FB64C25" w14:textId="77777777" w:rsidR="003F5421" w:rsidRDefault="003F5421" w:rsidP="003F5421"/>
    <w:p w14:paraId="7F93ECBF" w14:textId="77777777" w:rsidR="003F5421" w:rsidRDefault="003F5421" w:rsidP="003F5421">
      <w:r>
        <w:t>7 §</w:t>
      </w:r>
    </w:p>
    <w:p w14:paraId="68EE5C43" w14:textId="608B02B5" w:rsidR="003F5421" w:rsidRDefault="003F5421" w:rsidP="003F5421">
      <w:r>
        <w:t xml:space="preserve">Ansökan om ersättning för skyddsupplagring </w:t>
      </w:r>
    </w:p>
    <w:p w14:paraId="1B56605E" w14:textId="77777777" w:rsidR="002416FC" w:rsidRDefault="002416FC" w:rsidP="003F5421"/>
    <w:p w14:paraId="52B26B62" w14:textId="48DAFA9C" w:rsidR="003F5421" w:rsidRDefault="00082ADF" w:rsidP="003F5421">
      <w:r>
        <w:t>Till ansökan om betalning av ersättning för skyddsupplagring ska fogas</w:t>
      </w:r>
    </w:p>
    <w:p w14:paraId="21CE5E1A" w14:textId="77777777" w:rsidR="003F5421" w:rsidRDefault="003F5421" w:rsidP="003F5421">
      <w:r>
        <w:t>1) en redovisning av mängden bränntorv som under betalningsperioden funnits i skyddsupplaget specificerad enligt den lägsta mängden torv under respektive månad,</w:t>
      </w:r>
    </w:p>
    <w:p w14:paraId="04FCDA93" w14:textId="77777777" w:rsidR="003F5421" w:rsidRDefault="003F5421" w:rsidP="003F5421">
      <w:r>
        <w:t>2) en redovisning av de totala mängderna av bränntorv som uppläggaren producerar per år,</w:t>
      </w:r>
    </w:p>
    <w:p w14:paraId="7359E5AF" w14:textId="77777777" w:rsidR="003F5421" w:rsidRDefault="003F5421" w:rsidP="003F5421">
      <w:r>
        <w:t>3) en redovisning av de mängder av bränntorv som uppläggaren levererat till värmeproduktionsinrättningar specificerade enlig kund,</w:t>
      </w:r>
    </w:p>
    <w:p w14:paraId="5ACD51D3" w14:textId="77777777" w:rsidR="003F5421" w:rsidRDefault="003F5421" w:rsidP="003F5421">
      <w:r>
        <w:t>4) en redogörelse för tillstånd att använda det skyddsupplag som ansökan gäller.</w:t>
      </w:r>
    </w:p>
    <w:p w14:paraId="11C8F12F" w14:textId="3B0068AD" w:rsidR="003F5421" w:rsidRDefault="003F5421" w:rsidP="003F5421"/>
    <w:p w14:paraId="19BC94C2" w14:textId="77777777" w:rsidR="00473706" w:rsidRDefault="00473706" w:rsidP="003F5421"/>
    <w:p w14:paraId="42709A21" w14:textId="77777777" w:rsidR="003F5421" w:rsidRDefault="003F5421" w:rsidP="003F5421"/>
    <w:p w14:paraId="74D5B80E" w14:textId="5755CF66" w:rsidR="003F5421" w:rsidRDefault="00082ADF" w:rsidP="003F5421">
      <w:r>
        <w:t>8 §</w:t>
      </w:r>
    </w:p>
    <w:p w14:paraId="4602E9A5" w14:textId="77777777" w:rsidR="003F5421" w:rsidRDefault="003F5421" w:rsidP="003F5421">
      <w:r>
        <w:t>Meddelanden om skyddsupplag</w:t>
      </w:r>
    </w:p>
    <w:p w14:paraId="78CA42D1" w14:textId="77777777" w:rsidR="00082ADF" w:rsidRDefault="00082ADF" w:rsidP="003F5421"/>
    <w:p w14:paraId="02725101" w14:textId="16D8B03E" w:rsidR="003F5421" w:rsidRDefault="003F5421" w:rsidP="003F5421">
      <w:r>
        <w:t>Uppläggaren är skyldig att kalendermånadsvis tillställa närings-, trafik- och miljöcentralen ett meddelande om samtliga skyddsupplagringsavtal inom centralens verksamhetsområde. Meddelandet ska innehålla uppgift om de mängder av bränntorv som finns upplagrade, specificerade stackvis enligt den lägsta mängden torv per stack under respektive månad. Det månatliga meddelandet ska lämnas före utgången av den kalendermånad som följer efter den månad som meddelandet avser.</w:t>
      </w:r>
    </w:p>
    <w:p w14:paraId="769A3740" w14:textId="77777777" w:rsidR="003F5421" w:rsidRDefault="003F5421" w:rsidP="003F5421"/>
    <w:p w14:paraId="154692AF" w14:textId="11EDFA4A" w:rsidR="003F5421" w:rsidRDefault="00D3786A" w:rsidP="003F5421">
      <w:r>
        <w:t>9 §</w:t>
      </w:r>
    </w:p>
    <w:p w14:paraId="4F75F480" w14:textId="77777777" w:rsidR="003F5421" w:rsidRDefault="003F5421" w:rsidP="003F5421">
      <w:r>
        <w:t>Ansökan om tillstånd att använda skyddsupplag</w:t>
      </w:r>
    </w:p>
    <w:p w14:paraId="7B31C3CA" w14:textId="77777777" w:rsidR="00D3786A" w:rsidRDefault="00D3786A" w:rsidP="003F5421"/>
    <w:p w14:paraId="3F310ECC" w14:textId="77777777" w:rsidR="003F5421" w:rsidRDefault="003F5421" w:rsidP="003F5421">
      <w:r>
        <w:t>En ansökan om tillstånd att få använda ett skyddsupplag ska innehålla en redogörelse för de grunder på vilka ansökningen baserar sig samt deras inverkan på uppläggarens produktion av bränntorv. I ansökan ska dessutom anges tidpunkten för användningen av upplaget samt en specifikation av de torvstackar för vilka användningstillstånd söks. Dessutom kan en plan för komplettering av skyddsupplaget så att det återfår sin ursprungliga nivå presenteras.</w:t>
      </w:r>
    </w:p>
    <w:p w14:paraId="58119009" w14:textId="77777777" w:rsidR="003F5421" w:rsidRDefault="003F5421" w:rsidP="003F5421"/>
    <w:p w14:paraId="1786BF1D" w14:textId="77777777" w:rsidR="003F5421" w:rsidRDefault="003F5421" w:rsidP="003F5421"/>
    <w:p w14:paraId="275E8378" w14:textId="58A642ED" w:rsidR="003F5421" w:rsidRDefault="003F5421" w:rsidP="003F5421">
      <w:r>
        <w:t>10 §</w:t>
      </w:r>
    </w:p>
    <w:p w14:paraId="6FE65474" w14:textId="77777777" w:rsidR="003F5421" w:rsidRDefault="003F5421" w:rsidP="003F5421">
      <w:r>
        <w:t>Ikraftträdande och övergångsbestämmelse</w:t>
      </w:r>
    </w:p>
    <w:p w14:paraId="7242D961" w14:textId="77777777" w:rsidR="00114CA7" w:rsidRDefault="00114CA7" w:rsidP="003F5421"/>
    <w:p w14:paraId="099A462B" w14:textId="5B953208" w:rsidR="003F5421" w:rsidRDefault="003F5421" w:rsidP="003F5421">
      <w:r>
        <w:t xml:space="preserve">Denna förordning träder i kraft den                  . </w:t>
      </w:r>
    </w:p>
    <w:p w14:paraId="7E8290B2" w14:textId="77777777" w:rsidR="00592316" w:rsidRDefault="00592316" w:rsidP="003F5421"/>
    <w:p w14:paraId="04CD4428" w14:textId="77777777" w:rsidR="009D0320" w:rsidRDefault="009D0320" w:rsidP="003F5421"/>
    <w:p w14:paraId="51BC5C6A" w14:textId="77777777" w:rsidR="009D0320" w:rsidRDefault="009D0320">
      <w:r>
        <w:br w:type="page"/>
      </w:r>
    </w:p>
    <w:p w14:paraId="70651DAA" w14:textId="77777777" w:rsidR="00DF280B" w:rsidRPr="00562E6B" w:rsidRDefault="00DF280B" w:rsidP="003F5421"/>
    <w:sectPr w:rsidR="00DF280B"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34622" w14:textId="77777777" w:rsidR="00C41131" w:rsidRDefault="00C41131" w:rsidP="008E0F4A">
      <w:r>
        <w:separator/>
      </w:r>
    </w:p>
  </w:endnote>
  <w:endnote w:type="continuationSeparator" w:id="0">
    <w:p w14:paraId="493A0AB2" w14:textId="77777777" w:rsidR="00C41131" w:rsidRDefault="00C41131"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4436"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5427" w14:textId="77777777" w:rsidR="00C41131" w:rsidRDefault="00C41131" w:rsidP="008E0F4A">
      <w:r>
        <w:separator/>
      </w:r>
    </w:p>
  </w:footnote>
  <w:footnote w:type="continuationSeparator" w:id="0">
    <w:p w14:paraId="14D79D40" w14:textId="77777777" w:rsidR="00C41131" w:rsidRDefault="00C41131"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5999A2DC" w14:textId="34813B28" w:rsidR="008E0F4A" w:rsidRDefault="00DD290C" w:rsidP="00562E6B">
        <w:pPr>
          <w:ind w:right="-143" w:firstLine="8789"/>
          <w:jc w:val="center"/>
        </w:pPr>
        <w:r>
          <w:fldChar w:fldCharType="begin"/>
        </w:r>
        <w:r>
          <w:instrText xml:space="preserve"> PAGE   \* MERGEFORMAT </w:instrText>
        </w:r>
        <w:r>
          <w:fldChar w:fldCharType="separate"/>
        </w:r>
        <w:r w:rsidR="00DC2321">
          <w:rPr>
            <w:noProof/>
          </w:rPr>
          <w:t>3</w:t>
        </w:r>
        <w:r>
          <w:fldChar w:fldCharType="end"/>
        </w:r>
        <w:r>
          <w:t>(</w:t>
        </w:r>
        <w:r w:rsidR="00DC2321">
          <w:fldChar w:fldCharType="begin"/>
        </w:r>
        <w:r w:rsidR="00DC2321">
          <w:instrText xml:space="preserve"> NUMPAGES   \* MERGEFORMAT </w:instrText>
        </w:r>
        <w:r w:rsidR="00DC2321">
          <w:fldChar w:fldCharType="separate"/>
        </w:r>
        <w:r w:rsidR="00DC2321">
          <w:rPr>
            <w:noProof/>
          </w:rPr>
          <w:t>4</w:t>
        </w:r>
        <w:r w:rsidR="00DC2321">
          <w:rPr>
            <w:noProof/>
          </w:rPr>
          <w:fldChar w:fldCharType="end"/>
        </w:r>
        <w:r>
          <w:t>)</w:t>
        </w:r>
      </w:p>
      <w:p w14:paraId="7609BC18" w14:textId="77777777" w:rsidR="008E0F4A" w:rsidRDefault="008E0F4A" w:rsidP="00562E6B">
        <w:pPr>
          <w:tabs>
            <w:tab w:val="left" w:pos="5245"/>
          </w:tabs>
        </w:pPr>
        <w:r>
          <w:tab/>
        </w:r>
      </w:p>
      <w:p w14:paraId="6E81CD51" w14:textId="77777777" w:rsidR="00FA6ACE" w:rsidRDefault="00FA6ACE" w:rsidP="00562E6B"/>
      <w:p w14:paraId="04AE8C26" w14:textId="77777777" w:rsidR="008E0F4A" w:rsidRDefault="00DC2321"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019A302B" w14:textId="4DCE8BF3" w:rsidR="00FA6ACE" w:rsidRDefault="00DD290C" w:rsidP="00562E6B">
        <w:pPr>
          <w:ind w:right="-143" w:firstLine="8789"/>
          <w:jc w:val="right"/>
        </w:pPr>
        <w:r>
          <w:fldChar w:fldCharType="begin"/>
        </w:r>
        <w:r>
          <w:instrText xml:space="preserve"> PAGE   \* MERGEFORMAT </w:instrText>
        </w:r>
        <w:r>
          <w:fldChar w:fldCharType="separate"/>
        </w:r>
        <w:r w:rsidR="00883564">
          <w:rPr>
            <w:noProof/>
          </w:rPr>
          <w:t>1</w:t>
        </w:r>
        <w:r>
          <w:fldChar w:fldCharType="end"/>
        </w:r>
        <w:r>
          <w:t>(</w:t>
        </w:r>
        <w:r w:rsidR="00DC2321">
          <w:fldChar w:fldCharType="begin"/>
        </w:r>
        <w:r w:rsidR="00DC2321">
          <w:instrText xml:space="preserve"> NUMPAGES   \* MERGEFORMAT </w:instrText>
        </w:r>
        <w:r w:rsidR="00DC2321">
          <w:fldChar w:fldCharType="separate"/>
        </w:r>
        <w:r w:rsidR="00883564">
          <w:rPr>
            <w:noProof/>
          </w:rPr>
          <w:t>4</w:t>
        </w:r>
        <w:r w:rsidR="00DC2321">
          <w:rPr>
            <w:noProof/>
          </w:rPr>
          <w:fldChar w:fldCharType="end"/>
        </w:r>
        <w:r>
          <w:t>)</w:t>
        </w:r>
      </w:p>
      <w:p w14:paraId="13368A03" w14:textId="77777777" w:rsidR="00FA6ACE" w:rsidRDefault="00DC2321" w:rsidP="00CB4C78">
        <w:pPr>
          <w:ind w:left="5245"/>
        </w:pPr>
      </w:p>
    </w:sdtContent>
  </w:sdt>
  <w:p w14:paraId="2E5944E6" w14:textId="77777777" w:rsidR="00FA6ACE" w:rsidRDefault="00FA6ACE" w:rsidP="00CB4C78"/>
  <w:p w14:paraId="31B4E630"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86E4FA9"/>
    <w:multiLevelType w:val="hybridMultilevel"/>
    <w:tmpl w:val="45706088"/>
    <w:lvl w:ilvl="0" w:tplc="5C3AA526">
      <w:start w:val="9"/>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21"/>
    <w:rsid w:val="00000499"/>
    <w:rsid w:val="000157C4"/>
    <w:rsid w:val="00016E55"/>
    <w:rsid w:val="00020721"/>
    <w:rsid w:val="00025821"/>
    <w:rsid w:val="0003182E"/>
    <w:rsid w:val="00053D44"/>
    <w:rsid w:val="00063ECB"/>
    <w:rsid w:val="00075991"/>
    <w:rsid w:val="00082ADF"/>
    <w:rsid w:val="00083175"/>
    <w:rsid w:val="000941B8"/>
    <w:rsid w:val="000B3024"/>
    <w:rsid w:val="000B3025"/>
    <w:rsid w:val="000C272A"/>
    <w:rsid w:val="000D3235"/>
    <w:rsid w:val="000D731A"/>
    <w:rsid w:val="00114CA7"/>
    <w:rsid w:val="001431B7"/>
    <w:rsid w:val="00144D34"/>
    <w:rsid w:val="00147111"/>
    <w:rsid w:val="00155F3B"/>
    <w:rsid w:val="00173A20"/>
    <w:rsid w:val="001776E9"/>
    <w:rsid w:val="001B078B"/>
    <w:rsid w:val="001B245B"/>
    <w:rsid w:val="001E5F86"/>
    <w:rsid w:val="001F70AF"/>
    <w:rsid w:val="00210152"/>
    <w:rsid w:val="002373F4"/>
    <w:rsid w:val="002416FC"/>
    <w:rsid w:val="00251648"/>
    <w:rsid w:val="00292DED"/>
    <w:rsid w:val="002979F5"/>
    <w:rsid w:val="002A13C4"/>
    <w:rsid w:val="002B3216"/>
    <w:rsid w:val="002D31CC"/>
    <w:rsid w:val="002D72CF"/>
    <w:rsid w:val="002F7B17"/>
    <w:rsid w:val="00307C47"/>
    <w:rsid w:val="003268C9"/>
    <w:rsid w:val="00346B03"/>
    <w:rsid w:val="00367C90"/>
    <w:rsid w:val="00393411"/>
    <w:rsid w:val="003A2869"/>
    <w:rsid w:val="003B409C"/>
    <w:rsid w:val="003D4DD1"/>
    <w:rsid w:val="003F5421"/>
    <w:rsid w:val="00406935"/>
    <w:rsid w:val="00406A54"/>
    <w:rsid w:val="00430509"/>
    <w:rsid w:val="0043677E"/>
    <w:rsid w:val="00446E3A"/>
    <w:rsid w:val="0045347D"/>
    <w:rsid w:val="0047233E"/>
    <w:rsid w:val="00473706"/>
    <w:rsid w:val="00486BE8"/>
    <w:rsid w:val="004A196F"/>
    <w:rsid w:val="004B5D50"/>
    <w:rsid w:val="004C5212"/>
    <w:rsid w:val="004C6B33"/>
    <w:rsid w:val="005146D4"/>
    <w:rsid w:val="0051596E"/>
    <w:rsid w:val="005512A4"/>
    <w:rsid w:val="00556BD3"/>
    <w:rsid w:val="00562E6B"/>
    <w:rsid w:val="00572CDA"/>
    <w:rsid w:val="005834E9"/>
    <w:rsid w:val="00592316"/>
    <w:rsid w:val="0059671F"/>
    <w:rsid w:val="006131C2"/>
    <w:rsid w:val="00685BDA"/>
    <w:rsid w:val="006A4A91"/>
    <w:rsid w:val="006C066F"/>
    <w:rsid w:val="006D20F5"/>
    <w:rsid w:val="006D40F8"/>
    <w:rsid w:val="006D6C2D"/>
    <w:rsid w:val="007030AC"/>
    <w:rsid w:val="00722420"/>
    <w:rsid w:val="0076257D"/>
    <w:rsid w:val="007729CF"/>
    <w:rsid w:val="00783B52"/>
    <w:rsid w:val="00785D97"/>
    <w:rsid w:val="007A58D3"/>
    <w:rsid w:val="007A74D4"/>
    <w:rsid w:val="007B4560"/>
    <w:rsid w:val="007B4BA3"/>
    <w:rsid w:val="007B4E42"/>
    <w:rsid w:val="007C2B22"/>
    <w:rsid w:val="007D3D94"/>
    <w:rsid w:val="00811D8D"/>
    <w:rsid w:val="008200A9"/>
    <w:rsid w:val="00843978"/>
    <w:rsid w:val="008559F2"/>
    <w:rsid w:val="00875C2C"/>
    <w:rsid w:val="00883564"/>
    <w:rsid w:val="00885EDF"/>
    <w:rsid w:val="008A0773"/>
    <w:rsid w:val="008A4280"/>
    <w:rsid w:val="008E0F4A"/>
    <w:rsid w:val="00906E49"/>
    <w:rsid w:val="00932E21"/>
    <w:rsid w:val="009B230C"/>
    <w:rsid w:val="009B6311"/>
    <w:rsid w:val="009D0320"/>
    <w:rsid w:val="009D222E"/>
    <w:rsid w:val="00A135F7"/>
    <w:rsid w:val="00A24604"/>
    <w:rsid w:val="00A37FB0"/>
    <w:rsid w:val="00A612FC"/>
    <w:rsid w:val="00A64BD2"/>
    <w:rsid w:val="00A75231"/>
    <w:rsid w:val="00A90735"/>
    <w:rsid w:val="00AA5350"/>
    <w:rsid w:val="00AA6C38"/>
    <w:rsid w:val="00AC4AF7"/>
    <w:rsid w:val="00AC68A2"/>
    <w:rsid w:val="00AF2EBD"/>
    <w:rsid w:val="00AF3346"/>
    <w:rsid w:val="00B31869"/>
    <w:rsid w:val="00B42986"/>
    <w:rsid w:val="00BE4CA3"/>
    <w:rsid w:val="00BF06A8"/>
    <w:rsid w:val="00BF6E10"/>
    <w:rsid w:val="00C210CC"/>
    <w:rsid w:val="00C21181"/>
    <w:rsid w:val="00C34563"/>
    <w:rsid w:val="00C356CE"/>
    <w:rsid w:val="00C41131"/>
    <w:rsid w:val="00C41451"/>
    <w:rsid w:val="00C766A0"/>
    <w:rsid w:val="00CB4C78"/>
    <w:rsid w:val="00CD4A95"/>
    <w:rsid w:val="00CD70EC"/>
    <w:rsid w:val="00CD740A"/>
    <w:rsid w:val="00D05785"/>
    <w:rsid w:val="00D25AD2"/>
    <w:rsid w:val="00D2654F"/>
    <w:rsid w:val="00D35E49"/>
    <w:rsid w:val="00D3786A"/>
    <w:rsid w:val="00D43261"/>
    <w:rsid w:val="00D44B33"/>
    <w:rsid w:val="00D60C53"/>
    <w:rsid w:val="00D76D7A"/>
    <w:rsid w:val="00D87C57"/>
    <w:rsid w:val="00DC2321"/>
    <w:rsid w:val="00DD290C"/>
    <w:rsid w:val="00DE107F"/>
    <w:rsid w:val="00DE217C"/>
    <w:rsid w:val="00DF280B"/>
    <w:rsid w:val="00DF7A73"/>
    <w:rsid w:val="00E07440"/>
    <w:rsid w:val="00E2160A"/>
    <w:rsid w:val="00E330A7"/>
    <w:rsid w:val="00E44094"/>
    <w:rsid w:val="00EC0968"/>
    <w:rsid w:val="00F200DD"/>
    <w:rsid w:val="00F63379"/>
    <w:rsid w:val="00F7177D"/>
    <w:rsid w:val="00F734F9"/>
    <w:rsid w:val="00F73B15"/>
    <w:rsid w:val="00FA356E"/>
    <w:rsid w:val="00FA6ACE"/>
    <w:rsid w:val="00FB6ABF"/>
    <w:rsid w:val="00FE3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AF3F9"/>
  <w15:chartTrackingRefBased/>
  <w15:docId w15:val="{36C23697-4C17-4F1C-A127-3214A2C6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592316"/>
    <w:pPr>
      <w:ind w:left="720"/>
      <w:contextualSpacing/>
    </w:pPr>
  </w:style>
  <w:style w:type="character" w:styleId="Kommentinviite">
    <w:name w:val="annotation reference"/>
    <w:basedOn w:val="Kappaleenoletusfontti"/>
    <w:uiPriority w:val="99"/>
    <w:semiHidden/>
    <w:unhideWhenUsed/>
    <w:rsid w:val="00CD70EC"/>
    <w:rPr>
      <w:sz w:val="16"/>
      <w:szCs w:val="16"/>
    </w:rPr>
  </w:style>
  <w:style w:type="paragraph" w:styleId="Kommentinteksti">
    <w:name w:val="annotation text"/>
    <w:basedOn w:val="Normaali"/>
    <w:link w:val="KommentintekstiChar"/>
    <w:uiPriority w:val="99"/>
    <w:semiHidden/>
    <w:unhideWhenUsed/>
    <w:rsid w:val="00CD70EC"/>
    <w:rPr>
      <w:sz w:val="20"/>
    </w:rPr>
  </w:style>
  <w:style w:type="character" w:customStyle="1" w:styleId="KommentintekstiChar">
    <w:name w:val="Kommentin teksti Char"/>
    <w:basedOn w:val="Kappaleenoletusfontti"/>
    <w:link w:val="Kommentinteksti"/>
    <w:uiPriority w:val="99"/>
    <w:semiHidden/>
    <w:rsid w:val="00CD70EC"/>
    <w:rPr>
      <w:lang w:eastAsia="en-US"/>
    </w:rPr>
  </w:style>
  <w:style w:type="paragraph" w:styleId="Kommentinotsikko">
    <w:name w:val="annotation subject"/>
    <w:basedOn w:val="Kommentinteksti"/>
    <w:next w:val="Kommentinteksti"/>
    <w:link w:val="KommentinotsikkoChar"/>
    <w:uiPriority w:val="99"/>
    <w:semiHidden/>
    <w:unhideWhenUsed/>
    <w:rsid w:val="00CD70EC"/>
    <w:rPr>
      <w:b/>
      <w:bCs/>
    </w:rPr>
  </w:style>
  <w:style w:type="character" w:customStyle="1" w:styleId="KommentinotsikkoChar">
    <w:name w:val="Kommentin otsikko Char"/>
    <w:basedOn w:val="KommentintekstiChar"/>
    <w:link w:val="Kommentinotsikko"/>
    <w:uiPriority w:val="99"/>
    <w:semiHidden/>
    <w:rsid w:val="00CD70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5124</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Anja (TEM)</dc:creator>
  <cp:keywords/>
  <dc:description/>
  <cp:lastModifiedBy>Liukko Anja (TEM)</cp:lastModifiedBy>
  <cp:revision>2</cp:revision>
  <dcterms:created xsi:type="dcterms:W3CDTF">2021-12-01T14:09:00Z</dcterms:created>
  <dcterms:modified xsi:type="dcterms:W3CDTF">2021-12-01T14:09:00Z</dcterms:modified>
</cp:coreProperties>
</file>