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480"/>
      </w:tblGrid>
      <w:tr w:rsidR="00762B5E" w:rsidTr="0017260B">
        <w:trPr>
          <w:trHeight w:val="93"/>
        </w:trPr>
        <w:tc>
          <w:tcPr>
            <w:tcW w:w="3643" w:type="dxa"/>
            <w:gridSpan w:val="2"/>
            <w:hideMark/>
          </w:tcPr>
          <w:p w:rsidR="00762B5E" w:rsidRDefault="0017260B" w:rsidP="0084228E">
            <w:pPr>
              <w:pStyle w:val="bdokumentintiedot"/>
            </w:pPr>
            <w:bookmarkStart w:id="0" w:name="_GoBack"/>
            <w:bookmarkEnd w:id="0"/>
            <w:r>
              <w:rPr>
                <w:b/>
              </w:rPr>
              <w:t>Promemoria</w:t>
            </w:r>
          </w:p>
        </w:tc>
      </w:tr>
      <w:tr w:rsidR="0084228E" w:rsidTr="0017260B">
        <w:trPr>
          <w:trHeight w:val="94"/>
        </w:trPr>
        <w:tc>
          <w:tcPr>
            <w:tcW w:w="1163" w:type="dxa"/>
          </w:tcPr>
          <w:p w:rsidR="0084228E" w:rsidRPr="00F74100" w:rsidRDefault="00A63CCF" w:rsidP="0084228E">
            <w:pPr>
              <w:pStyle w:val="bdokumentintiedot"/>
              <w:rPr>
                <w:b/>
                <w:bCs/>
              </w:rPr>
            </w:pPr>
            <w:r>
              <w:rPr>
                <w:b/>
              </w:rPr>
              <w:t>Ärendenummer:</w:t>
            </w:r>
          </w:p>
        </w:tc>
        <w:tc>
          <w:tcPr>
            <w:tcW w:w="2480" w:type="dxa"/>
            <w:hideMark/>
          </w:tcPr>
          <w:p w:rsidR="0084228E" w:rsidRDefault="00DC0177" w:rsidP="0084228E">
            <w:pPr>
              <w:pStyle w:val="bdokumentintiedot"/>
            </w:pPr>
            <w:r>
              <w:t>VN/10577/2021</w:t>
            </w:r>
          </w:p>
        </w:tc>
      </w:tr>
      <w:tr w:rsidR="0084228E" w:rsidRPr="00DC0177" w:rsidTr="0017260B">
        <w:trPr>
          <w:trHeight w:val="91"/>
        </w:trPr>
        <w:tc>
          <w:tcPr>
            <w:tcW w:w="1163" w:type="dxa"/>
          </w:tcPr>
          <w:p w:rsidR="0084228E" w:rsidRPr="00F74100" w:rsidRDefault="0084228E" w:rsidP="0084228E">
            <w:pPr>
              <w:pStyle w:val="bdokumentintiedot"/>
              <w:rPr>
                <w:b/>
                <w:bCs/>
              </w:rPr>
            </w:pPr>
            <w:r>
              <w:rPr>
                <w:b/>
              </w:rPr>
              <w:t>Datum:</w:t>
            </w:r>
          </w:p>
        </w:tc>
        <w:tc>
          <w:tcPr>
            <w:tcW w:w="2480" w:type="dxa"/>
            <w:hideMark/>
          </w:tcPr>
          <w:p w:rsidR="0084228E" w:rsidRPr="00F7450A" w:rsidRDefault="0022074D" w:rsidP="0084228E">
            <w:pPr>
              <w:pStyle w:val="bdokumentintiedot"/>
            </w:pPr>
            <w:sdt>
              <w:sdtPr>
                <w:id w:val="-356887500"/>
                <w:placeholder>
                  <w:docPart w:val="4D3F1682CF9E49A1A744A5D27EC4558D"/>
                </w:placeholder>
                <w:date w:fullDate="2022-02-02T00:00:00Z">
                  <w:dateFormat w:val="d.M.yyyy"/>
                  <w:lid w:val="sv-SE"/>
                  <w:storeMappedDataAs w:val="dateTime"/>
                  <w:calendar w:val="gregorian"/>
                </w:date>
              </w:sdtPr>
              <w:sdtEndPr/>
              <w:sdtContent>
                <w:r w:rsidR="00DC0177">
                  <w:t>2.2</w:t>
                </w:r>
                <w:r w:rsidR="008156D5">
                  <w:t>.2022</w:t>
                </w:r>
              </w:sdtContent>
            </w:sdt>
          </w:p>
        </w:tc>
      </w:tr>
    </w:tbl>
    <w:p w:rsidR="001865D3" w:rsidRDefault="0017260B" w:rsidP="001865D3">
      <w:pPr>
        <w:pStyle w:val="Otsikko1"/>
      </w:pPr>
      <w:r>
        <w:t>GODKÄNNANDE AV RESOLUTIONER FRÅN INTERNATIONELLA SJÖFARTSORGANISATIONENS SJÖSÄKERHETSKOMMITTÉS 103:E MÖTE</w:t>
      </w:r>
    </w:p>
    <w:p w:rsidR="0059536A" w:rsidRDefault="0059536A" w:rsidP="0017260B">
      <w:pPr>
        <w:pStyle w:val="Leipteksti"/>
        <w:rPr>
          <w:b/>
        </w:rPr>
      </w:pPr>
    </w:p>
    <w:p w:rsidR="0059536A" w:rsidRDefault="0059536A" w:rsidP="0017260B">
      <w:pPr>
        <w:pStyle w:val="Leipteksti"/>
        <w:rPr>
          <w:b/>
        </w:rPr>
      </w:pPr>
    </w:p>
    <w:p w:rsidR="0017260B" w:rsidRPr="0017260B" w:rsidRDefault="0017260B" w:rsidP="0017260B">
      <w:pPr>
        <w:pStyle w:val="Leipteksti"/>
        <w:rPr>
          <w:b/>
        </w:rPr>
      </w:pPr>
      <w:r>
        <w:rPr>
          <w:b/>
        </w:rPr>
        <w:t>Följande resolutioner föreläggs för godkännande:</w:t>
      </w:r>
    </w:p>
    <w:p w:rsidR="0017260B" w:rsidRPr="0017260B" w:rsidRDefault="0017260B" w:rsidP="0017260B">
      <w:pPr>
        <w:pStyle w:val="Leipteksti"/>
      </w:pPr>
      <w:r>
        <w:t>I Internationella sjöfartsorganisationen (</w:t>
      </w:r>
      <w:r>
        <w:rPr>
          <w:i/>
          <w:iCs/>
        </w:rPr>
        <w:t>International Maritime Organization (IMO</w:t>
      </w:r>
      <w:r>
        <w:t xml:space="preserve">)) upprättades 1974 en internationell konvention om säkerheten för människoliv till sjöss, nedan </w:t>
      </w:r>
      <w:r>
        <w:rPr>
          <w:i/>
          <w:iCs/>
        </w:rPr>
        <w:t>SOLAS-konventionen</w:t>
      </w:r>
      <w:r>
        <w:t xml:space="preserve">. Finland anslöt sig till konventionen den 21 februari 1981 (FördrS 11/1981). Till kapitel XI-1 i bilagan till SOLAS-konventionen anknyter 2011 års internationella kod för det utökade programmet för inspektioner vid besiktning av bulkfartyg och oljetankfartyg. I Internationella sjöfartsorganisationen har också 1978 års internationella konvention angående normer för sjöfolks utbildning, certifiering och vakthållning, nedan </w:t>
      </w:r>
      <w:r>
        <w:rPr>
          <w:i/>
          <w:iCs/>
        </w:rPr>
        <w:t xml:space="preserve">STCW-konventionen, </w:t>
      </w:r>
      <w:r>
        <w:t xml:space="preserve">upprättats. Finland anslöt sig till konventionen den 28 april 1984 (FördrS 22/1984). Till STCW-konventionen anknyter dessutom koden för sjöfolks utbildning, </w:t>
      </w:r>
      <w:r w:rsidR="0056552E">
        <w:t xml:space="preserve">certifiering och vakthållning. </w:t>
      </w:r>
      <w:r>
        <w:t>SOLAS-konventionen och STCW-konventionen och de tillhörande koderna har ändrats otaliga gånger genom beslut av Internationella sjöfartsorganisationens sjösäkerhetskommitté (MSC).</w:t>
      </w:r>
    </w:p>
    <w:p w:rsidR="0017260B" w:rsidRDefault="00942E65" w:rsidP="0017260B">
      <w:pPr>
        <w:pStyle w:val="Leipteksti"/>
      </w:pPr>
      <w:r>
        <w:t xml:space="preserve">Det föreslås att statsrådet godkänner följande resolutioner som har antagits av sjösäkerhetskommittén: </w:t>
      </w:r>
    </w:p>
    <w:p w:rsidR="00942E65" w:rsidRDefault="00942E65" w:rsidP="0017260B">
      <w:pPr>
        <w:pStyle w:val="Leipteksti"/>
      </w:pPr>
      <w:r>
        <w:t xml:space="preserve">MSC.483(103) </w:t>
      </w:r>
    </w:p>
    <w:p w:rsidR="00942E65" w:rsidRDefault="00942E65" w:rsidP="00942E65">
      <w:pPr>
        <w:pStyle w:val="Leipteksti"/>
      </w:pPr>
      <w:r>
        <w:t xml:space="preserve">Genom resolutionen ändras bilaga 2 i del A i bilaga B till 2011 års internationella kod för det utökade programmet för inspektioner vid besiktning av bulkfartyg och oljetankfartyg, nedan </w:t>
      </w:r>
      <w:r>
        <w:rPr>
          <w:i/>
          <w:iCs/>
        </w:rPr>
        <w:t>2011 års ESP-kod</w:t>
      </w:r>
      <w:r>
        <w:t xml:space="preserve"> (Enhanced Survey Programme), som anknyter till kapitel XI-1 i bilagan till SOLAS-konventionen. Genom ändringarna strävar man efter att endast fokusera på misstänkta områden när tjockleken mäts vid den första förnyelsebesiktningen av </w:t>
      </w:r>
      <w:r w:rsidR="0056552E">
        <w:t>oljetankfartyg med dubbelskrov.</w:t>
      </w:r>
      <w:r>
        <w:t xml:space="preserve"> Ändringarna ger den internationella föreningen för klassificeringssällskap (International Association of Classification Societies (IACS)) möjlighet att fokusera på misstänkta områden vid mätning av tjockleken hos oljetankfartyg med dubbelskrov. Ändringarna har i praktiken inga betydande direkta konsekvenser i Finland.</w:t>
      </w:r>
    </w:p>
    <w:p w:rsidR="0056552E" w:rsidRDefault="0056552E">
      <w:pPr>
        <w:rPr>
          <w:rFonts w:ascii="Arial" w:hAnsi="Arial" w:cs="Myriad Pro"/>
          <w:spacing w:val="1"/>
          <w:sz w:val="20"/>
          <w:szCs w:val="20"/>
          <w:lang w:eastAsia="fi-FI"/>
        </w:rPr>
      </w:pPr>
      <w:r>
        <w:br w:type="page"/>
      </w:r>
    </w:p>
    <w:p w:rsidR="0059536A" w:rsidRDefault="002B44C4" w:rsidP="0017260B">
      <w:pPr>
        <w:pStyle w:val="Leipteksti"/>
      </w:pPr>
      <w:r>
        <w:lastRenderedPageBreak/>
        <w:t>MSC.486(103) och MSC.487(103)</w:t>
      </w:r>
    </w:p>
    <w:p w:rsidR="002B44C4" w:rsidRPr="0017260B" w:rsidRDefault="002B44C4" w:rsidP="006F6B95">
      <w:pPr>
        <w:pStyle w:val="Leipteksti"/>
      </w:pPr>
      <w:r>
        <w:t>Genom resolution MSC.486(103) ändras regel I/1 i STCW-konventionen och en definition av ”högspänning” (</w:t>
      </w:r>
      <w:r>
        <w:rPr>
          <w:i/>
          <w:iCs/>
        </w:rPr>
        <w:t>high-voltage</w:t>
      </w:r>
      <w:r>
        <w:t>) införs i regeln. Genom resolution MSC.487(103) ändras definitionen av ”operativ nivå” (</w:t>
      </w:r>
      <w:r>
        <w:rPr>
          <w:i/>
          <w:iCs/>
        </w:rPr>
        <w:t>operational level</w:t>
      </w:r>
      <w:r>
        <w:t>) i del A-1/1 i koden för sjöfolks utbildning, certifiering och vakthållning, nedan STCW-koden (Seafarers’ Training, Certification and Watchkeeping Code), som anknyter till STCW-konventionen, så att definitionen också omfattar befattningen ”elmästare” (</w:t>
      </w:r>
      <w:r>
        <w:rPr>
          <w:i/>
          <w:iCs/>
        </w:rPr>
        <w:t>electro-technical officer</w:t>
      </w:r>
      <w:r>
        <w:t xml:space="preserve">). Syftet med ändringarna är att förtydliga den operativa nivån på ”elmästarens” uppgifter samt att harmonisera definitionen av ”högspänning”. Ändringarna får inga betydande konsekvenser i Finland. </w:t>
      </w:r>
    </w:p>
    <w:p w:rsidR="0059536A" w:rsidRPr="0017260B" w:rsidRDefault="0017260B" w:rsidP="0017260B">
      <w:pPr>
        <w:pStyle w:val="Leipteksti"/>
        <w:rPr>
          <w:b/>
        </w:rPr>
      </w:pPr>
      <w:r>
        <w:rPr>
          <w:b/>
        </w:rPr>
        <w:t>Ändringarnas samband med den nationella lagstiftningen och EU-lagstiftningen</w:t>
      </w:r>
    </w:p>
    <w:p w:rsidR="0017260B" w:rsidRDefault="00137649" w:rsidP="0017260B">
      <w:pPr>
        <w:pStyle w:val="Leipteksti"/>
      </w:pPr>
      <w:r>
        <w:t>Bestämmelser om allmänna tekniska säkerhetskrav för fartyg finns i 6 § i lagen om fartygs tekniska säkerhet och säker drift av fartyg (1686/2009). Fartyget ska uppfylla de förpliktande bestämmelser enligt SOLAS-konventionen som gäller fartygets utrustning, och de funktionella krav som gäller arrangemangen för utrustning ska iakttas.</w:t>
      </w:r>
    </w:p>
    <w:p w:rsidR="00F23A7F" w:rsidRDefault="00F23A7F" w:rsidP="0017260B">
      <w:pPr>
        <w:pStyle w:val="Leipteksti"/>
      </w:pPr>
      <w:r>
        <w:t>Enligt artiklarna 5 och 6 i Europaparlamentets och rådets förordning (EU) nr 530/2012 är det obligatoriskt att tillämpa Internationella sjöfartsorganisationens system för bedömning av fartygets skick (CAS) på oljetankfartyg med enkelskrov som är äldre än 15 år. I det utökade programmet för inspektioner vid besiktning av bulkfartyg och oljetankfartyg (ESP) anges hur denna mer omfattande bedömning ska göras. Eftersom man i systemet för bedömning av fartygets skick använder det utökade inspektionsprogrammet för att uppnå målet för det systemet kommer alla ändringar av inspektionerna inom ramen för det programmet, till exempel de aktuella ändringarna för att fokusera inspektionerna enbart på misstänkta områden när tjockleken mäts vid den första förnyelsebesiktningen av oljetankfartyg med dubbelskrov, automatiskt att bli tillämpliga genom förordning (EU) nr 530/2012.</w:t>
      </w:r>
    </w:p>
    <w:p w:rsidR="009B3B04" w:rsidRDefault="009B3B04" w:rsidP="0017260B">
      <w:pPr>
        <w:pStyle w:val="Leipteksti"/>
      </w:pPr>
      <w:r>
        <w:t xml:space="preserve">Bestämmelser om behörigheter inom sjöfartens yrkestrafik finns i lagen om transportservice (320/2017) och bestämmelser om olika typer av behörighetsbrev och certifikat över specialbehörighet finns i statsrådets förordning om fartygs bemanning och fartygspersonalens behörighet (508/2018). </w:t>
      </w:r>
    </w:p>
    <w:p w:rsidR="009B3B04" w:rsidRDefault="009B3B04" w:rsidP="0017260B">
      <w:pPr>
        <w:pStyle w:val="Leipteksti"/>
      </w:pPr>
      <w:r>
        <w:t>Innehållet i STCW-konventionen upprepas delvis i Europaparlamentets och rådets direktiv 2008/106/EG, vars bilaga innehåller bland annat utbildningskrav för personal på passagerarfartyg och också krav på specialbehörighet för personal på vissa andra fartygstyper. Enligt direktiv 2008/106/EG ska medlemsstaterna se till att sjöfolk får minst den utbildning som krävs enligt STCW-konventionen. Medlemsstaterna ska tillämpa del A, som är obligatorisk, i STCW-koden. Bestämmelserna om vissa befälsmedlemmars ansvar för elektriska anläggningar i artikel 1.6 och 1.7 i direktivet och regel III/5 i kapitel I bilaga I till direktivet där det hänvisas till en särskild uppgift med anknytning till elektrisk, elektronisk och kontrollteknik som de färdigheter som fastställs i behörighetskraven är kopplade till är av särskild betydelse i det ärende som behandlas.</w:t>
      </w:r>
    </w:p>
    <w:p w:rsidR="009B3B04" w:rsidRPr="0017260B" w:rsidRDefault="009B3B04" w:rsidP="009B3B04">
      <w:pPr>
        <w:pStyle w:val="Leipteksti"/>
      </w:pPr>
      <w:r>
        <w:t xml:space="preserve">Följaktligen omfattas de föreslagna ändringarna av EU:s exklusiva befogenhet. </w:t>
      </w:r>
    </w:p>
    <w:p w:rsidR="0017260B" w:rsidRPr="0017260B" w:rsidRDefault="0017260B" w:rsidP="0017260B">
      <w:pPr>
        <w:pStyle w:val="Leipteksti"/>
        <w:rPr>
          <w:b/>
        </w:rPr>
      </w:pPr>
      <w:r>
        <w:rPr>
          <w:b/>
          <w:bCs/>
        </w:rPr>
        <w:lastRenderedPageBreak/>
        <w:t>Beredning av ärendet</w:t>
      </w:r>
    </w:p>
    <w:p w:rsidR="0017260B" w:rsidRPr="0017260B" w:rsidRDefault="0017260B" w:rsidP="0017260B">
      <w:pPr>
        <w:pStyle w:val="Leipteksti"/>
      </w:pPr>
      <w:r>
        <w:t xml:space="preserve">Vid den nationella samordningen på sjösäkerhetskommitténs 103:e möte våren 2021 ägde omfattande samråd med intressentgrupper inom sjöfarten och näringsgrenen rum. Dessutom begärdes i april 2022 utlåtande om ändringarna av intressentgruppsnätverket inom sjöfarten. Det kom in XX utlåtanden om förslaget. </w:t>
      </w:r>
    </w:p>
    <w:p w:rsidR="0017260B" w:rsidRPr="0017260B" w:rsidRDefault="0017260B" w:rsidP="0017260B">
      <w:pPr>
        <w:pStyle w:val="Leipteksti"/>
        <w:rPr>
          <w:b/>
        </w:rPr>
      </w:pPr>
      <w:r>
        <w:rPr>
          <w:b/>
        </w:rPr>
        <w:t xml:space="preserve">Godkännandeförfarande och internationellt ikraftträdande </w:t>
      </w:r>
    </w:p>
    <w:p w:rsidR="009B3B04" w:rsidRDefault="009B3B04" w:rsidP="009B3B04">
      <w:pPr>
        <w:pStyle w:val="Leipteksti"/>
      </w:pPr>
      <w:r>
        <w:t>Enligt 3 § 9 punkten i reglementet för statsrådet fattas vid statsrådets allmänna sammanträde beslut om åtgärder i anslutning till ärenden som ska avgöras inom Europeiska unionen och ärenden som i fråga om sitt innehåll och sina verkningar kan jämställas med dem, om åtgärderna förutsätter beslut av statsrådet. Till dessa ärenden hör enligt motiveringen till denna punkt också sådana avtal som hör till Europeiska gemenskapens eller unionens behörighet, men som gemenskapen eller unionen inte kan vara part i på grund av att endast stater kan vara parter i avtalet. I motiveringen anges också att de åtgärder som anknyter till ett avtal kan omfatta åtminstone beviljande av underteckningsfullmakt, ratificering och godkännande samt anslutning till och uppsägning av det. Europeiska unionen är inte part i SOLAS-konventionen eller i STCW-konventionen.</w:t>
      </w:r>
    </w:p>
    <w:p w:rsidR="009B3B04" w:rsidRDefault="009B3B04" w:rsidP="009B3B04">
      <w:pPr>
        <w:pStyle w:val="Leipteksti"/>
      </w:pPr>
      <w:r>
        <w:t xml:space="preserve">Rådet har antagit beslut (EU) 2021/0066 om den ståndpunkt som ska intas på Europeiska unionens vägnar i Internationella sjöfartsorganisationen vid det 103:e mötet i sjösäkerhetskommittén om antagandet av ändringar av den internationella konventionen angående normer för sjöfolks utbildning, certifiering och vakthållning och den internationella koden för det utökade programmet för inspektioner vid besiktning av bulkfartyg och oljetankfartyg. Enligt beslutet bemyndigas medlemsstaterna att, i unionens intresse, ge sitt samtycke till att vara bundna av de ändringar som avses i artikel 1, i den mån som dessa ändringar omfattas av unionens exklusiva befogenhet. </w:t>
      </w:r>
    </w:p>
    <w:p w:rsidR="0017260B" w:rsidRDefault="009B3B04" w:rsidP="0017260B">
      <w:pPr>
        <w:pStyle w:val="Leipteksti"/>
      </w:pPr>
      <w:r>
        <w:t xml:space="preserve">Ändringarna i ESP-koden träder i kraft internationellt genom ett så kallat förfarande för tyst medgivande, så att de i enlighet med artikel VIII i SOLAS-konventionen anses ha blivit godkända den 1 juli 2022, om inte en tredjedel av konventionens parter eller parter vilkas handelsflottor sammanlagt har minst 50 procent av världshandelsflottans bruttodräktighet har motsatt sig ändringarna före det. Om ändringarna anses ha blivit godkända träder de i kraft internationellt den 1 januari 2023. </w:t>
      </w:r>
    </w:p>
    <w:p w:rsidR="006240EB" w:rsidRDefault="006240EB" w:rsidP="0017260B">
      <w:pPr>
        <w:pStyle w:val="Leipteksti"/>
      </w:pPr>
      <w:r>
        <w:t xml:space="preserve">Ändringarna i STCW-konventionen och STCW-koden träder i kraft internationellt genom ett så kallat förfarande för tyst medgivande, så att de i enlighet med artikel XII 1 a.vii 2 i STCW-konventionen anses ha blivit godkända den 1 juli 2022, om inte en tredjedel av parterna eller ett antal parter vilkas handelsflottor sammanlagt har minst 50 procent av världshandelsflottans bruttodräktighet har motsatt sig ändringarna före det. Om ändringarna anses ha blivit godkända träder de i kraft internationellt den 1 januari 2023. </w:t>
      </w:r>
    </w:p>
    <w:p w:rsidR="006240EB" w:rsidRDefault="006240EB" w:rsidP="0017260B">
      <w:pPr>
        <w:pStyle w:val="Leipteksti"/>
      </w:pPr>
      <w:r>
        <w:t xml:space="preserve">Alla föreslagna ändringar är tekniska och hör inte till området för lagstiftningen i Finland och kräver således inte riksdagens godkännande. Sålunda är avsikten att statsrådet med stöd av 93 § 2 mom. i grundlagen </w:t>
      </w:r>
      <w:r>
        <w:lastRenderedPageBreak/>
        <w:t>godkänner ändringarna före den 1 juli 2022, och att ministeriet senare, dock före den 1 januari 2023, utfärdar ett meddelande om ikraftträdandet av dem.</w:t>
      </w:r>
    </w:p>
    <w:p w:rsidR="0059536A" w:rsidRPr="0017260B" w:rsidRDefault="0017260B" w:rsidP="0017260B">
      <w:pPr>
        <w:pStyle w:val="Leipteksti"/>
      </w:pPr>
      <w:r>
        <w:t xml:space="preserve">De ändringar som beskrivs ovan är av teknisk karaktär och ringa allmän betydelse. Enligt en preliminär bedömning behöver ändringarna inte publiceras i Finlands författningssamlings fördragsserie, utan kommunikationsministeriet ska ge upplysningar om dem på finska och svenska enligt bestämmelserna i 9 § i lagen om Finlands författningssamling (188/2000). Dessutom ska ministeriets meddelande och den engelskspråkiga versionen av ändringarna publiceras på Transport- och kommunikationsverkets webbplats </w:t>
      </w:r>
      <w:hyperlink r:id="rId12" w:history="1">
        <w:r>
          <w:rPr>
            <w:rStyle w:val="Hyperlinkki"/>
          </w:rPr>
          <w:t>www.traficom.fi</w:t>
        </w:r>
      </w:hyperlink>
      <w:r>
        <w:t>.</w:t>
      </w:r>
    </w:p>
    <w:p w:rsidR="0017260B" w:rsidRPr="0017260B" w:rsidRDefault="0017260B" w:rsidP="0017260B">
      <w:pPr>
        <w:pStyle w:val="Leipteksti"/>
        <w:rPr>
          <w:b/>
        </w:rPr>
      </w:pPr>
      <w:r>
        <w:rPr>
          <w:b/>
        </w:rPr>
        <w:t>Förslag</w:t>
      </w:r>
    </w:p>
    <w:p w:rsidR="0017260B" w:rsidRDefault="0017260B" w:rsidP="006F6B95">
      <w:pPr>
        <w:pStyle w:val="Leipteksti"/>
      </w:pPr>
      <w:r>
        <w:t>Med stöd av vad som anförts ovan föreslås det att statsrådet godkänner ändringarna i 2011 års internationella kod för det utökade programmet för inspektioner vid besiktning av bulkfartyg och oljetankfartyg, som anknyter till 1974 års internationella konvention om säkerheten för människoliv till sjöss, samt ändringarna i 1978 års internationella konvention angående normer för sjöfolks utbildning, certifiering och vakthållning och i den därtill anslutna koden för sjöfolks utbildning, certifiering och vakthållning.</w:t>
      </w:r>
    </w:p>
    <w:p w:rsidR="0017260B" w:rsidRPr="0059536A" w:rsidRDefault="0059536A" w:rsidP="0017260B">
      <w:pPr>
        <w:pStyle w:val="Leipteksti"/>
        <w:rPr>
          <w:b/>
        </w:rPr>
      </w:pPr>
      <w:r>
        <w:rPr>
          <w:b/>
        </w:rPr>
        <w:t>Föredragande</w:t>
      </w:r>
    </w:p>
    <w:p w:rsidR="0017260B" w:rsidRPr="0017260B" w:rsidRDefault="0017260B" w:rsidP="0017260B">
      <w:pPr>
        <w:pStyle w:val="Leipteksti"/>
      </w:pPr>
      <w:r>
        <w:t>Katja Viertävä, regeringsråd, kommunikationsministeriet</w:t>
      </w:r>
    </w:p>
    <w:p w:rsidR="00A63CCF" w:rsidRDefault="00A63CCF" w:rsidP="00A63CCF">
      <w:pPr>
        <w:pStyle w:val="Leipteksti"/>
      </w:pPr>
    </w:p>
    <w:sectPr w:rsidR="00A63CCF" w:rsidSect="00B55573">
      <w:headerReference w:type="even" r:id="rId13"/>
      <w:headerReference w:type="default" r:id="rId14"/>
      <w:footerReference w:type="even" r:id="rId15"/>
      <w:footerReference w:type="default" r:id="rId16"/>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74D" w:rsidRDefault="0022074D" w:rsidP="006233E1">
      <w:r>
        <w:separator/>
      </w:r>
    </w:p>
    <w:p w:rsidR="0022074D" w:rsidRDefault="0022074D"/>
    <w:p w:rsidR="0022074D" w:rsidRDefault="0022074D"/>
    <w:p w:rsidR="0022074D" w:rsidRDefault="0022074D"/>
    <w:p w:rsidR="0022074D" w:rsidRDefault="0022074D"/>
  </w:endnote>
  <w:endnote w:type="continuationSeparator" w:id="0">
    <w:p w:rsidR="0022074D" w:rsidRDefault="0022074D" w:rsidP="006233E1">
      <w:r>
        <w:continuationSeparator/>
      </w:r>
    </w:p>
    <w:p w:rsidR="0022074D" w:rsidRDefault="0022074D"/>
    <w:p w:rsidR="0022074D" w:rsidRDefault="0022074D"/>
    <w:p w:rsidR="0022074D" w:rsidRDefault="0022074D"/>
    <w:p w:rsidR="0022074D" w:rsidRDefault="00220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63" w:rsidRDefault="00F9316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2C0532" w:rsidRDefault="002C0532"/>
  <w:p w:rsidR="002C0532" w:rsidRDefault="002C0532"/>
  <w:p w:rsidR="002C0532" w:rsidRDefault="002C0532"/>
  <w:p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5205C3" w:rsidTr="005205C3">
      <w:tc>
        <w:tcPr>
          <w:tcW w:w="2641"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VALTIONEUVOSTO</w:t>
          </w:r>
        </w:p>
      </w:tc>
      <w:tc>
        <w:tcPr>
          <w:tcW w:w="3485"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PL 23, 00023 Valtioneuvosto</w:t>
          </w:r>
        </w:p>
      </w:tc>
      <w:tc>
        <w:tcPr>
          <w:tcW w:w="1842"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vn.fi</w:t>
          </w:r>
        </w:p>
      </w:tc>
      <w:tc>
        <w:tcPr>
          <w:tcW w:w="1698" w:type="dxa"/>
          <w:tcBorders>
            <w:left w:val="single" w:sz="4" w:space="0" w:color="BFBFBF" w:themeColor="background1" w:themeShade="BF"/>
          </w:tcBorders>
        </w:tcPr>
        <w:p w:rsidR="005205C3" w:rsidRPr="00655733" w:rsidRDefault="006E1C2A" w:rsidP="00655733">
          <w:pPr>
            <w:pStyle w:val="Alatunniste"/>
          </w:pPr>
          <w:r>
            <w:t>p. 0295 16001</w:t>
          </w:r>
        </w:p>
      </w:tc>
    </w:tr>
    <w:tr w:rsidR="005205C3" w:rsidTr="005205C3">
      <w:tc>
        <w:tcPr>
          <w:tcW w:w="2641"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STATSRÅDET</w:t>
          </w:r>
        </w:p>
      </w:tc>
      <w:tc>
        <w:tcPr>
          <w:tcW w:w="3485"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PB 23, 00023 Statsrådet</w:t>
          </w:r>
        </w:p>
      </w:tc>
      <w:tc>
        <w:tcPr>
          <w:tcW w:w="1842"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t>vn.fi/sv</w:t>
          </w:r>
        </w:p>
      </w:tc>
      <w:tc>
        <w:tcPr>
          <w:tcW w:w="1698" w:type="dxa"/>
          <w:tcBorders>
            <w:left w:val="single" w:sz="4" w:space="0" w:color="BFBFBF" w:themeColor="background1" w:themeShade="BF"/>
          </w:tcBorders>
        </w:tcPr>
        <w:p w:rsidR="005205C3" w:rsidRPr="00655733" w:rsidRDefault="005205C3" w:rsidP="00655733">
          <w:pPr>
            <w:pStyle w:val="Alatunniste"/>
          </w:pPr>
          <w:r>
            <w:t>tfn 0295 16001</w:t>
          </w:r>
        </w:p>
      </w:tc>
    </w:tr>
  </w:tbl>
  <w:p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BD6768">
      <w:rPr>
        <w:noProof/>
      </w:rPr>
      <w:t>1</w:t>
    </w:r>
    <w:r w:rsidRPr="00655733">
      <w:fldChar w:fldCharType="end"/>
    </w:r>
    <w:r>
      <w:t>(</w:t>
    </w:r>
    <w:fldSimple w:instr=" NUMPAGES   \* MERGEFORMAT ">
      <w:r w:rsidR="00BD6768">
        <w:rPr>
          <w:noProof/>
        </w:rPr>
        <w:t>4</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74D" w:rsidRDefault="0022074D" w:rsidP="00730DBA">
      <w:r>
        <w:separator/>
      </w:r>
    </w:p>
  </w:footnote>
  <w:footnote w:type="continuationSeparator" w:id="0">
    <w:p w:rsidR="0022074D" w:rsidRDefault="0022074D" w:rsidP="00730DBA">
      <w:r>
        <w:continuationSeparator/>
      </w:r>
    </w:p>
  </w:footnote>
  <w:footnote w:type="continuationNotice" w:id="1">
    <w:p w:rsidR="0022074D" w:rsidRPr="00730DBA" w:rsidRDefault="0022074D"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4" w:rsidRDefault="00661C14">
    <w:pPr>
      <w:pStyle w:val="Yltunniste"/>
    </w:pPr>
  </w:p>
  <w:p w:rsidR="002C0532" w:rsidRDefault="002C0532"/>
  <w:p w:rsidR="002C0532" w:rsidRDefault="002C0532"/>
  <w:p w:rsidR="002C0532" w:rsidRDefault="002C0532"/>
  <w:p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32" w:rsidRDefault="006233E1"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-176530</wp:posOffset>
          </wp:positionH>
          <wp:positionV relativeFrom="margin">
            <wp:posOffset>-1227455</wp:posOffset>
          </wp:positionV>
          <wp:extent cx="2268000" cy="957600"/>
          <wp:effectExtent l="0" t="0" r="0" b="0"/>
          <wp:wrapNone/>
          <wp:docPr id="5" name="Kuva 5" descr="Valtioneuvosto, Stats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0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17999"/>
    <w:rsid w:val="00017F5F"/>
    <w:rsid w:val="00022CEC"/>
    <w:rsid w:val="00026B23"/>
    <w:rsid w:val="00050ECD"/>
    <w:rsid w:val="00071F7F"/>
    <w:rsid w:val="000867B0"/>
    <w:rsid w:val="00092C9C"/>
    <w:rsid w:val="00094418"/>
    <w:rsid w:val="000A0CE3"/>
    <w:rsid w:val="000D1DCF"/>
    <w:rsid w:val="00101DC0"/>
    <w:rsid w:val="00113B5B"/>
    <w:rsid w:val="001170AB"/>
    <w:rsid w:val="00137649"/>
    <w:rsid w:val="00153349"/>
    <w:rsid w:val="001637FB"/>
    <w:rsid w:val="0017260B"/>
    <w:rsid w:val="001846F1"/>
    <w:rsid w:val="001865D3"/>
    <w:rsid w:val="001A54BA"/>
    <w:rsid w:val="001A5F89"/>
    <w:rsid w:val="001D1D1A"/>
    <w:rsid w:val="001E3AD2"/>
    <w:rsid w:val="0020401A"/>
    <w:rsid w:val="0020613C"/>
    <w:rsid w:val="0022074D"/>
    <w:rsid w:val="0023779B"/>
    <w:rsid w:val="00261F58"/>
    <w:rsid w:val="0026336B"/>
    <w:rsid w:val="0026582B"/>
    <w:rsid w:val="002818A9"/>
    <w:rsid w:val="002B44C4"/>
    <w:rsid w:val="002B499B"/>
    <w:rsid w:val="002C0532"/>
    <w:rsid w:val="003161C1"/>
    <w:rsid w:val="0033627F"/>
    <w:rsid w:val="00352C14"/>
    <w:rsid w:val="00357F38"/>
    <w:rsid w:val="003A05E0"/>
    <w:rsid w:val="003B16EA"/>
    <w:rsid w:val="003C4A80"/>
    <w:rsid w:val="003C7DA2"/>
    <w:rsid w:val="003D7B94"/>
    <w:rsid w:val="00400CAC"/>
    <w:rsid w:val="00406C8E"/>
    <w:rsid w:val="00443DF8"/>
    <w:rsid w:val="00462424"/>
    <w:rsid w:val="00467E08"/>
    <w:rsid w:val="00471B8D"/>
    <w:rsid w:val="00484CEC"/>
    <w:rsid w:val="00495564"/>
    <w:rsid w:val="004A6DBF"/>
    <w:rsid w:val="004F2948"/>
    <w:rsid w:val="004F5ADD"/>
    <w:rsid w:val="0050772C"/>
    <w:rsid w:val="005205C3"/>
    <w:rsid w:val="0055333E"/>
    <w:rsid w:val="00557701"/>
    <w:rsid w:val="0056552E"/>
    <w:rsid w:val="0059536A"/>
    <w:rsid w:val="00602C33"/>
    <w:rsid w:val="00603D7D"/>
    <w:rsid w:val="00611830"/>
    <w:rsid w:val="00611E67"/>
    <w:rsid w:val="006233E1"/>
    <w:rsid w:val="006240EB"/>
    <w:rsid w:val="00654345"/>
    <w:rsid w:val="00655733"/>
    <w:rsid w:val="00661C14"/>
    <w:rsid w:val="0067403D"/>
    <w:rsid w:val="006A3582"/>
    <w:rsid w:val="006B71B3"/>
    <w:rsid w:val="006B7FBC"/>
    <w:rsid w:val="006D1550"/>
    <w:rsid w:val="006D36AC"/>
    <w:rsid w:val="006E1C2A"/>
    <w:rsid w:val="006E5F42"/>
    <w:rsid w:val="006F6B95"/>
    <w:rsid w:val="007252DF"/>
    <w:rsid w:val="0072548A"/>
    <w:rsid w:val="00730DBA"/>
    <w:rsid w:val="0073536B"/>
    <w:rsid w:val="007463E0"/>
    <w:rsid w:val="00751655"/>
    <w:rsid w:val="00757DCD"/>
    <w:rsid w:val="00762B5E"/>
    <w:rsid w:val="007A6196"/>
    <w:rsid w:val="007B5802"/>
    <w:rsid w:val="007B5CAB"/>
    <w:rsid w:val="00807509"/>
    <w:rsid w:val="008148E7"/>
    <w:rsid w:val="008156D5"/>
    <w:rsid w:val="00816342"/>
    <w:rsid w:val="00822E8C"/>
    <w:rsid w:val="00833AC7"/>
    <w:rsid w:val="0084228E"/>
    <w:rsid w:val="00843679"/>
    <w:rsid w:val="008654CF"/>
    <w:rsid w:val="00893AD3"/>
    <w:rsid w:val="008E44A5"/>
    <w:rsid w:val="00933A6C"/>
    <w:rsid w:val="00940057"/>
    <w:rsid w:val="00941702"/>
    <w:rsid w:val="00942E65"/>
    <w:rsid w:val="00951A5A"/>
    <w:rsid w:val="009628A8"/>
    <w:rsid w:val="00972843"/>
    <w:rsid w:val="00977631"/>
    <w:rsid w:val="0099770A"/>
    <w:rsid w:val="009A3699"/>
    <w:rsid w:val="009A746F"/>
    <w:rsid w:val="009B1DD8"/>
    <w:rsid w:val="009B3B04"/>
    <w:rsid w:val="009E3054"/>
    <w:rsid w:val="00A31E09"/>
    <w:rsid w:val="00A37F96"/>
    <w:rsid w:val="00A410EC"/>
    <w:rsid w:val="00A47442"/>
    <w:rsid w:val="00A61837"/>
    <w:rsid w:val="00A63CCF"/>
    <w:rsid w:val="00A74B53"/>
    <w:rsid w:val="00A818DC"/>
    <w:rsid w:val="00A94B48"/>
    <w:rsid w:val="00AC66FE"/>
    <w:rsid w:val="00AE6082"/>
    <w:rsid w:val="00AE6131"/>
    <w:rsid w:val="00AF21A7"/>
    <w:rsid w:val="00B1527B"/>
    <w:rsid w:val="00B50FC5"/>
    <w:rsid w:val="00B55573"/>
    <w:rsid w:val="00B717AA"/>
    <w:rsid w:val="00B76E13"/>
    <w:rsid w:val="00B7708E"/>
    <w:rsid w:val="00B80584"/>
    <w:rsid w:val="00B8151D"/>
    <w:rsid w:val="00BD6768"/>
    <w:rsid w:val="00BF5055"/>
    <w:rsid w:val="00C458C6"/>
    <w:rsid w:val="00C662D2"/>
    <w:rsid w:val="00C918B9"/>
    <w:rsid w:val="00CE51BB"/>
    <w:rsid w:val="00CE6DF2"/>
    <w:rsid w:val="00D04BEC"/>
    <w:rsid w:val="00D313CB"/>
    <w:rsid w:val="00D52FD4"/>
    <w:rsid w:val="00D600F9"/>
    <w:rsid w:val="00D8248F"/>
    <w:rsid w:val="00DA2E82"/>
    <w:rsid w:val="00DA5D56"/>
    <w:rsid w:val="00DB54D9"/>
    <w:rsid w:val="00DC0177"/>
    <w:rsid w:val="00DC2F56"/>
    <w:rsid w:val="00DC37E3"/>
    <w:rsid w:val="00DC675E"/>
    <w:rsid w:val="00DD7965"/>
    <w:rsid w:val="00DE400F"/>
    <w:rsid w:val="00DF1A58"/>
    <w:rsid w:val="00E32633"/>
    <w:rsid w:val="00E3552E"/>
    <w:rsid w:val="00E40C04"/>
    <w:rsid w:val="00E50DD7"/>
    <w:rsid w:val="00E52B44"/>
    <w:rsid w:val="00E61398"/>
    <w:rsid w:val="00E61A7D"/>
    <w:rsid w:val="00E713FA"/>
    <w:rsid w:val="00EC3C88"/>
    <w:rsid w:val="00ED0556"/>
    <w:rsid w:val="00EE4302"/>
    <w:rsid w:val="00F23A7F"/>
    <w:rsid w:val="00F74100"/>
    <w:rsid w:val="00F7450A"/>
    <w:rsid w:val="00F81599"/>
    <w:rsid w:val="00F93163"/>
    <w:rsid w:val="00FA0D98"/>
    <w:rsid w:val="00FB652F"/>
    <w:rsid w:val="00FF50F3"/>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sv-SE"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sv-SE"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sv-SE"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sv-SE"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sv-SE"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758210787">
      <w:bodyDiv w:val="1"/>
      <w:marLeft w:val="0"/>
      <w:marRight w:val="0"/>
      <w:marTop w:val="0"/>
      <w:marBottom w:val="0"/>
      <w:divBdr>
        <w:top w:val="none" w:sz="0" w:space="0" w:color="auto"/>
        <w:left w:val="none" w:sz="0" w:space="0" w:color="auto"/>
        <w:bottom w:val="none" w:sz="0" w:space="0" w:color="auto"/>
        <w:right w:val="none" w:sz="0" w:space="0" w:color="auto"/>
      </w:divBdr>
    </w:div>
    <w:div w:id="1109276040">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8574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aficom.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83F3C"/>
    <w:rsid w:val="0009277A"/>
    <w:rsid w:val="000A73D0"/>
    <w:rsid w:val="00276498"/>
    <w:rsid w:val="002C4737"/>
    <w:rsid w:val="0031356D"/>
    <w:rsid w:val="003E08B1"/>
    <w:rsid w:val="004E7886"/>
    <w:rsid w:val="005613B5"/>
    <w:rsid w:val="00567069"/>
    <w:rsid w:val="005E7F8F"/>
    <w:rsid w:val="00877ADE"/>
    <w:rsid w:val="009A1946"/>
    <w:rsid w:val="009A646E"/>
    <w:rsid w:val="009E4181"/>
    <w:rsid w:val="00A20879"/>
    <w:rsid w:val="00AB0C55"/>
    <w:rsid w:val="00B069F9"/>
    <w:rsid w:val="00B37416"/>
    <w:rsid w:val="00C15BA4"/>
    <w:rsid w:val="00C26D05"/>
    <w:rsid w:val="00CF3C19"/>
    <w:rsid w:val="00DF4643"/>
    <w:rsid w:val="00E8013A"/>
    <w:rsid w:val="00F50363"/>
    <w:rsid w:val="00F82CAC"/>
    <w:rsid w:val="00F84738"/>
    <w:rsid w:val="00F85958"/>
    <w:rsid w:val="00FC1FEC"/>
    <w:rsid w:val="00FD4A7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C2FC-FFE6-449F-B2C7-1F74B76093F9}">
  <ds:schemaRefs>
    <ds:schemaRef ds:uri="Microsoft.SharePoint.Taxonomy.ContentTypeSync"/>
  </ds:schemaRefs>
</ds:datastoreItem>
</file>

<file path=customXml/itemProps2.xml><?xml version="1.0" encoding="utf-8"?>
<ds:datastoreItem xmlns:ds="http://schemas.openxmlformats.org/officeDocument/2006/customXml" ds:itemID="{7773002D-3881-4BC7-8E4B-87BB799ADDBE}">
  <ds:schemaRefs>
    <ds:schemaRef ds:uri="http://schemas.microsoft.com/sharepoint/v3/contenttype/forms"/>
  </ds:schemaRefs>
</ds:datastoreItem>
</file>

<file path=customXml/itemProps3.xml><?xml version="1.0" encoding="utf-8"?>
<ds:datastoreItem xmlns:ds="http://schemas.openxmlformats.org/officeDocument/2006/customXml" ds:itemID="{86E94808-37A0-4E5C-81B2-A046347EEB63}">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D603A263-33DC-47A1-BC5D-3B61C164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902BE7-61C6-464E-B0F4-82F6F0D9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8735</Characters>
  <Application>Microsoft Office Word</Application>
  <DocSecurity>0</DocSecurity>
  <Lines>72</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1</cp:revision>
  <dcterms:created xsi:type="dcterms:W3CDTF">2022-04-05T06:44:00Z</dcterms:created>
  <dcterms:modified xsi:type="dcterms:W3CDTF">2022-04-05T06:44:00Z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0x010100B5FAB64B6C204DD994D3FAC0C34E2BFF00912EC7B026F19D41BED9DB3DAF43C903</vt:lpwstr>
  </property>
  <property fmtid="{D5CDD505-2E9C-101B-9397-08002B2CF9AE}" pid="4" name="KampusKeywords">
    <vt:lpwstr/>
  </property>
</Properties>
</file>