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3C4DCC" w:rsidP="000A06A9"/>
    <w:p w:rsidR="00EF3AF3" w:rsidRPr="00940745" w:rsidRDefault="00940745" w:rsidP="00940745">
      <w:pPr>
        <w:pStyle w:val="LLEsityksennimi"/>
        <w:rPr>
          <w:lang w:val="sv-SE"/>
        </w:rPr>
      </w:pPr>
      <w:r w:rsidRPr="00940745">
        <w:rPr>
          <w:lang w:val="sv-SE"/>
        </w:rPr>
        <w:t>Regeringens proposition till riksdagen</w:t>
      </w:r>
      <w:r w:rsidR="00873146">
        <w:rPr>
          <w:lang w:val="sv-SE"/>
        </w:rPr>
        <w:t xml:space="preserve"> </w:t>
      </w:r>
      <w:r w:rsidR="00873146" w:rsidRPr="00873146">
        <w:rPr>
          <w:lang w:val="sv-SE"/>
        </w:rPr>
        <w:t>med förslag till lagar om ändring av lagen om tjänster inom elektronisk kommunikation och lagen om Transport och kommunikationsverket</w:t>
      </w:r>
    </w:p>
    <w:bookmarkStart w:id="0" w:name="_Toc102649678" w:displacedByCustomXml="next"/>
    <w:sdt>
      <w:sdtPr>
        <w:alias w:val="Otsikko"/>
        <w:tag w:val="CCOtsikko"/>
        <w:id w:val="-717274869"/>
        <w:lock w:val="sdtLocked"/>
        <w:placeholder>
          <w:docPart w:val="76F6DF5BDA9545BB8ACA191D9CACC31F"/>
        </w:placeholder>
        <w15:color w:val="00CCFF"/>
      </w:sdtPr>
      <w:sdtEndPr/>
      <w:sdtContent>
        <w:p w:rsidR="005A0584" w:rsidRPr="00940745" w:rsidRDefault="00940745" w:rsidP="005A0584">
          <w:pPr>
            <w:pStyle w:val="LLPasiallinensislt"/>
            <w:rPr>
              <w:lang w:val="sv-SE"/>
            </w:rPr>
          </w:pPr>
          <w:r w:rsidRPr="00940745">
            <w:rPr>
              <w:lang w:val="sv-SE"/>
            </w:rPr>
            <w:t>Propositionens huvudsakliga innehåll</w:t>
          </w:r>
        </w:p>
      </w:sdtContent>
    </w:sdt>
    <w:bookmarkEnd w:id="0" w:displacedByCustomXml="prev"/>
    <w:sdt>
      <w:sdtPr>
        <w:alias w:val="Pääasiallinen sisältö"/>
        <w:tag w:val="CCPaaasiallinensisalto"/>
        <w:id w:val="773754789"/>
        <w:lock w:val="sdtLocked"/>
        <w:placeholder>
          <w:docPart w:val="0B3D8AFE385644829279A45AECEE99FE"/>
        </w:placeholder>
        <w15:color w:val="00CCFF"/>
      </w:sdtPr>
      <w:sdtEndPr/>
      <w:sdtContent>
        <w:p w:rsidR="00873146" w:rsidRPr="00873146" w:rsidRDefault="00873146" w:rsidP="00873146">
          <w:pPr>
            <w:pStyle w:val="LLPerustelujenkappalejako"/>
            <w:rPr>
              <w:lang w:val="sv-SE"/>
            </w:rPr>
          </w:pPr>
          <w:r w:rsidRPr="00873146">
            <w:rPr>
              <w:lang w:val="sv-SE"/>
            </w:rPr>
            <w:t>I denna proposition föreslås det att lagen om tjänster inom elektronisk kommunikation och lagen om Transport- och kommunikationsverket ändras. Målet är att göra de lagstiftningsändringar som krävs för att den offentliga reglerade tjänsten inom ramen för satellitnavigeringssystemet Galileo (</w:t>
          </w:r>
          <w:r w:rsidRPr="00310852">
            <w:rPr>
              <w:i/>
              <w:lang w:val="sv-SE"/>
            </w:rPr>
            <w:t xml:space="preserve">Public </w:t>
          </w:r>
          <w:proofErr w:type="spellStart"/>
          <w:r w:rsidRPr="00310852">
            <w:rPr>
              <w:i/>
              <w:lang w:val="sv-SE"/>
            </w:rPr>
            <w:t>Regulated</w:t>
          </w:r>
          <w:proofErr w:type="spellEnd"/>
          <w:r w:rsidRPr="00310852">
            <w:rPr>
              <w:i/>
              <w:lang w:val="sv-SE"/>
            </w:rPr>
            <w:t xml:space="preserve"> Service, PRS-tjänst</w:t>
          </w:r>
          <w:r w:rsidRPr="00873146">
            <w:rPr>
              <w:lang w:val="sv-SE"/>
            </w:rPr>
            <w:t xml:space="preserve">) ska kunna tas i bruk nationellt i Finland under 2025. </w:t>
          </w:r>
        </w:p>
        <w:p w:rsidR="00873146" w:rsidRPr="00873146" w:rsidRDefault="00873146" w:rsidP="00873146">
          <w:pPr>
            <w:pStyle w:val="LLPerustelujenkappalejako"/>
            <w:rPr>
              <w:lang w:val="sv-SE"/>
            </w:rPr>
          </w:pPr>
          <w:r w:rsidRPr="00873146">
            <w:rPr>
              <w:lang w:val="sv-SE"/>
            </w:rPr>
            <w:t>Det som enligt förslaget i propositionen i första hand ska ändras är 32 a kap., som gäller offentlig reglerad satellittjänst, i lagen om tjänster inom elektronisk kommu</w:t>
          </w:r>
          <w:r w:rsidR="00310852">
            <w:rPr>
              <w:lang w:val="sv-SE"/>
            </w:rPr>
            <w:t>nikation. Kapitlet innehåller be</w:t>
          </w:r>
          <w:r w:rsidRPr="00873146">
            <w:rPr>
              <w:lang w:val="sv-SE"/>
            </w:rPr>
            <w:t>stämmelser om de ansvariga myndigheterna för offentlig reglerad s</w:t>
          </w:r>
          <w:r w:rsidR="00970B4C">
            <w:rPr>
              <w:lang w:val="sv-SE"/>
            </w:rPr>
            <w:t>atellittjänst och myndighetsupp</w:t>
          </w:r>
          <w:r w:rsidRPr="00873146">
            <w:rPr>
              <w:lang w:val="sv-SE"/>
            </w:rPr>
            <w:t xml:space="preserve">gifterna, om tillhandahållande av PRS-tjänst och om produktion av teknik för och tillsyn över export av PRS-tjänst. </w:t>
          </w:r>
          <w:proofErr w:type="spellStart"/>
          <w:r w:rsidRPr="00873146">
            <w:rPr>
              <w:lang w:val="sv-SE"/>
            </w:rPr>
            <w:t>Suomen</w:t>
          </w:r>
          <w:proofErr w:type="spellEnd"/>
          <w:r w:rsidRPr="00873146">
            <w:rPr>
              <w:lang w:val="sv-SE"/>
            </w:rPr>
            <w:t xml:space="preserve"> </w:t>
          </w:r>
          <w:proofErr w:type="spellStart"/>
          <w:r w:rsidRPr="00873146">
            <w:rPr>
              <w:lang w:val="sv-SE"/>
            </w:rPr>
            <w:t>Erillisverkot</w:t>
          </w:r>
          <w:proofErr w:type="spellEnd"/>
          <w:r w:rsidRPr="00873146">
            <w:rPr>
              <w:lang w:val="sv-SE"/>
            </w:rPr>
            <w:t xml:space="preserve"> Oy ska ges rätt att fungera som leverantör av offentlig reglerad satellittjänst. </w:t>
          </w:r>
          <w:proofErr w:type="spellStart"/>
          <w:r w:rsidRPr="00873146">
            <w:rPr>
              <w:lang w:val="sv-SE"/>
            </w:rPr>
            <w:t>Suomen</w:t>
          </w:r>
          <w:proofErr w:type="spellEnd"/>
          <w:r w:rsidRPr="00873146">
            <w:rPr>
              <w:lang w:val="sv-SE"/>
            </w:rPr>
            <w:t xml:space="preserve"> </w:t>
          </w:r>
          <w:proofErr w:type="spellStart"/>
          <w:r w:rsidRPr="00873146">
            <w:rPr>
              <w:lang w:val="sv-SE"/>
            </w:rPr>
            <w:t>Erillisverkot</w:t>
          </w:r>
          <w:proofErr w:type="spellEnd"/>
          <w:r w:rsidRPr="00873146">
            <w:rPr>
              <w:lang w:val="sv-SE"/>
            </w:rPr>
            <w:t xml:space="preserve"> Oy ska omfattas av bland annat det straffrättsliga tjänsteansvar och det skadeståndsansvar som gäller i samband med skötseln av en offentlig förvaltningsuppgift. Bolaget ska i sin verksamhet separera PRS-tjänsten ekonomiskt och funktionellt från sin övriga verksamhet och inte ha rätt att göra företagsekonomisk vinst genom tillhandahållandet av PRS-tjänsten. Försvarsmakten ska kunna tillhandahålla PRS-tjänsten för försvarets behov.</w:t>
          </w:r>
        </w:p>
        <w:p w:rsidR="00873146" w:rsidRPr="00873146" w:rsidRDefault="00873146" w:rsidP="00873146">
          <w:pPr>
            <w:pStyle w:val="LLPerustelujenkappalejako"/>
            <w:rPr>
              <w:lang w:val="sv-SE"/>
            </w:rPr>
          </w:pPr>
          <w:r w:rsidRPr="00873146">
            <w:rPr>
              <w:lang w:val="sv-SE"/>
            </w:rPr>
            <w:t>Det föreslås att lagen om tjänster inom elektronisk kommunikation ändras så att Transport- och kommunikationsverket ska ha rätt att i större utsträckning än för närvarande förrätta en inspektion av en offentlig reglerad satellittjänst hos en tillhandahållare av PRS-tjänst, hos en användare av PRS-tjänst och hos en tillverkare av teknik för PRS-tjänst samt ho</w:t>
          </w:r>
          <w:r w:rsidR="00310852">
            <w:rPr>
              <w:lang w:val="sv-SE"/>
            </w:rPr>
            <w:t>s Försvarsmakten när denna till</w:t>
          </w:r>
          <w:r w:rsidRPr="00873146">
            <w:rPr>
              <w:lang w:val="sv-SE"/>
            </w:rPr>
            <w:t>handahåller PRS-tjänst för försvarets behov. Dessutom föreslås bestämmelser om straffbarhet för missbruk av en PRS-tjänst.</w:t>
          </w:r>
        </w:p>
        <w:p w:rsidR="00873146" w:rsidRPr="00873146" w:rsidRDefault="00873146" w:rsidP="00873146">
          <w:pPr>
            <w:pStyle w:val="LLPerustelujenkappalejako"/>
            <w:rPr>
              <w:lang w:val="sv-SE"/>
            </w:rPr>
          </w:pPr>
          <w:r w:rsidRPr="00873146">
            <w:rPr>
              <w:lang w:val="sv-SE"/>
            </w:rPr>
            <w:t>Det föreslås att lagen om Transport- och kommunikationsverket ändras så att verket i fortsättningen bland annat svarar för organiseringen av PRS-tjänsten och Cybersäkerhetscentret för sin del av uppgiften.</w:t>
          </w:r>
        </w:p>
        <w:p w:rsidR="00873146" w:rsidRPr="00873146" w:rsidRDefault="00873146" w:rsidP="00873146">
          <w:pPr>
            <w:pStyle w:val="LLPerustelujenkappalejako"/>
            <w:rPr>
              <w:lang w:val="sv-SE"/>
            </w:rPr>
          </w:pPr>
          <w:r w:rsidRPr="00873146">
            <w:rPr>
              <w:lang w:val="sv-SE"/>
            </w:rPr>
            <w:t>Dessutom föreslås det i propositionen att informationssamhällsavgiften höjs för att täcka Transport- och kommunikationsverkets årliga kostna</w:t>
          </w:r>
          <w:r w:rsidR="004D037E">
            <w:rPr>
              <w:lang w:val="sv-SE"/>
            </w:rPr>
            <w:t>der för drift och underhåll av p</w:t>
          </w:r>
          <w:r w:rsidRPr="00873146">
            <w:rPr>
              <w:lang w:val="sv-SE"/>
            </w:rPr>
            <w:t>ositionsdatatjänsten.</w:t>
          </w:r>
        </w:p>
        <w:p w:rsidR="00873146" w:rsidRPr="00873146" w:rsidRDefault="00873146" w:rsidP="00873146">
          <w:pPr>
            <w:pStyle w:val="LLPerustelujenkappalejako"/>
            <w:rPr>
              <w:lang w:val="sv-SE"/>
            </w:rPr>
          </w:pPr>
          <w:r w:rsidRPr="00873146">
            <w:rPr>
              <w:lang w:val="sv-SE"/>
            </w:rPr>
            <w:t>Propositionen hänför sig till statens budgetproposition för 2023 och avses bli behandlad i samband med den.</w:t>
          </w:r>
        </w:p>
        <w:p w:rsidR="00873146" w:rsidRPr="00873146" w:rsidRDefault="00873146" w:rsidP="00873146">
          <w:pPr>
            <w:pStyle w:val="LLPerustelujenkappalejako"/>
            <w:rPr>
              <w:lang w:val="sv-SE"/>
            </w:rPr>
          </w:pPr>
          <w:r w:rsidRPr="00873146">
            <w:rPr>
              <w:lang w:val="sv-SE"/>
            </w:rPr>
            <w:t>De föreslagna lagarna avses träda i kraft den 1 januari 2023.</w:t>
          </w:r>
        </w:p>
        <w:p w:rsidR="005A0584" w:rsidRPr="00234499" w:rsidRDefault="004B4E25" w:rsidP="00940745">
          <w:pPr>
            <w:pStyle w:val="LLPerustelujenkappalejako"/>
            <w:rPr>
              <w:lang w:val="sv-SE"/>
            </w:rPr>
          </w:pPr>
        </w:p>
      </w:sdtContent>
    </w:sdt>
    <w:p w:rsidR="005A0584" w:rsidRPr="00234499" w:rsidRDefault="0076114C" w:rsidP="00612C71">
      <w:pPr>
        <w:pStyle w:val="LLNormaali"/>
        <w:jc w:val="center"/>
        <w:rPr>
          <w:lang w:val="sv-SE"/>
        </w:rPr>
      </w:pPr>
      <w:proofErr w:type="gramStart"/>
      <w:r w:rsidRPr="00234499">
        <w:rPr>
          <w:lang w:val="sv-SE"/>
        </w:rPr>
        <w:t>—</w:t>
      </w:r>
      <w:proofErr w:type="gramEnd"/>
      <w:r w:rsidRPr="00234499">
        <w:rPr>
          <w:lang w:val="sv-SE"/>
        </w:rPr>
        <w:t>————</w:t>
      </w:r>
      <w:r w:rsidR="005A0584" w:rsidRPr="00234499">
        <w:rPr>
          <w:lang w:val="sv-SE"/>
        </w:rPr>
        <w:br w:type="page"/>
      </w:r>
    </w:p>
    <w:p w:rsidR="005A0584" w:rsidRPr="00234499" w:rsidRDefault="00940745" w:rsidP="00612C71">
      <w:pPr>
        <w:pStyle w:val="LLSisllys"/>
        <w:rPr>
          <w:lang w:val="sv-SE"/>
        </w:rPr>
      </w:pPr>
      <w:r w:rsidRPr="00234499">
        <w:rPr>
          <w:lang w:val="sv-SE"/>
        </w:rPr>
        <w:lastRenderedPageBreak/>
        <w:t>INNEH</w:t>
      </w:r>
      <w:r w:rsidR="00FC143A">
        <w:rPr>
          <w:lang w:val="sv-SE"/>
        </w:rPr>
        <w:t>Å</w:t>
      </w:r>
      <w:r w:rsidRPr="00234499">
        <w:rPr>
          <w:lang w:val="sv-SE"/>
        </w:rPr>
        <w:t>LL</w:t>
      </w:r>
    </w:p>
    <w:p w:rsidR="00744FF3" w:rsidRDefault="00CD5667">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2649678" w:history="1">
        <w:r w:rsidR="00744FF3" w:rsidRPr="00FE7C8A">
          <w:rPr>
            <w:rStyle w:val="Hyperlinkki"/>
            <w:noProof/>
            <w:lang w:val="sv-SE"/>
          </w:rPr>
          <w:t>Propositionens huvudsakliga innehåll</w:t>
        </w:r>
        <w:r w:rsidR="00744FF3">
          <w:rPr>
            <w:noProof/>
            <w:webHidden/>
          </w:rPr>
          <w:tab/>
        </w:r>
        <w:r w:rsidR="00744FF3">
          <w:rPr>
            <w:noProof/>
            <w:webHidden/>
          </w:rPr>
          <w:fldChar w:fldCharType="begin"/>
        </w:r>
        <w:r w:rsidR="00744FF3">
          <w:rPr>
            <w:noProof/>
            <w:webHidden/>
          </w:rPr>
          <w:instrText xml:space="preserve"> PAGEREF _Toc102649678 \h </w:instrText>
        </w:r>
        <w:r w:rsidR="00744FF3">
          <w:rPr>
            <w:noProof/>
            <w:webHidden/>
          </w:rPr>
        </w:r>
        <w:r w:rsidR="00744FF3">
          <w:rPr>
            <w:noProof/>
            <w:webHidden/>
          </w:rPr>
          <w:fldChar w:fldCharType="separate"/>
        </w:r>
        <w:r w:rsidR="00744FF3">
          <w:rPr>
            <w:noProof/>
            <w:webHidden/>
          </w:rPr>
          <w:t>1</w:t>
        </w:r>
        <w:r w:rsidR="00744FF3">
          <w:rPr>
            <w:noProof/>
            <w:webHidden/>
          </w:rPr>
          <w:fldChar w:fldCharType="end"/>
        </w:r>
      </w:hyperlink>
    </w:p>
    <w:p w:rsidR="00744FF3" w:rsidRDefault="00744FF3">
      <w:pPr>
        <w:pStyle w:val="Sisluet1"/>
        <w:rPr>
          <w:rFonts w:asciiTheme="minorHAnsi" w:eastAsiaTheme="minorEastAsia" w:hAnsiTheme="minorHAnsi" w:cstheme="minorBidi"/>
          <w:bCs w:val="0"/>
          <w:caps w:val="0"/>
          <w:noProof/>
          <w:szCs w:val="22"/>
        </w:rPr>
      </w:pPr>
      <w:hyperlink w:anchor="_Toc102649679" w:history="1">
        <w:r w:rsidRPr="00FE7C8A">
          <w:rPr>
            <w:rStyle w:val="Hyperlinkki"/>
            <w:noProof/>
            <w:lang w:val="sv-SE"/>
          </w:rPr>
          <w:t>MOTIVERING</w:t>
        </w:r>
        <w:r>
          <w:rPr>
            <w:noProof/>
            <w:webHidden/>
          </w:rPr>
          <w:tab/>
        </w:r>
        <w:r>
          <w:rPr>
            <w:noProof/>
            <w:webHidden/>
          </w:rPr>
          <w:fldChar w:fldCharType="begin"/>
        </w:r>
        <w:r>
          <w:rPr>
            <w:noProof/>
            <w:webHidden/>
          </w:rPr>
          <w:instrText xml:space="preserve"> PAGEREF _Toc102649679 \h </w:instrText>
        </w:r>
        <w:r>
          <w:rPr>
            <w:noProof/>
            <w:webHidden/>
          </w:rPr>
        </w:r>
        <w:r>
          <w:rPr>
            <w:noProof/>
            <w:webHidden/>
          </w:rPr>
          <w:fldChar w:fldCharType="separate"/>
        </w:r>
        <w:r>
          <w:rPr>
            <w:noProof/>
            <w:webHidden/>
          </w:rPr>
          <w:t>3</w:t>
        </w:r>
        <w:r>
          <w:rPr>
            <w:noProof/>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80" w:history="1">
        <w:r w:rsidRPr="00FE7C8A">
          <w:rPr>
            <w:rStyle w:val="Hyperlinkki"/>
            <w:lang w:val="sv-SE"/>
          </w:rPr>
          <w:t>1 Bakgrund och beredning</w:t>
        </w:r>
        <w:r>
          <w:rPr>
            <w:webHidden/>
          </w:rPr>
          <w:tab/>
        </w:r>
        <w:r>
          <w:rPr>
            <w:webHidden/>
          </w:rPr>
          <w:fldChar w:fldCharType="begin"/>
        </w:r>
        <w:r>
          <w:rPr>
            <w:webHidden/>
          </w:rPr>
          <w:instrText xml:space="preserve"> PAGEREF _Toc102649680 \h </w:instrText>
        </w:r>
        <w:r>
          <w:rPr>
            <w:webHidden/>
          </w:rPr>
        </w:r>
        <w:r>
          <w:rPr>
            <w:webHidden/>
          </w:rPr>
          <w:fldChar w:fldCharType="separate"/>
        </w:r>
        <w:r>
          <w:rPr>
            <w:webHidden/>
          </w:rPr>
          <w:t>3</w:t>
        </w:r>
        <w:r>
          <w:rPr>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81" w:history="1">
        <w:r w:rsidRPr="00FE7C8A">
          <w:rPr>
            <w:rStyle w:val="Hyperlinkki"/>
            <w:noProof/>
            <w:lang w:val="sv-SE"/>
          </w:rPr>
          <w:t>1.1 Bakgrund</w:t>
        </w:r>
        <w:r>
          <w:rPr>
            <w:noProof/>
            <w:webHidden/>
          </w:rPr>
          <w:tab/>
        </w:r>
        <w:r>
          <w:rPr>
            <w:noProof/>
            <w:webHidden/>
          </w:rPr>
          <w:fldChar w:fldCharType="begin"/>
        </w:r>
        <w:r>
          <w:rPr>
            <w:noProof/>
            <w:webHidden/>
          </w:rPr>
          <w:instrText xml:space="preserve"> PAGEREF _Toc102649681 \h </w:instrText>
        </w:r>
        <w:r>
          <w:rPr>
            <w:noProof/>
            <w:webHidden/>
          </w:rPr>
        </w:r>
        <w:r>
          <w:rPr>
            <w:noProof/>
            <w:webHidden/>
          </w:rPr>
          <w:fldChar w:fldCharType="separate"/>
        </w:r>
        <w:r>
          <w:rPr>
            <w:noProof/>
            <w:webHidden/>
          </w:rPr>
          <w:t>3</w:t>
        </w:r>
        <w:r>
          <w:rPr>
            <w:noProof/>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82" w:history="1">
        <w:r w:rsidRPr="00FE7C8A">
          <w:rPr>
            <w:rStyle w:val="Hyperlinkki"/>
            <w:noProof/>
            <w:lang w:val="sv-SE"/>
          </w:rPr>
          <w:t>1.2 Beredning</w:t>
        </w:r>
        <w:r>
          <w:rPr>
            <w:noProof/>
            <w:webHidden/>
          </w:rPr>
          <w:tab/>
        </w:r>
        <w:r>
          <w:rPr>
            <w:noProof/>
            <w:webHidden/>
          </w:rPr>
          <w:fldChar w:fldCharType="begin"/>
        </w:r>
        <w:r>
          <w:rPr>
            <w:noProof/>
            <w:webHidden/>
          </w:rPr>
          <w:instrText xml:space="preserve"> PAGEREF _Toc102649682 \h </w:instrText>
        </w:r>
        <w:r>
          <w:rPr>
            <w:noProof/>
            <w:webHidden/>
          </w:rPr>
        </w:r>
        <w:r>
          <w:rPr>
            <w:noProof/>
            <w:webHidden/>
          </w:rPr>
          <w:fldChar w:fldCharType="separate"/>
        </w:r>
        <w:r>
          <w:rPr>
            <w:noProof/>
            <w:webHidden/>
          </w:rPr>
          <w:t>4</w:t>
        </w:r>
        <w:r>
          <w:rPr>
            <w:noProof/>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83" w:history="1">
        <w:r w:rsidRPr="00FE7C8A">
          <w:rPr>
            <w:rStyle w:val="Hyperlinkki"/>
            <w:lang w:val="sv-SE"/>
          </w:rPr>
          <w:t>2 EU-rättsaktens målsättning och huvudsakliga innehåll</w:t>
        </w:r>
        <w:r>
          <w:rPr>
            <w:webHidden/>
          </w:rPr>
          <w:tab/>
        </w:r>
        <w:r>
          <w:rPr>
            <w:webHidden/>
          </w:rPr>
          <w:fldChar w:fldCharType="begin"/>
        </w:r>
        <w:r>
          <w:rPr>
            <w:webHidden/>
          </w:rPr>
          <w:instrText xml:space="preserve"> PAGEREF _Toc102649683 \h </w:instrText>
        </w:r>
        <w:r>
          <w:rPr>
            <w:webHidden/>
          </w:rPr>
        </w:r>
        <w:r>
          <w:rPr>
            <w:webHidden/>
          </w:rPr>
          <w:fldChar w:fldCharType="separate"/>
        </w:r>
        <w:r>
          <w:rPr>
            <w:webHidden/>
          </w:rPr>
          <w:t>4</w:t>
        </w:r>
        <w:r>
          <w:rPr>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84" w:history="1">
        <w:r w:rsidRPr="00FE7C8A">
          <w:rPr>
            <w:rStyle w:val="Hyperlinkki"/>
            <w:noProof/>
          </w:rPr>
          <w:t>2.1 Nuläge och bedömning av nuläget</w:t>
        </w:r>
        <w:r>
          <w:rPr>
            <w:noProof/>
            <w:webHidden/>
          </w:rPr>
          <w:tab/>
        </w:r>
        <w:r>
          <w:rPr>
            <w:noProof/>
            <w:webHidden/>
          </w:rPr>
          <w:fldChar w:fldCharType="begin"/>
        </w:r>
        <w:r>
          <w:rPr>
            <w:noProof/>
            <w:webHidden/>
          </w:rPr>
          <w:instrText xml:space="preserve"> PAGEREF _Toc102649684 \h </w:instrText>
        </w:r>
        <w:r>
          <w:rPr>
            <w:noProof/>
            <w:webHidden/>
          </w:rPr>
        </w:r>
        <w:r>
          <w:rPr>
            <w:noProof/>
            <w:webHidden/>
          </w:rPr>
          <w:fldChar w:fldCharType="separate"/>
        </w:r>
        <w:r>
          <w:rPr>
            <w:noProof/>
            <w:webHidden/>
          </w:rPr>
          <w:t>4</w:t>
        </w:r>
        <w:r>
          <w:rPr>
            <w:noProof/>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85" w:history="1">
        <w:r w:rsidRPr="00FE7C8A">
          <w:rPr>
            <w:rStyle w:val="Hyperlinkki"/>
            <w:lang w:val="sv-SE"/>
          </w:rPr>
          <w:t>3 Målsättning</w:t>
        </w:r>
        <w:r>
          <w:rPr>
            <w:webHidden/>
          </w:rPr>
          <w:tab/>
        </w:r>
        <w:r>
          <w:rPr>
            <w:webHidden/>
          </w:rPr>
          <w:fldChar w:fldCharType="begin"/>
        </w:r>
        <w:r>
          <w:rPr>
            <w:webHidden/>
          </w:rPr>
          <w:instrText xml:space="preserve"> PAGEREF _Toc102649685 \h </w:instrText>
        </w:r>
        <w:r>
          <w:rPr>
            <w:webHidden/>
          </w:rPr>
        </w:r>
        <w:r>
          <w:rPr>
            <w:webHidden/>
          </w:rPr>
          <w:fldChar w:fldCharType="separate"/>
        </w:r>
        <w:r>
          <w:rPr>
            <w:webHidden/>
          </w:rPr>
          <w:t>5</w:t>
        </w:r>
        <w:r>
          <w:rPr>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86" w:history="1">
        <w:r w:rsidRPr="00FE7C8A">
          <w:rPr>
            <w:rStyle w:val="Hyperlinkki"/>
            <w:lang w:val="sv-SE"/>
          </w:rPr>
          <w:t>4 Förslagen och deras konsekvenser</w:t>
        </w:r>
        <w:r>
          <w:rPr>
            <w:webHidden/>
          </w:rPr>
          <w:tab/>
        </w:r>
        <w:r>
          <w:rPr>
            <w:webHidden/>
          </w:rPr>
          <w:fldChar w:fldCharType="begin"/>
        </w:r>
        <w:r>
          <w:rPr>
            <w:webHidden/>
          </w:rPr>
          <w:instrText xml:space="preserve"> PAGEREF _Toc102649686 \h </w:instrText>
        </w:r>
        <w:r>
          <w:rPr>
            <w:webHidden/>
          </w:rPr>
        </w:r>
        <w:r>
          <w:rPr>
            <w:webHidden/>
          </w:rPr>
          <w:fldChar w:fldCharType="separate"/>
        </w:r>
        <w:r>
          <w:rPr>
            <w:webHidden/>
          </w:rPr>
          <w:t>5</w:t>
        </w:r>
        <w:r>
          <w:rPr>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87" w:history="1">
        <w:r w:rsidRPr="00FE7C8A">
          <w:rPr>
            <w:rStyle w:val="Hyperlinkki"/>
            <w:noProof/>
            <w:lang w:val="sv-SE"/>
          </w:rPr>
          <w:t>4.1 De viktigaste förslagen</w:t>
        </w:r>
        <w:r>
          <w:rPr>
            <w:noProof/>
            <w:webHidden/>
          </w:rPr>
          <w:tab/>
        </w:r>
        <w:r>
          <w:rPr>
            <w:noProof/>
            <w:webHidden/>
          </w:rPr>
          <w:fldChar w:fldCharType="begin"/>
        </w:r>
        <w:r>
          <w:rPr>
            <w:noProof/>
            <w:webHidden/>
          </w:rPr>
          <w:instrText xml:space="preserve"> PAGEREF _Toc102649687 \h </w:instrText>
        </w:r>
        <w:r>
          <w:rPr>
            <w:noProof/>
            <w:webHidden/>
          </w:rPr>
        </w:r>
        <w:r>
          <w:rPr>
            <w:noProof/>
            <w:webHidden/>
          </w:rPr>
          <w:fldChar w:fldCharType="separate"/>
        </w:r>
        <w:r>
          <w:rPr>
            <w:noProof/>
            <w:webHidden/>
          </w:rPr>
          <w:t>5</w:t>
        </w:r>
        <w:r>
          <w:rPr>
            <w:noProof/>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88" w:history="1">
        <w:r w:rsidRPr="00FE7C8A">
          <w:rPr>
            <w:rStyle w:val="Hyperlinkki"/>
            <w:noProof/>
            <w:lang w:val="sv-SE"/>
          </w:rPr>
          <w:t>4.2 De huvudsakliga konsekvenserna</w:t>
        </w:r>
        <w:r>
          <w:rPr>
            <w:noProof/>
            <w:webHidden/>
          </w:rPr>
          <w:tab/>
        </w:r>
        <w:r>
          <w:rPr>
            <w:noProof/>
            <w:webHidden/>
          </w:rPr>
          <w:fldChar w:fldCharType="begin"/>
        </w:r>
        <w:r>
          <w:rPr>
            <w:noProof/>
            <w:webHidden/>
          </w:rPr>
          <w:instrText xml:space="preserve"> PAGEREF _Toc102649688 \h </w:instrText>
        </w:r>
        <w:r>
          <w:rPr>
            <w:noProof/>
            <w:webHidden/>
          </w:rPr>
        </w:r>
        <w:r>
          <w:rPr>
            <w:noProof/>
            <w:webHidden/>
          </w:rPr>
          <w:fldChar w:fldCharType="separate"/>
        </w:r>
        <w:r>
          <w:rPr>
            <w:noProof/>
            <w:webHidden/>
          </w:rPr>
          <w:t>5</w:t>
        </w:r>
        <w:r>
          <w:rPr>
            <w:noProof/>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89" w:history="1">
        <w:r w:rsidRPr="00FE7C8A">
          <w:rPr>
            <w:rStyle w:val="Hyperlinkki"/>
            <w:lang w:val="sv-SE"/>
          </w:rPr>
          <w:t>5 Alternativa handlingsvägar</w:t>
        </w:r>
        <w:r>
          <w:rPr>
            <w:webHidden/>
          </w:rPr>
          <w:tab/>
        </w:r>
        <w:r>
          <w:rPr>
            <w:webHidden/>
          </w:rPr>
          <w:fldChar w:fldCharType="begin"/>
        </w:r>
        <w:r>
          <w:rPr>
            <w:webHidden/>
          </w:rPr>
          <w:instrText xml:space="preserve"> PAGEREF _Toc102649689 \h </w:instrText>
        </w:r>
        <w:r>
          <w:rPr>
            <w:webHidden/>
          </w:rPr>
        </w:r>
        <w:r>
          <w:rPr>
            <w:webHidden/>
          </w:rPr>
          <w:fldChar w:fldCharType="separate"/>
        </w:r>
        <w:r>
          <w:rPr>
            <w:webHidden/>
          </w:rPr>
          <w:t>7</w:t>
        </w:r>
        <w:r>
          <w:rPr>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90" w:history="1">
        <w:r w:rsidRPr="00FE7C8A">
          <w:rPr>
            <w:rStyle w:val="Hyperlinkki"/>
            <w:noProof/>
            <w:lang w:val="sv-SE"/>
          </w:rPr>
          <w:t>5.1 Handlingsalternativen och deras konsekvenser</w:t>
        </w:r>
        <w:r>
          <w:rPr>
            <w:noProof/>
            <w:webHidden/>
          </w:rPr>
          <w:tab/>
        </w:r>
        <w:r>
          <w:rPr>
            <w:noProof/>
            <w:webHidden/>
          </w:rPr>
          <w:fldChar w:fldCharType="begin"/>
        </w:r>
        <w:r>
          <w:rPr>
            <w:noProof/>
            <w:webHidden/>
          </w:rPr>
          <w:instrText xml:space="preserve"> PAGEREF _Toc102649690 \h </w:instrText>
        </w:r>
        <w:r>
          <w:rPr>
            <w:noProof/>
            <w:webHidden/>
          </w:rPr>
        </w:r>
        <w:r>
          <w:rPr>
            <w:noProof/>
            <w:webHidden/>
          </w:rPr>
          <w:fldChar w:fldCharType="separate"/>
        </w:r>
        <w:r>
          <w:rPr>
            <w:noProof/>
            <w:webHidden/>
          </w:rPr>
          <w:t>7</w:t>
        </w:r>
        <w:r>
          <w:rPr>
            <w:noProof/>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91" w:history="1">
        <w:r w:rsidRPr="00FE7C8A">
          <w:rPr>
            <w:rStyle w:val="Hyperlinkki"/>
            <w:noProof/>
            <w:lang w:val="sv-SE"/>
          </w:rPr>
          <w:t>5.2 Åtgärder som planeras eller vidtas av andra medlemsstater</w:t>
        </w:r>
        <w:r>
          <w:rPr>
            <w:noProof/>
            <w:webHidden/>
          </w:rPr>
          <w:tab/>
        </w:r>
        <w:r>
          <w:rPr>
            <w:noProof/>
            <w:webHidden/>
          </w:rPr>
          <w:fldChar w:fldCharType="begin"/>
        </w:r>
        <w:r>
          <w:rPr>
            <w:noProof/>
            <w:webHidden/>
          </w:rPr>
          <w:instrText xml:space="preserve"> PAGEREF _Toc102649691 \h </w:instrText>
        </w:r>
        <w:r>
          <w:rPr>
            <w:noProof/>
            <w:webHidden/>
          </w:rPr>
        </w:r>
        <w:r>
          <w:rPr>
            <w:noProof/>
            <w:webHidden/>
          </w:rPr>
          <w:fldChar w:fldCharType="separate"/>
        </w:r>
        <w:r>
          <w:rPr>
            <w:noProof/>
            <w:webHidden/>
          </w:rPr>
          <w:t>7</w:t>
        </w:r>
        <w:r>
          <w:rPr>
            <w:noProof/>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92" w:history="1">
        <w:r w:rsidRPr="00FE7C8A">
          <w:rPr>
            <w:rStyle w:val="Hyperlinkki"/>
            <w:lang w:val="sv-SE"/>
          </w:rPr>
          <w:t>6 Remissvar</w:t>
        </w:r>
        <w:r>
          <w:rPr>
            <w:webHidden/>
          </w:rPr>
          <w:tab/>
        </w:r>
        <w:r>
          <w:rPr>
            <w:webHidden/>
          </w:rPr>
          <w:fldChar w:fldCharType="begin"/>
        </w:r>
        <w:r>
          <w:rPr>
            <w:webHidden/>
          </w:rPr>
          <w:instrText xml:space="preserve"> PAGEREF _Toc102649692 \h </w:instrText>
        </w:r>
        <w:r>
          <w:rPr>
            <w:webHidden/>
          </w:rPr>
        </w:r>
        <w:r>
          <w:rPr>
            <w:webHidden/>
          </w:rPr>
          <w:fldChar w:fldCharType="separate"/>
        </w:r>
        <w:r>
          <w:rPr>
            <w:webHidden/>
          </w:rPr>
          <w:t>7</w:t>
        </w:r>
        <w:r>
          <w:rPr>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93" w:history="1">
        <w:r w:rsidRPr="00FE7C8A">
          <w:rPr>
            <w:rStyle w:val="Hyperlinkki"/>
            <w:lang w:val="sv-SE"/>
          </w:rPr>
          <w:t>7 Specialmotivering</w:t>
        </w:r>
        <w:r>
          <w:rPr>
            <w:webHidden/>
          </w:rPr>
          <w:tab/>
        </w:r>
        <w:r>
          <w:rPr>
            <w:webHidden/>
          </w:rPr>
          <w:fldChar w:fldCharType="begin"/>
        </w:r>
        <w:r>
          <w:rPr>
            <w:webHidden/>
          </w:rPr>
          <w:instrText xml:space="preserve"> PAGEREF _Toc102649693 \h </w:instrText>
        </w:r>
        <w:r>
          <w:rPr>
            <w:webHidden/>
          </w:rPr>
        </w:r>
        <w:r>
          <w:rPr>
            <w:webHidden/>
          </w:rPr>
          <w:fldChar w:fldCharType="separate"/>
        </w:r>
        <w:r>
          <w:rPr>
            <w:webHidden/>
          </w:rPr>
          <w:t>7</w:t>
        </w:r>
        <w:r>
          <w:rPr>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94" w:history="1">
        <w:r w:rsidRPr="00FE7C8A">
          <w:rPr>
            <w:rStyle w:val="Hyperlinkki"/>
            <w:lang w:val="sv-SE"/>
          </w:rPr>
          <w:t>8 Bestämmelser på lägre nivå än lag</w:t>
        </w:r>
        <w:r>
          <w:rPr>
            <w:webHidden/>
          </w:rPr>
          <w:tab/>
        </w:r>
        <w:r>
          <w:rPr>
            <w:webHidden/>
          </w:rPr>
          <w:fldChar w:fldCharType="begin"/>
        </w:r>
        <w:r>
          <w:rPr>
            <w:webHidden/>
          </w:rPr>
          <w:instrText xml:space="preserve"> PAGEREF _Toc102649694 \h </w:instrText>
        </w:r>
        <w:r>
          <w:rPr>
            <w:webHidden/>
          </w:rPr>
        </w:r>
        <w:r>
          <w:rPr>
            <w:webHidden/>
          </w:rPr>
          <w:fldChar w:fldCharType="separate"/>
        </w:r>
        <w:r>
          <w:rPr>
            <w:webHidden/>
          </w:rPr>
          <w:t>7</w:t>
        </w:r>
        <w:r>
          <w:rPr>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95" w:history="1">
        <w:r w:rsidRPr="00FE7C8A">
          <w:rPr>
            <w:rStyle w:val="Hyperlinkki"/>
            <w:lang w:val="sv-SE"/>
          </w:rPr>
          <w:t>9 Ikraftträdande</w:t>
        </w:r>
        <w:r>
          <w:rPr>
            <w:webHidden/>
          </w:rPr>
          <w:tab/>
        </w:r>
        <w:r>
          <w:rPr>
            <w:webHidden/>
          </w:rPr>
          <w:fldChar w:fldCharType="begin"/>
        </w:r>
        <w:r>
          <w:rPr>
            <w:webHidden/>
          </w:rPr>
          <w:instrText xml:space="preserve"> PAGEREF _Toc102649695 \h </w:instrText>
        </w:r>
        <w:r>
          <w:rPr>
            <w:webHidden/>
          </w:rPr>
        </w:r>
        <w:r>
          <w:rPr>
            <w:webHidden/>
          </w:rPr>
          <w:fldChar w:fldCharType="separate"/>
        </w:r>
        <w:r>
          <w:rPr>
            <w:webHidden/>
          </w:rPr>
          <w:t>7</w:t>
        </w:r>
        <w:r>
          <w:rPr>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96" w:history="1">
        <w:r w:rsidRPr="00FE7C8A">
          <w:rPr>
            <w:rStyle w:val="Hyperlinkki"/>
            <w:lang w:val="sv-SE"/>
          </w:rPr>
          <w:t>10 Verkställighet och uppföljning</w:t>
        </w:r>
        <w:r>
          <w:rPr>
            <w:webHidden/>
          </w:rPr>
          <w:tab/>
        </w:r>
        <w:r>
          <w:rPr>
            <w:webHidden/>
          </w:rPr>
          <w:fldChar w:fldCharType="begin"/>
        </w:r>
        <w:r>
          <w:rPr>
            <w:webHidden/>
          </w:rPr>
          <w:instrText xml:space="preserve"> PAGEREF _Toc102649696 \h </w:instrText>
        </w:r>
        <w:r>
          <w:rPr>
            <w:webHidden/>
          </w:rPr>
        </w:r>
        <w:r>
          <w:rPr>
            <w:webHidden/>
          </w:rPr>
          <w:fldChar w:fldCharType="separate"/>
        </w:r>
        <w:r>
          <w:rPr>
            <w:webHidden/>
          </w:rPr>
          <w:t>8</w:t>
        </w:r>
        <w:r>
          <w:rPr>
            <w:webHidden/>
          </w:rPr>
          <w:fldChar w:fldCharType="end"/>
        </w:r>
      </w:hyperlink>
    </w:p>
    <w:p w:rsidR="00744FF3" w:rsidRDefault="00744FF3">
      <w:pPr>
        <w:pStyle w:val="Sisluet2"/>
        <w:rPr>
          <w:rFonts w:asciiTheme="minorHAnsi" w:eastAsiaTheme="minorEastAsia" w:hAnsiTheme="minorHAnsi" w:cstheme="minorBidi"/>
          <w:szCs w:val="22"/>
        </w:rPr>
      </w:pPr>
      <w:hyperlink w:anchor="_Toc102649697" w:history="1">
        <w:r w:rsidRPr="00FE7C8A">
          <w:rPr>
            <w:rStyle w:val="Hyperlinkki"/>
            <w:lang w:val="sv-SE"/>
          </w:rPr>
          <w:t>11 Förhållande till andra propositioner</w:t>
        </w:r>
        <w:r>
          <w:rPr>
            <w:webHidden/>
          </w:rPr>
          <w:tab/>
        </w:r>
        <w:r>
          <w:rPr>
            <w:webHidden/>
          </w:rPr>
          <w:fldChar w:fldCharType="begin"/>
        </w:r>
        <w:r>
          <w:rPr>
            <w:webHidden/>
          </w:rPr>
          <w:instrText xml:space="preserve"> PAGEREF _Toc102649697 \h </w:instrText>
        </w:r>
        <w:r>
          <w:rPr>
            <w:webHidden/>
          </w:rPr>
        </w:r>
        <w:r>
          <w:rPr>
            <w:webHidden/>
          </w:rPr>
          <w:fldChar w:fldCharType="separate"/>
        </w:r>
        <w:r>
          <w:rPr>
            <w:webHidden/>
          </w:rPr>
          <w:t>8</w:t>
        </w:r>
        <w:r>
          <w:rPr>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98" w:history="1">
        <w:r w:rsidRPr="00FE7C8A">
          <w:rPr>
            <w:rStyle w:val="Hyperlinkki"/>
            <w:noProof/>
            <w:lang w:val="sv-SE"/>
          </w:rPr>
          <w:t>11.1 Samband med andra propositioner</w:t>
        </w:r>
        <w:r>
          <w:rPr>
            <w:noProof/>
            <w:webHidden/>
          </w:rPr>
          <w:tab/>
        </w:r>
        <w:r>
          <w:rPr>
            <w:noProof/>
            <w:webHidden/>
          </w:rPr>
          <w:fldChar w:fldCharType="begin"/>
        </w:r>
        <w:r>
          <w:rPr>
            <w:noProof/>
            <w:webHidden/>
          </w:rPr>
          <w:instrText xml:space="preserve"> PAGEREF _Toc102649698 \h </w:instrText>
        </w:r>
        <w:r>
          <w:rPr>
            <w:noProof/>
            <w:webHidden/>
          </w:rPr>
        </w:r>
        <w:r>
          <w:rPr>
            <w:noProof/>
            <w:webHidden/>
          </w:rPr>
          <w:fldChar w:fldCharType="separate"/>
        </w:r>
        <w:r>
          <w:rPr>
            <w:noProof/>
            <w:webHidden/>
          </w:rPr>
          <w:t>8</w:t>
        </w:r>
        <w:r>
          <w:rPr>
            <w:noProof/>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699" w:history="1">
        <w:r w:rsidRPr="00FE7C8A">
          <w:rPr>
            <w:rStyle w:val="Hyperlinkki"/>
            <w:noProof/>
            <w:lang w:val="sv-SE"/>
          </w:rPr>
          <w:t>11.2 Förhållande till budgetpropositionen</w:t>
        </w:r>
        <w:r>
          <w:rPr>
            <w:noProof/>
            <w:webHidden/>
          </w:rPr>
          <w:tab/>
        </w:r>
        <w:r>
          <w:rPr>
            <w:noProof/>
            <w:webHidden/>
          </w:rPr>
          <w:fldChar w:fldCharType="begin"/>
        </w:r>
        <w:r>
          <w:rPr>
            <w:noProof/>
            <w:webHidden/>
          </w:rPr>
          <w:instrText xml:space="preserve"> PAGEREF _Toc102649699 \h </w:instrText>
        </w:r>
        <w:r>
          <w:rPr>
            <w:noProof/>
            <w:webHidden/>
          </w:rPr>
        </w:r>
        <w:r>
          <w:rPr>
            <w:noProof/>
            <w:webHidden/>
          </w:rPr>
          <w:fldChar w:fldCharType="separate"/>
        </w:r>
        <w:r>
          <w:rPr>
            <w:noProof/>
            <w:webHidden/>
          </w:rPr>
          <w:t>8</w:t>
        </w:r>
        <w:r>
          <w:rPr>
            <w:noProof/>
            <w:webHidden/>
          </w:rPr>
          <w:fldChar w:fldCharType="end"/>
        </w:r>
      </w:hyperlink>
    </w:p>
    <w:p w:rsidR="00744FF3" w:rsidRDefault="00744FF3">
      <w:pPr>
        <w:pStyle w:val="Sisluet2"/>
        <w:rPr>
          <w:rFonts w:asciiTheme="minorHAnsi" w:eastAsiaTheme="minorEastAsia" w:hAnsiTheme="minorHAnsi" w:cstheme="minorBidi"/>
          <w:szCs w:val="22"/>
        </w:rPr>
      </w:pPr>
      <w:hyperlink w:anchor="_Toc102649700" w:history="1">
        <w:r w:rsidRPr="00FE7C8A">
          <w:rPr>
            <w:rStyle w:val="Hyperlinkki"/>
            <w:lang w:val="sv-SE"/>
          </w:rPr>
          <w:t>12 Förhållande till grundlagen samt lagstiftningsordning</w:t>
        </w:r>
        <w:r>
          <w:rPr>
            <w:webHidden/>
          </w:rPr>
          <w:tab/>
        </w:r>
        <w:r>
          <w:rPr>
            <w:webHidden/>
          </w:rPr>
          <w:fldChar w:fldCharType="begin"/>
        </w:r>
        <w:r>
          <w:rPr>
            <w:webHidden/>
          </w:rPr>
          <w:instrText xml:space="preserve"> PAGEREF _Toc102649700 \h </w:instrText>
        </w:r>
        <w:r>
          <w:rPr>
            <w:webHidden/>
          </w:rPr>
        </w:r>
        <w:r>
          <w:rPr>
            <w:webHidden/>
          </w:rPr>
          <w:fldChar w:fldCharType="separate"/>
        </w:r>
        <w:r>
          <w:rPr>
            <w:webHidden/>
          </w:rPr>
          <w:t>8</w:t>
        </w:r>
        <w:r>
          <w:rPr>
            <w:webHidden/>
          </w:rPr>
          <w:fldChar w:fldCharType="end"/>
        </w:r>
      </w:hyperlink>
    </w:p>
    <w:p w:rsidR="00744FF3" w:rsidRDefault="00744FF3">
      <w:pPr>
        <w:pStyle w:val="Sisluet1"/>
        <w:rPr>
          <w:rFonts w:asciiTheme="minorHAnsi" w:eastAsiaTheme="minorEastAsia" w:hAnsiTheme="minorHAnsi" w:cstheme="minorBidi"/>
          <w:bCs w:val="0"/>
          <w:caps w:val="0"/>
          <w:noProof/>
          <w:szCs w:val="22"/>
        </w:rPr>
      </w:pPr>
      <w:hyperlink w:anchor="_Toc102649701" w:history="1">
        <w:r w:rsidRPr="00FE7C8A">
          <w:rPr>
            <w:rStyle w:val="Hyperlinkki"/>
            <w:noProof/>
            <w:lang w:val="sv-SE"/>
          </w:rPr>
          <w:t>Lagförslag</w:t>
        </w:r>
        <w:r>
          <w:rPr>
            <w:noProof/>
            <w:webHidden/>
          </w:rPr>
          <w:tab/>
        </w:r>
        <w:r>
          <w:rPr>
            <w:noProof/>
            <w:webHidden/>
          </w:rPr>
          <w:fldChar w:fldCharType="begin"/>
        </w:r>
        <w:r>
          <w:rPr>
            <w:noProof/>
            <w:webHidden/>
          </w:rPr>
          <w:instrText xml:space="preserve"> PAGEREF _Toc102649701 \h </w:instrText>
        </w:r>
        <w:r>
          <w:rPr>
            <w:noProof/>
            <w:webHidden/>
          </w:rPr>
        </w:r>
        <w:r>
          <w:rPr>
            <w:noProof/>
            <w:webHidden/>
          </w:rPr>
          <w:fldChar w:fldCharType="separate"/>
        </w:r>
        <w:r>
          <w:rPr>
            <w:noProof/>
            <w:webHidden/>
          </w:rPr>
          <w:t>9</w:t>
        </w:r>
        <w:r>
          <w:rPr>
            <w:noProof/>
            <w:webHidden/>
          </w:rPr>
          <w:fldChar w:fldCharType="end"/>
        </w:r>
      </w:hyperlink>
    </w:p>
    <w:p w:rsidR="00744FF3" w:rsidRDefault="00744FF3">
      <w:pPr>
        <w:pStyle w:val="Sisluet3"/>
        <w:rPr>
          <w:rFonts w:asciiTheme="minorHAnsi" w:eastAsiaTheme="minorEastAsia" w:hAnsiTheme="minorHAnsi" w:cstheme="minorBidi"/>
          <w:noProof/>
          <w:szCs w:val="22"/>
        </w:rPr>
      </w:pPr>
      <w:hyperlink w:anchor="_Toc102649702" w:history="1">
        <w:r w:rsidRPr="00FE7C8A">
          <w:rPr>
            <w:rStyle w:val="Hyperlinkki"/>
            <w:noProof/>
            <w:lang w:val="sv-SE"/>
          </w:rPr>
          <w:t>om ändring av lagen om tjänster inom elektronisk kommunikation</w:t>
        </w:r>
        <w:r>
          <w:rPr>
            <w:noProof/>
            <w:webHidden/>
          </w:rPr>
          <w:tab/>
        </w:r>
        <w:r>
          <w:rPr>
            <w:noProof/>
            <w:webHidden/>
          </w:rPr>
          <w:fldChar w:fldCharType="begin"/>
        </w:r>
        <w:r>
          <w:rPr>
            <w:noProof/>
            <w:webHidden/>
          </w:rPr>
          <w:instrText xml:space="preserve"> PAGEREF _Toc102649702 \h </w:instrText>
        </w:r>
        <w:r>
          <w:rPr>
            <w:noProof/>
            <w:webHidden/>
          </w:rPr>
        </w:r>
        <w:r>
          <w:rPr>
            <w:noProof/>
            <w:webHidden/>
          </w:rPr>
          <w:fldChar w:fldCharType="separate"/>
        </w:r>
        <w:r>
          <w:rPr>
            <w:noProof/>
            <w:webHidden/>
          </w:rPr>
          <w:t>9</w:t>
        </w:r>
        <w:r>
          <w:rPr>
            <w:noProof/>
            <w:webHidden/>
          </w:rPr>
          <w:fldChar w:fldCharType="end"/>
        </w:r>
      </w:hyperlink>
    </w:p>
    <w:p w:rsidR="00A17195" w:rsidRPr="00A17195" w:rsidRDefault="00CD5667" w:rsidP="00A17195">
      <w:r>
        <w:rPr>
          <w:rFonts w:eastAsia="Times New Roman"/>
          <w:bCs/>
          <w:caps/>
          <w:szCs w:val="20"/>
          <w:lang w:eastAsia="fi-FI"/>
        </w:rPr>
        <w:fldChar w:fldCharType="end"/>
      </w:r>
    </w:p>
    <w:p w:rsidR="006E6F46" w:rsidRDefault="005A0584" w:rsidP="00EB0A9A">
      <w:pPr>
        <w:pStyle w:val="LLNormaali"/>
      </w:pPr>
      <w:r>
        <w:br w:type="page"/>
      </w:r>
    </w:p>
    <w:bookmarkStart w:id="1" w:name="_Toc102649679" w:displacedByCustomXml="next"/>
    <w:sdt>
      <w:sdtPr>
        <w:rPr>
          <w:rFonts w:eastAsia="Calibri"/>
          <w:b w:val="0"/>
          <w:caps w:val="0"/>
          <w:sz w:val="22"/>
          <w:szCs w:val="22"/>
          <w:lang w:eastAsia="en-US"/>
        </w:rPr>
        <w:alias w:val="Perustelut"/>
        <w:tag w:val="CCPerustelut"/>
        <w:id w:val="2058971695"/>
        <w:lock w:val="sdtLocked"/>
        <w:placeholder>
          <w:docPart w:val="6D02541FE455414E9A3D89757F00ED9B"/>
        </w:placeholder>
        <w15:color w:val="33CCCC"/>
      </w:sdtPr>
      <w:sdtEndPr>
        <w:rPr>
          <w:rFonts w:eastAsia="Times New Roman"/>
          <w:szCs w:val="24"/>
          <w:lang w:eastAsia="fi-FI"/>
        </w:rPr>
      </w:sdtEndPr>
      <w:sdtContent>
        <w:p w:rsidR="008414FE" w:rsidRPr="00FC143A" w:rsidRDefault="00940745" w:rsidP="008414FE">
          <w:pPr>
            <w:pStyle w:val="LLperustelut"/>
            <w:rPr>
              <w:lang w:val="sv-SE"/>
            </w:rPr>
          </w:pPr>
          <w:r w:rsidRPr="00FC143A">
            <w:rPr>
              <w:lang w:val="sv-SE"/>
            </w:rPr>
            <w:t>MOTIVERING</w:t>
          </w:r>
          <w:bookmarkEnd w:id="1"/>
        </w:p>
        <w:p w:rsidR="004020E4" w:rsidRPr="004020E4" w:rsidRDefault="00FC143A" w:rsidP="004020E4">
          <w:pPr>
            <w:pStyle w:val="LLP1Otsikkotaso"/>
            <w:rPr>
              <w:lang w:val="sv-SE"/>
            </w:rPr>
          </w:pPr>
          <w:bookmarkStart w:id="2" w:name="_Toc102649680"/>
          <w:r w:rsidRPr="00FC143A">
            <w:rPr>
              <w:lang w:val="sv-SE"/>
            </w:rPr>
            <w:t>Bakgrund och beredning</w:t>
          </w:r>
          <w:bookmarkEnd w:id="2"/>
        </w:p>
        <w:p w:rsidR="00166EFE" w:rsidRDefault="00166EFE" w:rsidP="00166EFE">
          <w:pPr>
            <w:pStyle w:val="LLP2Otsikkotaso"/>
            <w:rPr>
              <w:lang w:val="sv-SE"/>
            </w:rPr>
          </w:pPr>
          <w:bookmarkStart w:id="3" w:name="_Toc102649681"/>
          <w:r w:rsidRPr="00FC143A">
            <w:rPr>
              <w:lang w:val="sv-SE"/>
            </w:rPr>
            <w:t>Bakgrund</w:t>
          </w:r>
          <w:bookmarkEnd w:id="3"/>
        </w:p>
        <w:p w:rsidR="00166EFE" w:rsidRDefault="00166EFE" w:rsidP="00932433">
          <w:pPr>
            <w:pStyle w:val="LLPValiotsikko"/>
          </w:pPr>
          <w:r>
            <w:t>Informationssamhällsavgift</w:t>
          </w:r>
        </w:p>
        <w:p w:rsidR="00166EFE" w:rsidRPr="00166EFE" w:rsidRDefault="00166EFE" w:rsidP="00166EFE">
          <w:pPr>
            <w:pStyle w:val="LLPerustelujenkappalejako"/>
            <w:rPr>
              <w:lang w:val="sv-SE"/>
            </w:rPr>
          </w:pPr>
          <w:r w:rsidRPr="00166EFE">
            <w:rPr>
              <w:lang w:val="sv-SE"/>
            </w:rPr>
            <w:t>I regeringens proposition föreslås det att den informationssamhällsavgift som avses i 289 § i lagen om tjänster inom elektronisk kommunikation höjs för att täcka Transport- och kommunikationsverkets årliga kostna</w:t>
          </w:r>
          <w:r w:rsidR="004D037E">
            <w:rPr>
              <w:lang w:val="sv-SE"/>
            </w:rPr>
            <w:t>der för drift och underhåll av p</w:t>
          </w:r>
          <w:r w:rsidRPr="00166EFE">
            <w:rPr>
              <w:lang w:val="sv-SE"/>
            </w:rPr>
            <w:t>ositionsdatatjänsten. Enligt 5 § i lagen om sambyggnad och samutnyttjande av nätinfrastruktur (276/2016) ska Transport- och kommunikationsverket se till att det finns en lättanvänd och informationssäker central informationspunkt, genom vilken det utan obefogat dröjsmål i digital form ges information om nätens fysiska infrastruktur, planerade byggarbeten, tillståndsförfaranden som gäller byggande samt om pla</w:t>
          </w:r>
          <w:r>
            <w:rPr>
              <w:lang w:val="sv-SE"/>
            </w:rPr>
            <w:t>ceringen av kablar, rör och lik</w:t>
          </w:r>
          <w:r w:rsidRPr="00166EFE">
            <w:rPr>
              <w:lang w:val="sv-SE"/>
            </w:rPr>
            <w:t>nande aktiva delar av nätet. Positionsdatatjänsten är en tjänst som står till allas förfogande, men framför allt är den riktad till dem som planerar eller påbörjar markbyggnadsarbeten, såsom planerare, el- och teleföretag, jordbyggnadsföretag, grävmaskinsföretag samt el-</w:t>
          </w:r>
          <w:r w:rsidR="004D037E">
            <w:rPr>
              <w:lang w:val="sv-SE"/>
            </w:rPr>
            <w:t xml:space="preserve"> och teleentreprenörer. I p</w:t>
          </w:r>
          <w:r>
            <w:rPr>
              <w:lang w:val="sv-SE"/>
            </w:rPr>
            <w:t>osit</w:t>
          </w:r>
          <w:r w:rsidRPr="00166EFE">
            <w:rPr>
              <w:lang w:val="sv-SE"/>
            </w:rPr>
            <w:t>ionsdatatjänsten kommer det med vissa undantag att samlas in information om var den fysiska infrastrukturen för kommunikations-, el-, fjärrvärme-, fjärrkylnings- och trafiknäten är belägen.</w:t>
          </w:r>
        </w:p>
        <w:p w:rsidR="00166EFE" w:rsidRDefault="00166EFE" w:rsidP="00166EFE">
          <w:pPr>
            <w:pStyle w:val="LLPerustelujenkappalejako"/>
            <w:rPr>
              <w:lang w:val="sv-SE"/>
            </w:rPr>
          </w:pPr>
          <w:r w:rsidRPr="00166EFE">
            <w:rPr>
              <w:lang w:val="sv-SE"/>
            </w:rPr>
            <w:t xml:space="preserve">Enligt regeringens proposition som gällde bland annat lagen om sambyggnad och samutnyttjande av nätinfrastruktur (RP 116/2015 </w:t>
          </w:r>
          <w:proofErr w:type="spellStart"/>
          <w:r w:rsidRPr="00166EFE">
            <w:rPr>
              <w:lang w:val="sv-SE"/>
            </w:rPr>
            <w:t>rd</w:t>
          </w:r>
          <w:proofErr w:type="spellEnd"/>
          <w:r w:rsidRPr="00166EFE">
            <w:rPr>
              <w:lang w:val="sv-SE"/>
            </w:rPr>
            <w:t>) orsakar anskaffning och underhåll av de datasystem och tjänster som hänför sig till verksamheten i den centrala informationsp</w:t>
          </w:r>
          <w:r w:rsidR="00970B4C">
            <w:rPr>
              <w:lang w:val="sv-SE"/>
            </w:rPr>
            <w:t>unkten Kommunikationsverket (nu</w:t>
          </w:r>
          <w:r w:rsidRPr="00166EFE">
            <w:rPr>
              <w:lang w:val="sv-SE"/>
            </w:rPr>
            <w:t xml:space="preserve">mera Transport- och kommunikationsverket) kostnader på uppskattningsvis högst 500 000 euro per år. Avsikten är att kostnaderna ska täckas med den jämnstora informationssamhällsavgift som tas ut hos teleföretagen, de el- och naturgasnätsavgifter som tas ut hos energibolagen och den andel som betalas ur det anslag Trafikverket har anvisats. År 2016 antogs kostnaderna uppgå till hälften av den summan och Kommunikationsverket skulle svara för också den </w:t>
          </w:r>
          <w:r>
            <w:rPr>
              <w:lang w:val="sv-SE"/>
            </w:rPr>
            <w:t>andel som ankom på Energimyndig</w:t>
          </w:r>
          <w:r w:rsidRPr="00166EFE">
            <w:rPr>
              <w:lang w:val="sv-SE"/>
            </w:rPr>
            <w:t>heten. Från och med 2017 skulle kostnaderna enligt förslaget fördelas jämnt mellan Kommunikationsverket, Energimyndigheten och Trafikverket. Det föreslogs inte i proposition föreslogs att informationssamhällsavgiften eller Trafikverkets anslag skulle höjas,</w:t>
          </w:r>
          <w:r>
            <w:rPr>
              <w:lang w:val="sv-SE"/>
            </w:rPr>
            <w:t xml:space="preserve"> men det konstaterades att beho</w:t>
          </w:r>
          <w:r w:rsidRPr="00166EFE">
            <w:rPr>
              <w:lang w:val="sv-SE"/>
            </w:rPr>
            <w:t>vet av en höjning vid behov ska bedömas på nytt utifrån de faktiska kostnaderna. Det belopp på 500 000 euro som 2015 beräknades för ändamålet räcker endast till för att täcka drifts- och underhållskostnaderna för den befintliga informationspunkten. Kostnade</w:t>
          </w:r>
          <w:r w:rsidR="004D037E">
            <w:rPr>
              <w:lang w:val="sv-SE"/>
            </w:rPr>
            <w:t>rna för drift och underhåll av p</w:t>
          </w:r>
          <w:r w:rsidRPr="00166EFE">
            <w:rPr>
              <w:lang w:val="sv-SE"/>
            </w:rPr>
            <w:t>ositionsdatatjänsten kommer också att vara betydligt högre än kostnaderna för drift och underhåll av den befintliga informationspunkten på grund av den högre nivå av informationssäkerhet som byggs in i tjänsten och upprätthållandet av den. Positionsdatatjänsten kommer att innehålla säke</w:t>
          </w:r>
          <w:r w:rsidR="007E0C5A">
            <w:rPr>
              <w:lang w:val="sv-SE"/>
            </w:rPr>
            <w:t>r</w:t>
          </w:r>
          <w:r w:rsidRPr="00166EFE">
            <w:rPr>
              <w:lang w:val="sv-SE"/>
            </w:rPr>
            <w:t>hetsklassificerad information, och skyddet av den kräver bl.a. en</w:t>
          </w:r>
          <w:r>
            <w:rPr>
              <w:lang w:val="sv-SE"/>
            </w:rPr>
            <w:t xml:space="preserve"> servermiljö med högre informat</w:t>
          </w:r>
          <w:r w:rsidRPr="00166EFE">
            <w:rPr>
              <w:lang w:val="sv-SE"/>
            </w:rPr>
            <w:t>ionssäkerhet samt informationssystem och kommunikationsförbindel</w:t>
          </w:r>
          <w:r w:rsidR="00970B4C">
            <w:rPr>
              <w:lang w:val="sv-SE"/>
            </w:rPr>
            <w:t>ser. Tjänsten ska också upprätt</w:t>
          </w:r>
          <w:r w:rsidRPr="00166EFE">
            <w:rPr>
              <w:lang w:val="sv-SE"/>
            </w:rPr>
            <w:t>hållas och vidareutvecklas utifrån en miljö med högre informationssäkerhet.</w:t>
          </w:r>
        </w:p>
        <w:p w:rsidR="005A77E8" w:rsidRPr="00166EFE" w:rsidRDefault="005A77E8" w:rsidP="00166EFE">
          <w:pPr>
            <w:pStyle w:val="LLPerustelujenkappalejako"/>
            <w:rPr>
              <w:lang w:val="sv-SE"/>
            </w:rPr>
          </w:pPr>
          <w:r w:rsidRPr="005A77E8">
            <w:rPr>
              <w:lang w:val="sv-SE"/>
            </w:rPr>
            <w:t>Det är meningen att den tjänst enligt lagen om sambyggnad och samutnyttjande av nätinfrastruktu</w:t>
          </w:r>
          <w:r w:rsidR="004D037E">
            <w:rPr>
              <w:lang w:val="sv-SE"/>
            </w:rPr>
            <w:t>r som nu planeras under namnet p</w:t>
          </w:r>
          <w:r w:rsidRPr="005A77E8">
            <w:rPr>
              <w:lang w:val="sv-SE"/>
            </w:rPr>
            <w:t xml:space="preserve">ositionsdatatjänsten ska ha tagits i aktivt bruk under första delen av 2023. Konstruktionskostnaderna för tjänsten, cirka 2,5–3,0 miljoner euro, ska täckas av Transport- och kommunikationsverkets budgetanslag, men det är meningen att kostnaderna för drift och underhåll i enlighet med motiveringen till lagen om sambyggnad och samutnyttjande av nätinfrastruktur ska täckas gemensamt av Transport- och kommunikationsverket (i motiveringen Kommunikationsverket), Energimyndigheten och Trafikledsverket (i </w:t>
          </w:r>
          <w:r w:rsidRPr="005A77E8">
            <w:rPr>
              <w:lang w:val="sv-SE"/>
            </w:rPr>
            <w:lastRenderedPageBreak/>
            <w:t>motiveringen Trafikverket) så, att vart och ett av verken svarar för en tredjedel av kostnaderna. Kostnaderna för driften och underhållet av tjänsten uppskattas bli 1 200 000 euro om året, varvid vart och ett av de tre verken ska stå för 400 000 euro per år. Energimyndigheten har vid ingången av 2022 hö</w:t>
          </w:r>
          <w:r w:rsidR="007E0C5A">
            <w:rPr>
              <w:lang w:val="sv-SE"/>
            </w:rPr>
            <w:t>jt el- och naturgasnätsavgifter</w:t>
          </w:r>
          <w:r w:rsidRPr="005A77E8">
            <w:rPr>
              <w:lang w:val="sv-SE"/>
            </w:rPr>
            <w:t xml:space="preserve">na så att de motsvarar Energimyndighetens ökande arbetsmängd inom övervakningen av el- och naturgasmarknaden och för att i fråga om andelen elnätsinnehavare finansiera den positionsdatatjänst som ska upprätthållas av Transport- och kommunikationsverket, vilket är en tredjedel av de totala kostnaderna för driften (RP 150/2021 </w:t>
          </w:r>
          <w:proofErr w:type="spellStart"/>
          <w:r w:rsidRPr="005A77E8">
            <w:rPr>
              <w:lang w:val="sv-SE"/>
            </w:rPr>
            <w:t>rd</w:t>
          </w:r>
          <w:proofErr w:type="spellEnd"/>
          <w:r w:rsidRPr="005A77E8">
            <w:rPr>
              <w:lang w:val="sv-SE"/>
            </w:rPr>
            <w:t>). Transport- och kommunikationsverket fakturerar årligen Energimyndigheten för dess andel, medan Trafikledsverke</w:t>
          </w:r>
          <w:r w:rsidR="007E0C5A">
            <w:rPr>
              <w:lang w:val="sv-SE"/>
            </w:rPr>
            <w:t>ts andel debiteras genom en bud</w:t>
          </w:r>
          <w:r w:rsidRPr="005A77E8">
            <w:rPr>
              <w:lang w:val="sv-SE"/>
            </w:rPr>
            <w:t>ge</w:t>
          </w:r>
          <w:r w:rsidR="004D037E">
            <w:rPr>
              <w:lang w:val="sv-SE"/>
            </w:rPr>
            <w:t>töverföring. Finansieringen av p</w:t>
          </w:r>
          <w:r w:rsidRPr="005A77E8">
            <w:rPr>
              <w:lang w:val="sv-SE"/>
            </w:rPr>
            <w:t>ositionsdatatjänsten samlas in sep</w:t>
          </w:r>
          <w:r w:rsidR="004D037E">
            <w:rPr>
              <w:lang w:val="sv-SE"/>
            </w:rPr>
            <w:t>arat från finansieringen av n</w:t>
          </w:r>
          <w:r w:rsidR="007E0C5A">
            <w:rPr>
              <w:lang w:val="sv-SE"/>
            </w:rPr>
            <w:t>ät</w:t>
          </w:r>
          <w:r w:rsidRPr="005A77E8">
            <w:rPr>
              <w:lang w:val="sv-SE"/>
            </w:rPr>
            <w:t>verksinformations</w:t>
          </w:r>
          <w:r w:rsidR="004D037E">
            <w:rPr>
              <w:lang w:val="sv-SE"/>
            </w:rPr>
            <w:t>punkten, och finansieringen av p</w:t>
          </w:r>
          <w:r w:rsidRPr="005A77E8">
            <w:rPr>
              <w:lang w:val="sv-SE"/>
            </w:rPr>
            <w:t>ositionsdatapunkten komm</w:t>
          </w:r>
          <w:r w:rsidR="00970B4C">
            <w:rPr>
              <w:lang w:val="sv-SE"/>
            </w:rPr>
            <w:t>er alltså inte att in</w:t>
          </w:r>
          <w:r w:rsidRPr="005A77E8">
            <w:rPr>
              <w:lang w:val="sv-SE"/>
            </w:rPr>
            <w:t>verka på den</w:t>
          </w:r>
          <w:r w:rsidR="004D037E">
            <w:rPr>
              <w:lang w:val="sv-SE"/>
            </w:rPr>
            <w:t xml:space="preserve"> existerande finansieringen av n</w:t>
          </w:r>
          <w:r w:rsidRPr="005A77E8">
            <w:rPr>
              <w:lang w:val="sv-SE"/>
            </w:rPr>
            <w:t>ätverksinformationspunkten. Transport- och kommunikationsverkets kostnader för underhållet och utvecklandet av Nätverksinformationspunkten täcks redan nu med inkomsterna från informationssamhällsavgiften. De årliga kostnaderna för Nätverksinformationspunkten är för närvarande 501 000 euro och finansieringen samlas till lika delar in från Transport- och kommunikationsverket, Energimyndigheten och Trafikledsverket.</w:t>
          </w:r>
        </w:p>
        <w:p w:rsidR="00166EFE" w:rsidRPr="00166EFE" w:rsidRDefault="00166EFE" w:rsidP="00166EFE">
          <w:pPr>
            <w:pStyle w:val="LLPerustelujenkappalejako"/>
            <w:rPr>
              <w:lang w:val="sv-SE"/>
            </w:rPr>
          </w:pPr>
          <w:r w:rsidRPr="00166EFE">
            <w:rPr>
              <w:lang w:val="sv-SE"/>
            </w:rPr>
            <w:t>Enligt 241 § i lagen om tjänster inom elektronisk kommunikation</w:t>
          </w:r>
          <w:r w:rsidR="00970B4C">
            <w:rPr>
              <w:lang w:val="sv-SE"/>
            </w:rPr>
            <w:t xml:space="preserve"> ska den som utför jordbyggnads</w:t>
          </w:r>
          <w:r w:rsidRPr="00166EFE">
            <w:rPr>
              <w:lang w:val="sv-SE"/>
            </w:rPr>
            <w:t>arbete, skogsarbete, vattenbyggnadsarbete eller annat arbete som eventuellt äventyrar telekablar ta reda på om det finns telekablar inom området för att undvika skador</w:t>
          </w:r>
          <w:r w:rsidR="00970B4C">
            <w:rPr>
              <w:lang w:val="sv-SE"/>
            </w:rPr>
            <w:t>.  Enligt bestämmelsen ska tele</w:t>
          </w:r>
          <w:r w:rsidRPr="00166EFE">
            <w:rPr>
              <w:lang w:val="sv-SE"/>
            </w:rPr>
            <w:t>företagen avgiftsfritt ge information om var telekablar är placerade samt ge den som utför arbetet den information som behövs för undvikande av fara.</w:t>
          </w:r>
        </w:p>
        <w:p w:rsidR="00166EFE" w:rsidRPr="00166EFE" w:rsidRDefault="00166EFE" w:rsidP="00166EFE">
          <w:pPr>
            <w:pStyle w:val="LLPerustelujenkappalejako"/>
            <w:rPr>
              <w:lang w:val="sv-SE"/>
            </w:rPr>
          </w:pPr>
          <w:r w:rsidRPr="00166EFE">
            <w:rPr>
              <w:lang w:val="sv-SE"/>
            </w:rPr>
            <w:t>I 110 § elmarknadslagen (588/2013) finns en motsvarande bestämmelse i fråga om elnätsbolag.</w:t>
          </w:r>
        </w:p>
        <w:p w:rsidR="00FC143A" w:rsidRPr="00166EFE" w:rsidRDefault="00166EFE" w:rsidP="00166EFE">
          <w:pPr>
            <w:pStyle w:val="LLPerustelujenkappalejako"/>
            <w:rPr>
              <w:lang w:val="sv-SE"/>
            </w:rPr>
          </w:pPr>
          <w:r w:rsidRPr="00166EFE">
            <w:rPr>
              <w:lang w:val="sv-SE"/>
            </w:rPr>
            <w:t xml:space="preserve">Det som gäller den centrala informationspunkten enligt lagen om sambyggnad och samutnyttjande av nätinfrastruktur genomförs så att informationspunkten består av </w:t>
          </w:r>
          <w:r>
            <w:rPr>
              <w:lang w:val="sv-SE"/>
            </w:rPr>
            <w:t>den redan befintliga Nätverksin</w:t>
          </w:r>
          <w:r w:rsidRPr="00166EFE">
            <w:rPr>
              <w:lang w:val="sv-SE"/>
            </w:rPr>
            <w:t>formationspunkte</w:t>
          </w:r>
          <w:r w:rsidR="004D037E">
            <w:rPr>
              <w:lang w:val="sv-SE"/>
            </w:rPr>
            <w:t>n och p</w:t>
          </w:r>
          <w:r w:rsidRPr="00166EFE">
            <w:rPr>
              <w:lang w:val="sv-SE"/>
            </w:rPr>
            <w:t>ositionsdatatjänsten, som nu är under utveckling. Transport- och kommunikationsverket håller som bäst på att skaffa en sådan informationstjänst till vilken det i enlighet med lagen om sambyggnad och samutnyttjande av nätinfrastruktur i fortsättningen kommer att samlas in positionsdata om de befintliga nätens fysiska infrastruktur och om placeringen av kablar, rör och liknande aktiva delar av nätet och från vilken det i fortsättningen cen</w:t>
          </w:r>
          <w:r w:rsidR="00535C9A">
            <w:rPr>
              <w:lang w:val="sv-SE"/>
            </w:rPr>
            <w:t>traliserat finns tillgänglig in</w:t>
          </w:r>
          <w:r w:rsidRPr="00166EFE">
            <w:rPr>
              <w:lang w:val="sv-SE"/>
            </w:rPr>
            <w:t xml:space="preserve">formation om dessa. Positionsdatatjänsten kommer åtminstone i det inledande skedet att fungera separat från den redan befintliga Nätverksinformationspunkten, där det för närvarande endast finns uppgifter om planerade byggarbeten och tillståndsförfaranden i samband med byggande. Transport- och kommunikationsverket täcker investeringskostnaderna för utveckling av </w:t>
          </w:r>
          <w:r w:rsidR="004D037E">
            <w:rPr>
              <w:lang w:val="sv-SE"/>
            </w:rPr>
            <w:t>p</w:t>
          </w:r>
          <w:r w:rsidRPr="00166EFE">
            <w:rPr>
              <w:lang w:val="sv-SE"/>
            </w:rPr>
            <w:t xml:space="preserve">ositionsdatatjänsten och byggande av de system som krävs för den genom interna arrangemang inom ramen för den befintliga budgeten. Någon budgetfinansiering har inte anvisats för underhåll och vidareutveckling av </w:t>
          </w:r>
          <w:r w:rsidR="004D037E">
            <w:rPr>
              <w:lang w:val="sv-SE"/>
            </w:rPr>
            <w:t>p</w:t>
          </w:r>
          <w:r w:rsidRPr="00166EFE">
            <w:rPr>
              <w:lang w:val="sv-SE"/>
            </w:rPr>
            <w:t>ositionsdatatjänsten.</w:t>
          </w:r>
        </w:p>
        <w:p w:rsidR="00FC143A" w:rsidRDefault="00FC143A" w:rsidP="00FC143A">
          <w:pPr>
            <w:pStyle w:val="LLP2Otsikkotaso"/>
            <w:rPr>
              <w:lang w:val="sv-SE"/>
            </w:rPr>
          </w:pPr>
          <w:bookmarkStart w:id="4" w:name="_Toc102649682"/>
          <w:r w:rsidRPr="00FC143A">
            <w:rPr>
              <w:lang w:val="sv-SE"/>
            </w:rPr>
            <w:t>Beredning</w:t>
          </w:r>
          <w:bookmarkEnd w:id="4"/>
        </w:p>
        <w:p w:rsidR="00166EFE" w:rsidRDefault="00166EFE" w:rsidP="007E0C5A">
          <w:pPr>
            <w:pStyle w:val="LLP1Otsikkotaso"/>
            <w:rPr>
              <w:lang w:val="sv-SE"/>
            </w:rPr>
          </w:pPr>
          <w:bookmarkStart w:id="5" w:name="_Toc100227193"/>
          <w:bookmarkStart w:id="6" w:name="_Toc100663475"/>
          <w:bookmarkStart w:id="7" w:name="_Toc102649683"/>
          <w:r w:rsidRPr="00166EFE">
            <w:rPr>
              <w:lang w:val="sv-SE"/>
            </w:rPr>
            <w:t>EU-rättsaktens målsättning och huvudsakliga innehåll</w:t>
          </w:r>
          <w:bookmarkEnd w:id="5"/>
          <w:bookmarkEnd w:id="6"/>
          <w:bookmarkEnd w:id="7"/>
        </w:p>
        <w:p w:rsidR="00166EFE" w:rsidRPr="0064549D" w:rsidRDefault="00166EFE" w:rsidP="007E0C5A">
          <w:pPr>
            <w:pStyle w:val="LLP2Otsikkotaso"/>
          </w:pPr>
          <w:bookmarkStart w:id="8" w:name="_Toc100227194"/>
          <w:bookmarkStart w:id="9" w:name="_Toc100663476"/>
          <w:bookmarkStart w:id="10" w:name="_Toc102649684"/>
          <w:proofErr w:type="spellStart"/>
          <w:r>
            <w:t>Nuläge</w:t>
          </w:r>
          <w:proofErr w:type="spellEnd"/>
          <w:r>
            <w:t xml:space="preserve"> </w:t>
          </w:r>
          <w:proofErr w:type="spellStart"/>
          <w:r>
            <w:t>och</w:t>
          </w:r>
          <w:proofErr w:type="spellEnd"/>
          <w:r>
            <w:t xml:space="preserve"> </w:t>
          </w:r>
          <w:proofErr w:type="spellStart"/>
          <w:r>
            <w:t>bedömning</w:t>
          </w:r>
          <w:proofErr w:type="spellEnd"/>
          <w:r>
            <w:t xml:space="preserve"> av </w:t>
          </w:r>
          <w:proofErr w:type="spellStart"/>
          <w:r>
            <w:t>nuläget</w:t>
          </w:r>
          <w:bookmarkEnd w:id="8"/>
          <w:bookmarkEnd w:id="9"/>
          <w:bookmarkEnd w:id="10"/>
          <w:proofErr w:type="spellEnd"/>
        </w:p>
        <w:p w:rsidR="00166EFE" w:rsidRPr="00166EFE" w:rsidRDefault="00166EFE" w:rsidP="00166EFE">
          <w:pPr>
            <w:pStyle w:val="LLPerustelujenkappalejako"/>
            <w:rPr>
              <w:lang w:val="sv-SE"/>
            </w:rPr>
          </w:pPr>
          <w:r w:rsidRPr="00166EFE">
            <w:rPr>
              <w:lang w:val="sv-SE"/>
            </w:rPr>
            <w:t>I nuläget är existerande uppgifter om var den fysiska infrastrukturen, kablarna, rören och de aktiva delarna av nätet fysiskt är placerade utspridda på flera aktörer, och ti</w:t>
          </w:r>
          <w:r>
            <w:rPr>
              <w:lang w:val="sv-SE"/>
            </w:rPr>
            <w:t>ll vissa delar kan de också fin</w:t>
          </w:r>
          <w:r w:rsidRPr="00166EFE">
            <w:rPr>
              <w:lang w:val="sv-SE"/>
            </w:rPr>
            <w:t>nas utanför Finlands territorium. Det är en arbetsdryg och osäker pr</w:t>
          </w:r>
          <w:r>
            <w:rPr>
              <w:lang w:val="sv-SE"/>
            </w:rPr>
            <w:t>ocess att få heltäckande inform</w:t>
          </w:r>
          <w:r w:rsidRPr="00166EFE">
            <w:rPr>
              <w:lang w:val="sv-SE"/>
            </w:rPr>
            <w:t xml:space="preserve">ation, eftersom t.ex. de som ska göra grävarbetet inte vet med säkerhet om de har begärt information av alla behövliga aktörer. För närvarande betalar de som äger nätinfrastruktur </w:t>
          </w:r>
          <w:r>
            <w:rPr>
              <w:lang w:val="sv-SE"/>
            </w:rPr>
            <w:t>avgifter för behand</w:t>
          </w:r>
          <w:r w:rsidRPr="00166EFE">
            <w:rPr>
              <w:lang w:val="sv-SE"/>
            </w:rPr>
            <w:t xml:space="preserve">lingen av de begäranden om lokaliseringsuppgifter de gör och för </w:t>
          </w:r>
          <w:r w:rsidRPr="00166EFE">
            <w:rPr>
              <w:lang w:val="sv-SE"/>
            </w:rPr>
            <w:lastRenderedPageBreak/>
            <w:t>förvaltning av dem till privata tillhandahållare av tjänster, såsom exempelvis Verkkoselvitys.fi; bland annat teleföretag har alltså lagt ut behandlingen av begäranden om uppgifter enligt 241 § 2 mom. i lagen om tjänster inom elektronisk kommunikation.</w:t>
          </w:r>
        </w:p>
        <w:p w:rsidR="00FC143A" w:rsidRPr="00FC143A" w:rsidRDefault="00166EFE" w:rsidP="00166EFE">
          <w:pPr>
            <w:pStyle w:val="LLPerustelujenkappalejako"/>
            <w:rPr>
              <w:lang w:val="sv-SE"/>
            </w:rPr>
          </w:pPr>
          <w:r w:rsidRPr="00166EFE">
            <w:rPr>
              <w:lang w:val="sv-SE"/>
            </w:rPr>
            <w:t>I 36 kap. i den lagen ingår bestämmelser om avgifter till myndigheter. Enligt 289 § i lagen är teleföretag som bedriver anmälningspliktig eller koncessionspliktig verksamhet skyldiga att till Transport- och kommunikationsverket betala en årlig informationssamhällsavgift som täcker Transport- och kommunikationsverkets kostnader för skötseln av de uppgifter enligt lagen i fråga som gäller teleföretag, med undantag för uppgifter som gäller numrering. Informationssamhällsavgift tas inte ut för omsättning som hänför sig till televisions- eller radioverksamhet eller till vidaresändning av televisionsprogram eller radioprogram. Informationssamhällsavgiften utgör 0,12 procent av omsättningen för den televerksamhet som teleföretaget bedrivit i Finland under räkenskapsperioden före bestämmandet av avgiften, men om omsättningen understiger 300 000 eur</w:t>
          </w:r>
          <w:r>
            <w:rPr>
              <w:lang w:val="sv-SE"/>
            </w:rPr>
            <w:t>o, föreligger ingen avgiftsskyl</w:t>
          </w:r>
          <w:r w:rsidRPr="00166EFE">
            <w:rPr>
              <w:lang w:val="sv-SE"/>
            </w:rPr>
            <w:t>dighet. Närmare bestämmelser om den omsättning som avgiften grundar sig på finns i 290 § i lagen. I Finland finns drygt 320 företag som gjort televerksamhetsanmälan. Under 2021 påfördes 109 sådana teleföretag vars avgiftsgrundande omsättning 2020 var minst de 300 000 euro som fastställs i lagen informationssamhällsavgift. Intäkterna av informationssamhäll</w:t>
          </w:r>
          <w:r>
            <w:rPr>
              <w:lang w:val="sv-SE"/>
            </w:rPr>
            <w:t>savgifterna var cirka 3,8 miljo</w:t>
          </w:r>
          <w:r w:rsidRPr="00166EFE">
            <w:rPr>
              <w:lang w:val="sv-SE"/>
            </w:rPr>
            <w:t>ner euro 2021.</w:t>
          </w:r>
        </w:p>
        <w:p w:rsidR="00FC143A" w:rsidRDefault="00FC143A" w:rsidP="00FC143A">
          <w:pPr>
            <w:pStyle w:val="LLP1Otsikkotaso"/>
            <w:rPr>
              <w:lang w:val="sv-SE"/>
            </w:rPr>
          </w:pPr>
          <w:bookmarkStart w:id="11" w:name="_Toc102649685"/>
          <w:r w:rsidRPr="00FC143A">
            <w:rPr>
              <w:lang w:val="sv-SE"/>
            </w:rPr>
            <w:t>Målsättning</w:t>
          </w:r>
          <w:bookmarkEnd w:id="11"/>
        </w:p>
        <w:p w:rsidR="00FC143A" w:rsidRPr="00FC143A" w:rsidRDefault="00166EFE" w:rsidP="00FC143A">
          <w:pPr>
            <w:pStyle w:val="LLPerustelujenkappalejako"/>
            <w:rPr>
              <w:lang w:val="sv-SE"/>
            </w:rPr>
          </w:pPr>
          <w:r w:rsidRPr="00932433">
            <w:rPr>
              <w:lang w:val="sv-SE"/>
            </w:rPr>
            <w:t>Syftet med höjningen av informationssamhällsavgiften är att täcka Transport- och kommunikationsverkets andel av de årliga kostnaderna för drif</w:t>
          </w:r>
          <w:r w:rsidR="004D037E">
            <w:rPr>
              <w:lang w:val="sv-SE"/>
            </w:rPr>
            <w:t>ten och underhållet av den nya p</w:t>
          </w:r>
          <w:r w:rsidRPr="00932433">
            <w:rPr>
              <w:lang w:val="sv-SE"/>
            </w:rPr>
            <w:t>ositionsdatatjänsten.</w:t>
          </w:r>
        </w:p>
        <w:p w:rsidR="00FC143A" w:rsidRDefault="00FC143A" w:rsidP="00FC143A">
          <w:pPr>
            <w:pStyle w:val="LLP1Otsikkotaso"/>
            <w:rPr>
              <w:lang w:val="sv-SE"/>
            </w:rPr>
          </w:pPr>
          <w:bookmarkStart w:id="12" w:name="_Toc102649686"/>
          <w:r w:rsidRPr="00FC143A">
            <w:rPr>
              <w:lang w:val="sv-SE"/>
            </w:rPr>
            <w:t>Förslagen och deras konsekvenser</w:t>
          </w:r>
          <w:bookmarkEnd w:id="12"/>
        </w:p>
        <w:p w:rsidR="00FC143A" w:rsidRDefault="00FC143A" w:rsidP="00FC143A">
          <w:pPr>
            <w:pStyle w:val="LLP2Otsikkotaso"/>
            <w:rPr>
              <w:lang w:val="sv-SE"/>
            </w:rPr>
          </w:pPr>
          <w:bookmarkStart w:id="13" w:name="_Toc102649687"/>
          <w:r w:rsidRPr="00FC143A">
            <w:rPr>
              <w:lang w:val="sv-SE"/>
            </w:rPr>
            <w:t xml:space="preserve">De viktigaste </w:t>
          </w:r>
          <w:r w:rsidRPr="00734204">
            <w:rPr>
              <w:lang w:val="sv-SE"/>
            </w:rPr>
            <w:t>förslagen</w:t>
          </w:r>
          <w:bookmarkEnd w:id="13"/>
        </w:p>
        <w:p w:rsidR="00FC143A" w:rsidRPr="00FC143A" w:rsidRDefault="00734204" w:rsidP="00FC143A">
          <w:pPr>
            <w:pStyle w:val="LLPerustelujenkappalejako"/>
            <w:rPr>
              <w:lang w:val="sv-SE"/>
            </w:rPr>
          </w:pPr>
          <w:r w:rsidRPr="00734204">
            <w:rPr>
              <w:lang w:val="sv-SE"/>
            </w:rPr>
            <w:t xml:space="preserve">I denna proposition föreslås det att Transport- och kommunikationsverkets andel av kostnaderna </w:t>
          </w:r>
          <w:r w:rsidR="004D037E">
            <w:rPr>
              <w:lang w:val="sv-SE"/>
            </w:rPr>
            <w:t>för driften och underhållet av p</w:t>
          </w:r>
          <w:r w:rsidRPr="00734204">
            <w:rPr>
              <w:lang w:val="sv-SE"/>
            </w:rPr>
            <w:t>ositionsdatatjänsten ska täckas genom en höjning av infor</w:t>
          </w:r>
          <w:r>
            <w:rPr>
              <w:lang w:val="sv-SE"/>
            </w:rPr>
            <w:t xml:space="preserve">mationssamhällsavgiften enligt </w:t>
          </w:r>
          <w:r w:rsidRPr="00734204">
            <w:rPr>
              <w:lang w:val="sv-SE"/>
            </w:rPr>
            <w:t>289 § i lagen om tjänster inom elektronisk kommunikation med 0,015 procentenheter från och med den 1 januari 2023, då informationssamhällsavgiften ska utgöra 0,135 procent av omsättningen av televerksamhet som ett teleföretag som omfattas av informationssamhällsavgift bedrivit i Finland under den räkenskapsperiod som föregår bestämmandet av avgiften. Intäkterna av informationssamhällsavgifterna uppgick till cirka 3,8 miljoner euro 2021. Den föreslagna höjningen av informationssamhällsavgiften kommer att höja intäkterna av avgiften till uppskattningsvis cirka 4,2 miljoner euro från och med 2023, om teleföretagens omsättning fortsätter att öka som förut.</w:t>
          </w:r>
        </w:p>
        <w:p w:rsidR="00FC143A" w:rsidRDefault="00FC143A" w:rsidP="00FC143A">
          <w:pPr>
            <w:pStyle w:val="LLP2Otsikkotaso"/>
            <w:rPr>
              <w:lang w:val="sv-SE"/>
            </w:rPr>
          </w:pPr>
          <w:bookmarkStart w:id="14" w:name="_Toc102649688"/>
          <w:r w:rsidRPr="00FC143A">
            <w:rPr>
              <w:lang w:val="sv-SE"/>
            </w:rPr>
            <w:t>De huvudsakliga konsekvenserna</w:t>
          </w:r>
          <w:bookmarkEnd w:id="14"/>
        </w:p>
        <w:p w:rsidR="00734204" w:rsidRPr="00734204" w:rsidRDefault="00734204" w:rsidP="00932433">
          <w:pPr>
            <w:pStyle w:val="LLPValiotsikko"/>
          </w:pPr>
          <w:r w:rsidRPr="00734204">
            <w:t>5.2.2 Ekonomiska konsekvenser av informationssamhällsavgiften</w:t>
          </w:r>
        </w:p>
        <w:p w:rsidR="00734204" w:rsidRPr="00734204" w:rsidRDefault="00734204" w:rsidP="00734204">
          <w:pPr>
            <w:pStyle w:val="LLPerustelujenkappalejako"/>
            <w:rPr>
              <w:lang w:val="sv-SE"/>
            </w:rPr>
          </w:pPr>
          <w:r w:rsidRPr="00734204">
            <w:rPr>
              <w:lang w:val="sv-SE"/>
            </w:rPr>
            <w:t>För närvarande finns det i Finland 322 teleföretag som gjort telev</w:t>
          </w:r>
          <w:r w:rsidR="00970B4C">
            <w:rPr>
              <w:lang w:val="sv-SE"/>
            </w:rPr>
            <w:t>erksamhetsanmälan. Antalet tele</w:t>
          </w:r>
          <w:r w:rsidRPr="00734204">
            <w:rPr>
              <w:lang w:val="sv-SE"/>
            </w:rPr>
            <w:t>företag har ökat med något tiotal under de senaste åren.  Under 20</w:t>
          </w:r>
          <w:r w:rsidR="00970B4C">
            <w:rPr>
              <w:lang w:val="sv-SE"/>
            </w:rPr>
            <w:t>21 påfördes 109 sådana teleföre</w:t>
          </w:r>
          <w:r w:rsidRPr="00734204">
            <w:rPr>
              <w:lang w:val="sv-SE"/>
            </w:rPr>
            <w:t>tag vars avgiftsgrundande omsättning 2020 var minst de 300 000 euro som fastställs i lagen. Det kan förväntas att antalet teleföretag som omfattas av informationssamhällsavgift inte förändras nämnvärt under de kommande åren, varvid den föreslagna höjning</w:t>
          </w:r>
          <w:r w:rsidR="004D037E">
            <w:rPr>
              <w:lang w:val="sv-SE"/>
            </w:rPr>
            <w:t>en av informationssamhällsavgif</w:t>
          </w:r>
          <w:r w:rsidRPr="00734204">
            <w:rPr>
              <w:lang w:val="sv-SE"/>
            </w:rPr>
            <w:t xml:space="preserve">ten gäller drygt 100 teleföretag. </w:t>
          </w:r>
        </w:p>
        <w:p w:rsidR="00734204" w:rsidRPr="00734204" w:rsidRDefault="00734204" w:rsidP="00734204">
          <w:pPr>
            <w:pStyle w:val="LLPerustelujenkappalejako"/>
            <w:rPr>
              <w:lang w:val="sv-SE"/>
            </w:rPr>
          </w:pPr>
          <w:r w:rsidRPr="00734204">
            <w:rPr>
              <w:lang w:val="sv-SE"/>
            </w:rPr>
            <w:lastRenderedPageBreak/>
            <w:t>I fråga om enskilda teleföretag som omfattas av informationssamhä</w:t>
          </w:r>
          <w:r w:rsidR="00310852">
            <w:rPr>
              <w:lang w:val="sv-SE"/>
            </w:rPr>
            <w:t>llsavgift är den föreslagna höj</w:t>
          </w:r>
          <w:r w:rsidRPr="00734204">
            <w:rPr>
              <w:lang w:val="sv-SE"/>
            </w:rPr>
            <w:t xml:space="preserve">ningen av avgiften i euro högre ju större teleföretagets omsättning av televerksamhet är. Ett teleföretag vars omsättning understiger 300 000 euro är befriat från informationssamhällsavgift och den föreslagna höjningen av avgiften inverkar inte heller i fortsättningen på dem, om inte företagens omsättning ökar så att den överstiger 300 000 euro. År 2020 täckte omsättningen för de tre största teleföretagen i Finland, DNA </w:t>
          </w:r>
          <w:proofErr w:type="spellStart"/>
          <w:r w:rsidRPr="00734204">
            <w:rPr>
              <w:lang w:val="sv-SE"/>
            </w:rPr>
            <w:t>Abp</w:t>
          </w:r>
          <w:proofErr w:type="spellEnd"/>
          <w:r w:rsidRPr="00734204">
            <w:rPr>
              <w:lang w:val="sv-SE"/>
            </w:rPr>
            <w:t xml:space="preserve">, Elisa </w:t>
          </w:r>
          <w:proofErr w:type="spellStart"/>
          <w:r w:rsidRPr="00734204">
            <w:rPr>
              <w:lang w:val="sv-SE"/>
            </w:rPr>
            <w:t>Abp</w:t>
          </w:r>
          <w:proofErr w:type="spellEnd"/>
          <w:r w:rsidRPr="00734204">
            <w:rPr>
              <w:lang w:val="sv-SE"/>
            </w:rPr>
            <w:t xml:space="preserve"> och Telia Finland </w:t>
          </w:r>
          <w:proofErr w:type="spellStart"/>
          <w:r w:rsidRPr="00734204">
            <w:rPr>
              <w:lang w:val="sv-SE"/>
            </w:rPr>
            <w:t>Oyj</w:t>
          </w:r>
          <w:proofErr w:type="spellEnd"/>
          <w:r w:rsidRPr="00734204">
            <w:rPr>
              <w:lang w:val="sv-SE"/>
            </w:rPr>
            <w:t>,</w:t>
          </w:r>
          <w:r w:rsidR="00310852">
            <w:rPr>
              <w:lang w:val="sv-SE"/>
            </w:rPr>
            <w:t xml:space="preserve"> cirka 90 procent av teleföreta</w:t>
          </w:r>
          <w:r w:rsidRPr="00734204">
            <w:rPr>
              <w:lang w:val="sv-SE"/>
            </w:rPr>
            <w:t>gens sammanlagda omsättning. Någon större förändring förväntas inte ha inträffat 2021 och inte heller kan det förväntas att de tre största teleföretagens relativa ställnin</w:t>
          </w:r>
          <w:r w:rsidR="00970B4C">
            <w:rPr>
              <w:lang w:val="sv-SE"/>
            </w:rPr>
            <w:t>g i förhållande till andra tele</w:t>
          </w:r>
          <w:r w:rsidRPr="00734204">
            <w:rPr>
              <w:lang w:val="sv-SE"/>
            </w:rPr>
            <w:t xml:space="preserve">företag, mätt i omsättning, förändras i någon betydande utsträckning under de kommande åren. Den i euro mest omfattande delen av den föreslagna höjningen av informationssamhällsavgiften, alltså merkostnaden på sammanlagt cirka 350 000–370 000 euro, kommer </w:t>
          </w:r>
          <w:r w:rsidR="00970B4C">
            <w:rPr>
              <w:lang w:val="sv-SE"/>
            </w:rPr>
            <w:t>därmed att gälla dessa tre tele</w:t>
          </w:r>
          <w:r w:rsidRPr="00734204">
            <w:rPr>
              <w:lang w:val="sv-SE"/>
            </w:rPr>
            <w:t>företag. För andra teleföretag som omfattas av informationssamhäll</w:t>
          </w:r>
          <w:r w:rsidR="00310852">
            <w:rPr>
              <w:lang w:val="sv-SE"/>
            </w:rPr>
            <w:t>savgift är merkostnaden för höj</w:t>
          </w:r>
          <w:r w:rsidRPr="00734204">
            <w:rPr>
              <w:lang w:val="sv-SE"/>
            </w:rPr>
            <w:t>ningen av avgiften sammanlagt cirka 30 000–50 000 euro. Detta ko</w:t>
          </w:r>
          <w:r w:rsidR="00970B4C">
            <w:rPr>
              <w:lang w:val="sv-SE"/>
            </w:rPr>
            <w:t>mmer för dessa företag att inne</w:t>
          </w:r>
          <w:r w:rsidRPr="00734204">
            <w:rPr>
              <w:lang w:val="sv-SE"/>
            </w:rPr>
            <w:t xml:space="preserve">bära några hundra eller tusentals euro i extra årliga kostnader per teleföretag beroende på företagets omsättning. </w:t>
          </w:r>
        </w:p>
        <w:p w:rsidR="00734204" w:rsidRPr="00734204" w:rsidRDefault="00734204" w:rsidP="00734204">
          <w:pPr>
            <w:pStyle w:val="LLPerustelujenkappalejako"/>
            <w:rPr>
              <w:lang w:val="sv-SE"/>
            </w:rPr>
          </w:pPr>
          <w:r w:rsidRPr="00734204">
            <w:rPr>
              <w:lang w:val="sv-SE"/>
            </w:rPr>
            <w:t xml:space="preserve">Bestämmelsen om informationssamhällsavgift tillämpas även på de 5 teleföretag som är verksamma på Åland. Mätt i omsättning är de största aktörerna Ålands Telekommunikation Ab, eller </w:t>
          </w:r>
          <w:proofErr w:type="spellStart"/>
          <w:r w:rsidRPr="00734204">
            <w:rPr>
              <w:lang w:val="sv-SE"/>
            </w:rPr>
            <w:t>Ålcom</w:t>
          </w:r>
          <w:proofErr w:type="spellEnd"/>
          <w:r w:rsidRPr="00734204">
            <w:rPr>
              <w:lang w:val="sv-SE"/>
            </w:rPr>
            <w:t>, Ålands Telefonandelslag och Mariehamns Telefon Ab. Merkostnaden för höjningen av informationssamhällsavgiften för teleföretagen på Åland understiger klart 4 000 euro per år. För de enskilda företagen varierar höjningen mellan drygt 100 euro och knappt 2 000 euro beroende på företagets omsättning.</w:t>
          </w:r>
        </w:p>
        <w:p w:rsidR="00734204" w:rsidRPr="00734204" w:rsidRDefault="004D037E" w:rsidP="00734204">
          <w:pPr>
            <w:pStyle w:val="LLPerustelujenkappalejako"/>
            <w:rPr>
              <w:lang w:val="sv-SE"/>
            </w:rPr>
          </w:pPr>
          <w:r>
            <w:rPr>
              <w:lang w:val="sv-SE"/>
            </w:rPr>
            <w:t>De som drar nytta av p</w:t>
          </w:r>
          <w:r w:rsidR="00734204" w:rsidRPr="00734204">
            <w:rPr>
              <w:lang w:val="sv-SE"/>
            </w:rPr>
            <w:t>ositionsdatatjänsten är grävare, planerare</w:t>
          </w:r>
          <w:r w:rsidR="00310852">
            <w:rPr>
              <w:lang w:val="sv-SE"/>
            </w:rPr>
            <w:t xml:space="preserve"> och andra som behöver lokalise</w:t>
          </w:r>
          <w:r w:rsidR="00734204" w:rsidRPr="00734204">
            <w:rPr>
              <w:lang w:val="sv-SE"/>
            </w:rPr>
            <w:t xml:space="preserve">ringsuppgifter för underjordisk infrastruktur, eftersom alla uppgifter finns att tillgå centraliserat via tjänsten. Genom en centraliserad tjänst minskas också skadorna i samband med grävningsarbeten, varvid nätens driftsäkerhet förbättras, grävningsarbetena och planeringen effektiviseras och </w:t>
          </w:r>
          <w:r w:rsidR="00310852" w:rsidRPr="00734204">
            <w:rPr>
              <w:lang w:val="sv-SE"/>
            </w:rPr>
            <w:t>kostnaderna</w:t>
          </w:r>
          <w:r w:rsidR="00734204" w:rsidRPr="00734204">
            <w:rPr>
              <w:lang w:val="sv-SE"/>
            </w:rPr>
            <w:t xml:space="preserve"> minskar. De som äger infrastruktur, såsom teleföretag, drar nytta av tjänsten och på längre sikt kan den också sänka deras omkostnader, eftersom teleföretagen har möjlighet att till och med helt och hållet avstå från att köpa de tjänster de tidigare lade ut. Någon avgift tas inte ut för användning av tjänsten hos företag som begär uppgifter eller som äger nätinfrastruktur och som själva lämnar in uppgifter om sin infrastruktur till tjänsten. Detta motsvarar nuläget när det gäller dem som begär uppgifter, alltså att det hos till exempel vägandelslag som begär uppgifter inte tas ut någon avgift för en sådan begäran, eftersom den som påbörjar jordbyggnadsarbet</w:t>
          </w:r>
          <w:r w:rsidR="00310852">
            <w:rPr>
              <w:lang w:val="sv-SE"/>
            </w:rPr>
            <w:t>e, skogsarbete eller vattenbygg</w:t>
          </w:r>
          <w:r w:rsidR="00734204" w:rsidRPr="00734204">
            <w:rPr>
              <w:lang w:val="sv-SE"/>
            </w:rPr>
            <w:t xml:space="preserve">nadsarbete är skyldig att utreda var det finns infrastruktur innan arbetet inleds.  </w:t>
          </w:r>
        </w:p>
        <w:p w:rsidR="00734204" w:rsidRPr="00734204" w:rsidRDefault="00734204" w:rsidP="00734204">
          <w:pPr>
            <w:pStyle w:val="LLPerustelujenkappalejako"/>
            <w:rPr>
              <w:lang w:val="sv-SE"/>
            </w:rPr>
          </w:pPr>
          <w:r w:rsidRPr="00734204">
            <w:rPr>
              <w:lang w:val="sv-SE"/>
            </w:rPr>
            <w:t>Den föreslagna höjningen av informationssamhällsavgiften förvän</w:t>
          </w:r>
          <w:r w:rsidR="00310852">
            <w:rPr>
              <w:lang w:val="sv-SE"/>
            </w:rPr>
            <w:t>tas inte ha några direkta konse</w:t>
          </w:r>
          <w:r w:rsidRPr="00734204">
            <w:rPr>
              <w:lang w:val="sv-SE"/>
            </w:rPr>
            <w:t>kvenser för de abonnemangs- och serviceavgifter för kommunikationstjänster som slutanvändarna betalar. Förhöjningens effekt fördelad på antalet abonnemang i det mobila och fasta nätet är cirka 3–4 cent per abonnemang från företag som omfattas av avgiften, m</w:t>
          </w:r>
          <w:r w:rsidR="00310852">
            <w:rPr>
              <w:lang w:val="sv-SE"/>
            </w:rPr>
            <w:t>en i det nuvarande konkurrenslä</w:t>
          </w:r>
          <w:r w:rsidRPr="00734204">
            <w:rPr>
              <w:lang w:val="sv-SE"/>
            </w:rPr>
            <w:t>get är det inte sannolikt att teleföretagen höjer priserna fullt ut till</w:t>
          </w:r>
          <w:r w:rsidR="00310852">
            <w:rPr>
              <w:lang w:val="sv-SE"/>
            </w:rPr>
            <w:t xml:space="preserve"> följd av höjningen av informat</w:t>
          </w:r>
          <w:r w:rsidRPr="00734204">
            <w:rPr>
              <w:lang w:val="sv-SE"/>
            </w:rPr>
            <w:t>ionssamhällsavgiften. Avgiftshöjningen kan eventuellt begränsa möjligheterna att konkurrera med anbudspriser på tjänsterna inom branschen.</w:t>
          </w:r>
        </w:p>
        <w:p w:rsidR="00FC143A" w:rsidRPr="00FC143A" w:rsidRDefault="00734204" w:rsidP="00734204">
          <w:pPr>
            <w:pStyle w:val="LLPerustelujenkappalejako"/>
            <w:rPr>
              <w:lang w:val="sv-SE"/>
            </w:rPr>
          </w:pPr>
          <w:r w:rsidRPr="00734204">
            <w:rPr>
              <w:lang w:val="sv-SE"/>
            </w:rPr>
            <w:t>För Transport- och kommunikationsverket ökar höjningen av informationssamhällsavgiften intäkterna med uppskattningsvis 400 000 euro per år. Avkastningen används för kostnade</w:t>
          </w:r>
          <w:r w:rsidR="004D037E">
            <w:rPr>
              <w:lang w:val="sv-SE"/>
            </w:rPr>
            <w:t>rna för drift och underhåll av p</w:t>
          </w:r>
          <w:r w:rsidRPr="00734204">
            <w:rPr>
              <w:lang w:val="sv-SE"/>
            </w:rPr>
            <w:t>ositionsdatatjänsten. Transport- och kommunikationsverkets omkostnader påverkar därmed inte anslagen i statsbudgeten.</w:t>
          </w:r>
        </w:p>
        <w:p w:rsidR="00FC143A" w:rsidRDefault="00FC143A" w:rsidP="00FC143A">
          <w:pPr>
            <w:pStyle w:val="LLP1Otsikkotaso"/>
            <w:rPr>
              <w:lang w:val="sv-SE"/>
            </w:rPr>
          </w:pPr>
          <w:bookmarkStart w:id="15" w:name="_Toc102649689"/>
          <w:r w:rsidRPr="00FC143A">
            <w:rPr>
              <w:lang w:val="sv-SE"/>
            </w:rPr>
            <w:lastRenderedPageBreak/>
            <w:t>Alternativa handlingsvägar</w:t>
          </w:r>
          <w:bookmarkEnd w:id="15"/>
        </w:p>
        <w:p w:rsidR="00FC143A" w:rsidRDefault="00FC143A" w:rsidP="00FC143A">
          <w:pPr>
            <w:pStyle w:val="LLP2Otsikkotaso"/>
            <w:rPr>
              <w:lang w:val="sv-SE"/>
            </w:rPr>
          </w:pPr>
          <w:bookmarkStart w:id="16" w:name="_Toc102649690"/>
          <w:r w:rsidRPr="00FC143A">
            <w:rPr>
              <w:lang w:val="sv-SE"/>
            </w:rPr>
            <w:t>Handlingsalternativen och deras konsekvenser</w:t>
          </w:r>
          <w:bookmarkEnd w:id="16"/>
        </w:p>
        <w:p w:rsidR="00734204" w:rsidRDefault="00734204" w:rsidP="00932433">
          <w:pPr>
            <w:pStyle w:val="LLP2Otsikkotaso"/>
            <w:rPr>
              <w:lang w:val="sv-SE"/>
            </w:rPr>
          </w:pPr>
          <w:bookmarkStart w:id="17" w:name="_Toc102649691"/>
          <w:r w:rsidRPr="00734204">
            <w:rPr>
              <w:lang w:val="sv-SE"/>
            </w:rPr>
            <w:t>Åtgärder som planeras eller vidtas av andra medlemsstater</w:t>
          </w:r>
          <w:bookmarkEnd w:id="17"/>
          <w:r w:rsidRPr="00734204">
            <w:rPr>
              <w:lang w:val="sv-SE"/>
            </w:rPr>
            <w:t xml:space="preserve"> </w:t>
          </w:r>
        </w:p>
        <w:p w:rsidR="00FC143A" w:rsidRDefault="00FC143A" w:rsidP="00FC143A">
          <w:pPr>
            <w:pStyle w:val="LLP1Otsikkotaso"/>
            <w:rPr>
              <w:lang w:val="sv-SE"/>
            </w:rPr>
          </w:pPr>
          <w:bookmarkStart w:id="18" w:name="_Toc102649692"/>
          <w:r w:rsidRPr="00FC143A">
            <w:rPr>
              <w:lang w:val="sv-SE"/>
            </w:rPr>
            <w:t>Remissvar</w:t>
          </w:r>
          <w:bookmarkEnd w:id="18"/>
        </w:p>
        <w:p w:rsidR="00FC143A" w:rsidRDefault="00FC143A" w:rsidP="00FC143A">
          <w:pPr>
            <w:pStyle w:val="LLP1Otsikkotaso"/>
            <w:rPr>
              <w:lang w:val="sv-SE"/>
            </w:rPr>
          </w:pPr>
          <w:bookmarkStart w:id="19" w:name="_Toc102649693"/>
          <w:r w:rsidRPr="00FC143A">
            <w:rPr>
              <w:lang w:val="sv-SE"/>
            </w:rPr>
            <w:t>Specialmotivering</w:t>
          </w:r>
          <w:bookmarkEnd w:id="19"/>
        </w:p>
        <w:p w:rsidR="00734204" w:rsidRPr="00734204" w:rsidRDefault="00734204" w:rsidP="00734204">
          <w:pPr>
            <w:pStyle w:val="LLPerustelujenkappalejako"/>
            <w:rPr>
              <w:b/>
              <w:i/>
              <w:lang w:val="sv-SE"/>
            </w:rPr>
          </w:pPr>
          <w:r w:rsidRPr="00734204">
            <w:rPr>
              <w:b/>
              <w:i/>
              <w:lang w:val="sv-SE"/>
            </w:rPr>
            <w:t>Lagen om tjänster inom elektronisk kommunikation</w:t>
          </w:r>
        </w:p>
        <w:p w:rsidR="00734204" w:rsidRPr="00734204" w:rsidRDefault="00734204" w:rsidP="00734204">
          <w:pPr>
            <w:pStyle w:val="LLPerustelujenkappalejako"/>
            <w:rPr>
              <w:lang w:val="sv-SE"/>
            </w:rPr>
          </w:pPr>
          <w:r w:rsidRPr="00734204">
            <w:rPr>
              <w:b/>
              <w:lang w:val="sv-SE"/>
            </w:rPr>
            <w:t>289 §.</w:t>
          </w:r>
          <w:r w:rsidRPr="00734204">
            <w:rPr>
              <w:lang w:val="sv-SE"/>
            </w:rPr>
            <w:t xml:space="preserve"> </w:t>
          </w:r>
          <w:r w:rsidRPr="00734204">
            <w:rPr>
              <w:i/>
              <w:lang w:val="sv-SE"/>
            </w:rPr>
            <w:t>Informationssamhällsavgift.</w:t>
          </w:r>
          <w:r w:rsidRPr="00734204">
            <w:rPr>
              <w:lang w:val="sv-SE"/>
            </w:rPr>
            <w:t xml:space="preserve"> Det föreslås att 3 mom. ändras så att informationssamhällsavgiften höjs med 0,015 procentenheter från och med den 1 januari 2023, då informationssamhällsavgiften är 0,135 procent av omsättningen av televerksamhet som ett teleföretag som omfattas av informationssamhällsavgift bedrivit i Finland under den räkenskapsperiod som föregår bestämmandet av avgiften. Någon informationssamhällsavgift tas inte ut för teleföret</w:t>
          </w:r>
          <w:r w:rsidR="00970B4C">
            <w:rPr>
              <w:lang w:val="sv-SE"/>
            </w:rPr>
            <w:t>ag vars omsättning för televerk</w:t>
          </w:r>
          <w:r w:rsidRPr="00734204">
            <w:rPr>
              <w:lang w:val="sv-SE"/>
            </w:rPr>
            <w:t>samhet i Finland understiger 300 000 euro under den föregående räkenskapsperioden. Det föreslås att 4 mom. ändras så att 3 mom. ska tillämpas från och med den 1 januari 2023. Syftet med höjningen av informationssamhällsavgiften är att täcka Transport- och kommunikationsverkets årliga kos</w:t>
          </w:r>
          <w:r>
            <w:rPr>
              <w:lang w:val="sv-SE"/>
            </w:rPr>
            <w:t>t</w:t>
          </w:r>
          <w:r w:rsidRPr="00734204">
            <w:rPr>
              <w:lang w:val="sv-SE"/>
            </w:rPr>
            <w:t>nader för drift och underhål</w:t>
          </w:r>
          <w:r w:rsidR="004D037E">
            <w:rPr>
              <w:lang w:val="sv-SE"/>
            </w:rPr>
            <w:t>l av den planerade p</w:t>
          </w:r>
          <w:r w:rsidRPr="00734204">
            <w:rPr>
              <w:lang w:val="sv-SE"/>
            </w:rPr>
            <w:t xml:space="preserve">ositionsdatatjänsten i enlighet med motiveringen till lagen om sambyggnad och samutnyttjande av nätinfrastruktur. </w:t>
          </w:r>
        </w:p>
        <w:p w:rsidR="00734204" w:rsidRPr="00734204" w:rsidRDefault="00734204" w:rsidP="00734204">
          <w:pPr>
            <w:pStyle w:val="LLPerustelujenkappalejako"/>
            <w:rPr>
              <w:lang w:val="sv-SE"/>
            </w:rPr>
          </w:pPr>
          <w:r w:rsidRPr="00734204">
            <w:rPr>
              <w:lang w:val="sv-SE"/>
            </w:rPr>
            <w:t>I och med den föreslagna höjningen av informationssamhällsavgiften ökar intäkterna från avgiften enligt uppgifterna om omsättningen för 2021 med cirka 400 000 eu</w:t>
          </w:r>
          <w:r w:rsidR="00970B4C">
            <w:rPr>
              <w:lang w:val="sv-SE"/>
            </w:rPr>
            <w:t>ro per år, om teleföretagens om</w:t>
          </w:r>
          <w:r w:rsidRPr="00734204">
            <w:rPr>
              <w:lang w:val="sv-SE"/>
            </w:rPr>
            <w:t xml:space="preserve">sättning fortsätter att öka som förut. Den i euro mest betydande delen av den föreslagna höjningen av informationssamhällsavgiften, cirka 350 000–370 000 euro, kommer att gälla de tre största teleföretagen, det vill säga DNA </w:t>
          </w:r>
          <w:proofErr w:type="spellStart"/>
          <w:r w:rsidRPr="00734204">
            <w:rPr>
              <w:lang w:val="sv-SE"/>
            </w:rPr>
            <w:t>Abp</w:t>
          </w:r>
          <w:proofErr w:type="spellEnd"/>
          <w:r w:rsidRPr="00734204">
            <w:rPr>
              <w:lang w:val="sv-SE"/>
            </w:rPr>
            <w:t xml:space="preserve">, Elisa </w:t>
          </w:r>
          <w:proofErr w:type="spellStart"/>
          <w:r w:rsidRPr="00734204">
            <w:rPr>
              <w:lang w:val="sv-SE"/>
            </w:rPr>
            <w:t>Abp</w:t>
          </w:r>
          <w:proofErr w:type="spellEnd"/>
          <w:r w:rsidRPr="00734204">
            <w:rPr>
              <w:lang w:val="sv-SE"/>
            </w:rPr>
            <w:t xml:space="preserve"> och Telia Finland </w:t>
          </w:r>
          <w:proofErr w:type="spellStart"/>
          <w:r w:rsidRPr="00734204">
            <w:rPr>
              <w:lang w:val="sv-SE"/>
            </w:rPr>
            <w:t>Oyj</w:t>
          </w:r>
          <w:proofErr w:type="spellEnd"/>
          <w:r w:rsidRPr="00734204">
            <w:rPr>
              <w:lang w:val="sv-SE"/>
            </w:rPr>
            <w:t>. När det gäller teleföretagen gäller begäranden om positionsdata till största delen dessa tre företags nätinfrastruktur, och flest uppgifter som kommer att kräva underhåll härrör från deras infrastruktur. Det är därför motiverat att de också täcker största delen av kostnaderna. För andra teleföretag som omf</w:t>
          </w:r>
          <w:r>
            <w:rPr>
              <w:lang w:val="sv-SE"/>
            </w:rPr>
            <w:t>attas av informationssamhällsav</w:t>
          </w:r>
          <w:r w:rsidRPr="00734204">
            <w:rPr>
              <w:lang w:val="sv-SE"/>
            </w:rPr>
            <w:t>gift är effekten av avgiftshöjningen totalt cirka 30 000–50 000 euro om året, vilket utgör några hundra eller tusen euro per teleföretag beroende på företagets oms</w:t>
          </w:r>
          <w:r>
            <w:rPr>
              <w:lang w:val="sv-SE"/>
            </w:rPr>
            <w:t>ättning. Informationssamhällsav</w:t>
          </w:r>
          <w:r w:rsidRPr="00734204">
            <w:rPr>
              <w:lang w:val="sv-SE"/>
            </w:rPr>
            <w:t>gift tillämpas också på teleföretag som är verksamma på Åland och i</w:t>
          </w:r>
          <w:r>
            <w:rPr>
              <w:lang w:val="sv-SE"/>
            </w:rPr>
            <w:t xml:space="preserve"> fråga om vilka effekten av höj</w:t>
          </w:r>
          <w:r w:rsidRPr="00734204">
            <w:rPr>
              <w:lang w:val="sv-SE"/>
            </w:rPr>
            <w:t>ningen är klart mindre än 4 000 euro om året. År 2021 var intäkter</w:t>
          </w:r>
          <w:r>
            <w:rPr>
              <w:lang w:val="sv-SE"/>
            </w:rPr>
            <w:t>na av informationssamhällsavgif</w:t>
          </w:r>
          <w:r w:rsidRPr="00734204">
            <w:rPr>
              <w:lang w:val="sv-SE"/>
            </w:rPr>
            <w:t>ten cirka 3,8 miljoner euro. Den föreslagna höjningen av information</w:t>
          </w:r>
          <w:r>
            <w:rPr>
              <w:lang w:val="sv-SE"/>
            </w:rPr>
            <w:t>ssamhällsavgiften ökar intäkter</w:t>
          </w:r>
          <w:r w:rsidRPr="00734204">
            <w:rPr>
              <w:lang w:val="sv-SE"/>
            </w:rPr>
            <w:t>na till cirka 4,2 miljoner euro från och med 2023.</w:t>
          </w:r>
        </w:p>
        <w:p w:rsidR="00FC143A" w:rsidRPr="00FC143A" w:rsidRDefault="00734204" w:rsidP="00734204">
          <w:pPr>
            <w:pStyle w:val="LLPerustelujenkappalejako"/>
            <w:rPr>
              <w:lang w:val="sv-SE"/>
            </w:rPr>
          </w:pPr>
          <w:r w:rsidRPr="00734204">
            <w:rPr>
              <w:lang w:val="sv-SE"/>
            </w:rPr>
            <w:t>Eftersom informationssamhällsavgiften bestäms enligt den avgifts</w:t>
          </w:r>
          <w:r>
            <w:rPr>
              <w:lang w:val="sv-SE"/>
            </w:rPr>
            <w:t>skyldiges inkomster och inte enl</w:t>
          </w:r>
          <w:r w:rsidRPr="00734204">
            <w:rPr>
              <w:lang w:val="sv-SE"/>
            </w:rPr>
            <w:t>igt kostnadsmotsvarighetsprincipen är det fråga om en avgift av sk</w:t>
          </w:r>
          <w:r>
            <w:rPr>
              <w:lang w:val="sv-SE"/>
            </w:rPr>
            <w:t>attenatur, och då ska bestämmel</w:t>
          </w:r>
          <w:r w:rsidRPr="00734204">
            <w:rPr>
              <w:lang w:val="sv-SE"/>
            </w:rPr>
            <w:t xml:space="preserve">ser om grunderna för avgiften utfärdas genom lag (se till exempel </w:t>
          </w:r>
          <w:proofErr w:type="spellStart"/>
          <w:r w:rsidRPr="00734204">
            <w:rPr>
              <w:lang w:val="sv-SE"/>
            </w:rPr>
            <w:t>GrUU</w:t>
          </w:r>
          <w:proofErr w:type="spellEnd"/>
          <w:r w:rsidRPr="00734204">
            <w:rPr>
              <w:lang w:val="sv-SE"/>
            </w:rPr>
            <w:t xml:space="preserve"> 49/2006 </w:t>
          </w:r>
          <w:proofErr w:type="spellStart"/>
          <w:r w:rsidRPr="00734204">
            <w:rPr>
              <w:lang w:val="sv-SE"/>
            </w:rPr>
            <w:t>rd</w:t>
          </w:r>
          <w:proofErr w:type="spellEnd"/>
          <w:r w:rsidRPr="00734204">
            <w:rPr>
              <w:lang w:val="sv-SE"/>
            </w:rPr>
            <w:t>). Skyldigheten att betala informationssamhällsavgift ska fortfarande vara bunden ti</w:t>
          </w:r>
          <w:r w:rsidR="00970B4C">
            <w:rPr>
              <w:lang w:val="sv-SE"/>
            </w:rPr>
            <w:t>ll skyldigheten att anmäla tele</w:t>
          </w:r>
          <w:r w:rsidRPr="00734204">
            <w:rPr>
              <w:lang w:val="sv-SE"/>
            </w:rPr>
            <w:t xml:space="preserve">verksamhet eller till koncessionen (RP 98/2020 </w:t>
          </w:r>
          <w:proofErr w:type="spellStart"/>
          <w:r w:rsidRPr="00734204">
            <w:rPr>
              <w:lang w:val="sv-SE"/>
            </w:rPr>
            <w:t>rd</w:t>
          </w:r>
          <w:proofErr w:type="spellEnd"/>
          <w:r w:rsidRPr="00734204">
            <w:rPr>
              <w:lang w:val="sv-SE"/>
            </w:rPr>
            <w:t>, s. 276).</w:t>
          </w:r>
        </w:p>
        <w:p w:rsidR="00FC143A" w:rsidRDefault="00FC143A" w:rsidP="00FC143A">
          <w:pPr>
            <w:pStyle w:val="LLP1Otsikkotaso"/>
            <w:rPr>
              <w:lang w:val="sv-SE"/>
            </w:rPr>
          </w:pPr>
          <w:bookmarkStart w:id="20" w:name="_Toc102649694"/>
          <w:r w:rsidRPr="00FC143A">
            <w:rPr>
              <w:lang w:val="sv-SE"/>
            </w:rPr>
            <w:t xml:space="preserve">Bestämmelser på lägre nivå </w:t>
          </w:r>
          <w:r w:rsidR="002E6FA0">
            <w:rPr>
              <w:lang w:val="sv-SE"/>
            </w:rPr>
            <w:t>än</w:t>
          </w:r>
          <w:r w:rsidRPr="00FC143A">
            <w:rPr>
              <w:lang w:val="sv-SE"/>
            </w:rPr>
            <w:t xml:space="preserve"> lag</w:t>
          </w:r>
          <w:bookmarkEnd w:id="20"/>
        </w:p>
        <w:p w:rsidR="005A26EB" w:rsidRDefault="005A26EB" w:rsidP="00FC143A">
          <w:pPr>
            <w:pStyle w:val="LLP1Otsikkotaso"/>
            <w:rPr>
              <w:lang w:val="sv-SE"/>
            </w:rPr>
          </w:pPr>
          <w:bookmarkStart w:id="21" w:name="_Toc102649695"/>
          <w:r w:rsidRPr="00FC143A">
            <w:rPr>
              <w:lang w:val="sv-SE"/>
            </w:rPr>
            <w:t>Ikraftträdande</w:t>
          </w:r>
          <w:bookmarkEnd w:id="21"/>
        </w:p>
        <w:p w:rsidR="00FC143A" w:rsidRPr="00FC143A" w:rsidRDefault="00734204" w:rsidP="00FC143A">
          <w:pPr>
            <w:pStyle w:val="LLPerustelujenkappalejako"/>
            <w:rPr>
              <w:lang w:val="sv-SE"/>
            </w:rPr>
          </w:pPr>
          <w:r w:rsidRPr="00734204">
            <w:rPr>
              <w:lang w:val="sv-SE"/>
            </w:rPr>
            <w:t>Lagarna föreslås träda i kraft den 1 januari 2023.</w:t>
          </w:r>
        </w:p>
        <w:p w:rsidR="00FC143A" w:rsidRDefault="00FC143A" w:rsidP="00FC143A">
          <w:pPr>
            <w:pStyle w:val="LLP1Otsikkotaso"/>
            <w:rPr>
              <w:lang w:val="sv-SE"/>
            </w:rPr>
          </w:pPr>
          <w:bookmarkStart w:id="22" w:name="_Toc102649696"/>
          <w:r w:rsidRPr="00FC143A">
            <w:rPr>
              <w:lang w:val="sv-SE"/>
            </w:rPr>
            <w:lastRenderedPageBreak/>
            <w:t>Verkställighet och uppföljning</w:t>
          </w:r>
          <w:bookmarkEnd w:id="22"/>
        </w:p>
        <w:p w:rsidR="00FC143A" w:rsidRDefault="00FC143A" w:rsidP="00FC143A">
          <w:pPr>
            <w:pStyle w:val="LLP1Otsikkotaso"/>
            <w:rPr>
              <w:lang w:val="sv-SE"/>
            </w:rPr>
          </w:pPr>
          <w:bookmarkStart w:id="23" w:name="_Toc102649697"/>
          <w:r w:rsidRPr="00FC143A">
            <w:rPr>
              <w:lang w:val="sv-SE"/>
            </w:rPr>
            <w:t>Förhållande till andra propositioner</w:t>
          </w:r>
          <w:bookmarkEnd w:id="23"/>
        </w:p>
        <w:p w:rsidR="00FC143A" w:rsidRDefault="00FC143A" w:rsidP="00FC143A">
          <w:pPr>
            <w:pStyle w:val="LLP2Otsikkotaso"/>
            <w:rPr>
              <w:lang w:val="sv-SE"/>
            </w:rPr>
          </w:pPr>
          <w:bookmarkStart w:id="24" w:name="_Toc102649698"/>
          <w:r w:rsidRPr="00FC143A">
            <w:rPr>
              <w:lang w:val="sv-SE"/>
            </w:rPr>
            <w:t>Samband med andra propositioner</w:t>
          </w:r>
          <w:bookmarkEnd w:id="24"/>
        </w:p>
        <w:p w:rsidR="00FC143A" w:rsidRDefault="002C60F2" w:rsidP="002C60F2">
          <w:pPr>
            <w:pStyle w:val="LLP2Otsikkotaso"/>
            <w:rPr>
              <w:lang w:val="sv-SE"/>
            </w:rPr>
          </w:pPr>
          <w:bookmarkStart w:id="25" w:name="_Toc102649699"/>
          <w:r w:rsidRPr="002C60F2">
            <w:rPr>
              <w:lang w:val="sv-SE"/>
            </w:rPr>
            <w:t>Förhållande till budgetpropositionen</w:t>
          </w:r>
          <w:bookmarkEnd w:id="25"/>
        </w:p>
        <w:p w:rsidR="00FC143A" w:rsidRDefault="00FC143A" w:rsidP="00FC143A">
          <w:pPr>
            <w:pStyle w:val="LLP1Otsikkotaso"/>
            <w:rPr>
              <w:lang w:val="sv-SE"/>
            </w:rPr>
          </w:pPr>
          <w:bookmarkStart w:id="26" w:name="_Toc102649700"/>
          <w:r w:rsidRPr="00FC143A">
            <w:rPr>
              <w:lang w:val="sv-SE"/>
            </w:rPr>
            <w:t>Förhållande till grundlagen samt lagstiftningsordning</w:t>
          </w:r>
          <w:bookmarkEnd w:id="26"/>
        </w:p>
        <w:p w:rsidR="008414FE" w:rsidRPr="00FC143A" w:rsidRDefault="004B4E25" w:rsidP="00FC143A">
          <w:pPr>
            <w:pStyle w:val="LLPerustelujenkappalejako"/>
            <w:rPr>
              <w:lang w:val="sv-SE"/>
            </w:rPr>
          </w:pPr>
        </w:p>
      </w:sdtContent>
    </w:sdt>
    <w:p w:rsidR="004A648F" w:rsidRPr="00FC143A" w:rsidRDefault="004A648F" w:rsidP="004A648F">
      <w:pPr>
        <w:pStyle w:val="LLNormaali"/>
        <w:rPr>
          <w:lang w:val="sv-SE"/>
        </w:rPr>
      </w:pPr>
    </w:p>
    <w:p w:rsidR="00013966" w:rsidRPr="009F073B" w:rsidRDefault="00013966" w:rsidP="009F073B">
      <w:pPr>
        <w:pStyle w:val="LLPonsi"/>
        <w:rPr>
          <w:i/>
          <w:lang w:val="sv-SE"/>
        </w:rPr>
      </w:pPr>
      <w:r w:rsidRPr="009F073B">
        <w:rPr>
          <w:i/>
          <w:lang w:val="sv-SE"/>
        </w:rPr>
        <w:t>Kläm</w:t>
      </w:r>
    </w:p>
    <w:p w:rsidR="004A648F" w:rsidRPr="00940745" w:rsidRDefault="00734204" w:rsidP="00370114">
      <w:pPr>
        <w:pStyle w:val="LLNormaali"/>
        <w:rPr>
          <w:lang w:val="sv-SE"/>
        </w:rPr>
      </w:pPr>
      <w:r w:rsidRPr="00734204">
        <w:rPr>
          <w:rFonts w:eastAsia="Times New Roman"/>
          <w:szCs w:val="24"/>
          <w:lang w:val="sv-SE" w:eastAsia="fi-FI"/>
        </w:rPr>
        <w:t>Med stöd av vad som anförts ovan föreläggs riksdagen följande lagförslag:</w:t>
      </w:r>
    </w:p>
    <w:p w:rsidR="00393B53" w:rsidRPr="00940745" w:rsidRDefault="00EA5FF7" w:rsidP="00370114">
      <w:pPr>
        <w:pStyle w:val="LLNormaali"/>
        <w:rPr>
          <w:lang w:val="sv-SE"/>
        </w:rPr>
      </w:pPr>
      <w:r w:rsidRPr="00940745">
        <w:rPr>
          <w:lang w:val="sv-SE"/>
        </w:rPr>
        <w:br w:type="page"/>
      </w:r>
    </w:p>
    <w:bookmarkStart w:id="27" w:name="_Toc102649701" w:displacedByCustomXml="next"/>
    <w:sdt>
      <w:sdtPr>
        <w:alias w:val="Lakiehdotukset"/>
        <w:tag w:val="CCLakiehdotukset"/>
        <w:id w:val="963541248"/>
        <w:placeholder>
          <w:docPart w:val="76F6DF5BDA9545BB8ACA191D9CACC31F"/>
        </w:placeholder>
        <w15:color w:val="00FFFF"/>
      </w:sdtPr>
      <w:sdtEndPr/>
      <w:sdtContent>
        <w:p w:rsidR="00646DE3" w:rsidRPr="00C05DCD" w:rsidRDefault="00C05DCD" w:rsidP="00646DE3">
          <w:pPr>
            <w:pStyle w:val="LLLakiehdotukset"/>
            <w:rPr>
              <w:lang w:val="sv-SE"/>
            </w:rPr>
          </w:pPr>
          <w:r w:rsidRPr="00C87E40">
            <w:rPr>
              <w:lang w:val="sv-SE"/>
            </w:rPr>
            <w:t>L</w:t>
          </w:r>
          <w:r w:rsidR="00E73258" w:rsidRPr="00C87E40">
            <w:rPr>
              <w:lang w:val="sv-SE"/>
            </w:rPr>
            <w:t>agförslag</w:t>
          </w:r>
        </w:p>
      </w:sdtContent>
    </w:sdt>
    <w:bookmarkEnd w:id="27" w:displacedByCustomXml="prev"/>
    <w:sdt>
      <w:sdtPr>
        <w:alias w:val="Lakiehdotus"/>
        <w:tag w:val="CCLakiehdotus"/>
        <w:id w:val="1695884352"/>
        <w:placeholder>
          <w:docPart w:val="ED491619D3E646FDB0D05A98077F572E"/>
        </w:placeholder>
        <w15:color w:val="00FFFF"/>
      </w:sdtPr>
      <w:sdtEndPr/>
      <w:sdtContent>
        <w:p w:rsidR="009167E1" w:rsidRPr="00C05DCD" w:rsidRDefault="009167E1" w:rsidP="00C13B96">
          <w:pPr>
            <w:pStyle w:val="LLNormaali"/>
            <w:rPr>
              <w:lang w:val="sv-SE"/>
            </w:rPr>
          </w:pPr>
        </w:p>
        <w:p w:rsidR="009167E1" w:rsidRPr="00F55843" w:rsidRDefault="00F55843" w:rsidP="009732F5">
          <w:pPr>
            <w:pStyle w:val="LLLaki"/>
            <w:rPr>
              <w:lang w:val="sv-SE"/>
            </w:rPr>
          </w:pPr>
          <w:r w:rsidRPr="00F55843">
            <w:rPr>
              <w:lang w:val="sv-SE"/>
            </w:rPr>
            <w:t>Lag</w:t>
          </w:r>
        </w:p>
        <w:p w:rsidR="009167E1" w:rsidRPr="00F55843" w:rsidRDefault="00F55843" w:rsidP="0082264A">
          <w:pPr>
            <w:pStyle w:val="LLSaadoksenNimi"/>
            <w:rPr>
              <w:lang w:val="sv-SE"/>
            </w:rPr>
          </w:pPr>
          <w:bookmarkStart w:id="28" w:name="_Toc102649702"/>
          <w:r w:rsidRPr="00F55843">
            <w:rPr>
              <w:lang w:val="sv-SE"/>
            </w:rPr>
            <w:t>om ändring av</w:t>
          </w:r>
          <w:r w:rsidR="004B72D2" w:rsidRPr="004B72D2">
            <w:rPr>
              <w:lang w:val="sv-SE"/>
            </w:rPr>
            <w:t xml:space="preserve"> lagen om tjänster inom elektronisk kommunikation</w:t>
          </w:r>
          <w:bookmarkEnd w:id="28"/>
          <w:r w:rsidR="004B72D2" w:rsidRPr="004B72D2">
            <w:rPr>
              <w:lang w:val="sv-SE"/>
            </w:rPr>
            <w:t xml:space="preserve">  </w:t>
          </w:r>
        </w:p>
        <w:p w:rsidR="0000497A" w:rsidRPr="007B2B39" w:rsidRDefault="0000497A" w:rsidP="00426EAE">
          <w:pPr>
            <w:pStyle w:val="LLNormaali"/>
            <w:rPr>
              <w:lang w:val="sv-SE"/>
            </w:rPr>
          </w:pPr>
        </w:p>
        <w:p w:rsidR="004B72D2" w:rsidRPr="004B72D2" w:rsidRDefault="004B72D2" w:rsidP="004B72D2">
          <w:pPr>
            <w:pStyle w:val="LLNormaali"/>
            <w:jc w:val="center"/>
            <w:rPr>
              <w:rFonts w:eastAsia="Times New Roman"/>
              <w:szCs w:val="24"/>
              <w:lang w:val="sv-SE" w:eastAsia="fi-FI"/>
            </w:rPr>
          </w:pPr>
        </w:p>
        <w:p w:rsidR="004B72D2" w:rsidRPr="004B72D2" w:rsidRDefault="004B72D2" w:rsidP="004B72D2">
          <w:pPr>
            <w:pStyle w:val="LLNormaali"/>
            <w:jc w:val="center"/>
            <w:rPr>
              <w:rFonts w:eastAsia="Times New Roman"/>
              <w:szCs w:val="24"/>
              <w:lang w:val="sv-SE" w:eastAsia="fi-FI"/>
            </w:rPr>
          </w:pPr>
          <w:r w:rsidRPr="004B72D2">
            <w:rPr>
              <w:rFonts w:eastAsia="Times New Roman"/>
              <w:szCs w:val="24"/>
              <w:lang w:val="sv-SE" w:eastAsia="fi-FI"/>
            </w:rPr>
            <w:t>3 §</w:t>
          </w:r>
        </w:p>
        <w:p w:rsidR="004B72D2" w:rsidRPr="004B72D2" w:rsidRDefault="004B72D2" w:rsidP="00310852">
          <w:pPr>
            <w:pStyle w:val="LLPykalanOtsikko"/>
            <w:rPr>
              <w:lang w:val="sv-SE"/>
            </w:rPr>
          </w:pPr>
          <w:r w:rsidRPr="004B72D2">
            <w:rPr>
              <w:lang w:val="sv-SE"/>
            </w:rPr>
            <w:t>Definitioner</w:t>
          </w:r>
        </w:p>
        <w:p w:rsidR="00932433" w:rsidRDefault="00932433" w:rsidP="00310852">
          <w:pPr>
            <w:pStyle w:val="LLMomentinJohdantoKappale"/>
            <w:rPr>
              <w:lang w:val="sv-SE"/>
            </w:rPr>
          </w:pPr>
          <w:r w:rsidRPr="00932433">
            <w:rPr>
              <w:lang w:val="sv-SE"/>
            </w:rPr>
            <w:t>I denna lag avses med</w:t>
          </w:r>
        </w:p>
        <w:p w:rsidR="004B72D2" w:rsidRPr="004B72D2" w:rsidRDefault="004B72D2" w:rsidP="00310852">
          <w:pPr>
            <w:pStyle w:val="LLMomentinJohdantoKappale"/>
            <w:rPr>
              <w:lang w:val="sv-SE"/>
            </w:rPr>
          </w:pPr>
          <w:proofErr w:type="gramStart"/>
          <w:r w:rsidRPr="004B72D2">
            <w:rPr>
              <w:lang w:val="sv-SE"/>
            </w:rPr>
            <w:t>—</w:t>
          </w:r>
          <w:proofErr w:type="gramEnd"/>
          <w:r w:rsidRPr="004B72D2">
            <w:rPr>
              <w:lang w:val="sv-SE"/>
            </w:rPr>
            <w:t xml:space="preserve"> — — — — — — — — — — — — — — — — — — — — — — — — — — —</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310852">
          <w:pPr>
            <w:pStyle w:val="LLMomentinJohdantoKappale"/>
            <w:rPr>
              <w:lang w:val="sv-SE"/>
            </w:rPr>
          </w:pPr>
          <w:r w:rsidRPr="004B72D2">
            <w:rPr>
              <w:lang w:val="sv-SE"/>
            </w:rPr>
            <w:t xml:space="preserve">4 a) </w:t>
          </w:r>
          <w:r w:rsidRPr="00310852">
            <w:rPr>
              <w:i/>
              <w:lang w:val="sv-SE"/>
            </w:rPr>
            <w:t>offentlig reglerad satellittjänst</w:t>
          </w:r>
          <w:r w:rsidRPr="004B72D2">
            <w:rPr>
              <w:lang w:val="sv-SE"/>
            </w:rPr>
            <w:t xml:space="preserve"> en tjänst som är skyddad på hög informationssäkerhetsnivå och som utförs med ett satellitpositioneringssystem i enlighet med Galileoprogrammet,</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310852">
          <w:pPr>
            <w:pStyle w:val="LLMomentinJohdantoKappale"/>
            <w:rPr>
              <w:lang w:val="sv-SE"/>
            </w:rPr>
          </w:pPr>
          <w:r w:rsidRPr="004B72D2">
            <w:rPr>
              <w:lang w:val="sv-SE"/>
            </w:rPr>
            <w:t xml:space="preserve">4 b) </w:t>
          </w:r>
          <w:r w:rsidRPr="00310852">
            <w:rPr>
              <w:i/>
              <w:lang w:val="sv-SE"/>
            </w:rPr>
            <w:t>tillhandahållare av offentlig reglerad satellittjänst</w:t>
          </w:r>
          <w:r w:rsidRPr="004B72D2">
            <w:rPr>
              <w:lang w:val="sv-SE"/>
            </w:rPr>
            <w:t xml:space="preserve"> det av finska staten helägda aktiebolaget </w:t>
          </w:r>
          <w:proofErr w:type="spellStart"/>
          <w:r w:rsidRPr="004B72D2">
            <w:rPr>
              <w:lang w:val="sv-SE"/>
            </w:rPr>
            <w:t>Suomen</w:t>
          </w:r>
          <w:proofErr w:type="spellEnd"/>
          <w:r w:rsidRPr="004B72D2">
            <w:rPr>
              <w:lang w:val="sv-SE"/>
            </w:rPr>
            <w:t xml:space="preserve"> </w:t>
          </w:r>
          <w:proofErr w:type="spellStart"/>
          <w:r w:rsidRPr="004B72D2">
            <w:rPr>
              <w:lang w:val="sv-SE"/>
            </w:rPr>
            <w:t>Erillisverkot</w:t>
          </w:r>
          <w:proofErr w:type="spellEnd"/>
          <w:r w:rsidRPr="004B72D2">
            <w:rPr>
              <w:lang w:val="sv-SE"/>
            </w:rPr>
            <w:t xml:space="preserve"> Oy när bolaget tillhandahåller offentlig reglerad satellittjänst i enlighet med denna lag eller författningar som utfärdats med stöd av den eller ett avtal som bolaget ingått med Transport- och kommunikationsverket,</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310852">
          <w:pPr>
            <w:pStyle w:val="LLMomentinJohdantoKappale"/>
            <w:rPr>
              <w:lang w:val="sv-SE"/>
            </w:rPr>
          </w:pPr>
          <w:r w:rsidRPr="004B72D2">
            <w:rPr>
              <w:lang w:val="sv-SE"/>
            </w:rPr>
            <w:t xml:space="preserve">4 c) </w:t>
          </w:r>
          <w:r w:rsidRPr="00310852">
            <w:rPr>
              <w:i/>
              <w:lang w:val="sv-SE"/>
            </w:rPr>
            <w:t>användare av offentlig reglerad satellittjänst</w:t>
          </w:r>
          <w:r w:rsidRPr="004B72D2">
            <w:rPr>
              <w:lang w:val="sv-SE"/>
            </w:rPr>
            <w:t xml:space="preserve"> statliga eller kommunala myndigheter, inrättningar, affärsverk eller andra offentliga samfund eller juridiska personer i Finland som av Transport</w:t>
          </w:r>
          <w:bookmarkStart w:id="29" w:name="_GoBack"/>
          <w:r w:rsidRPr="004B72D2">
            <w:rPr>
              <w:lang w:val="sv-SE"/>
            </w:rPr>
            <w:t>-</w:t>
          </w:r>
          <w:bookmarkEnd w:id="29"/>
          <w:r w:rsidRPr="004B72D2">
            <w:rPr>
              <w:lang w:val="sv-SE"/>
            </w:rPr>
            <w:t xml:space="preserve"> och kommunikationsverket beviljats tillstånd att använda offentlig reglerad satellittjänst,</w:t>
          </w:r>
        </w:p>
        <w:p w:rsidR="004B72D2" w:rsidRPr="004B72D2" w:rsidRDefault="004B72D2" w:rsidP="00310852">
          <w:pPr>
            <w:pStyle w:val="LLMomentinJohdantoKappale"/>
            <w:rPr>
              <w:lang w:val="sv-SE"/>
            </w:rPr>
          </w:pPr>
        </w:p>
        <w:p w:rsidR="004B72D2" w:rsidRDefault="004B72D2" w:rsidP="00310852">
          <w:pPr>
            <w:pStyle w:val="LLMomentinJohdantoKappale"/>
            <w:rPr>
              <w:lang w:val="sv-SE"/>
            </w:rPr>
          </w:pPr>
          <w:r w:rsidRPr="004B72D2">
            <w:rPr>
              <w:lang w:val="sv-SE"/>
            </w:rPr>
            <w:t xml:space="preserve">4 d) </w:t>
          </w:r>
          <w:r w:rsidRPr="00310852">
            <w:rPr>
              <w:i/>
              <w:lang w:val="sv-SE"/>
            </w:rPr>
            <w:t>tillverkare av teknik för offentlig reglerad satellittjänst ett</w:t>
          </w:r>
          <w:r w:rsidRPr="004B72D2">
            <w:rPr>
              <w:lang w:val="sv-SE"/>
            </w:rPr>
            <w:t xml:space="preserve"> företag inom Finlands territorium som har tillstånd av styrelsen för säkerhetsackreditering av europeiska satellitpositioneringssystem att tillverka den teknik som behövs för utförande av offentlig reglerad satellittjänst,</w:t>
          </w:r>
        </w:p>
        <w:p w:rsidR="00310852" w:rsidRPr="00310852" w:rsidRDefault="00310852" w:rsidP="00310852">
          <w:pPr>
            <w:pStyle w:val="LLMomentinKohta"/>
            <w:rPr>
              <w:lang w:val="sv-SE"/>
            </w:rPr>
          </w:pPr>
        </w:p>
        <w:p w:rsidR="004B72D2" w:rsidRPr="004B72D2" w:rsidRDefault="004B72D2" w:rsidP="00310852">
          <w:pPr>
            <w:pStyle w:val="LLMomentinJohdantoKappale"/>
            <w:rPr>
              <w:lang w:val="sv-SE"/>
            </w:rPr>
          </w:pPr>
          <w:proofErr w:type="gramStart"/>
          <w:r w:rsidRPr="004B72D2">
            <w:rPr>
              <w:lang w:val="sv-SE"/>
            </w:rPr>
            <w:t>—</w:t>
          </w:r>
          <w:proofErr w:type="gramEnd"/>
          <w:r w:rsidRPr="004B72D2">
            <w:rPr>
              <w:lang w:val="sv-SE"/>
            </w:rPr>
            <w:t xml:space="preserve"> — — — — — — — — — — — — — — — — — — — — — — — — — — —</w:t>
          </w:r>
        </w:p>
        <w:p w:rsidR="004B72D2" w:rsidRPr="004B72D2" w:rsidRDefault="004B72D2" w:rsidP="004B72D2">
          <w:pPr>
            <w:pStyle w:val="LLNormaali"/>
            <w:jc w:val="center"/>
            <w:rPr>
              <w:rFonts w:eastAsia="Times New Roman"/>
              <w:szCs w:val="24"/>
              <w:lang w:val="sv-SE" w:eastAsia="fi-FI"/>
            </w:rPr>
          </w:pPr>
        </w:p>
        <w:p w:rsidR="00310852" w:rsidRPr="00310852" w:rsidRDefault="004B72D2" w:rsidP="00310852">
          <w:pPr>
            <w:pStyle w:val="LLNormaali"/>
            <w:jc w:val="center"/>
            <w:rPr>
              <w:rFonts w:eastAsia="Times New Roman"/>
              <w:szCs w:val="24"/>
              <w:lang w:val="sv-SE" w:eastAsia="fi-FI"/>
            </w:rPr>
          </w:pPr>
          <w:r w:rsidRPr="004B72D2">
            <w:rPr>
              <w:rFonts w:eastAsia="Times New Roman"/>
              <w:szCs w:val="24"/>
              <w:lang w:val="sv-SE" w:eastAsia="fi-FI"/>
            </w:rPr>
            <w:t>271 a §</w:t>
          </w:r>
        </w:p>
        <w:p w:rsidR="00310852" w:rsidRPr="00310852" w:rsidRDefault="004B72D2" w:rsidP="00310852">
          <w:pPr>
            <w:pStyle w:val="LLPykalanOtsikko"/>
            <w:rPr>
              <w:lang w:val="sv-SE"/>
            </w:rPr>
          </w:pPr>
          <w:r w:rsidRPr="004B72D2">
            <w:rPr>
              <w:lang w:val="sv-SE"/>
            </w:rPr>
            <w:t>Ansvarigmyndighet för offentlig reglerad satellittjänst</w:t>
          </w:r>
        </w:p>
        <w:p w:rsidR="004B72D2" w:rsidRPr="004B72D2" w:rsidRDefault="004B72D2" w:rsidP="00310852">
          <w:pPr>
            <w:pStyle w:val="LLMomentinJohdantoKappale"/>
            <w:rPr>
              <w:lang w:val="sv-SE"/>
            </w:rPr>
          </w:pPr>
          <w:r w:rsidRPr="004B72D2">
            <w:rPr>
              <w:lang w:val="sv-SE"/>
            </w:rPr>
            <w:t>Transport- och kommunikationsverket ska vara ansvarig myndighet för den offentliga reglerade satellittjänsten och svarar för den övergripande organiseringen i enlighet med Europaparlamentets och rådets beslut nr 1104/2011/EU och kommissionens delegerade beslut C(2015)6123. Detta inbegriper uppgifter som att ingå avtal om tillhandahållande av utveckling, tillverkning och användning av mottagare och säkerhetsmoduler för offentlig reglerad satellittjänst, att upprätthålla kontakten med säkerhetsövervakningscentrumet för Galileo och att för förvaltningen av de behöriga användargrupperna indela dem tekniskt.</w:t>
          </w:r>
        </w:p>
        <w:p w:rsidR="004B72D2" w:rsidRPr="004B72D2" w:rsidRDefault="004B72D2" w:rsidP="00310852">
          <w:pPr>
            <w:pStyle w:val="LLMomentinJohdantoKappale"/>
            <w:rPr>
              <w:lang w:val="sv-SE"/>
            </w:rPr>
          </w:pPr>
          <w:r w:rsidRPr="004B72D2">
            <w:rPr>
              <w:lang w:val="sv-SE"/>
            </w:rPr>
            <w:t xml:space="preserve">Transport- och kommunikationsverket har rätt att ta ut ersättning för användningen av offentlig reglerad satellittjänst. Bestämmelser om avgiftens storlek finns i lagen om grunderna för avgifter till staten. </w:t>
          </w:r>
        </w:p>
        <w:p w:rsidR="004B72D2" w:rsidRPr="004B72D2" w:rsidRDefault="004B72D2" w:rsidP="00310852">
          <w:pPr>
            <w:pStyle w:val="LLMomentinJohdantoKappale"/>
            <w:rPr>
              <w:lang w:val="sv-SE"/>
            </w:rPr>
          </w:pPr>
          <w:r w:rsidRPr="004B72D2">
            <w:rPr>
              <w:lang w:val="sv-SE"/>
            </w:rPr>
            <w:lastRenderedPageBreak/>
            <w:t>Transport- och kommunikationsverket får meddela närmare föreskrifter om tillhandahållandet och användningen av offentlig reglerad satellittjänst och om relevant hantering av åtkomsträttigheter, krypteringsnycklar och säkerhetsklassificerad information, om tekniska krav och krav på säkerhet, beredskap och kontinuitet, om utrustning och utrustningsutrymmen och om informationssystem som stöder produktionen av service.</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4B72D2">
          <w:pPr>
            <w:pStyle w:val="LLNormaali"/>
            <w:jc w:val="center"/>
            <w:rPr>
              <w:rFonts w:eastAsia="Times New Roman"/>
              <w:szCs w:val="24"/>
              <w:lang w:val="sv-SE" w:eastAsia="fi-FI"/>
            </w:rPr>
          </w:pPr>
        </w:p>
        <w:p w:rsidR="00310852" w:rsidRPr="004B72D2" w:rsidRDefault="004B72D2" w:rsidP="00310852">
          <w:pPr>
            <w:pStyle w:val="LLNormaali"/>
            <w:jc w:val="center"/>
            <w:rPr>
              <w:rFonts w:eastAsia="Times New Roman"/>
              <w:szCs w:val="24"/>
              <w:lang w:val="sv-SE" w:eastAsia="fi-FI"/>
            </w:rPr>
          </w:pPr>
          <w:r w:rsidRPr="004B72D2">
            <w:rPr>
              <w:rFonts w:eastAsia="Times New Roman"/>
              <w:szCs w:val="24"/>
              <w:lang w:val="sv-SE" w:eastAsia="fi-FI"/>
            </w:rPr>
            <w:t>271 b §</w:t>
          </w:r>
        </w:p>
        <w:p w:rsidR="00310852" w:rsidRPr="004B72D2" w:rsidRDefault="004B72D2" w:rsidP="00310852">
          <w:pPr>
            <w:pStyle w:val="LLPykalanOtsikko"/>
            <w:rPr>
              <w:lang w:val="sv-SE"/>
            </w:rPr>
          </w:pPr>
          <w:r w:rsidRPr="004B72D2">
            <w:rPr>
              <w:lang w:val="sv-SE"/>
            </w:rPr>
            <w:t>Tillhandahållande av offentlig reglerad satellittjänst</w:t>
          </w:r>
        </w:p>
        <w:p w:rsidR="004B72D2" w:rsidRPr="004B72D2" w:rsidRDefault="004B72D2" w:rsidP="00310852">
          <w:pPr>
            <w:pStyle w:val="LLMomentinJohdantoKappale"/>
            <w:rPr>
              <w:lang w:val="sv-SE"/>
            </w:rPr>
          </w:pPr>
          <w:proofErr w:type="spellStart"/>
          <w:r w:rsidRPr="004B72D2">
            <w:rPr>
              <w:lang w:val="sv-SE"/>
            </w:rPr>
            <w:t>Suomen</w:t>
          </w:r>
          <w:proofErr w:type="spellEnd"/>
          <w:r w:rsidRPr="004B72D2">
            <w:rPr>
              <w:lang w:val="sv-SE"/>
            </w:rPr>
            <w:t xml:space="preserve"> </w:t>
          </w:r>
          <w:proofErr w:type="spellStart"/>
          <w:r w:rsidRPr="004B72D2">
            <w:rPr>
              <w:lang w:val="sv-SE"/>
            </w:rPr>
            <w:t>Erillisverkot</w:t>
          </w:r>
          <w:proofErr w:type="spellEnd"/>
          <w:r w:rsidRPr="004B72D2">
            <w:rPr>
              <w:lang w:val="sv-SE"/>
            </w:rPr>
            <w:t xml:space="preserve"> Oy svarar för de uppgifter som ankommer på en tillhandahållare av offentlig reglerad satellittjänst</w:t>
          </w:r>
          <w:r w:rsidR="00310852">
            <w:rPr>
              <w:lang w:val="sv-SE"/>
            </w:rPr>
            <w:t xml:space="preserve"> </w:t>
          </w:r>
          <w:r w:rsidRPr="004B72D2">
            <w:rPr>
              <w:lang w:val="sv-SE"/>
            </w:rPr>
            <w:t>(</w:t>
          </w:r>
          <w:r w:rsidRPr="00310852">
            <w:rPr>
              <w:i/>
              <w:lang w:val="sv-SE"/>
            </w:rPr>
            <w:t>tillhandahållare av offentlig reglerad satellittjänst</w:t>
          </w:r>
          <w:r w:rsidRPr="004B72D2">
            <w:rPr>
              <w:lang w:val="sv-SE"/>
            </w:rPr>
            <w:t xml:space="preserve">). </w:t>
          </w:r>
        </w:p>
        <w:p w:rsidR="004B72D2" w:rsidRPr="004B72D2" w:rsidRDefault="004B72D2" w:rsidP="00310852">
          <w:pPr>
            <w:pStyle w:val="LLMomentinJohdantoKappale"/>
            <w:rPr>
              <w:lang w:val="sv-SE"/>
            </w:rPr>
          </w:pPr>
          <w:r w:rsidRPr="004B72D2">
            <w:rPr>
              <w:lang w:val="sv-SE"/>
            </w:rPr>
            <w:t xml:space="preserve">En tillhandahållare av offentlig reglerad satellittjänst ska </w:t>
          </w:r>
        </w:p>
        <w:p w:rsidR="004B72D2" w:rsidRPr="004B72D2" w:rsidRDefault="004B72D2" w:rsidP="00310852">
          <w:pPr>
            <w:pStyle w:val="LLMomentinJohdantoKappale"/>
            <w:rPr>
              <w:lang w:val="sv-SE"/>
            </w:rPr>
          </w:pPr>
          <w:r w:rsidRPr="004B72D2">
            <w:rPr>
              <w:lang w:val="sv-SE"/>
            </w:rPr>
            <w:t>1) tillhandahålla, svara för och utveckla nationella infrastrukturtjänster för offentlig reglerad satellittjänst i enlighet med Transport- och kommunikationsverkets anvisningar,</w:t>
          </w:r>
        </w:p>
        <w:p w:rsidR="004B72D2" w:rsidRPr="004B72D2" w:rsidRDefault="004B72D2" w:rsidP="00310852">
          <w:pPr>
            <w:pStyle w:val="LLMomentinJohdantoKappale"/>
            <w:rPr>
              <w:lang w:val="sv-SE"/>
            </w:rPr>
          </w:pPr>
          <w:r w:rsidRPr="004B72D2">
            <w:rPr>
              <w:lang w:val="sv-SE"/>
            </w:rPr>
            <w:t>2) ansvara för hanteringen av åtkomsträttigheter till den offentliga reglerade satellittjänsten och för distributionen av krypteringsnycklar och säkerhetsklassificerad information till systemadministratören, och</w:t>
          </w:r>
        </w:p>
        <w:p w:rsidR="004B72D2" w:rsidRPr="004B72D2" w:rsidRDefault="004B72D2" w:rsidP="00310852">
          <w:pPr>
            <w:pStyle w:val="LLMomentinJohdantoKappale"/>
            <w:rPr>
              <w:lang w:val="sv-SE"/>
            </w:rPr>
          </w:pPr>
          <w:r w:rsidRPr="004B72D2">
            <w:rPr>
              <w:lang w:val="sv-SE"/>
            </w:rPr>
            <w:t>3) sköta den beredskapsplanering som rör den offentliga reglerade satellittjänsten och genom förberedelser och andra åtgärder se till att driften fortsätter så störningsfritt som möjligt vid undantagsförhållanden och vid störningar under normala förhållanden.</w:t>
          </w:r>
        </w:p>
        <w:p w:rsidR="004B72D2" w:rsidRPr="004B72D2" w:rsidRDefault="004B72D2" w:rsidP="00310852">
          <w:pPr>
            <w:pStyle w:val="LLMomentinJohdantoKappale"/>
            <w:rPr>
              <w:lang w:val="sv-SE"/>
            </w:rPr>
          </w:pPr>
          <w:r w:rsidRPr="004B72D2">
            <w:rPr>
              <w:lang w:val="sv-SE"/>
            </w:rPr>
            <w:t>Av en person som är anställd hos tillhandahållaren av offentlig reglerad satellittjänst och som utför uppgifter som har samband med offentlig reglerad satellittjänst krävs oförvitlighet och tillförlitlighet på det sätt som uppgiften förutsätter, vilket vid behov kan utredas under de förutsättningar som anges i säkerhetsutredningslagen (726/2014). Bestämmelserna om straffrättsligt tjänsteansvar tillämpas på personer anställda hos tillhandahållaren av offentlig reglerad satellittjänst när dessa utför uppgifter enligt denna lag. Bestämmelser om skadeståndsansvar finns i skadeståndslagen (412/1974).</w:t>
          </w:r>
        </w:p>
        <w:p w:rsidR="004B72D2" w:rsidRPr="004B72D2" w:rsidRDefault="004B72D2" w:rsidP="00310852">
          <w:pPr>
            <w:pStyle w:val="LLMomentinJohdantoKappale"/>
            <w:rPr>
              <w:lang w:val="sv-SE"/>
            </w:rPr>
          </w:pPr>
          <w:r w:rsidRPr="004B72D2">
            <w:rPr>
              <w:lang w:val="sv-SE"/>
            </w:rPr>
            <w:t>Tillhandahållaren av offentlig reglerad satellittjänst ska i funktionellt och ekonomiskt hänseende avskilja den verksamhet som avses i denna paragraf från sin övriga verksamhet och verksamhet som har samband med den.</w:t>
          </w:r>
        </w:p>
        <w:p w:rsidR="004B72D2" w:rsidRPr="004B72D2" w:rsidRDefault="004B72D2" w:rsidP="00310852">
          <w:pPr>
            <w:pStyle w:val="LLMomentinJohdantoKappale"/>
            <w:rPr>
              <w:lang w:val="sv-SE"/>
            </w:rPr>
          </w:pPr>
          <w:r w:rsidRPr="004B72D2">
            <w:rPr>
              <w:lang w:val="sv-SE"/>
            </w:rPr>
            <w:t xml:space="preserve">Avsikten är inte att tillhandahållaren av offentlig reglerad satellittjänst ska vara vinstbringande i företagsekonomiskt hänseende i fråga om skötseln av de uppgifter som tillhandahållaren har enligt denna lag. </w:t>
          </w:r>
        </w:p>
        <w:p w:rsidR="004B72D2" w:rsidRPr="004B72D2" w:rsidRDefault="004B72D2" w:rsidP="00310852">
          <w:pPr>
            <w:pStyle w:val="LLMomentinJohdantoKappale"/>
            <w:rPr>
              <w:lang w:val="sv-SE"/>
            </w:rPr>
          </w:pPr>
          <w:r w:rsidRPr="004B72D2">
            <w:rPr>
              <w:lang w:val="sv-SE"/>
            </w:rPr>
            <w:t>Försvarsmakten kan tillhandahålla, svara för och utveckla infrastrukturtjänster för den offentliga reglerade satellittjänsten för totalförsvarets behov och ansvara för åtkomsträttigheter, krypteringsnycklar och säkerhetsklassificerad information i anslutning till dem samt för distribution av åtkomsträttigheter och krypteringsnycklar till Försvarsmaktens systemadministratör i enlighet med Transport- och kommunikationsverkets anvisningar.</w:t>
          </w:r>
        </w:p>
        <w:p w:rsidR="004B72D2" w:rsidRPr="004B72D2" w:rsidRDefault="004B72D2" w:rsidP="00310852">
          <w:pPr>
            <w:pStyle w:val="LLMomentinJohdantoKappale"/>
            <w:rPr>
              <w:lang w:val="sv-SE"/>
            </w:rPr>
          </w:pPr>
          <w:r w:rsidRPr="004B72D2">
            <w:rPr>
              <w:lang w:val="sv-SE"/>
            </w:rPr>
            <w:t>De utrustningsutrymmen och den utrustning samt de telekommunikationsförbindelser som direkt hör till den nationella serviceproduktionen i anslutning till den offentliga reglerade satellittjänsten ska finnas i Finland. De tjänster som har samband med den offentliga reglerade satellittjänsten och den förvaltning och tillsyn som gäller den ska produceras i Finland.</w:t>
          </w:r>
        </w:p>
        <w:p w:rsidR="004B72D2" w:rsidRPr="004B72D2" w:rsidRDefault="004B72D2" w:rsidP="00310852">
          <w:pPr>
            <w:pStyle w:val="LLMomentinJohdantoKappale"/>
            <w:rPr>
              <w:lang w:val="sv-SE"/>
            </w:rPr>
          </w:pPr>
          <w:r w:rsidRPr="004B72D2">
            <w:rPr>
              <w:lang w:val="sv-SE"/>
            </w:rPr>
            <w:t>Närmare bestämmelser om upprätthållande av den nationella produktionen av offentlig reglerad satellittjänst och om fastställande av produktionens primära, brådskande och prioriterade natur får utfärdas genom förordning av statsrådet.</w:t>
          </w:r>
        </w:p>
        <w:p w:rsidR="004B72D2" w:rsidRPr="004B72D2" w:rsidRDefault="004B72D2" w:rsidP="004B72D2">
          <w:pPr>
            <w:pStyle w:val="LLNormaali"/>
            <w:jc w:val="center"/>
            <w:rPr>
              <w:rFonts w:eastAsia="Times New Roman"/>
              <w:szCs w:val="24"/>
              <w:lang w:val="sv-SE" w:eastAsia="fi-FI"/>
            </w:rPr>
          </w:pPr>
        </w:p>
        <w:p w:rsidR="00310852" w:rsidRPr="004B72D2" w:rsidRDefault="004B72D2" w:rsidP="00310852">
          <w:pPr>
            <w:pStyle w:val="LLNormaali"/>
            <w:jc w:val="center"/>
            <w:rPr>
              <w:rFonts w:eastAsia="Times New Roman"/>
              <w:szCs w:val="24"/>
              <w:lang w:val="sv-SE" w:eastAsia="fi-FI"/>
            </w:rPr>
          </w:pPr>
          <w:r w:rsidRPr="004B72D2">
            <w:rPr>
              <w:rFonts w:eastAsia="Times New Roman"/>
              <w:szCs w:val="24"/>
              <w:lang w:val="sv-SE" w:eastAsia="fi-FI"/>
            </w:rPr>
            <w:t>271 c §</w:t>
          </w:r>
        </w:p>
        <w:p w:rsidR="004B72D2" w:rsidRDefault="004B72D2" w:rsidP="00310852">
          <w:pPr>
            <w:pStyle w:val="LLPykalanOtsikko"/>
            <w:rPr>
              <w:lang w:val="sv-SE"/>
            </w:rPr>
          </w:pPr>
          <w:r w:rsidRPr="004B72D2">
            <w:rPr>
              <w:lang w:val="sv-SE"/>
            </w:rPr>
            <w:t>Underleverantörer av offentlig reglerad satellittjänst</w:t>
          </w:r>
        </w:p>
        <w:p w:rsidR="00310852" w:rsidRPr="004B72D2" w:rsidRDefault="00310852" w:rsidP="004B72D2">
          <w:pPr>
            <w:pStyle w:val="LLNormaali"/>
            <w:jc w:val="center"/>
            <w:rPr>
              <w:rFonts w:eastAsia="Times New Roman"/>
              <w:szCs w:val="24"/>
              <w:lang w:val="sv-SE" w:eastAsia="fi-FI"/>
            </w:rPr>
          </w:pPr>
        </w:p>
        <w:p w:rsidR="004B72D2" w:rsidRPr="004B72D2" w:rsidRDefault="004B72D2" w:rsidP="00310852">
          <w:pPr>
            <w:pStyle w:val="LLMomentinJohdantoKappale"/>
            <w:rPr>
              <w:lang w:val="sv-SE"/>
            </w:rPr>
          </w:pPr>
          <w:r w:rsidRPr="004B72D2">
            <w:rPr>
              <w:lang w:val="sv-SE"/>
            </w:rPr>
            <w:t xml:space="preserve">En tillhandahållare av offentlig reglerad satellittjänst får anlita underleverantörer i den utsträckning och på de villkor som Transport- och kommunikationsverket beslutar med stöd av denna lag. Underleverantörer ska anlitas endast i nödvändig utsträckning. Också i övrigt får underleverantörer anlitas endast i sådan utsträckning att den som tillhandahåller tjänsten fortfarande administrerar, styr och övervakar produktionen av tjänsten och att den offentliga reglerade satellittjänstens säkerhet och tjänsteproduktionens kontinuitet inte äventyras. </w:t>
          </w:r>
        </w:p>
        <w:p w:rsidR="004B72D2" w:rsidRPr="004B72D2" w:rsidRDefault="004B72D2" w:rsidP="00310852">
          <w:pPr>
            <w:pStyle w:val="LLMomentinJohdantoKappale"/>
            <w:rPr>
              <w:lang w:val="sv-SE"/>
            </w:rPr>
          </w:pPr>
          <w:r w:rsidRPr="004B72D2">
            <w:rPr>
              <w:lang w:val="sv-SE"/>
            </w:rPr>
            <w:t>Tillhandahållaren av offentlig reglerad satellittjänst ska innan ett upphandlingsförfarande inleds begära utlåtande av Transport- och kommunikationsverket. I det uppdragsavtal som ingås med underleverantören ska förfarandena för hantering av störningar under normala förhållanden och för förfarandena under undantagsförhållanden säkerställas separat.</w:t>
          </w:r>
        </w:p>
        <w:p w:rsidR="004B72D2" w:rsidRPr="004B72D2" w:rsidRDefault="004B72D2" w:rsidP="00310852">
          <w:pPr>
            <w:pStyle w:val="LLMomentinJohdantoKappale"/>
            <w:rPr>
              <w:lang w:val="sv-SE"/>
            </w:rPr>
          </w:pPr>
          <w:r w:rsidRPr="004B72D2">
            <w:rPr>
              <w:lang w:val="sv-SE"/>
            </w:rPr>
            <w:t>Tillhandahållaren av offentlig reglerad satellittjänst svarar för underleverantörens arbete som för sitt eget arbete. Underleverantören ska ha tillräckliga finansiella och ekonomiska förutsättningar samt tillräcklig teknisk prestationsförmåga och tillräckliga yrkesmässiga kvalifikationer för att fullgöra kontraktet om underentreprenad. Underleverantören ska uppfylla de krav på säkerhet, aktionsberedskap, annan beredskap och kontinuitet som gäller offentlig reglerad satellittjänst.</w:t>
          </w:r>
        </w:p>
        <w:p w:rsidR="004B72D2" w:rsidRPr="004B72D2" w:rsidRDefault="004B72D2" w:rsidP="00310852">
          <w:pPr>
            <w:pStyle w:val="LLMomentinJohdantoKappale"/>
            <w:rPr>
              <w:lang w:val="sv-SE"/>
            </w:rPr>
          </w:pPr>
          <w:r w:rsidRPr="004B72D2">
            <w:rPr>
              <w:lang w:val="sv-SE"/>
            </w:rPr>
            <w:t>Av en person som är anställd hos underleverantören och som utför uppgifter som har samband med offentlig reglerad satellittjänst krävs oförvitlighet och tillförlitlighet på det sätt som uppgiften förutsätter, vilket vid behov kan utredas under de förutsättningar som anges i säkerhetsutredningslagen (726/2014). På personer som är anställda hos underleverantören tillämpas bestämmelserna om straffrättsligt tjänsteansvar när dessa utför uppgifter enligt denna lag. Bestämmelser om skadeståndsansvar finns i skadeståndslagen.</w:t>
          </w:r>
        </w:p>
        <w:p w:rsidR="004B72D2" w:rsidRPr="004B72D2" w:rsidRDefault="004B72D2" w:rsidP="00310852">
          <w:pPr>
            <w:pStyle w:val="LLMomentinJohdantoKappale"/>
            <w:rPr>
              <w:lang w:val="sv-SE"/>
            </w:rPr>
          </w:pPr>
          <w:r w:rsidRPr="004B72D2">
            <w:rPr>
              <w:lang w:val="sv-SE"/>
            </w:rPr>
            <w:t>Transport- och kommunikationsverket kan meddela närmare föreskrifter om de förutsättningar som gäller tillhandahållaren av offentlig reglerad satellittjänst vid användning av underentreprenad och anlitande av underleverantörer.</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4B72D2">
          <w:pPr>
            <w:pStyle w:val="LLNormaali"/>
            <w:jc w:val="center"/>
            <w:rPr>
              <w:rFonts w:eastAsia="Times New Roman"/>
              <w:szCs w:val="24"/>
              <w:lang w:val="sv-SE" w:eastAsia="fi-FI"/>
            </w:rPr>
          </w:pPr>
        </w:p>
        <w:p w:rsidR="00310852" w:rsidRPr="004B72D2" w:rsidRDefault="004B72D2" w:rsidP="00310852">
          <w:pPr>
            <w:pStyle w:val="LLNormaali"/>
            <w:jc w:val="center"/>
            <w:rPr>
              <w:rFonts w:eastAsia="Times New Roman"/>
              <w:szCs w:val="24"/>
              <w:lang w:val="sv-SE" w:eastAsia="fi-FI"/>
            </w:rPr>
          </w:pPr>
          <w:r w:rsidRPr="004B72D2">
            <w:rPr>
              <w:rFonts w:eastAsia="Times New Roman"/>
              <w:szCs w:val="24"/>
              <w:lang w:val="sv-SE" w:eastAsia="fi-FI"/>
            </w:rPr>
            <w:t>271 d §</w:t>
          </w:r>
        </w:p>
        <w:p w:rsidR="00310852" w:rsidRPr="004B72D2" w:rsidRDefault="004B72D2" w:rsidP="00310852">
          <w:pPr>
            <w:pStyle w:val="LLPykalanOtsikko"/>
            <w:rPr>
              <w:lang w:val="sv-SE"/>
            </w:rPr>
          </w:pPr>
          <w:r w:rsidRPr="004B72D2">
            <w:rPr>
              <w:lang w:val="sv-SE"/>
            </w:rPr>
            <w:t>Användning av offentlig reglerad satellittjänst</w:t>
          </w:r>
        </w:p>
        <w:p w:rsidR="004B72D2" w:rsidRPr="004B72D2" w:rsidRDefault="004B72D2" w:rsidP="00310852">
          <w:pPr>
            <w:pStyle w:val="LLMomentinJohdantoKappale"/>
            <w:rPr>
              <w:lang w:val="sv-SE"/>
            </w:rPr>
          </w:pPr>
          <w:r w:rsidRPr="004B72D2">
            <w:rPr>
              <w:lang w:val="sv-SE"/>
            </w:rPr>
            <w:t>Offentlig reglerad satellittjänst kan tillhandahållas de användargrupper som anges i 250 § samt andra aktörer som är viktiga för ett fungerande samhälle. Beslut om användargrupperna fattas av kommunikationsministeriet.</w:t>
          </w:r>
        </w:p>
        <w:p w:rsidR="004B72D2" w:rsidRPr="004B72D2" w:rsidRDefault="004B72D2" w:rsidP="00310852">
          <w:pPr>
            <w:pStyle w:val="LLMomentinJohdantoKappale"/>
            <w:rPr>
              <w:lang w:val="sv-SE"/>
            </w:rPr>
          </w:pPr>
          <w:r w:rsidRPr="004B72D2">
            <w:rPr>
              <w:lang w:val="sv-SE"/>
            </w:rPr>
            <w:t>Kommunikationsministeriet beviljar på ansökan rätt att använda offentlig reglerad satellittjänst för sådana statliga eller kommunala myndigheter, inrättningar, affärsverk eller andra offentligrättsliga eller juridiska personer i Finland (</w:t>
          </w:r>
          <w:r w:rsidRPr="00310852">
            <w:rPr>
              <w:i/>
              <w:lang w:val="sv-SE"/>
            </w:rPr>
            <w:t>användare av offentlig reglerad satellittjänst</w:t>
          </w:r>
          <w:r w:rsidRPr="004B72D2">
            <w:rPr>
              <w:lang w:val="sv-SE"/>
            </w:rPr>
            <w:t xml:space="preserve">) </w:t>
          </w:r>
        </w:p>
        <w:p w:rsidR="004B72D2" w:rsidRPr="004B72D2" w:rsidRDefault="004B72D2" w:rsidP="00310852">
          <w:pPr>
            <w:pStyle w:val="LLMomentinJohdantoKappale"/>
            <w:rPr>
              <w:lang w:val="sv-SE"/>
            </w:rPr>
          </w:pPr>
          <w:r w:rsidRPr="004B72D2">
            <w:rPr>
              <w:lang w:val="sv-SE"/>
            </w:rPr>
            <w:t xml:space="preserve">1) som ingår i en av kommunikationsministeriet fastställd användargrupp och </w:t>
          </w:r>
        </w:p>
        <w:p w:rsidR="004B72D2" w:rsidRPr="004B72D2" w:rsidRDefault="004B72D2" w:rsidP="00310852">
          <w:pPr>
            <w:pStyle w:val="LLMomentinJohdantoKappale"/>
            <w:rPr>
              <w:lang w:val="sv-SE"/>
            </w:rPr>
          </w:pPr>
          <w:r w:rsidRPr="004B72D2">
            <w:rPr>
              <w:lang w:val="sv-SE"/>
            </w:rPr>
            <w:t>2) som, om sökanden inte är en myndighet, har lagt fram en tillräcklig utredning över behovet av att använda den offentliga reglerade satellittjänsten och en utredning över sina möjligheter att använda tjänsten på ett säkert och behörigt sätt samt varför och hur sökanden anser att användningen av den offentliga reglerade satellittjänsten gynnar Finlands övergripande säkerhet (</w:t>
          </w:r>
          <w:proofErr w:type="spellStart"/>
          <w:r w:rsidRPr="00310852">
            <w:rPr>
              <w:i/>
              <w:lang w:val="sv-SE"/>
            </w:rPr>
            <w:t>användningsfallsbeskrivning</w:t>
          </w:r>
          <w:proofErr w:type="spellEnd"/>
          <w:r w:rsidRPr="004B72D2">
            <w:rPr>
              <w:lang w:val="sv-SE"/>
            </w:rPr>
            <w:t>).</w:t>
          </w:r>
        </w:p>
        <w:p w:rsidR="004B72D2" w:rsidRPr="004B72D2" w:rsidRDefault="004B72D2" w:rsidP="00310852">
          <w:pPr>
            <w:pStyle w:val="LLMomentinJohdantoKappale"/>
            <w:rPr>
              <w:lang w:val="sv-SE"/>
            </w:rPr>
          </w:pPr>
          <w:r w:rsidRPr="004B72D2">
            <w:rPr>
              <w:lang w:val="sv-SE"/>
            </w:rPr>
            <w:t>Transport- och kommunikationsverket kan under behandlingen av ansökan begära utlåtande av andra myndigheter.</w:t>
          </w:r>
        </w:p>
        <w:p w:rsidR="004B72D2" w:rsidRPr="004B72D2" w:rsidRDefault="004B72D2" w:rsidP="00310852">
          <w:pPr>
            <w:pStyle w:val="LLMomentinJohdantoKappale"/>
            <w:rPr>
              <w:lang w:val="sv-SE"/>
            </w:rPr>
          </w:pPr>
          <w:r w:rsidRPr="004B72D2">
            <w:rPr>
              <w:lang w:val="sv-SE"/>
            </w:rPr>
            <w:t xml:space="preserve">Transport- och kommunikationsverket kan i sitt beslut ange sådana gränser och villkor som behövs för en säker användning av tjänsten. Beslutet kan utfärdas för viss tid, om det finns särskilda skäl till det. Transport- och kommunikationsverket får inte bevilja en sökande behörighet att använda offentlig reglerad satellittjänst om det finns grundad anledning att misstänka att sökanden bryter mot bestämmelser eller föreskrifter som gäller tjänsten eller mot villkoren för behörighet att använda tjänsten eller uppenbart äventyrar den nationella säkerheten. </w:t>
          </w:r>
        </w:p>
        <w:p w:rsidR="004B72D2" w:rsidRPr="004B72D2" w:rsidRDefault="004B72D2" w:rsidP="00310852">
          <w:pPr>
            <w:pStyle w:val="LLMomentinJohdantoKappale"/>
            <w:rPr>
              <w:lang w:val="sv-SE"/>
            </w:rPr>
          </w:pPr>
          <w:r w:rsidRPr="004B72D2">
            <w:rPr>
              <w:lang w:val="sv-SE"/>
            </w:rPr>
            <w:lastRenderedPageBreak/>
            <w:t>Om en användare av offentlig reglerad satellittjänst inte iakttar Transport- och kommunikationsverkets beslut, anvisningar eller andra regler som gäller offentlig reglerad satellittjänst i sin verksamhet eller i andra situationer som är nödvändiga för landets försvar eller för den offentliga reglerade satellittjänstens säkerhet, kan Transport- och kommunikationsverket efter att ha hört användaren av offentlig reglerad satellittjänst tillfälligt eller slutgiltigt återkalla behörigheten att använda tjänsten. Transport- och kommunikationsverket får i sitt beslut om att återkalla behörigheten att använda tjänsten bestämma att beslutet ska iakttas trots ändringssökande, om inte den myndighet där ändring sökts bestämmer något annat.</w:t>
          </w:r>
        </w:p>
        <w:p w:rsidR="004B72D2" w:rsidRPr="004B72D2" w:rsidRDefault="004B72D2" w:rsidP="00310852">
          <w:pPr>
            <w:pStyle w:val="LLMomentinJohdantoKappale"/>
            <w:rPr>
              <w:lang w:val="sv-SE"/>
            </w:rPr>
          </w:pPr>
          <w:r w:rsidRPr="004B72D2">
            <w:rPr>
              <w:lang w:val="sv-SE"/>
            </w:rPr>
            <w:t xml:space="preserve">Transport- och kommunikationsverket kan meddela närmare föreskrifter om ansökningsförfarandet, innehållet i ansökan och om andra omständigheter som hänför sig till en ansökan som gäller offentlig reglerad satellittjänst. </w:t>
          </w:r>
        </w:p>
        <w:p w:rsidR="004B72D2" w:rsidRPr="004B72D2" w:rsidRDefault="004B72D2" w:rsidP="004B72D2">
          <w:pPr>
            <w:pStyle w:val="LLNormaali"/>
            <w:jc w:val="center"/>
            <w:rPr>
              <w:rFonts w:eastAsia="Times New Roman"/>
              <w:szCs w:val="24"/>
              <w:lang w:val="sv-SE" w:eastAsia="fi-FI"/>
            </w:rPr>
          </w:pPr>
        </w:p>
        <w:p w:rsidR="00310852" w:rsidRPr="004B72D2" w:rsidRDefault="004B72D2" w:rsidP="00310852">
          <w:pPr>
            <w:pStyle w:val="LLNormaali"/>
            <w:jc w:val="center"/>
            <w:rPr>
              <w:rFonts w:eastAsia="Times New Roman"/>
              <w:szCs w:val="24"/>
              <w:lang w:val="sv-SE" w:eastAsia="fi-FI"/>
            </w:rPr>
          </w:pPr>
          <w:r w:rsidRPr="004B72D2">
            <w:rPr>
              <w:rFonts w:eastAsia="Times New Roman"/>
              <w:szCs w:val="24"/>
              <w:lang w:val="sv-SE" w:eastAsia="fi-FI"/>
            </w:rPr>
            <w:t>271 e §</w:t>
          </w:r>
        </w:p>
        <w:p w:rsidR="00310852" w:rsidRPr="004B72D2" w:rsidRDefault="004B72D2" w:rsidP="00310852">
          <w:pPr>
            <w:pStyle w:val="LLPykalanOtsikko"/>
            <w:rPr>
              <w:lang w:val="sv-SE"/>
            </w:rPr>
          </w:pPr>
          <w:r w:rsidRPr="004B72D2">
            <w:rPr>
              <w:lang w:val="sv-SE"/>
            </w:rPr>
            <w:t>Tillverkning av teknik för offentlig reglerad satellittjänst</w:t>
          </w:r>
        </w:p>
        <w:p w:rsidR="004B72D2" w:rsidRPr="004B72D2" w:rsidRDefault="004B72D2" w:rsidP="00310852">
          <w:pPr>
            <w:pStyle w:val="LLMomentinJohdantoKappale"/>
            <w:rPr>
              <w:lang w:val="sv-SE"/>
            </w:rPr>
          </w:pPr>
          <w:r w:rsidRPr="004B72D2">
            <w:rPr>
              <w:lang w:val="sv-SE"/>
            </w:rPr>
            <w:t xml:space="preserve">Ett företag i Finland får tillverka teknik för utförande av offentlig reglerad satellittjänst (tillverkare av satellittjänstteknik för offentlig reglerad satellittjänst) med tillstånd av styrelsen för säkerhetsackreditering av europeiska satellitpositioneringssystem. Tillståndet ska sökas skriftligen via Transport- och kommunikationsverket. </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4B72D2">
          <w:pPr>
            <w:pStyle w:val="LLNormaali"/>
            <w:jc w:val="center"/>
            <w:rPr>
              <w:rFonts w:eastAsia="Times New Roman"/>
              <w:szCs w:val="24"/>
              <w:lang w:val="sv-SE" w:eastAsia="fi-FI"/>
            </w:rPr>
          </w:pPr>
          <w:r w:rsidRPr="004B72D2">
            <w:rPr>
              <w:rFonts w:eastAsia="Times New Roman"/>
              <w:szCs w:val="24"/>
              <w:lang w:val="sv-SE" w:eastAsia="fi-FI"/>
            </w:rPr>
            <w:t>271 f §</w:t>
          </w:r>
        </w:p>
        <w:p w:rsidR="004B72D2" w:rsidRPr="004B72D2" w:rsidRDefault="004B72D2" w:rsidP="00310852">
          <w:pPr>
            <w:pStyle w:val="LLPykalanOtsikko"/>
            <w:rPr>
              <w:lang w:val="sv-SE"/>
            </w:rPr>
          </w:pPr>
          <w:r w:rsidRPr="004B72D2">
            <w:rPr>
              <w:lang w:val="sv-SE"/>
            </w:rPr>
            <w:t>Exportkontroll av offentlig reglerad satellittjänst</w:t>
          </w:r>
        </w:p>
        <w:p w:rsidR="004B72D2" w:rsidRPr="004B72D2" w:rsidRDefault="004B72D2" w:rsidP="00310852">
          <w:pPr>
            <w:pStyle w:val="LLMomentinJohdantoKappale"/>
            <w:rPr>
              <w:lang w:val="sv-SE"/>
            </w:rPr>
          </w:pPr>
          <w:r w:rsidRPr="004B72D2">
            <w:rPr>
              <w:lang w:val="sv-SE"/>
            </w:rPr>
            <w:t>Export utanför Europeiska unionen av teknik för användning, utveckling och tillverkning av en offentlig reglerad satellittjänst är tillåten endast till länder som på behörigt sätt bemyndigats att använda satellittjänsten med stöd av ett avtal med Europeiska unionen, om inte något annat föreskrivs någon annanstans och på de villkor som anges i Europeiska kommissionen delegerade beslut C(2015)6123. För exporten krävs det tillstånd från utrikesministeriet. Utrikesministeriet ska höra Transport- och kommunikationsverket innan tillståndet beviljas.</w:t>
          </w:r>
        </w:p>
        <w:p w:rsidR="004B72D2" w:rsidRPr="004B72D2" w:rsidRDefault="004B72D2" w:rsidP="00310852">
          <w:pPr>
            <w:pStyle w:val="LLMomentinJohdantoKappale"/>
            <w:rPr>
              <w:lang w:val="sv-SE"/>
            </w:rPr>
          </w:pPr>
          <w:r w:rsidRPr="004B72D2">
            <w:rPr>
              <w:lang w:val="sv-SE"/>
            </w:rPr>
            <w:t xml:space="preserve">Teknik för användning, utveckling och tillverkning som gäller offentlig reglerad satellittjänst får överföras till medlemsstater i Europeiska unionen och till länder utanför Europeiska unionen endast på de villkor som anges i 1 mom. För överföringen krävs det tillstånd från utrikesministeriet. Utrikesministeriet ska höra Transport- och kommunikationsverket innan tillståndet beviljas. </w:t>
          </w:r>
        </w:p>
        <w:p w:rsidR="004B72D2" w:rsidRPr="004B72D2" w:rsidRDefault="004B72D2" w:rsidP="00310852">
          <w:pPr>
            <w:pStyle w:val="LLMomentinJohdantoKappale"/>
            <w:rPr>
              <w:lang w:val="sv-SE"/>
            </w:rPr>
          </w:pPr>
          <w:r w:rsidRPr="004B72D2">
            <w:rPr>
              <w:lang w:val="sv-SE"/>
            </w:rPr>
            <w:t>Export, förmedling och överföring av teknik som avses i 1 och 3 mom. övervakas av Tullen.</w:t>
          </w:r>
        </w:p>
        <w:p w:rsidR="004B72D2" w:rsidRPr="004B72D2" w:rsidRDefault="004B72D2" w:rsidP="00310852">
          <w:pPr>
            <w:pStyle w:val="LLMomentinJohdantoKappale"/>
            <w:rPr>
              <w:lang w:val="sv-SE"/>
            </w:rPr>
          </w:pPr>
          <w:r w:rsidRPr="004B72D2">
            <w:rPr>
              <w:lang w:val="sv-SE"/>
            </w:rPr>
            <w:t>Vid export ska varuhavaren visa upp det i 1 mom. avsedda tillståndet av utrikesministeriet när varorna uppges för Tullen. Också de varor som omfattas av tillståndet ska då kunna inspekteras av Tullen. Vid överföringar inom Europeiska unionen ska varuhavaren för Tullen visa upp det i 3 mom. avsedda tillståndet av utrikesministeriet när varorna lämnar landet vid en gränstullanstalt. Också de varor som omfattas av tillståndet ska då kunna inspekteras av Tullen.</w:t>
          </w:r>
        </w:p>
        <w:p w:rsidR="004B72D2" w:rsidRPr="004B72D2" w:rsidRDefault="004B72D2" w:rsidP="004B72D2">
          <w:pPr>
            <w:pStyle w:val="LLNormaali"/>
            <w:jc w:val="center"/>
            <w:rPr>
              <w:rFonts w:eastAsia="Times New Roman"/>
              <w:szCs w:val="24"/>
              <w:lang w:val="sv-SE" w:eastAsia="fi-FI"/>
            </w:rPr>
          </w:pPr>
        </w:p>
        <w:p w:rsidR="00647661" w:rsidRDefault="00647661" w:rsidP="00647661">
          <w:pPr>
            <w:pStyle w:val="LLNormaali"/>
            <w:jc w:val="center"/>
            <w:rPr>
              <w:rFonts w:eastAsia="Times New Roman"/>
              <w:szCs w:val="24"/>
              <w:lang w:val="sv-SE" w:eastAsia="fi-FI"/>
            </w:rPr>
          </w:pPr>
          <w:r w:rsidRPr="004B72D2">
            <w:rPr>
              <w:rFonts w:eastAsia="Times New Roman"/>
              <w:szCs w:val="24"/>
              <w:lang w:val="sv-SE" w:eastAsia="fi-FI"/>
            </w:rPr>
            <w:t>289 §</w:t>
          </w:r>
        </w:p>
        <w:p w:rsidR="00647661" w:rsidRPr="004B72D2" w:rsidRDefault="00647661" w:rsidP="00647661">
          <w:pPr>
            <w:pStyle w:val="LLPykalanOtsikko"/>
            <w:rPr>
              <w:lang w:val="sv-SE"/>
            </w:rPr>
          </w:pPr>
          <w:r w:rsidRPr="004B72D2">
            <w:rPr>
              <w:lang w:val="sv-SE"/>
            </w:rPr>
            <w:t>Informationssamhällsavgift</w:t>
          </w:r>
        </w:p>
        <w:p w:rsidR="00932433" w:rsidRPr="00932433" w:rsidRDefault="00932433" w:rsidP="00932433">
          <w:pPr>
            <w:pStyle w:val="LLMomentinJohdantoKappale"/>
            <w:rPr>
              <w:lang w:val="sv-SE"/>
            </w:rPr>
          </w:pPr>
          <w:r w:rsidRPr="00932433">
            <w:rPr>
              <w:lang w:val="sv-SE"/>
            </w:rPr>
            <w:t>Ett teleföretag som bedriver anmälningspliktig eller koncessionspliktig verksamhet enligt denna lag är skyldigt att till Transport- och kommunikationsverket betala en årlig informationssamhällsavgift.</w:t>
          </w:r>
        </w:p>
        <w:p w:rsidR="00932433" w:rsidRPr="00932433" w:rsidRDefault="00932433" w:rsidP="00932433">
          <w:pPr>
            <w:pStyle w:val="LLMomentinJohdantoKappale"/>
            <w:rPr>
              <w:lang w:val="sv-SE"/>
            </w:rPr>
          </w:pPr>
        </w:p>
        <w:p w:rsidR="00932433" w:rsidRDefault="00932433" w:rsidP="00932433">
          <w:pPr>
            <w:pStyle w:val="LLMomentinJohdantoKappale"/>
            <w:rPr>
              <w:lang w:val="sv-SE"/>
            </w:rPr>
          </w:pPr>
          <w:r w:rsidRPr="00932433">
            <w:rPr>
              <w:lang w:val="sv-SE"/>
            </w:rPr>
            <w:lastRenderedPageBreak/>
            <w:t>Informationssamhällsavgift tas inte ut för omsättning som hänför sig till televisions- eller radioverksamhet eller till vidaresändning av televisionsprogram eller radioprogram.</w:t>
          </w:r>
        </w:p>
        <w:p w:rsidR="00647661" w:rsidRDefault="00647661" w:rsidP="00932433">
          <w:pPr>
            <w:pStyle w:val="LLMomentinJohdantoKappale"/>
          </w:pPr>
          <w:r w:rsidRPr="00932433">
            <w:rPr>
              <w:lang w:val="sv-SE"/>
            </w:rPr>
            <w:t xml:space="preserve">Informationssamhällsavgiften utgör 0,135 procent av omsättningen för den televerksamhet som teleföretaget bedrivit i Finland under räkenskapsperioden före bestämmandet av avgiften. </w:t>
          </w:r>
          <w:proofErr w:type="spellStart"/>
          <w:r w:rsidRPr="00647661">
            <w:t>Om</w:t>
          </w:r>
          <w:proofErr w:type="spellEnd"/>
          <w:r w:rsidRPr="00647661">
            <w:t xml:space="preserve"> </w:t>
          </w:r>
          <w:proofErr w:type="spellStart"/>
          <w:r w:rsidRPr="00647661">
            <w:t>omsättningen</w:t>
          </w:r>
          <w:proofErr w:type="spellEnd"/>
          <w:r w:rsidRPr="00647661">
            <w:t xml:space="preserve"> </w:t>
          </w:r>
          <w:proofErr w:type="spellStart"/>
          <w:r w:rsidRPr="00647661">
            <w:t>dock</w:t>
          </w:r>
          <w:proofErr w:type="spellEnd"/>
          <w:r w:rsidRPr="00647661">
            <w:t xml:space="preserve"> </w:t>
          </w:r>
          <w:proofErr w:type="spellStart"/>
          <w:r w:rsidRPr="00647661">
            <w:t>understiger</w:t>
          </w:r>
          <w:proofErr w:type="spellEnd"/>
          <w:r w:rsidRPr="00647661">
            <w:t xml:space="preserve"> 300 000 euro, </w:t>
          </w:r>
          <w:proofErr w:type="spellStart"/>
          <w:r w:rsidRPr="00647661">
            <w:t>föreligger</w:t>
          </w:r>
          <w:proofErr w:type="spellEnd"/>
          <w:r w:rsidRPr="00647661">
            <w:t xml:space="preserve"> </w:t>
          </w:r>
          <w:proofErr w:type="spellStart"/>
          <w:r w:rsidRPr="00647661">
            <w:t>ingen</w:t>
          </w:r>
          <w:proofErr w:type="spellEnd"/>
          <w:r w:rsidRPr="00647661">
            <w:t xml:space="preserve"> </w:t>
          </w:r>
          <w:proofErr w:type="spellStart"/>
          <w:r w:rsidRPr="00647661">
            <w:t>betalningsskyldighet</w:t>
          </w:r>
          <w:proofErr w:type="spellEnd"/>
          <w:r w:rsidRPr="00647661">
            <w:t xml:space="preserve">. </w:t>
          </w:r>
        </w:p>
        <w:p w:rsidR="00932433" w:rsidRPr="00932433" w:rsidRDefault="00932433" w:rsidP="00932433">
          <w:pPr>
            <w:pStyle w:val="LLMomentinKohta"/>
            <w:rPr>
              <w:lang w:val="sv-SE"/>
            </w:rPr>
          </w:pPr>
          <w:r w:rsidRPr="00932433">
            <w:rPr>
              <w:lang w:val="sv-SE"/>
            </w:rPr>
            <w:t>Bestämmelser om hur informationssamhällsavgiften ska bestämmas under det första verksamhetsåret finns i 292 §.</w:t>
          </w:r>
        </w:p>
        <w:p w:rsidR="004B72D2" w:rsidRPr="004B72D2" w:rsidRDefault="00932433" w:rsidP="00932433">
          <w:pPr>
            <w:pStyle w:val="LLMomentinJohdantoKappale"/>
            <w:rPr>
              <w:lang w:val="sv-SE"/>
            </w:rPr>
          </w:pPr>
          <w:r w:rsidRPr="00932433">
            <w:rPr>
              <w:lang w:val="sv-SE"/>
            </w:rPr>
            <w:t>Informationssamhällsavgiften återbetalas inte ens i det fall att teleföretaget upphör med sin verksamhet under avgiftsperioden.</w:t>
          </w:r>
        </w:p>
        <w:p w:rsidR="004B72D2" w:rsidRPr="004B72D2" w:rsidRDefault="004B72D2" w:rsidP="004B72D2">
          <w:pPr>
            <w:pStyle w:val="LLNormaali"/>
            <w:jc w:val="center"/>
            <w:rPr>
              <w:rFonts w:eastAsia="Times New Roman"/>
              <w:szCs w:val="24"/>
              <w:lang w:val="sv-SE" w:eastAsia="fi-FI"/>
            </w:rPr>
          </w:pPr>
          <w:r w:rsidRPr="004B72D2">
            <w:rPr>
              <w:rFonts w:eastAsia="Times New Roman"/>
              <w:szCs w:val="24"/>
              <w:lang w:val="sv-SE" w:eastAsia="fi-FI"/>
            </w:rPr>
            <w:t>325 §</w:t>
          </w:r>
        </w:p>
        <w:p w:rsidR="004B72D2" w:rsidRPr="004B72D2" w:rsidRDefault="004B72D2" w:rsidP="00310852">
          <w:pPr>
            <w:pStyle w:val="LLPykalanOtsikko"/>
            <w:rPr>
              <w:lang w:val="sv-SE"/>
            </w:rPr>
          </w:pPr>
          <w:r w:rsidRPr="004B72D2">
            <w:rPr>
              <w:lang w:val="sv-SE"/>
            </w:rPr>
            <w:t>Transport- och kommunikationsverkets inspektionsrätt</w:t>
          </w:r>
        </w:p>
        <w:p w:rsidR="004B72D2" w:rsidRPr="004B72D2" w:rsidRDefault="004B72D2" w:rsidP="00647661">
          <w:pPr>
            <w:pStyle w:val="LLMomentinJohdantoKappale"/>
            <w:rPr>
              <w:lang w:val="sv-SE"/>
            </w:rPr>
          </w:pPr>
          <w:r w:rsidRPr="004B72D2">
            <w:rPr>
              <w:lang w:val="sv-SE"/>
            </w:rPr>
            <w:t xml:space="preserve">Transport- och kommunikationsverket har rätt att i teleföretag utföra tekniska säkerhets- och funktionsinspektioner samt ekonomiska inspektioner för att övervaka efterlevnaden av skyldigheterna enligt denna lag samt enligt bestämmelser som utfärdats och föreskrifter och beslut som meddelats med stöd av den. Transport- och kommunikationsverket har rätt att utföra inspektioner hos tillhandahållaren av offentlig reglerad satellittjänst, Försvarsmakten, användare av offentlig reglerad satellittjänst, och tillverkare av teknik för offentlig reglerad satellittjänst för att kontrollera efterlevnaden av det av styrelsen för säkerhetsackreditering beviljade tillståndet och av bestämmelserna om offentlig reglerad satellittjänst. </w:t>
          </w:r>
        </w:p>
        <w:p w:rsidR="004B72D2" w:rsidRPr="004B72D2" w:rsidRDefault="00647661" w:rsidP="00647661">
          <w:pPr>
            <w:pStyle w:val="LLMomentinJohdantoKappale"/>
            <w:rPr>
              <w:lang w:val="sv-SE"/>
            </w:rPr>
          </w:pPr>
          <w:r w:rsidRPr="00647661">
            <w:rPr>
              <w:lang w:val="sv-SE"/>
            </w:rPr>
            <w:t xml:space="preserve">Även ett myndighetsnät samt tillhandahållaren av kommunikationstjänsten med anknytning till myndighetskommunikation kan vara föremål för tekniska säkerhets- och funktionsinspektioner. </w:t>
          </w:r>
        </w:p>
        <w:p w:rsidR="004B72D2" w:rsidRPr="004B72D2" w:rsidRDefault="004B72D2" w:rsidP="00647661">
          <w:pPr>
            <w:pStyle w:val="LLMomentinJohdantoKappale"/>
            <w:rPr>
              <w:lang w:val="sv-SE"/>
            </w:rPr>
          </w:pPr>
          <w:r w:rsidRPr="004B72D2">
            <w:rPr>
              <w:lang w:val="sv-SE"/>
            </w:rPr>
            <w:t>Transport- och kommunikationsverket kan låta en oberoende expert utföra tekniska säkerhets- och funktionsinspektioner. På en sådan expert ska bestämmelserna om straffrättsligt tjänsteansvar tillämpas när han eller hon sköter uppgifter enligt denna paragraf. Bestämmelser om skadeståndsansvar finns i skadeståndslagen. Det teleföretag som är föremål för en teknisk säkerhets- och funktionsinspektion som utförs av en oberoende expert svarar för kostnaderna för inspektionen.</w:t>
          </w:r>
        </w:p>
        <w:p w:rsidR="00647661" w:rsidRDefault="00647661" w:rsidP="00647661">
          <w:pPr>
            <w:pStyle w:val="LLMomentinJohdantoKappale"/>
            <w:rPr>
              <w:lang w:val="sv-SE"/>
            </w:rPr>
          </w:pPr>
          <w:r w:rsidRPr="00647661">
            <w:rPr>
              <w:lang w:val="sv-SE"/>
            </w:rPr>
            <w:t>Transport- och kommunikationsverket och den som handlar för verkets räkning har rätt att i samband med tekniska säkerhets- eller funktionsinspektioner eller ekonomiska inspektioner få tillträde till teleföretags utrustningsutrymmen och övriga lokaler samt att, trots vad som föreskrivs om sekretess för uppgifter, för granskning få dokument och information som behövs för tillsynsuppgiften.</w:t>
          </w:r>
        </w:p>
        <w:p w:rsidR="00932433" w:rsidRDefault="004B72D2" w:rsidP="00932433">
          <w:pPr>
            <w:pStyle w:val="LLMomentinJohdantoKappale"/>
            <w:rPr>
              <w:lang w:val="sv-SE"/>
            </w:rPr>
          </w:pPr>
          <w:r w:rsidRPr="004B72D2">
            <w:rPr>
              <w:lang w:val="sv-SE"/>
            </w:rPr>
            <w:t>Transport- och kommunikationsverket och den som handlar för verkets räkning har rätt att i samband med inspektioner av offentlig reglerad satellittjänst få tillträde till lokaler som används av tillhandahållaren av offentlig reglerad satellittjänst, Försvarsmakten, användare av offentlig reglerad satellittjänst och tillverkare av off</w:t>
          </w:r>
          <w:r w:rsidR="00647661">
            <w:rPr>
              <w:lang w:val="sv-SE"/>
            </w:rPr>
            <w:t xml:space="preserve">entlig reglerad satellittjänst </w:t>
          </w:r>
          <w:r w:rsidRPr="004B72D2">
            <w:rPr>
              <w:lang w:val="sv-SE"/>
            </w:rPr>
            <w:t>och, trots vad som föreskrivs om sekretess för uppgifter, för granskning få dokument och information som behövs för tillsynsuppgiften.</w:t>
          </w:r>
        </w:p>
        <w:p w:rsidR="004B72D2" w:rsidRPr="004B72D2" w:rsidRDefault="00932433" w:rsidP="00932433">
          <w:pPr>
            <w:pStyle w:val="LLMomentinJohdantoKappale"/>
            <w:rPr>
              <w:lang w:val="sv-SE"/>
            </w:rPr>
          </w:pPr>
          <w:r w:rsidRPr="00932433">
            <w:rPr>
              <w:lang w:val="sv-SE"/>
            </w:rPr>
            <w:t>Inspektioner får inte utföras i utrymmen som används för boende av permanent natur.</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932433">
          <w:pPr>
            <w:pStyle w:val="LLNormaali"/>
            <w:jc w:val="center"/>
            <w:rPr>
              <w:rFonts w:eastAsia="Times New Roman"/>
              <w:szCs w:val="24"/>
              <w:lang w:val="sv-SE" w:eastAsia="fi-FI"/>
            </w:rPr>
          </w:pPr>
          <w:r w:rsidRPr="004B72D2">
            <w:rPr>
              <w:rFonts w:eastAsia="Times New Roman"/>
              <w:szCs w:val="24"/>
              <w:lang w:val="sv-SE" w:eastAsia="fi-FI"/>
            </w:rPr>
            <w:t>349 a §</w:t>
          </w:r>
        </w:p>
        <w:p w:rsidR="004B72D2" w:rsidRPr="00932433" w:rsidRDefault="004B72D2" w:rsidP="00932433">
          <w:pPr>
            <w:pStyle w:val="LLPykalanOtsikko"/>
            <w:rPr>
              <w:lang w:val="sv-SE"/>
            </w:rPr>
          </w:pPr>
          <w:r w:rsidRPr="00932433">
            <w:rPr>
              <w:lang w:val="sv-SE"/>
            </w:rPr>
            <w:t>Straffbestämmelser som gäller missbruk av offentlig reglerad satellittjänst</w:t>
          </w:r>
        </w:p>
        <w:p w:rsidR="00647661" w:rsidRDefault="004B72D2" w:rsidP="00647661">
          <w:pPr>
            <w:pStyle w:val="LLMomentinJohdantoKappale"/>
            <w:rPr>
              <w:lang w:val="sv-SE"/>
            </w:rPr>
          </w:pPr>
          <w:r w:rsidRPr="004B72D2">
            <w:rPr>
              <w:lang w:val="sv-SE"/>
            </w:rPr>
            <w:t xml:space="preserve">Den som obehörigen använder infrastruktur eller utrustning som har samband med offentlig reglerad satellittjänst ska dömas till dataintrång eller grovt dataintrång. Bestämmelser om straff för dataintrång finns i 38 kap. 8 § i strafflagen och bestämmelser om grovt dataintrång finns i 38 kap. 8 a § i strafflagen. </w:t>
          </w:r>
        </w:p>
        <w:p w:rsidR="004B72D2" w:rsidRPr="004B72D2" w:rsidRDefault="004B72D2" w:rsidP="00647661">
          <w:pPr>
            <w:pStyle w:val="LLMomentinJohdantoKappale"/>
            <w:rPr>
              <w:lang w:val="sv-SE"/>
            </w:rPr>
          </w:pPr>
          <w:r w:rsidRPr="004B72D2">
            <w:rPr>
              <w:lang w:val="sv-SE"/>
            </w:rPr>
            <w:lastRenderedPageBreak/>
            <w:t>Den som obehörigen lämnar ut information till tredje part ska dömas till sekretessbrott eller sekretessförseelse. Bestämmelser om straff för sekretessbrott finns i 38 kap. 1 § i strafflagen. Bestämmelser om straff för sekretessförseelse finns i 38 kap. 2 § i strafflagen.</w:t>
          </w:r>
        </w:p>
        <w:p w:rsidR="004B72D2" w:rsidRPr="004B72D2" w:rsidRDefault="004B72D2" w:rsidP="00647661">
          <w:pPr>
            <w:pStyle w:val="LLMomentinJohdantoKappale"/>
            <w:rPr>
              <w:lang w:val="sv-SE"/>
            </w:rPr>
          </w:pPr>
          <w:r w:rsidRPr="004B72D2">
            <w:rPr>
              <w:lang w:val="sv-SE"/>
            </w:rPr>
            <w:t>Den som förfalskar, förstör eller på ett skadligt sätt hanterar infrastruktur eller utrustning som har samband med offentlig reglerad satellittjänst ska dömas för systemstörning. Bestämmelser om systemstörning finns i 38 kap. 7 a § strafflagen.</w:t>
          </w:r>
        </w:p>
        <w:p w:rsidR="004B72D2" w:rsidRPr="004B72D2" w:rsidRDefault="004B72D2" w:rsidP="00647661">
          <w:pPr>
            <w:pStyle w:val="LLMomentinJohdantoKappale"/>
            <w:rPr>
              <w:lang w:val="sv-SE"/>
            </w:rPr>
          </w:pPr>
          <w:r w:rsidRPr="004B72D2">
            <w:rPr>
              <w:lang w:val="sv-SE"/>
            </w:rPr>
            <w:t>Den som uppsåtligen bryter det skydd som avser en of</w:t>
          </w:r>
          <w:r w:rsidR="00310852">
            <w:rPr>
              <w:lang w:val="sv-SE"/>
            </w:rPr>
            <w:t>fentlig reglerad satellittjänst</w:t>
          </w:r>
          <w:r w:rsidRPr="004B72D2">
            <w:rPr>
              <w:lang w:val="sv-SE"/>
            </w:rPr>
            <w:t xml:space="preserve"> ska dömas för avkodningssystemförseelse eller avkodningssystembrott. Bestämmelser om avkodningssystemsförseelse finns i 347 § i denna lag och bestämmelser om avkodningssystemsbrott i 38 kap. 8 b § i strafflagen.</w:t>
          </w:r>
        </w:p>
        <w:p w:rsidR="004B72D2" w:rsidRPr="004B72D2" w:rsidRDefault="004B72D2" w:rsidP="004B72D2">
          <w:pPr>
            <w:pStyle w:val="LLNormaali"/>
            <w:jc w:val="center"/>
            <w:rPr>
              <w:rFonts w:eastAsia="Times New Roman"/>
              <w:szCs w:val="24"/>
              <w:lang w:val="sv-SE" w:eastAsia="fi-FI"/>
            </w:rPr>
          </w:pPr>
          <w:r w:rsidRPr="004B72D2">
            <w:rPr>
              <w:rFonts w:eastAsia="Times New Roman"/>
              <w:szCs w:val="24"/>
              <w:lang w:val="sv-SE" w:eastAsia="fi-FI"/>
            </w:rPr>
            <w:t> </w:t>
          </w:r>
        </w:p>
        <w:p w:rsidR="004B72D2" w:rsidRPr="004B72D2" w:rsidRDefault="004B72D2" w:rsidP="00647661">
          <w:pPr>
            <w:pStyle w:val="LLLaki"/>
            <w:rPr>
              <w:lang w:val="sv-SE"/>
            </w:rPr>
          </w:pPr>
          <w:r w:rsidRPr="004B72D2">
            <w:rPr>
              <w:lang w:val="sv-SE"/>
            </w:rPr>
            <w:t>Lag</w:t>
          </w:r>
        </w:p>
        <w:p w:rsidR="004B72D2" w:rsidRPr="004B72D2" w:rsidRDefault="004B72D2" w:rsidP="00744FF3">
          <w:pPr>
            <w:pStyle w:val="LLOsanOtsikko"/>
            <w:outlineLvl w:val="2"/>
            <w:rPr>
              <w:lang w:val="sv-SE"/>
            </w:rPr>
          </w:pPr>
          <w:r w:rsidRPr="004B72D2">
            <w:rPr>
              <w:lang w:val="sv-SE"/>
            </w:rPr>
            <w:t xml:space="preserve">om ändring av 2 och 3 § i lagen om </w:t>
          </w:r>
          <w:r w:rsidRPr="00647661">
            <w:t>Transport</w:t>
          </w:r>
          <w:r w:rsidRPr="004B72D2">
            <w:rPr>
              <w:lang w:val="sv-SE"/>
            </w:rPr>
            <w:t xml:space="preserve">- och kommunikationsverket  </w:t>
          </w:r>
        </w:p>
        <w:p w:rsidR="004B72D2" w:rsidRPr="004B72D2" w:rsidRDefault="004B72D2" w:rsidP="004B72D2">
          <w:pPr>
            <w:pStyle w:val="LLNormaali"/>
            <w:jc w:val="center"/>
            <w:rPr>
              <w:rFonts w:eastAsia="Times New Roman"/>
              <w:szCs w:val="24"/>
              <w:lang w:val="sv-SE" w:eastAsia="fi-FI"/>
            </w:rPr>
          </w:pPr>
          <w:r w:rsidRPr="004B72D2">
            <w:rPr>
              <w:rFonts w:eastAsia="Times New Roman"/>
              <w:szCs w:val="24"/>
              <w:lang w:val="sv-SE" w:eastAsia="fi-FI"/>
            </w:rPr>
            <w:t>2 §</w:t>
          </w:r>
        </w:p>
        <w:p w:rsidR="004B72D2" w:rsidRPr="004B72D2" w:rsidRDefault="004B72D2" w:rsidP="00647661">
          <w:pPr>
            <w:pStyle w:val="LLPykalanOtsikko"/>
            <w:rPr>
              <w:lang w:val="sv-SE"/>
            </w:rPr>
          </w:pPr>
          <w:r w:rsidRPr="004B72D2">
            <w:rPr>
              <w:lang w:val="sv-SE"/>
            </w:rPr>
            <w:t>Verkets uppgifter</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647661">
          <w:pPr>
            <w:pStyle w:val="LLMomentinJohdantoKappale"/>
            <w:rPr>
              <w:lang w:val="sv-SE"/>
            </w:rPr>
          </w:pPr>
          <w:r w:rsidRPr="004B72D2">
            <w:rPr>
              <w:lang w:val="sv-SE"/>
            </w:rPr>
            <w:t>Transport- och kommunikationsverket har till uppgift att</w:t>
          </w:r>
        </w:p>
        <w:p w:rsidR="004B72D2" w:rsidRPr="004B72D2" w:rsidRDefault="004B72D2" w:rsidP="00647661">
          <w:pPr>
            <w:pStyle w:val="LLMomentinJohdantoKappale"/>
            <w:rPr>
              <w:lang w:val="sv-SE"/>
            </w:rPr>
          </w:pPr>
        </w:p>
        <w:p w:rsidR="004B72D2" w:rsidRPr="004B72D2" w:rsidRDefault="004B72D2" w:rsidP="00647661">
          <w:pPr>
            <w:pStyle w:val="LLMomentinJohdantoKappale"/>
            <w:rPr>
              <w:lang w:val="sv-SE"/>
            </w:rPr>
          </w:pPr>
          <w:proofErr w:type="gramStart"/>
          <w:r w:rsidRPr="004B72D2">
            <w:rPr>
              <w:lang w:val="sv-SE"/>
            </w:rPr>
            <w:t>—</w:t>
          </w:r>
          <w:proofErr w:type="gramEnd"/>
          <w:r w:rsidRPr="004B72D2">
            <w:rPr>
              <w:lang w:val="sv-SE"/>
            </w:rPr>
            <w:t xml:space="preserve"> — — — — — — — — — — — — — — — — — — — — — — — — — — —</w:t>
          </w:r>
        </w:p>
        <w:p w:rsidR="004B72D2" w:rsidRPr="004B72D2" w:rsidRDefault="004B72D2" w:rsidP="00647661">
          <w:pPr>
            <w:pStyle w:val="LLMomentinJohdantoKappale"/>
            <w:rPr>
              <w:lang w:val="sv-SE"/>
            </w:rPr>
          </w:pPr>
        </w:p>
        <w:p w:rsidR="004B72D2" w:rsidRPr="004B72D2" w:rsidRDefault="004B72D2" w:rsidP="00647661">
          <w:pPr>
            <w:pStyle w:val="LLMomentinJohdantoKappale"/>
            <w:rPr>
              <w:lang w:val="sv-SE"/>
            </w:rPr>
          </w:pPr>
          <w:r w:rsidRPr="004B72D2">
            <w:rPr>
              <w:lang w:val="sv-SE"/>
            </w:rPr>
            <w:t>4) svara för ordnandet av sjökartläggningen och organiseringen av den offentlig reglerade satellittjänsten,</w:t>
          </w:r>
        </w:p>
        <w:p w:rsidR="004B72D2" w:rsidRPr="004B72D2" w:rsidRDefault="004B72D2" w:rsidP="00647661">
          <w:pPr>
            <w:pStyle w:val="LLMomentinJohdantoKappale"/>
            <w:rPr>
              <w:lang w:val="sv-SE"/>
            </w:rPr>
          </w:pPr>
        </w:p>
        <w:p w:rsidR="004B72D2" w:rsidRPr="004B72D2" w:rsidRDefault="004B72D2" w:rsidP="00647661">
          <w:pPr>
            <w:pStyle w:val="LLMomentinJohdantoKappale"/>
            <w:rPr>
              <w:lang w:val="sv-SE"/>
            </w:rPr>
          </w:pPr>
          <w:proofErr w:type="gramStart"/>
          <w:r w:rsidRPr="004B72D2">
            <w:rPr>
              <w:lang w:val="sv-SE"/>
            </w:rPr>
            <w:t>—</w:t>
          </w:r>
          <w:proofErr w:type="gramEnd"/>
          <w:r w:rsidRPr="004B72D2">
            <w:rPr>
              <w:lang w:val="sv-SE"/>
            </w:rPr>
            <w:t xml:space="preserve"> — — — — — — — — — — — — — — — — — — — — — — — — — — —</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4B72D2">
          <w:pPr>
            <w:pStyle w:val="LLNormaali"/>
            <w:jc w:val="center"/>
            <w:rPr>
              <w:rFonts w:eastAsia="Times New Roman"/>
              <w:szCs w:val="24"/>
              <w:lang w:val="sv-SE" w:eastAsia="fi-FI"/>
            </w:rPr>
          </w:pPr>
          <w:r w:rsidRPr="004B72D2">
            <w:rPr>
              <w:rFonts w:eastAsia="Times New Roman"/>
              <w:szCs w:val="24"/>
              <w:lang w:val="sv-SE" w:eastAsia="fi-FI"/>
            </w:rPr>
            <w:t>3 §</w:t>
          </w:r>
        </w:p>
        <w:p w:rsidR="004B72D2" w:rsidRPr="004B72D2" w:rsidRDefault="004B72D2" w:rsidP="00647661">
          <w:pPr>
            <w:pStyle w:val="LLPykalanOtsikko"/>
            <w:rPr>
              <w:lang w:val="sv-SE"/>
            </w:rPr>
          </w:pPr>
          <w:r w:rsidRPr="004B72D2">
            <w:rPr>
              <w:lang w:val="sv-SE"/>
            </w:rPr>
            <w:t>Cybersäkerhetscentrets uppgifter</w:t>
          </w:r>
        </w:p>
        <w:p w:rsidR="004B72D2" w:rsidRPr="004B72D2" w:rsidRDefault="004B72D2" w:rsidP="00647661">
          <w:pPr>
            <w:pStyle w:val="LLMomentinJohdantoKappale"/>
            <w:rPr>
              <w:lang w:val="sv-SE"/>
            </w:rPr>
          </w:pPr>
          <w:proofErr w:type="gramStart"/>
          <w:r w:rsidRPr="004B72D2">
            <w:rPr>
              <w:lang w:val="sv-SE"/>
            </w:rPr>
            <w:t>—</w:t>
          </w:r>
          <w:proofErr w:type="gramEnd"/>
          <w:r w:rsidRPr="004B72D2">
            <w:rPr>
              <w:lang w:val="sv-SE"/>
            </w:rPr>
            <w:t xml:space="preserve"> — — — — — — — — — — — — — — — — — — — — — — — — — — —</w:t>
          </w:r>
        </w:p>
        <w:p w:rsidR="004B72D2" w:rsidRPr="004B72D2" w:rsidRDefault="004B72D2" w:rsidP="00647661">
          <w:pPr>
            <w:pStyle w:val="LLMomentinJohdantoKappale"/>
            <w:rPr>
              <w:lang w:val="sv-SE"/>
            </w:rPr>
          </w:pPr>
          <w:r w:rsidRPr="004B72D2">
            <w:rPr>
              <w:lang w:val="sv-SE"/>
            </w:rPr>
            <w:t xml:space="preserve">Cybersäkerhetscentret svarar för egen räkning för de av Transport- och kommunikationsverkets uppgifter som anges i 2 § 1 mom. 1 och 13 punkten samt för organisering av den offentliga reglerade satellittjänsten. </w:t>
          </w:r>
        </w:p>
        <w:p w:rsidR="004B72D2" w:rsidRPr="004B72D2" w:rsidRDefault="004B72D2" w:rsidP="00647661">
          <w:pPr>
            <w:pStyle w:val="LLMomentinJohdantoKappale"/>
            <w:rPr>
              <w:lang w:val="sv-SE"/>
            </w:rPr>
          </w:pPr>
          <w:proofErr w:type="gramStart"/>
          <w:r w:rsidRPr="004B72D2">
            <w:rPr>
              <w:lang w:val="sv-SE"/>
            </w:rPr>
            <w:t>—</w:t>
          </w:r>
          <w:proofErr w:type="gramEnd"/>
          <w:r w:rsidRPr="004B72D2">
            <w:rPr>
              <w:lang w:val="sv-SE"/>
            </w:rPr>
            <w:t xml:space="preserve"> — — — — — — — — — — — — — — — — — — — — — — — — — — —</w:t>
          </w:r>
        </w:p>
        <w:p w:rsidR="004B72D2" w:rsidRPr="004B72D2" w:rsidRDefault="004B72D2" w:rsidP="004B72D2">
          <w:pPr>
            <w:pStyle w:val="LLNormaali"/>
            <w:jc w:val="center"/>
            <w:rPr>
              <w:rFonts w:eastAsia="Times New Roman"/>
              <w:szCs w:val="24"/>
              <w:lang w:val="sv-SE" w:eastAsia="fi-FI"/>
            </w:rPr>
          </w:pPr>
        </w:p>
        <w:p w:rsidR="004B72D2" w:rsidRPr="004B72D2" w:rsidRDefault="004B72D2" w:rsidP="004B72D2">
          <w:pPr>
            <w:pStyle w:val="LLNormaali"/>
            <w:jc w:val="center"/>
            <w:rPr>
              <w:rFonts w:eastAsia="Times New Roman"/>
              <w:szCs w:val="24"/>
              <w:lang w:val="sv-SE" w:eastAsia="fi-FI"/>
            </w:rPr>
          </w:pPr>
        </w:p>
        <w:p w:rsidR="00BA71BD" w:rsidRPr="007B2B39" w:rsidRDefault="00BA71BD" w:rsidP="00BA71BD">
          <w:pPr>
            <w:pStyle w:val="LLNormaali"/>
            <w:jc w:val="center"/>
            <w:rPr>
              <w:lang w:val="sv-SE"/>
            </w:rPr>
          </w:pPr>
          <w:proofErr w:type="gramStart"/>
          <w:r w:rsidRPr="007B2B39">
            <w:rPr>
              <w:lang w:val="sv-SE"/>
            </w:rPr>
            <w:t>—</w:t>
          </w:r>
          <w:proofErr w:type="gramEnd"/>
          <w:r w:rsidRPr="007B2B39">
            <w:rPr>
              <w:lang w:val="sv-SE"/>
            </w:rPr>
            <w:t>——</w:t>
          </w:r>
        </w:p>
        <w:p w:rsidR="00BA71BD" w:rsidRPr="00F55843" w:rsidRDefault="00F55843" w:rsidP="00BA71BD">
          <w:pPr>
            <w:pStyle w:val="LLVoimaantulokappale"/>
            <w:rPr>
              <w:lang w:val="sv-SE"/>
            </w:rPr>
          </w:pPr>
          <w:r w:rsidRPr="00F55843">
            <w:rPr>
              <w:lang w:val="sv-SE"/>
            </w:rPr>
            <w:t>Denna lag träder i kraft den   20  .</w:t>
          </w:r>
        </w:p>
        <w:p w:rsidR="004A648F" w:rsidRDefault="00BA71BD" w:rsidP="00BA71BD">
          <w:pPr>
            <w:pStyle w:val="LLNormaali"/>
            <w:jc w:val="center"/>
          </w:pPr>
          <w:r>
            <w:t>—————</w:t>
          </w:r>
        </w:p>
        <w:p w:rsidR="00BF4087" w:rsidRDefault="004B4E25" w:rsidP="00BF4087">
          <w:pPr>
            <w:pStyle w:val="LLNormaali"/>
          </w:pPr>
        </w:p>
      </w:sdtContent>
    </w:sdt>
    <w:p w:rsidR="004A648F" w:rsidRDefault="004A648F" w:rsidP="00BC74A6">
      <w:pPr>
        <w:pStyle w:val="LLNormaali"/>
        <w:rPr>
          <w:rFonts w:eastAsia="Times New Roman"/>
          <w:i/>
          <w:szCs w:val="24"/>
          <w:lang w:val="sv-SE" w:eastAsia="fi-FI"/>
        </w:rPr>
      </w:pPr>
    </w:p>
    <w:p w:rsidR="00BC74A6" w:rsidRPr="000D7B48" w:rsidRDefault="00BC74A6" w:rsidP="00BC74A6">
      <w:pPr>
        <w:pStyle w:val="LLNormaali"/>
      </w:pPr>
    </w:p>
    <w:p w:rsidR="00137260" w:rsidRPr="000D7B48" w:rsidRDefault="00137260" w:rsidP="00BC74A6">
      <w:pPr>
        <w:pStyle w:val="LLNormaali"/>
      </w:pPr>
    </w:p>
    <w:sdt>
      <w:sdtPr>
        <w:rPr>
          <w:lang w:val="sv-SE"/>
        </w:rPr>
        <w:alias w:val="Päiväys"/>
        <w:tag w:val="CCPaivays"/>
        <w:id w:val="-857742363"/>
        <w:lock w:val="sdtLocked"/>
        <w:placeholder>
          <w:docPart w:val="76F6DF5BDA9545BB8ACA191D9CACC31F"/>
        </w:placeholder>
        <w15:color w:val="33CCCC"/>
        <w:text/>
      </w:sdtPr>
      <w:sdtEndPr/>
      <w:sdtContent>
        <w:p w:rsidR="005F6E65" w:rsidRPr="00F55843" w:rsidRDefault="002C60F2" w:rsidP="005F6E65">
          <w:pPr>
            <w:pStyle w:val="LLPaivays"/>
            <w:rPr>
              <w:lang w:val="sv-SE"/>
            </w:rPr>
          </w:pPr>
          <w:r w:rsidRPr="002C60F2">
            <w:rPr>
              <w:lang w:val="sv-SE"/>
            </w:rPr>
            <w:t>Helsingfors den    20xx</w:t>
          </w:r>
        </w:p>
      </w:sdtContent>
    </w:sdt>
    <w:p w:rsidR="005F6E65" w:rsidRPr="00F55843" w:rsidRDefault="005F6E65" w:rsidP="00267E16">
      <w:pPr>
        <w:pStyle w:val="LLNormaali"/>
        <w:rPr>
          <w:lang w:val="sv-SE"/>
        </w:rPr>
      </w:pPr>
    </w:p>
    <w:sdt>
      <w:sdtPr>
        <w:alias w:val="Allekirjoittajan asema"/>
        <w:tag w:val="CCAllekirjoitus"/>
        <w:id w:val="1565067034"/>
        <w:lock w:val="sdtLocked"/>
        <w:placeholder>
          <w:docPart w:val="76F6DF5BDA9545BB8ACA191D9CACC31F"/>
        </w:placeholder>
        <w15:color w:val="00FFFF"/>
      </w:sdtPr>
      <w:sdtEndPr/>
      <w:sdtContent>
        <w:p w:rsidR="005F6E65" w:rsidRPr="007B2B39" w:rsidRDefault="00F55843" w:rsidP="005F6E65">
          <w:pPr>
            <w:pStyle w:val="LLAllekirjoitus"/>
            <w:rPr>
              <w:lang w:val="sv-SE"/>
            </w:rPr>
          </w:pPr>
          <w:r w:rsidRPr="007B2B39">
            <w:rPr>
              <w:lang w:val="sv-SE"/>
            </w:rPr>
            <w:t>Statsminister</w:t>
          </w:r>
        </w:p>
      </w:sdtContent>
    </w:sdt>
    <w:p w:rsidR="005F6E65" w:rsidRPr="00F55843" w:rsidRDefault="002C60F2" w:rsidP="00385A06">
      <w:pPr>
        <w:pStyle w:val="LLNimenselvennys"/>
        <w:rPr>
          <w:lang w:val="sv-SE"/>
        </w:rPr>
      </w:pPr>
      <w:r>
        <w:rPr>
          <w:lang w:val="sv-SE"/>
        </w:rPr>
        <w:t>Sanna Marin</w:t>
      </w: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5F6E65" w:rsidP="00267E16">
      <w:pPr>
        <w:pStyle w:val="LLNormaali"/>
        <w:rPr>
          <w:lang w:val="sv-SE"/>
        </w:rPr>
      </w:pPr>
    </w:p>
    <w:p w:rsidR="005F6E65" w:rsidRPr="00F55843" w:rsidRDefault="00310852" w:rsidP="005F6E65">
      <w:pPr>
        <w:pStyle w:val="LLVarmennus"/>
        <w:rPr>
          <w:lang w:val="sv-SE"/>
        </w:rPr>
      </w:pPr>
      <w:r>
        <w:rPr>
          <w:lang w:val="sv-SE"/>
        </w:rPr>
        <w:t>Kommunikations</w:t>
      </w:r>
      <w:r w:rsidR="00031114" w:rsidRPr="00F55843">
        <w:rPr>
          <w:lang w:val="sv-SE"/>
        </w:rPr>
        <w:t>minister</w:t>
      </w:r>
      <w:r w:rsidR="00385A06" w:rsidRPr="00F55843">
        <w:rPr>
          <w:lang w:val="sv-SE"/>
        </w:rPr>
        <w:t xml:space="preserve"> </w:t>
      </w:r>
      <w:r>
        <w:rPr>
          <w:lang w:val="sv-SE"/>
        </w:rPr>
        <w:t>Timo Harakka</w:t>
      </w:r>
    </w:p>
    <w:p w:rsidR="004B1827" w:rsidRPr="00F55843" w:rsidRDefault="004B1827" w:rsidP="003920F1">
      <w:pPr>
        <w:pStyle w:val="LLNormaali"/>
        <w:rPr>
          <w:lang w:val="sv-SE"/>
        </w:rPr>
        <w:sectPr w:rsidR="004B1827" w:rsidRPr="00F55843" w:rsidSect="00C85EB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p>
    <w:p w:rsidR="00794627" w:rsidRDefault="00794627" w:rsidP="00794627">
      <w:pPr>
        <w:pStyle w:val="LLNormaali"/>
        <w:rPr>
          <w:lang w:val="sv-SE"/>
        </w:rPr>
      </w:pPr>
    </w:p>
    <w:sectPr w:rsidR="00794627" w:rsidSect="00CB0A42">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E25" w:rsidRDefault="004B4E25">
      <w:r>
        <w:separator/>
      </w:r>
    </w:p>
  </w:endnote>
  <w:endnote w:type="continuationSeparator" w:id="0">
    <w:p w:rsidR="004B4E25" w:rsidRDefault="004B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70B4C">
            <w:rPr>
              <w:rStyle w:val="Sivunumero"/>
              <w:noProof/>
              <w:sz w:val="22"/>
            </w:rPr>
            <w:t>10</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E25" w:rsidRDefault="004B4E25">
      <w:r>
        <w:separator/>
      </w:r>
    </w:p>
  </w:footnote>
  <w:footnote w:type="continuationSeparator" w:id="0">
    <w:p w:rsidR="004B4E25" w:rsidRDefault="004B4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A42" w:rsidRDefault="00CB0A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46"/>
    <w:rsid w:val="00000B13"/>
    <w:rsid w:val="00000D79"/>
    <w:rsid w:val="00001C65"/>
    <w:rsid w:val="000026A6"/>
    <w:rsid w:val="00002765"/>
    <w:rsid w:val="00003D02"/>
    <w:rsid w:val="000046E8"/>
    <w:rsid w:val="0000497A"/>
    <w:rsid w:val="00005736"/>
    <w:rsid w:val="00007C03"/>
    <w:rsid w:val="00007EA2"/>
    <w:rsid w:val="00012145"/>
    <w:rsid w:val="000131D0"/>
    <w:rsid w:val="00013966"/>
    <w:rsid w:val="0001433B"/>
    <w:rsid w:val="0001582F"/>
    <w:rsid w:val="00015D45"/>
    <w:rsid w:val="000166D0"/>
    <w:rsid w:val="00017270"/>
    <w:rsid w:val="00017DF5"/>
    <w:rsid w:val="000202BC"/>
    <w:rsid w:val="000208A6"/>
    <w:rsid w:val="0002194F"/>
    <w:rsid w:val="00023201"/>
    <w:rsid w:val="00024344"/>
    <w:rsid w:val="00024B6D"/>
    <w:rsid w:val="000269DC"/>
    <w:rsid w:val="00030044"/>
    <w:rsid w:val="00030BA9"/>
    <w:rsid w:val="00031114"/>
    <w:rsid w:val="0003265F"/>
    <w:rsid w:val="000331C9"/>
    <w:rsid w:val="0003331C"/>
    <w:rsid w:val="0003393F"/>
    <w:rsid w:val="00034B95"/>
    <w:rsid w:val="0003652F"/>
    <w:rsid w:val="000370C8"/>
    <w:rsid w:val="00040D23"/>
    <w:rsid w:val="0004360C"/>
    <w:rsid w:val="00043723"/>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4CF2"/>
    <w:rsid w:val="000852C2"/>
    <w:rsid w:val="000863E1"/>
    <w:rsid w:val="00086D51"/>
    <w:rsid w:val="00086E44"/>
    <w:rsid w:val="00086F52"/>
    <w:rsid w:val="00090BAD"/>
    <w:rsid w:val="000919F0"/>
    <w:rsid w:val="0009275E"/>
    <w:rsid w:val="00094938"/>
    <w:rsid w:val="00095306"/>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D0AA3"/>
    <w:rsid w:val="000D1D74"/>
    <w:rsid w:val="000D3443"/>
    <w:rsid w:val="000D37E7"/>
    <w:rsid w:val="000D3D1D"/>
    <w:rsid w:val="000D425F"/>
    <w:rsid w:val="000D4882"/>
    <w:rsid w:val="000D5454"/>
    <w:rsid w:val="000D550A"/>
    <w:rsid w:val="000D6DF9"/>
    <w:rsid w:val="000D701B"/>
    <w:rsid w:val="000D7B48"/>
    <w:rsid w:val="000E0B7D"/>
    <w:rsid w:val="000E1BB8"/>
    <w:rsid w:val="000E2BF4"/>
    <w:rsid w:val="000E2F7E"/>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693E"/>
    <w:rsid w:val="00117C3F"/>
    <w:rsid w:val="00120A6F"/>
    <w:rsid w:val="00121E3B"/>
    <w:rsid w:val="0012475C"/>
    <w:rsid w:val="00125ABB"/>
    <w:rsid w:val="00127D8D"/>
    <w:rsid w:val="001305A0"/>
    <w:rsid w:val="001310B9"/>
    <w:rsid w:val="0013473F"/>
    <w:rsid w:val="00137260"/>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6EFE"/>
    <w:rsid w:val="00167060"/>
    <w:rsid w:val="00167E6A"/>
    <w:rsid w:val="00170B5F"/>
    <w:rsid w:val="00171AEB"/>
    <w:rsid w:val="001729CF"/>
    <w:rsid w:val="00172F9D"/>
    <w:rsid w:val="0017311E"/>
    <w:rsid w:val="001737ED"/>
    <w:rsid w:val="00173F89"/>
    <w:rsid w:val="00174FCA"/>
    <w:rsid w:val="00175AD6"/>
    <w:rsid w:val="00177976"/>
    <w:rsid w:val="001809D8"/>
    <w:rsid w:val="0018338F"/>
    <w:rsid w:val="00185F2E"/>
    <w:rsid w:val="00187837"/>
    <w:rsid w:val="0019152A"/>
    <w:rsid w:val="0019244A"/>
    <w:rsid w:val="001942C3"/>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D59"/>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077"/>
    <w:rsid w:val="001C6C94"/>
    <w:rsid w:val="001C77EA"/>
    <w:rsid w:val="001D0443"/>
    <w:rsid w:val="001D07D2"/>
    <w:rsid w:val="001D0B90"/>
    <w:rsid w:val="001D2CCF"/>
    <w:rsid w:val="001D333D"/>
    <w:rsid w:val="001D36E0"/>
    <w:rsid w:val="001D41B9"/>
    <w:rsid w:val="001D5CD3"/>
    <w:rsid w:val="001D6BD4"/>
    <w:rsid w:val="001D74D6"/>
    <w:rsid w:val="001D7C49"/>
    <w:rsid w:val="001D7C93"/>
    <w:rsid w:val="001E07D9"/>
    <w:rsid w:val="001E0895"/>
    <w:rsid w:val="001E19D3"/>
    <w:rsid w:val="001E2815"/>
    <w:rsid w:val="001E3303"/>
    <w:rsid w:val="001E66E9"/>
    <w:rsid w:val="001E6CAE"/>
    <w:rsid w:val="001E6CCB"/>
    <w:rsid w:val="001E6D33"/>
    <w:rsid w:val="001E6D80"/>
    <w:rsid w:val="001F0934"/>
    <w:rsid w:val="001F5DBC"/>
    <w:rsid w:val="001F6E1A"/>
    <w:rsid w:val="001F7A9D"/>
    <w:rsid w:val="002013EA"/>
    <w:rsid w:val="002029A7"/>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305CB"/>
    <w:rsid w:val="00232CF3"/>
    <w:rsid w:val="00232E8B"/>
    <w:rsid w:val="00233151"/>
    <w:rsid w:val="00234499"/>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502FA"/>
    <w:rsid w:val="002505A5"/>
    <w:rsid w:val="00251092"/>
    <w:rsid w:val="002516A5"/>
    <w:rsid w:val="002519A0"/>
    <w:rsid w:val="0025236F"/>
    <w:rsid w:val="002523B2"/>
    <w:rsid w:val="00252A04"/>
    <w:rsid w:val="00252C30"/>
    <w:rsid w:val="00252C37"/>
    <w:rsid w:val="00253030"/>
    <w:rsid w:val="002530B0"/>
    <w:rsid w:val="002531E7"/>
    <w:rsid w:val="00253ED4"/>
    <w:rsid w:val="00254B1E"/>
    <w:rsid w:val="00255C8C"/>
    <w:rsid w:val="002568F3"/>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3256"/>
    <w:rsid w:val="0028520A"/>
    <w:rsid w:val="00285F21"/>
    <w:rsid w:val="002879AB"/>
    <w:rsid w:val="00292DB8"/>
    <w:rsid w:val="002931AD"/>
    <w:rsid w:val="0029367C"/>
    <w:rsid w:val="00293DCE"/>
    <w:rsid w:val="00294145"/>
    <w:rsid w:val="0029486C"/>
    <w:rsid w:val="00295268"/>
    <w:rsid w:val="002953B9"/>
    <w:rsid w:val="00296B68"/>
    <w:rsid w:val="00296CB8"/>
    <w:rsid w:val="002A0577"/>
    <w:rsid w:val="002A2066"/>
    <w:rsid w:val="002A2FB5"/>
    <w:rsid w:val="002A431F"/>
    <w:rsid w:val="002A4575"/>
    <w:rsid w:val="002A5827"/>
    <w:rsid w:val="002A630E"/>
    <w:rsid w:val="002A6D63"/>
    <w:rsid w:val="002B0120"/>
    <w:rsid w:val="002B0C90"/>
    <w:rsid w:val="002B1508"/>
    <w:rsid w:val="002B2FD8"/>
    <w:rsid w:val="002B3891"/>
    <w:rsid w:val="002B4A7F"/>
    <w:rsid w:val="002B712B"/>
    <w:rsid w:val="002B788A"/>
    <w:rsid w:val="002B795E"/>
    <w:rsid w:val="002C0CBA"/>
    <w:rsid w:val="002C1572"/>
    <w:rsid w:val="002C19FF"/>
    <w:rsid w:val="002C1B6D"/>
    <w:rsid w:val="002C25AD"/>
    <w:rsid w:val="002C5AF9"/>
    <w:rsid w:val="002C60F2"/>
    <w:rsid w:val="002C694B"/>
    <w:rsid w:val="002C6F56"/>
    <w:rsid w:val="002D0561"/>
    <w:rsid w:val="002D158A"/>
    <w:rsid w:val="002D1FC4"/>
    <w:rsid w:val="002D2DFF"/>
    <w:rsid w:val="002D4C0B"/>
    <w:rsid w:val="002D59A5"/>
    <w:rsid w:val="002D7B09"/>
    <w:rsid w:val="002E0619"/>
    <w:rsid w:val="002E0770"/>
    <w:rsid w:val="002E0859"/>
    <w:rsid w:val="002E0AA9"/>
    <w:rsid w:val="002E136D"/>
    <w:rsid w:val="002E1AD6"/>
    <w:rsid w:val="002E1C57"/>
    <w:rsid w:val="002E2928"/>
    <w:rsid w:val="002E58B2"/>
    <w:rsid w:val="002E6BE3"/>
    <w:rsid w:val="002E6FA0"/>
    <w:rsid w:val="002E73F2"/>
    <w:rsid w:val="002F036A"/>
    <w:rsid w:val="002F0DA6"/>
    <w:rsid w:val="002F3ECD"/>
    <w:rsid w:val="002F47BF"/>
    <w:rsid w:val="002F486D"/>
    <w:rsid w:val="002F5A3F"/>
    <w:rsid w:val="002F690F"/>
    <w:rsid w:val="0030010F"/>
    <w:rsid w:val="00302945"/>
    <w:rsid w:val="00302A04"/>
    <w:rsid w:val="0030338C"/>
    <w:rsid w:val="00303A94"/>
    <w:rsid w:val="003042E3"/>
    <w:rsid w:val="0030433D"/>
    <w:rsid w:val="00304948"/>
    <w:rsid w:val="0030512D"/>
    <w:rsid w:val="00305848"/>
    <w:rsid w:val="00310852"/>
    <w:rsid w:val="003115B9"/>
    <w:rsid w:val="00311A68"/>
    <w:rsid w:val="00312ED2"/>
    <w:rsid w:val="00313379"/>
    <w:rsid w:val="003141AB"/>
    <w:rsid w:val="0031475A"/>
    <w:rsid w:val="00314807"/>
    <w:rsid w:val="00314D48"/>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4779E"/>
    <w:rsid w:val="00352ED3"/>
    <w:rsid w:val="0035308D"/>
    <w:rsid w:val="00353702"/>
    <w:rsid w:val="003540B1"/>
    <w:rsid w:val="003560B9"/>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5DA6"/>
    <w:rsid w:val="0037664C"/>
    <w:rsid w:val="00377BFD"/>
    <w:rsid w:val="003800D8"/>
    <w:rsid w:val="003801DE"/>
    <w:rsid w:val="00381294"/>
    <w:rsid w:val="0038158D"/>
    <w:rsid w:val="0038398A"/>
    <w:rsid w:val="00384BEB"/>
    <w:rsid w:val="00385A06"/>
    <w:rsid w:val="0039043F"/>
    <w:rsid w:val="00390BBF"/>
    <w:rsid w:val="003920F1"/>
    <w:rsid w:val="00392640"/>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7C4"/>
    <w:rsid w:val="003C4DCC"/>
    <w:rsid w:val="003C5C12"/>
    <w:rsid w:val="003C65E6"/>
    <w:rsid w:val="003D038A"/>
    <w:rsid w:val="003D1C5B"/>
    <w:rsid w:val="003D6403"/>
    <w:rsid w:val="003D729C"/>
    <w:rsid w:val="003D7447"/>
    <w:rsid w:val="003E10C5"/>
    <w:rsid w:val="003E2774"/>
    <w:rsid w:val="003E3AA4"/>
    <w:rsid w:val="003E46C0"/>
    <w:rsid w:val="003E4F2F"/>
    <w:rsid w:val="003E5F2C"/>
    <w:rsid w:val="003F0137"/>
    <w:rsid w:val="003F1444"/>
    <w:rsid w:val="003F1C96"/>
    <w:rsid w:val="003F30E4"/>
    <w:rsid w:val="003F350F"/>
    <w:rsid w:val="003F3890"/>
    <w:rsid w:val="003F4E7F"/>
    <w:rsid w:val="003F591E"/>
    <w:rsid w:val="003F672A"/>
    <w:rsid w:val="003F7948"/>
    <w:rsid w:val="003F7A17"/>
    <w:rsid w:val="00400C9A"/>
    <w:rsid w:val="004020E4"/>
    <w:rsid w:val="0040234E"/>
    <w:rsid w:val="00402460"/>
    <w:rsid w:val="004025AA"/>
    <w:rsid w:val="0040537C"/>
    <w:rsid w:val="00407254"/>
    <w:rsid w:val="00407335"/>
    <w:rsid w:val="00407AE9"/>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5072D"/>
    <w:rsid w:val="00451B3B"/>
    <w:rsid w:val="00451BF9"/>
    <w:rsid w:val="00452280"/>
    <w:rsid w:val="004556A2"/>
    <w:rsid w:val="004558C8"/>
    <w:rsid w:val="00456368"/>
    <w:rsid w:val="0045667E"/>
    <w:rsid w:val="00456803"/>
    <w:rsid w:val="00457C55"/>
    <w:rsid w:val="00457D8E"/>
    <w:rsid w:val="00460201"/>
    <w:rsid w:val="0046089E"/>
    <w:rsid w:val="00460B8E"/>
    <w:rsid w:val="004612E9"/>
    <w:rsid w:val="00463249"/>
    <w:rsid w:val="00463FD2"/>
    <w:rsid w:val="0047100A"/>
    <w:rsid w:val="004752BA"/>
    <w:rsid w:val="004752C5"/>
    <w:rsid w:val="004753A3"/>
    <w:rsid w:val="00475D37"/>
    <w:rsid w:val="004763D6"/>
    <w:rsid w:val="004768CC"/>
    <w:rsid w:val="004808A8"/>
    <w:rsid w:val="00480ACC"/>
    <w:rsid w:val="00482025"/>
    <w:rsid w:val="00482E87"/>
    <w:rsid w:val="00483449"/>
    <w:rsid w:val="00485B55"/>
    <w:rsid w:val="00486869"/>
    <w:rsid w:val="004879D1"/>
    <w:rsid w:val="004903C3"/>
    <w:rsid w:val="0049168D"/>
    <w:rsid w:val="00492768"/>
    <w:rsid w:val="00493235"/>
    <w:rsid w:val="004941E5"/>
    <w:rsid w:val="00495E87"/>
    <w:rsid w:val="004967AF"/>
    <w:rsid w:val="004A09D9"/>
    <w:rsid w:val="004A0D39"/>
    <w:rsid w:val="004A1C19"/>
    <w:rsid w:val="004A20F3"/>
    <w:rsid w:val="004A2472"/>
    <w:rsid w:val="004A2A42"/>
    <w:rsid w:val="004A58F9"/>
    <w:rsid w:val="004A648F"/>
    <w:rsid w:val="004A6E42"/>
    <w:rsid w:val="004B1827"/>
    <w:rsid w:val="004B2C46"/>
    <w:rsid w:val="004B472D"/>
    <w:rsid w:val="004B4B00"/>
    <w:rsid w:val="004B4E25"/>
    <w:rsid w:val="004B4EE1"/>
    <w:rsid w:val="004B5A50"/>
    <w:rsid w:val="004B7136"/>
    <w:rsid w:val="004B72D2"/>
    <w:rsid w:val="004B741F"/>
    <w:rsid w:val="004C0F0E"/>
    <w:rsid w:val="004C2447"/>
    <w:rsid w:val="004C56B7"/>
    <w:rsid w:val="004C5949"/>
    <w:rsid w:val="004C6006"/>
    <w:rsid w:val="004C6D41"/>
    <w:rsid w:val="004C7C3F"/>
    <w:rsid w:val="004D037E"/>
    <w:rsid w:val="004D0421"/>
    <w:rsid w:val="004D1C90"/>
    <w:rsid w:val="004D2778"/>
    <w:rsid w:val="004D30BE"/>
    <w:rsid w:val="004D328B"/>
    <w:rsid w:val="004D35CD"/>
    <w:rsid w:val="004D3E0C"/>
    <w:rsid w:val="004D4146"/>
    <w:rsid w:val="004D5330"/>
    <w:rsid w:val="004D6E15"/>
    <w:rsid w:val="004E0F73"/>
    <w:rsid w:val="004E0FDE"/>
    <w:rsid w:val="004E1DA9"/>
    <w:rsid w:val="004E2153"/>
    <w:rsid w:val="004E232B"/>
    <w:rsid w:val="004E5CEA"/>
    <w:rsid w:val="004E6355"/>
    <w:rsid w:val="004F0FC8"/>
    <w:rsid w:val="004F1386"/>
    <w:rsid w:val="004F3408"/>
    <w:rsid w:val="004F37CF"/>
    <w:rsid w:val="004F4065"/>
    <w:rsid w:val="004F45F5"/>
    <w:rsid w:val="004F47FA"/>
    <w:rsid w:val="004F6D83"/>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48DC"/>
    <w:rsid w:val="00524CDE"/>
    <w:rsid w:val="00524D91"/>
    <w:rsid w:val="00525752"/>
    <w:rsid w:val="00526862"/>
    <w:rsid w:val="00530AE7"/>
    <w:rsid w:val="00531537"/>
    <w:rsid w:val="00533274"/>
    <w:rsid w:val="00533D08"/>
    <w:rsid w:val="00534002"/>
    <w:rsid w:val="005359A7"/>
    <w:rsid w:val="00535C9A"/>
    <w:rsid w:val="00535DA6"/>
    <w:rsid w:val="00536E21"/>
    <w:rsid w:val="00537322"/>
    <w:rsid w:val="00540668"/>
    <w:rsid w:val="00540C5D"/>
    <w:rsid w:val="00540E92"/>
    <w:rsid w:val="00540FE5"/>
    <w:rsid w:val="00541E6B"/>
    <w:rsid w:val="00541F5E"/>
    <w:rsid w:val="00543113"/>
    <w:rsid w:val="00546C4C"/>
    <w:rsid w:val="00550356"/>
    <w:rsid w:val="00550702"/>
    <w:rsid w:val="00551096"/>
    <w:rsid w:val="00553833"/>
    <w:rsid w:val="0055413D"/>
    <w:rsid w:val="005546EC"/>
    <w:rsid w:val="00554D30"/>
    <w:rsid w:val="00555017"/>
    <w:rsid w:val="00556BBA"/>
    <w:rsid w:val="00561789"/>
    <w:rsid w:val="005643B7"/>
    <w:rsid w:val="00564DEC"/>
    <w:rsid w:val="005662AC"/>
    <w:rsid w:val="005747C4"/>
    <w:rsid w:val="00574A50"/>
    <w:rsid w:val="005771EA"/>
    <w:rsid w:val="005815B1"/>
    <w:rsid w:val="005815CB"/>
    <w:rsid w:val="00581CED"/>
    <w:rsid w:val="005853E6"/>
    <w:rsid w:val="0058679B"/>
    <w:rsid w:val="00587CD7"/>
    <w:rsid w:val="00590362"/>
    <w:rsid w:val="0059124A"/>
    <w:rsid w:val="00591464"/>
    <w:rsid w:val="00591743"/>
    <w:rsid w:val="00592912"/>
    <w:rsid w:val="00595AFC"/>
    <w:rsid w:val="005A0584"/>
    <w:rsid w:val="005A10EA"/>
    <w:rsid w:val="005A1605"/>
    <w:rsid w:val="005A1C33"/>
    <w:rsid w:val="005A26EB"/>
    <w:rsid w:val="005A2BE8"/>
    <w:rsid w:val="005A3292"/>
    <w:rsid w:val="005A3443"/>
    <w:rsid w:val="005A38B8"/>
    <w:rsid w:val="005A4567"/>
    <w:rsid w:val="005A4C29"/>
    <w:rsid w:val="005A6734"/>
    <w:rsid w:val="005A6D8B"/>
    <w:rsid w:val="005A77E8"/>
    <w:rsid w:val="005A7B14"/>
    <w:rsid w:val="005B0BF3"/>
    <w:rsid w:val="005B0C81"/>
    <w:rsid w:val="005B2871"/>
    <w:rsid w:val="005B468B"/>
    <w:rsid w:val="005B7A21"/>
    <w:rsid w:val="005C021A"/>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0C5E"/>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2E6"/>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661"/>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96D52"/>
    <w:rsid w:val="006A0F0B"/>
    <w:rsid w:val="006A1E9E"/>
    <w:rsid w:val="006A21FC"/>
    <w:rsid w:val="006A2F36"/>
    <w:rsid w:val="006A5163"/>
    <w:rsid w:val="006A56E9"/>
    <w:rsid w:val="006A7BD4"/>
    <w:rsid w:val="006B0989"/>
    <w:rsid w:val="006B0B54"/>
    <w:rsid w:val="006B0E5E"/>
    <w:rsid w:val="006B1145"/>
    <w:rsid w:val="006B18AB"/>
    <w:rsid w:val="006B1EE3"/>
    <w:rsid w:val="006B2658"/>
    <w:rsid w:val="006B2F61"/>
    <w:rsid w:val="006B3128"/>
    <w:rsid w:val="006B4D2D"/>
    <w:rsid w:val="006B525A"/>
    <w:rsid w:val="006B557C"/>
    <w:rsid w:val="006B557E"/>
    <w:rsid w:val="006B6985"/>
    <w:rsid w:val="006B7B0A"/>
    <w:rsid w:val="006C070F"/>
    <w:rsid w:val="006C170E"/>
    <w:rsid w:val="006C25C2"/>
    <w:rsid w:val="006C283C"/>
    <w:rsid w:val="006C2A50"/>
    <w:rsid w:val="006C38DC"/>
    <w:rsid w:val="006C45AA"/>
    <w:rsid w:val="006C4755"/>
    <w:rsid w:val="006C4822"/>
    <w:rsid w:val="006C6BDE"/>
    <w:rsid w:val="006C7D1F"/>
    <w:rsid w:val="006D177C"/>
    <w:rsid w:val="006D225C"/>
    <w:rsid w:val="006D26D2"/>
    <w:rsid w:val="006D2EC0"/>
    <w:rsid w:val="006D3C8B"/>
    <w:rsid w:val="006D3E8F"/>
    <w:rsid w:val="006D4C55"/>
    <w:rsid w:val="006D642E"/>
    <w:rsid w:val="006D72D8"/>
    <w:rsid w:val="006E0967"/>
    <w:rsid w:val="006E17ED"/>
    <w:rsid w:val="006E45DD"/>
    <w:rsid w:val="006E4E45"/>
    <w:rsid w:val="006E5405"/>
    <w:rsid w:val="006E56A2"/>
    <w:rsid w:val="006E640F"/>
    <w:rsid w:val="006E6C84"/>
    <w:rsid w:val="006E6F46"/>
    <w:rsid w:val="006E7E9F"/>
    <w:rsid w:val="006F0B1A"/>
    <w:rsid w:val="006F0FE3"/>
    <w:rsid w:val="006F1114"/>
    <w:rsid w:val="006F1166"/>
    <w:rsid w:val="006F1A2F"/>
    <w:rsid w:val="006F20FD"/>
    <w:rsid w:val="006F29B2"/>
    <w:rsid w:val="006F307E"/>
    <w:rsid w:val="006F3115"/>
    <w:rsid w:val="006F3FB1"/>
    <w:rsid w:val="006F5F3F"/>
    <w:rsid w:val="0070038B"/>
    <w:rsid w:val="00700617"/>
    <w:rsid w:val="00701097"/>
    <w:rsid w:val="00701EDC"/>
    <w:rsid w:val="0070214C"/>
    <w:rsid w:val="00702977"/>
    <w:rsid w:val="00702F51"/>
    <w:rsid w:val="00703CD6"/>
    <w:rsid w:val="00704DA4"/>
    <w:rsid w:val="0070559B"/>
    <w:rsid w:val="0070655B"/>
    <w:rsid w:val="00710840"/>
    <w:rsid w:val="00711F7C"/>
    <w:rsid w:val="00712590"/>
    <w:rsid w:val="0071289A"/>
    <w:rsid w:val="00712A36"/>
    <w:rsid w:val="00713949"/>
    <w:rsid w:val="0071463C"/>
    <w:rsid w:val="00715039"/>
    <w:rsid w:val="00715847"/>
    <w:rsid w:val="007179BE"/>
    <w:rsid w:val="00717A35"/>
    <w:rsid w:val="00717D2E"/>
    <w:rsid w:val="00720B6F"/>
    <w:rsid w:val="00721D80"/>
    <w:rsid w:val="007224AB"/>
    <w:rsid w:val="00722E11"/>
    <w:rsid w:val="00723434"/>
    <w:rsid w:val="0072425F"/>
    <w:rsid w:val="00725317"/>
    <w:rsid w:val="00725509"/>
    <w:rsid w:val="007264E0"/>
    <w:rsid w:val="00726A28"/>
    <w:rsid w:val="0072735A"/>
    <w:rsid w:val="007275D7"/>
    <w:rsid w:val="007304C2"/>
    <w:rsid w:val="007304CB"/>
    <w:rsid w:val="00734053"/>
    <w:rsid w:val="007341C4"/>
    <w:rsid w:val="00734204"/>
    <w:rsid w:val="00736DB4"/>
    <w:rsid w:val="0073710B"/>
    <w:rsid w:val="007374FE"/>
    <w:rsid w:val="0074053D"/>
    <w:rsid w:val="00740F02"/>
    <w:rsid w:val="00741C40"/>
    <w:rsid w:val="00744738"/>
    <w:rsid w:val="00744FF3"/>
    <w:rsid w:val="00745955"/>
    <w:rsid w:val="007461CD"/>
    <w:rsid w:val="00746A73"/>
    <w:rsid w:val="007501D0"/>
    <w:rsid w:val="007508DA"/>
    <w:rsid w:val="00750DD3"/>
    <w:rsid w:val="00751369"/>
    <w:rsid w:val="0075180F"/>
    <w:rsid w:val="00751A2E"/>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5D88"/>
    <w:rsid w:val="0077641D"/>
    <w:rsid w:val="00780BBD"/>
    <w:rsid w:val="00780FAA"/>
    <w:rsid w:val="0078170F"/>
    <w:rsid w:val="00783A8B"/>
    <w:rsid w:val="007845C1"/>
    <w:rsid w:val="00784F86"/>
    <w:rsid w:val="00785D7E"/>
    <w:rsid w:val="00786460"/>
    <w:rsid w:val="00790BB4"/>
    <w:rsid w:val="007914C8"/>
    <w:rsid w:val="00794627"/>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2660"/>
    <w:rsid w:val="007B29BB"/>
    <w:rsid w:val="007B2B39"/>
    <w:rsid w:val="007B2DFB"/>
    <w:rsid w:val="007B4171"/>
    <w:rsid w:val="007B47C4"/>
    <w:rsid w:val="007B52B9"/>
    <w:rsid w:val="007B5D24"/>
    <w:rsid w:val="007B665F"/>
    <w:rsid w:val="007B6F03"/>
    <w:rsid w:val="007B6F82"/>
    <w:rsid w:val="007C05F6"/>
    <w:rsid w:val="007C1B99"/>
    <w:rsid w:val="007C3721"/>
    <w:rsid w:val="007C4D61"/>
    <w:rsid w:val="007C5DA4"/>
    <w:rsid w:val="007C6E98"/>
    <w:rsid w:val="007C7399"/>
    <w:rsid w:val="007C7A83"/>
    <w:rsid w:val="007D277B"/>
    <w:rsid w:val="007D28F1"/>
    <w:rsid w:val="007D331F"/>
    <w:rsid w:val="007D3A96"/>
    <w:rsid w:val="007D3C45"/>
    <w:rsid w:val="007D46F9"/>
    <w:rsid w:val="007D4C94"/>
    <w:rsid w:val="007D4DF4"/>
    <w:rsid w:val="007D4E10"/>
    <w:rsid w:val="007D7028"/>
    <w:rsid w:val="007E0C5A"/>
    <w:rsid w:val="007E0CB1"/>
    <w:rsid w:val="007E1D46"/>
    <w:rsid w:val="007E2B56"/>
    <w:rsid w:val="007E2F44"/>
    <w:rsid w:val="007E3BCF"/>
    <w:rsid w:val="007E421A"/>
    <w:rsid w:val="007E4274"/>
    <w:rsid w:val="007E430E"/>
    <w:rsid w:val="007E4CE9"/>
    <w:rsid w:val="007E5567"/>
    <w:rsid w:val="007E5D25"/>
    <w:rsid w:val="007E5DC4"/>
    <w:rsid w:val="007E6681"/>
    <w:rsid w:val="007E6A10"/>
    <w:rsid w:val="007F0C36"/>
    <w:rsid w:val="007F1727"/>
    <w:rsid w:val="007F17D0"/>
    <w:rsid w:val="007F197F"/>
    <w:rsid w:val="007F260B"/>
    <w:rsid w:val="007F394E"/>
    <w:rsid w:val="007F46A7"/>
    <w:rsid w:val="007F66A4"/>
    <w:rsid w:val="007F6E4D"/>
    <w:rsid w:val="00800ADC"/>
    <w:rsid w:val="00801EDC"/>
    <w:rsid w:val="00803E18"/>
    <w:rsid w:val="00807643"/>
    <w:rsid w:val="00814E3D"/>
    <w:rsid w:val="00815458"/>
    <w:rsid w:val="00815D87"/>
    <w:rsid w:val="00816AFB"/>
    <w:rsid w:val="008208B7"/>
    <w:rsid w:val="00820D4A"/>
    <w:rsid w:val="00821567"/>
    <w:rsid w:val="00822509"/>
    <w:rsid w:val="0082264A"/>
    <w:rsid w:val="00825DF1"/>
    <w:rsid w:val="00826432"/>
    <w:rsid w:val="0082654C"/>
    <w:rsid w:val="0083012D"/>
    <w:rsid w:val="0083016B"/>
    <w:rsid w:val="00831EC7"/>
    <w:rsid w:val="00832A4D"/>
    <w:rsid w:val="008335B6"/>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6FA5"/>
    <w:rsid w:val="008571E9"/>
    <w:rsid w:val="00861163"/>
    <w:rsid w:val="00861733"/>
    <w:rsid w:val="00861A2E"/>
    <w:rsid w:val="00862C1C"/>
    <w:rsid w:val="00862CEB"/>
    <w:rsid w:val="00863AA4"/>
    <w:rsid w:val="00863DDF"/>
    <w:rsid w:val="00864859"/>
    <w:rsid w:val="00864CEC"/>
    <w:rsid w:val="00866185"/>
    <w:rsid w:val="00866475"/>
    <w:rsid w:val="0086797D"/>
    <w:rsid w:val="0087128B"/>
    <w:rsid w:val="00872E1F"/>
    <w:rsid w:val="00873146"/>
    <w:rsid w:val="008731A2"/>
    <w:rsid w:val="0087370F"/>
    <w:rsid w:val="0087446D"/>
    <w:rsid w:val="00876A7C"/>
    <w:rsid w:val="00876B11"/>
    <w:rsid w:val="00876D9E"/>
    <w:rsid w:val="00876DA4"/>
    <w:rsid w:val="00877266"/>
    <w:rsid w:val="008826AF"/>
    <w:rsid w:val="00883638"/>
    <w:rsid w:val="00884F03"/>
    <w:rsid w:val="0088593E"/>
    <w:rsid w:val="00885DD6"/>
    <w:rsid w:val="0088642E"/>
    <w:rsid w:val="008867C6"/>
    <w:rsid w:val="00886C85"/>
    <w:rsid w:val="008903A6"/>
    <w:rsid w:val="008906AD"/>
    <w:rsid w:val="008907B4"/>
    <w:rsid w:val="00890B76"/>
    <w:rsid w:val="00890C18"/>
    <w:rsid w:val="00892348"/>
    <w:rsid w:val="0089367F"/>
    <w:rsid w:val="00896403"/>
    <w:rsid w:val="0089686D"/>
    <w:rsid w:val="00896CCD"/>
    <w:rsid w:val="00896F25"/>
    <w:rsid w:val="00896F9E"/>
    <w:rsid w:val="00897EA1"/>
    <w:rsid w:val="008A030C"/>
    <w:rsid w:val="008A084C"/>
    <w:rsid w:val="008A3088"/>
    <w:rsid w:val="008A3DB3"/>
    <w:rsid w:val="008A50B8"/>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6BA8"/>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433"/>
    <w:rsid w:val="00932830"/>
    <w:rsid w:val="00934693"/>
    <w:rsid w:val="009346BC"/>
    <w:rsid w:val="00936049"/>
    <w:rsid w:val="00936812"/>
    <w:rsid w:val="0093694A"/>
    <w:rsid w:val="00936D9D"/>
    <w:rsid w:val="00936E0C"/>
    <w:rsid w:val="00937EDD"/>
    <w:rsid w:val="009404EC"/>
    <w:rsid w:val="00940745"/>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4A27"/>
    <w:rsid w:val="00955368"/>
    <w:rsid w:val="00956EB7"/>
    <w:rsid w:val="009577A3"/>
    <w:rsid w:val="00957B58"/>
    <w:rsid w:val="00957F10"/>
    <w:rsid w:val="00960AD0"/>
    <w:rsid w:val="00964667"/>
    <w:rsid w:val="00970B4C"/>
    <w:rsid w:val="00970EFC"/>
    <w:rsid w:val="009732A8"/>
    <w:rsid w:val="009732F5"/>
    <w:rsid w:val="00974E8C"/>
    <w:rsid w:val="00975C65"/>
    <w:rsid w:val="00976D40"/>
    <w:rsid w:val="00977FFA"/>
    <w:rsid w:val="009813EF"/>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819"/>
    <w:rsid w:val="009B49A8"/>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66A"/>
    <w:rsid w:val="009E232B"/>
    <w:rsid w:val="009E3EA6"/>
    <w:rsid w:val="009E455B"/>
    <w:rsid w:val="009E481E"/>
    <w:rsid w:val="009E4F6F"/>
    <w:rsid w:val="009E519A"/>
    <w:rsid w:val="009E5515"/>
    <w:rsid w:val="009E765A"/>
    <w:rsid w:val="009F0511"/>
    <w:rsid w:val="009F073B"/>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4CBE"/>
    <w:rsid w:val="00A17195"/>
    <w:rsid w:val="00A172DE"/>
    <w:rsid w:val="00A173AE"/>
    <w:rsid w:val="00A204F7"/>
    <w:rsid w:val="00A2052F"/>
    <w:rsid w:val="00A20A78"/>
    <w:rsid w:val="00A20C41"/>
    <w:rsid w:val="00A210D4"/>
    <w:rsid w:val="00A2129B"/>
    <w:rsid w:val="00A21ADC"/>
    <w:rsid w:val="00A2398C"/>
    <w:rsid w:val="00A2544B"/>
    <w:rsid w:val="00A25833"/>
    <w:rsid w:val="00A25C2F"/>
    <w:rsid w:val="00A25DBC"/>
    <w:rsid w:val="00A27BCC"/>
    <w:rsid w:val="00A3091D"/>
    <w:rsid w:val="00A30F19"/>
    <w:rsid w:val="00A33806"/>
    <w:rsid w:val="00A34650"/>
    <w:rsid w:val="00A34BEC"/>
    <w:rsid w:val="00A34F4E"/>
    <w:rsid w:val="00A353CA"/>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729"/>
    <w:rsid w:val="00A83834"/>
    <w:rsid w:val="00A83C7D"/>
    <w:rsid w:val="00A84112"/>
    <w:rsid w:val="00A844AA"/>
    <w:rsid w:val="00A8672B"/>
    <w:rsid w:val="00A87584"/>
    <w:rsid w:val="00A877C7"/>
    <w:rsid w:val="00A90D5A"/>
    <w:rsid w:val="00A9153D"/>
    <w:rsid w:val="00A931F0"/>
    <w:rsid w:val="00A939B2"/>
    <w:rsid w:val="00A95059"/>
    <w:rsid w:val="00A95673"/>
    <w:rsid w:val="00A95792"/>
    <w:rsid w:val="00A95921"/>
    <w:rsid w:val="00A95B62"/>
    <w:rsid w:val="00AA010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7FE"/>
    <w:rsid w:val="00AD0BD6"/>
    <w:rsid w:val="00AD162A"/>
    <w:rsid w:val="00AD21B7"/>
    <w:rsid w:val="00AD3472"/>
    <w:rsid w:val="00AD3B0F"/>
    <w:rsid w:val="00AD3E93"/>
    <w:rsid w:val="00AD4E26"/>
    <w:rsid w:val="00AD5878"/>
    <w:rsid w:val="00AD632D"/>
    <w:rsid w:val="00AD75B9"/>
    <w:rsid w:val="00AD7DC0"/>
    <w:rsid w:val="00AD7FF9"/>
    <w:rsid w:val="00AE3490"/>
    <w:rsid w:val="00AE3D34"/>
    <w:rsid w:val="00AE46AD"/>
    <w:rsid w:val="00AE4750"/>
    <w:rsid w:val="00AE4FD7"/>
    <w:rsid w:val="00AE580E"/>
    <w:rsid w:val="00AF04EA"/>
    <w:rsid w:val="00AF0995"/>
    <w:rsid w:val="00AF19A1"/>
    <w:rsid w:val="00AF3245"/>
    <w:rsid w:val="00AF466E"/>
    <w:rsid w:val="00AF477A"/>
    <w:rsid w:val="00AF4C4C"/>
    <w:rsid w:val="00AF51CC"/>
    <w:rsid w:val="00AF62AA"/>
    <w:rsid w:val="00AF6BDB"/>
    <w:rsid w:val="00AF7B7E"/>
    <w:rsid w:val="00B004CF"/>
    <w:rsid w:val="00B01AE3"/>
    <w:rsid w:val="00B01C56"/>
    <w:rsid w:val="00B0255F"/>
    <w:rsid w:val="00B0290C"/>
    <w:rsid w:val="00B02F9A"/>
    <w:rsid w:val="00B03AAF"/>
    <w:rsid w:val="00B055DB"/>
    <w:rsid w:val="00B10593"/>
    <w:rsid w:val="00B11D1A"/>
    <w:rsid w:val="00B1236E"/>
    <w:rsid w:val="00B12E8B"/>
    <w:rsid w:val="00B131FB"/>
    <w:rsid w:val="00B14081"/>
    <w:rsid w:val="00B140DF"/>
    <w:rsid w:val="00B146BB"/>
    <w:rsid w:val="00B14DA5"/>
    <w:rsid w:val="00B16728"/>
    <w:rsid w:val="00B20077"/>
    <w:rsid w:val="00B206FB"/>
    <w:rsid w:val="00B207DD"/>
    <w:rsid w:val="00B20B4D"/>
    <w:rsid w:val="00B21AB5"/>
    <w:rsid w:val="00B220CC"/>
    <w:rsid w:val="00B233CE"/>
    <w:rsid w:val="00B236F7"/>
    <w:rsid w:val="00B23E78"/>
    <w:rsid w:val="00B24747"/>
    <w:rsid w:val="00B25B2C"/>
    <w:rsid w:val="00B26DDF"/>
    <w:rsid w:val="00B27533"/>
    <w:rsid w:val="00B305CC"/>
    <w:rsid w:val="00B30909"/>
    <w:rsid w:val="00B31116"/>
    <w:rsid w:val="00B31E54"/>
    <w:rsid w:val="00B32CCB"/>
    <w:rsid w:val="00B334B4"/>
    <w:rsid w:val="00B34089"/>
    <w:rsid w:val="00B34684"/>
    <w:rsid w:val="00B356D4"/>
    <w:rsid w:val="00B35B11"/>
    <w:rsid w:val="00B363DB"/>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0A20"/>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161F"/>
    <w:rsid w:val="00BC27B0"/>
    <w:rsid w:val="00BC283C"/>
    <w:rsid w:val="00BC50F7"/>
    <w:rsid w:val="00BC57BF"/>
    <w:rsid w:val="00BC5D6D"/>
    <w:rsid w:val="00BC6172"/>
    <w:rsid w:val="00BC692D"/>
    <w:rsid w:val="00BC74A6"/>
    <w:rsid w:val="00BC7C29"/>
    <w:rsid w:val="00BD18B1"/>
    <w:rsid w:val="00BD39D7"/>
    <w:rsid w:val="00BD465D"/>
    <w:rsid w:val="00BD55AF"/>
    <w:rsid w:val="00BE009D"/>
    <w:rsid w:val="00BE03B1"/>
    <w:rsid w:val="00BE0BC3"/>
    <w:rsid w:val="00BE3F31"/>
    <w:rsid w:val="00BE415C"/>
    <w:rsid w:val="00BE6FA0"/>
    <w:rsid w:val="00BF1E83"/>
    <w:rsid w:val="00BF28A9"/>
    <w:rsid w:val="00BF29D9"/>
    <w:rsid w:val="00BF4087"/>
    <w:rsid w:val="00BF42DA"/>
    <w:rsid w:val="00BF51C5"/>
    <w:rsid w:val="00BF7B61"/>
    <w:rsid w:val="00C00C97"/>
    <w:rsid w:val="00C01DCD"/>
    <w:rsid w:val="00C02835"/>
    <w:rsid w:val="00C033FF"/>
    <w:rsid w:val="00C03B8E"/>
    <w:rsid w:val="00C0479F"/>
    <w:rsid w:val="00C05DCD"/>
    <w:rsid w:val="00C10016"/>
    <w:rsid w:val="00C1045B"/>
    <w:rsid w:val="00C113FC"/>
    <w:rsid w:val="00C11A03"/>
    <w:rsid w:val="00C1237C"/>
    <w:rsid w:val="00C12FFC"/>
    <w:rsid w:val="00C131FF"/>
    <w:rsid w:val="00C13B96"/>
    <w:rsid w:val="00C13E48"/>
    <w:rsid w:val="00C17116"/>
    <w:rsid w:val="00C17224"/>
    <w:rsid w:val="00C20617"/>
    <w:rsid w:val="00C227C1"/>
    <w:rsid w:val="00C22CBF"/>
    <w:rsid w:val="00C26932"/>
    <w:rsid w:val="00C31695"/>
    <w:rsid w:val="00C32B61"/>
    <w:rsid w:val="00C36E9A"/>
    <w:rsid w:val="00C3764E"/>
    <w:rsid w:val="00C4269D"/>
    <w:rsid w:val="00C4277D"/>
    <w:rsid w:val="00C43D48"/>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BA8"/>
    <w:rsid w:val="00C85EB5"/>
    <w:rsid w:val="00C864A9"/>
    <w:rsid w:val="00C87843"/>
    <w:rsid w:val="00C87A0E"/>
    <w:rsid w:val="00C87E40"/>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0A42"/>
    <w:rsid w:val="00CB16B7"/>
    <w:rsid w:val="00CB2440"/>
    <w:rsid w:val="00CB2B32"/>
    <w:rsid w:val="00CB4A03"/>
    <w:rsid w:val="00CB6579"/>
    <w:rsid w:val="00CB711F"/>
    <w:rsid w:val="00CB7AA5"/>
    <w:rsid w:val="00CC16DD"/>
    <w:rsid w:val="00CC1BB0"/>
    <w:rsid w:val="00CC25E7"/>
    <w:rsid w:val="00CC428D"/>
    <w:rsid w:val="00CC4DA8"/>
    <w:rsid w:val="00CC5A11"/>
    <w:rsid w:val="00CC6107"/>
    <w:rsid w:val="00CC7214"/>
    <w:rsid w:val="00CD04D8"/>
    <w:rsid w:val="00CD0C80"/>
    <w:rsid w:val="00CD1909"/>
    <w:rsid w:val="00CD4BCE"/>
    <w:rsid w:val="00CD52D3"/>
    <w:rsid w:val="00CD5667"/>
    <w:rsid w:val="00CD661D"/>
    <w:rsid w:val="00CD7A90"/>
    <w:rsid w:val="00CE1ABC"/>
    <w:rsid w:val="00CE27F3"/>
    <w:rsid w:val="00CE3174"/>
    <w:rsid w:val="00CE43BD"/>
    <w:rsid w:val="00CE51C5"/>
    <w:rsid w:val="00CE6A12"/>
    <w:rsid w:val="00CE7CBF"/>
    <w:rsid w:val="00CF0363"/>
    <w:rsid w:val="00CF07CF"/>
    <w:rsid w:val="00CF085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61B6"/>
    <w:rsid w:val="00D1660D"/>
    <w:rsid w:val="00D17641"/>
    <w:rsid w:val="00D17FE3"/>
    <w:rsid w:val="00D207E4"/>
    <w:rsid w:val="00D20E3A"/>
    <w:rsid w:val="00D2146D"/>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1CC5"/>
    <w:rsid w:val="00D43329"/>
    <w:rsid w:val="00D441EB"/>
    <w:rsid w:val="00D44217"/>
    <w:rsid w:val="00D44710"/>
    <w:rsid w:val="00D44FBB"/>
    <w:rsid w:val="00D452AE"/>
    <w:rsid w:val="00D46916"/>
    <w:rsid w:val="00D46B7E"/>
    <w:rsid w:val="00D46C06"/>
    <w:rsid w:val="00D4753B"/>
    <w:rsid w:val="00D47CF2"/>
    <w:rsid w:val="00D50343"/>
    <w:rsid w:val="00D50D0E"/>
    <w:rsid w:val="00D51F07"/>
    <w:rsid w:val="00D52659"/>
    <w:rsid w:val="00D54D11"/>
    <w:rsid w:val="00D55EC0"/>
    <w:rsid w:val="00D60F32"/>
    <w:rsid w:val="00D62D3E"/>
    <w:rsid w:val="00D6309A"/>
    <w:rsid w:val="00D63547"/>
    <w:rsid w:val="00D708F9"/>
    <w:rsid w:val="00D72EC0"/>
    <w:rsid w:val="00D739FA"/>
    <w:rsid w:val="00D74339"/>
    <w:rsid w:val="00D7479D"/>
    <w:rsid w:val="00D75546"/>
    <w:rsid w:val="00D75D46"/>
    <w:rsid w:val="00D7667A"/>
    <w:rsid w:val="00D766F6"/>
    <w:rsid w:val="00D76C49"/>
    <w:rsid w:val="00D76DBA"/>
    <w:rsid w:val="00D80579"/>
    <w:rsid w:val="00D81152"/>
    <w:rsid w:val="00D81538"/>
    <w:rsid w:val="00D82045"/>
    <w:rsid w:val="00D840F4"/>
    <w:rsid w:val="00D84B29"/>
    <w:rsid w:val="00D85324"/>
    <w:rsid w:val="00D85ED8"/>
    <w:rsid w:val="00D87C47"/>
    <w:rsid w:val="00D92136"/>
    <w:rsid w:val="00D943D2"/>
    <w:rsid w:val="00D95FAF"/>
    <w:rsid w:val="00D95FE3"/>
    <w:rsid w:val="00DA0D8E"/>
    <w:rsid w:val="00DA122D"/>
    <w:rsid w:val="00DA2D5A"/>
    <w:rsid w:val="00DA35B5"/>
    <w:rsid w:val="00DA36F2"/>
    <w:rsid w:val="00DA3F48"/>
    <w:rsid w:val="00DA6196"/>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4C11"/>
    <w:rsid w:val="00E052E5"/>
    <w:rsid w:val="00E053CB"/>
    <w:rsid w:val="00E05762"/>
    <w:rsid w:val="00E0699A"/>
    <w:rsid w:val="00E072AC"/>
    <w:rsid w:val="00E10184"/>
    <w:rsid w:val="00E124EB"/>
    <w:rsid w:val="00E135AF"/>
    <w:rsid w:val="00E157A3"/>
    <w:rsid w:val="00E16623"/>
    <w:rsid w:val="00E1681B"/>
    <w:rsid w:val="00E21A95"/>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30CA"/>
    <w:rsid w:val="00E43474"/>
    <w:rsid w:val="00E43AE5"/>
    <w:rsid w:val="00E44257"/>
    <w:rsid w:val="00E44C6B"/>
    <w:rsid w:val="00E44FD5"/>
    <w:rsid w:val="00E45BC2"/>
    <w:rsid w:val="00E471A5"/>
    <w:rsid w:val="00E477E3"/>
    <w:rsid w:val="00E479DD"/>
    <w:rsid w:val="00E52237"/>
    <w:rsid w:val="00E53FCD"/>
    <w:rsid w:val="00E54355"/>
    <w:rsid w:val="00E562BB"/>
    <w:rsid w:val="00E565CE"/>
    <w:rsid w:val="00E56A47"/>
    <w:rsid w:val="00E574F2"/>
    <w:rsid w:val="00E61EED"/>
    <w:rsid w:val="00E63A86"/>
    <w:rsid w:val="00E63CDA"/>
    <w:rsid w:val="00E6442F"/>
    <w:rsid w:val="00E66659"/>
    <w:rsid w:val="00E70B03"/>
    <w:rsid w:val="00E70EDE"/>
    <w:rsid w:val="00E7135D"/>
    <w:rsid w:val="00E721F4"/>
    <w:rsid w:val="00E72ED5"/>
    <w:rsid w:val="00E73258"/>
    <w:rsid w:val="00E735EF"/>
    <w:rsid w:val="00E745DA"/>
    <w:rsid w:val="00E7545F"/>
    <w:rsid w:val="00E8048E"/>
    <w:rsid w:val="00E81D6E"/>
    <w:rsid w:val="00E82D11"/>
    <w:rsid w:val="00E8300F"/>
    <w:rsid w:val="00E846FF"/>
    <w:rsid w:val="00E91332"/>
    <w:rsid w:val="00E91477"/>
    <w:rsid w:val="00E9174C"/>
    <w:rsid w:val="00E92368"/>
    <w:rsid w:val="00E92D87"/>
    <w:rsid w:val="00E940ED"/>
    <w:rsid w:val="00E94730"/>
    <w:rsid w:val="00E94855"/>
    <w:rsid w:val="00E94D81"/>
    <w:rsid w:val="00E951A8"/>
    <w:rsid w:val="00E9582E"/>
    <w:rsid w:val="00E95E2E"/>
    <w:rsid w:val="00E95EB9"/>
    <w:rsid w:val="00E96AF3"/>
    <w:rsid w:val="00E96B10"/>
    <w:rsid w:val="00E96D52"/>
    <w:rsid w:val="00E97615"/>
    <w:rsid w:val="00EA1DE3"/>
    <w:rsid w:val="00EA2351"/>
    <w:rsid w:val="00EA2B73"/>
    <w:rsid w:val="00EA4139"/>
    <w:rsid w:val="00EA5FF7"/>
    <w:rsid w:val="00EA6D0E"/>
    <w:rsid w:val="00EB0A9A"/>
    <w:rsid w:val="00EB124A"/>
    <w:rsid w:val="00EB1616"/>
    <w:rsid w:val="00EB1630"/>
    <w:rsid w:val="00EB2B72"/>
    <w:rsid w:val="00EB3ACE"/>
    <w:rsid w:val="00EB5118"/>
    <w:rsid w:val="00EB6C57"/>
    <w:rsid w:val="00EB7B56"/>
    <w:rsid w:val="00EC0BFA"/>
    <w:rsid w:val="00EC103C"/>
    <w:rsid w:val="00EC603C"/>
    <w:rsid w:val="00EC74CD"/>
    <w:rsid w:val="00EC781D"/>
    <w:rsid w:val="00ED0809"/>
    <w:rsid w:val="00ED0D5F"/>
    <w:rsid w:val="00ED164A"/>
    <w:rsid w:val="00ED1BD6"/>
    <w:rsid w:val="00ED1FB2"/>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4232"/>
    <w:rsid w:val="00EE4362"/>
    <w:rsid w:val="00EE56E6"/>
    <w:rsid w:val="00EE6422"/>
    <w:rsid w:val="00EE6EBE"/>
    <w:rsid w:val="00EE75D5"/>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2DD0"/>
    <w:rsid w:val="00F13F1D"/>
    <w:rsid w:val="00F15900"/>
    <w:rsid w:val="00F1713A"/>
    <w:rsid w:val="00F175B6"/>
    <w:rsid w:val="00F17A72"/>
    <w:rsid w:val="00F20720"/>
    <w:rsid w:val="00F208B1"/>
    <w:rsid w:val="00F20F00"/>
    <w:rsid w:val="00F21707"/>
    <w:rsid w:val="00F23A79"/>
    <w:rsid w:val="00F268D9"/>
    <w:rsid w:val="00F302C0"/>
    <w:rsid w:val="00F34CBB"/>
    <w:rsid w:val="00F352E3"/>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843"/>
    <w:rsid w:val="00F57621"/>
    <w:rsid w:val="00F57C9D"/>
    <w:rsid w:val="00F57DCF"/>
    <w:rsid w:val="00F60243"/>
    <w:rsid w:val="00F607FB"/>
    <w:rsid w:val="00F60D0A"/>
    <w:rsid w:val="00F61379"/>
    <w:rsid w:val="00F651F0"/>
    <w:rsid w:val="00F674CC"/>
    <w:rsid w:val="00F7047E"/>
    <w:rsid w:val="00F76660"/>
    <w:rsid w:val="00F770B4"/>
    <w:rsid w:val="00F77563"/>
    <w:rsid w:val="00F80067"/>
    <w:rsid w:val="00F830A8"/>
    <w:rsid w:val="00F86862"/>
    <w:rsid w:val="00F86B93"/>
    <w:rsid w:val="00F87108"/>
    <w:rsid w:val="00F90715"/>
    <w:rsid w:val="00F9097C"/>
    <w:rsid w:val="00F9114B"/>
    <w:rsid w:val="00F93111"/>
    <w:rsid w:val="00F9318B"/>
    <w:rsid w:val="00F93578"/>
    <w:rsid w:val="00F94968"/>
    <w:rsid w:val="00F95229"/>
    <w:rsid w:val="00F9534B"/>
    <w:rsid w:val="00F9586C"/>
    <w:rsid w:val="00F95AD1"/>
    <w:rsid w:val="00F973F8"/>
    <w:rsid w:val="00F9744E"/>
    <w:rsid w:val="00F97695"/>
    <w:rsid w:val="00FA0014"/>
    <w:rsid w:val="00FA015D"/>
    <w:rsid w:val="00FA1026"/>
    <w:rsid w:val="00FA2536"/>
    <w:rsid w:val="00FA258E"/>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F79"/>
    <w:rsid w:val="00FC143A"/>
    <w:rsid w:val="00FC1777"/>
    <w:rsid w:val="00FC19DC"/>
    <w:rsid w:val="00FC3AED"/>
    <w:rsid w:val="00FC51DF"/>
    <w:rsid w:val="00FC5804"/>
    <w:rsid w:val="00FC6AD6"/>
    <w:rsid w:val="00FC7546"/>
    <w:rsid w:val="00FD036D"/>
    <w:rsid w:val="00FD06D9"/>
    <w:rsid w:val="00FD1158"/>
    <w:rsid w:val="00FD1658"/>
    <w:rsid w:val="00FD20BE"/>
    <w:rsid w:val="00FD47D6"/>
    <w:rsid w:val="00FD49DA"/>
    <w:rsid w:val="00FE0AEA"/>
    <w:rsid w:val="00FE1AFF"/>
    <w:rsid w:val="00FE2325"/>
    <w:rsid w:val="00FE37E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3A0408"/>
  <w15:docId w15:val="{3698F337-5693-4827-8B9B-03B6FD581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1E19D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8F545A"/>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4F47FA"/>
    <w:pPr>
      <w:spacing w:after="220"/>
    </w:pPr>
    <w:rPr>
      <w:i/>
      <w:sz w:val="22"/>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9225\AppData\Roaming\Microsoft\Mallit\HEperus_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F6DF5BDA9545BB8ACA191D9CACC31F"/>
        <w:category>
          <w:name w:val="Yleiset"/>
          <w:gallery w:val="placeholder"/>
        </w:category>
        <w:types>
          <w:type w:val="bbPlcHdr"/>
        </w:types>
        <w:behaviors>
          <w:behavior w:val="content"/>
        </w:behaviors>
        <w:guid w:val="{7357219C-224F-4BAC-9BFE-1CCAEB26388D}"/>
      </w:docPartPr>
      <w:docPartBody>
        <w:p w:rsidR="00B036A8" w:rsidRDefault="00390D62">
          <w:pPr>
            <w:pStyle w:val="76F6DF5BDA9545BB8ACA191D9CACC31F"/>
          </w:pPr>
          <w:r w:rsidRPr="005D3E42">
            <w:rPr>
              <w:rStyle w:val="Paikkamerkkiteksti"/>
            </w:rPr>
            <w:t>Click or tap here to enter text.</w:t>
          </w:r>
        </w:p>
      </w:docPartBody>
    </w:docPart>
    <w:docPart>
      <w:docPartPr>
        <w:name w:val="0B3D8AFE385644829279A45AECEE99FE"/>
        <w:category>
          <w:name w:val="Yleiset"/>
          <w:gallery w:val="placeholder"/>
        </w:category>
        <w:types>
          <w:type w:val="bbPlcHdr"/>
        </w:types>
        <w:behaviors>
          <w:behavior w:val="content"/>
        </w:behaviors>
        <w:guid w:val="{FFB03E3D-353F-4A4C-BDA2-58810E881B0A}"/>
      </w:docPartPr>
      <w:docPartBody>
        <w:p w:rsidR="00B036A8" w:rsidRDefault="00390D62">
          <w:pPr>
            <w:pStyle w:val="0B3D8AFE385644829279A45AECEE99FE"/>
          </w:pPr>
          <w:r w:rsidRPr="005D3E42">
            <w:rPr>
              <w:rStyle w:val="Paikkamerkkiteksti"/>
            </w:rPr>
            <w:t>Click or tap here to enter text.</w:t>
          </w:r>
        </w:p>
      </w:docPartBody>
    </w:docPart>
    <w:docPart>
      <w:docPartPr>
        <w:name w:val="6D02541FE455414E9A3D89757F00ED9B"/>
        <w:category>
          <w:name w:val="Yleiset"/>
          <w:gallery w:val="placeholder"/>
        </w:category>
        <w:types>
          <w:type w:val="bbPlcHdr"/>
        </w:types>
        <w:behaviors>
          <w:behavior w:val="content"/>
        </w:behaviors>
        <w:guid w:val="{79182EEF-00B7-4993-AD0F-A4A1A2FEEE12}"/>
      </w:docPartPr>
      <w:docPartBody>
        <w:p w:rsidR="00B036A8" w:rsidRDefault="00390D62">
          <w:pPr>
            <w:pStyle w:val="6D02541FE455414E9A3D89757F00ED9B"/>
          </w:pPr>
          <w:r w:rsidRPr="002B458A">
            <w:rPr>
              <w:rStyle w:val="Paikkamerkkiteksti"/>
            </w:rPr>
            <w:t>Kirjoita tekstiä napsauttamalla tai napauttamalla tätä.</w:t>
          </w:r>
        </w:p>
      </w:docPartBody>
    </w:docPart>
    <w:docPart>
      <w:docPartPr>
        <w:name w:val="ED491619D3E646FDB0D05A98077F572E"/>
        <w:category>
          <w:name w:val="Yleiset"/>
          <w:gallery w:val="placeholder"/>
        </w:category>
        <w:types>
          <w:type w:val="bbPlcHdr"/>
        </w:types>
        <w:behaviors>
          <w:behavior w:val="content"/>
        </w:behaviors>
        <w:guid w:val="{B28E1319-75F5-41CE-9803-4B46BDF3BF81}"/>
      </w:docPartPr>
      <w:docPartBody>
        <w:p w:rsidR="00B036A8" w:rsidRDefault="00390D62">
          <w:pPr>
            <w:pStyle w:val="ED491619D3E646FDB0D05A98077F572E"/>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53"/>
    <w:rsid w:val="001A575F"/>
    <w:rsid w:val="00390D62"/>
    <w:rsid w:val="00906653"/>
    <w:rsid w:val="00B036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06653"/>
    <w:rPr>
      <w:color w:val="808080"/>
    </w:rPr>
  </w:style>
  <w:style w:type="paragraph" w:customStyle="1" w:styleId="76F6DF5BDA9545BB8ACA191D9CACC31F">
    <w:name w:val="76F6DF5BDA9545BB8ACA191D9CACC31F"/>
  </w:style>
  <w:style w:type="paragraph" w:customStyle="1" w:styleId="0B3D8AFE385644829279A45AECEE99FE">
    <w:name w:val="0B3D8AFE385644829279A45AECEE99FE"/>
  </w:style>
  <w:style w:type="paragraph" w:customStyle="1" w:styleId="6D02541FE455414E9A3D89757F00ED9B">
    <w:name w:val="6D02541FE455414E9A3D89757F00ED9B"/>
  </w:style>
  <w:style w:type="paragraph" w:customStyle="1" w:styleId="ED491619D3E646FDB0D05A98077F572E">
    <w:name w:val="ED491619D3E646FDB0D05A98077F572E"/>
  </w:style>
  <w:style w:type="paragraph" w:customStyle="1" w:styleId="509510BA8EAF44B7833E4CCC72A113D5">
    <w:name w:val="509510BA8EAF44B7833E4CCC72A113D5"/>
  </w:style>
  <w:style w:type="paragraph" w:customStyle="1" w:styleId="5E3FFE991CE84906B824D85B672F1035">
    <w:name w:val="5E3FFE991CE84906B824D85B672F1035"/>
  </w:style>
  <w:style w:type="paragraph" w:customStyle="1" w:styleId="443046EE33B048AA8816845D69D05706">
    <w:name w:val="443046EE33B048AA8816845D69D05706"/>
    <w:rsid w:val="009066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D717C-C75D-4C77-AB81-8F05A08EF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HEperus_sv.dotx</Template>
  <TotalTime>9</TotalTime>
  <Pages>15</Pages>
  <Words>4580</Words>
  <Characters>37101</Characters>
  <Application>Microsoft Office Word</Application>
  <DocSecurity>0</DocSecurity>
  <Lines>309</Lines>
  <Paragraphs>83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Kankare Suvi (LVM)</dc:creator>
  <cp:keywords/>
  <dc:description/>
  <cp:lastModifiedBy>Suvi Kankare</cp:lastModifiedBy>
  <cp:revision>7</cp:revision>
  <cp:lastPrinted>2017-12-04T10:02:00Z</cp:lastPrinted>
  <dcterms:created xsi:type="dcterms:W3CDTF">2022-05-05T10:24:00Z</dcterms:created>
  <dcterms:modified xsi:type="dcterms:W3CDTF">2022-05-05T10:32:00Z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HEperus_sv</vt:lpwstr>
  </property>
  <property fmtid="{D5CDD505-2E9C-101B-9397-08002B2CF9AE}" pid="3" name="RakAsUseCCTags">
    <vt:bool>true</vt:bool>
  </property>
</Properties>
</file>