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A0790" w14:textId="77777777" w:rsidR="000D1863" w:rsidRPr="00CC181A" w:rsidRDefault="0034326F" w:rsidP="00CC181A">
      <w:r>
        <w:tab/>
      </w:r>
    </w:p>
    <w:p w14:paraId="1CD08C4A" w14:textId="227EA8AA" w:rsidR="00567BA5" w:rsidRDefault="00F55EE3" w:rsidP="00567BA5">
      <w:pPr>
        <w:pStyle w:val="LLSaadoksenNimi"/>
      </w:pPr>
      <w:r w:rsidRPr="0034326F">
        <w:t xml:space="preserve">EHDOTUS </w:t>
      </w:r>
      <w:r w:rsidR="007F5690">
        <w:t xml:space="preserve">VALTIONNEUVOSTON ASETUKSEKSI </w:t>
      </w:r>
      <w:r w:rsidR="00567BA5">
        <w:t xml:space="preserve">VARAUTUMISSUUNNITELMAAN SISÄLLYTETTÄVÄSTÄ SÄHKÖNKÄYTTÖPAIKKOJEN ETUSIJAJÄRJESTYKSESTÄ </w:t>
      </w:r>
      <w:bookmarkStart w:id="0" w:name="_GoBack"/>
      <w:bookmarkEnd w:id="0"/>
    </w:p>
    <w:p w14:paraId="42AA0792" w14:textId="5C434C3C" w:rsidR="003B0392" w:rsidRPr="002275A6" w:rsidRDefault="003B0392" w:rsidP="003B0392">
      <w:pPr>
        <w:rPr>
          <w:b/>
        </w:rPr>
      </w:pPr>
    </w:p>
    <w:p w14:paraId="42AA0793" w14:textId="01030BC2" w:rsidR="00CC181A" w:rsidRDefault="00CC181A" w:rsidP="00CC181A"/>
    <w:p w14:paraId="6CE6B6CA" w14:textId="17D6D441" w:rsidR="000665DD" w:rsidRDefault="000665DD" w:rsidP="00CC181A"/>
    <w:p w14:paraId="27998799" w14:textId="77777777" w:rsidR="000665DD" w:rsidRPr="00CC181A" w:rsidRDefault="000665DD" w:rsidP="00CC181A"/>
    <w:p w14:paraId="42AA0794" w14:textId="0941E99F" w:rsidR="00F55EE3" w:rsidRDefault="00236C1F" w:rsidP="00F55EE3">
      <w:pPr>
        <w:pStyle w:val="M1Otsikkotaso"/>
      </w:pPr>
      <w:r>
        <w:t>Ehdotuksen tausta</w:t>
      </w:r>
    </w:p>
    <w:p w14:paraId="5FE11D97" w14:textId="74B5FC6F" w:rsidR="005F3C3A" w:rsidRDefault="00A826E4" w:rsidP="00AC685B">
      <w:pPr>
        <w:pStyle w:val="MKappalejako"/>
      </w:pPr>
      <w:r w:rsidRPr="00A826E4">
        <w:t xml:space="preserve">Asetuksella </w:t>
      </w:r>
      <w:r w:rsidR="00AC685B">
        <w:t>säädettäisii</w:t>
      </w:r>
      <w:r w:rsidR="00AC685B" w:rsidRPr="00A826E4">
        <w:t xml:space="preserve">n </w:t>
      </w:r>
      <w:r w:rsidR="00AC685B">
        <w:t>yhteiskunnan johtamisen ja turvallisuuden, väestön toimeentulon sekä elinkeinoelämän toimintakyvyn varmistamiseen liittyvästä sähkönkäyttöpaikkojen kriittisyysluokittelusta verkonhaltijoiden</w:t>
      </w:r>
      <w:r w:rsidR="00AC685B" w:rsidRPr="00AC685B">
        <w:t xml:space="preserve"> häiriö-, sähköpula- ja kriisitilanteita varten laatimissa varautumissuunnitelmissa.</w:t>
      </w:r>
      <w:r w:rsidRPr="00A826E4">
        <w:t xml:space="preserve"> </w:t>
      </w:r>
      <w:r w:rsidR="00AC685B">
        <w:t>Tavoitteena on</w:t>
      </w:r>
      <w:r w:rsidRPr="00A826E4">
        <w:t xml:space="preserve"> turvata</w:t>
      </w:r>
      <w:r w:rsidR="00AC685B">
        <w:t xml:space="preserve"> yhteiskunnan </w:t>
      </w:r>
      <w:r w:rsidRPr="00A826E4">
        <w:t>mahdollisimman häiriötön sähkönsaanti osana verkkohaltijan varautumissuunnitelmaa.</w:t>
      </w:r>
      <w:r w:rsidR="005F3C3A">
        <w:t xml:space="preserve"> </w:t>
      </w:r>
    </w:p>
    <w:p w14:paraId="0F59AA89" w14:textId="42DDC580" w:rsidR="00AC685B" w:rsidRPr="00A826E4" w:rsidRDefault="00AC685B" w:rsidP="00477B91">
      <w:pPr>
        <w:pStyle w:val="MKappalejako"/>
      </w:pPr>
      <w:r>
        <w:t>Viimeaikaisessa poliittisessa keskustel</w:t>
      </w:r>
      <w:r w:rsidR="00AC2536">
        <w:t>ussa</w:t>
      </w:r>
      <w:r>
        <w:t xml:space="preserve"> on noussut tarve turvata </w:t>
      </w:r>
      <w:r w:rsidR="00957E6E" w:rsidRPr="006748BB">
        <w:t>yhteiskunnan johtamisen ja turvallisuuden kannalta välttämätt</w:t>
      </w:r>
      <w:r w:rsidR="00957E6E">
        <w:t>ömät toiminnot häiriö-, sähköpula- ja kriisitilanteissa</w:t>
      </w:r>
      <w:r>
        <w:t xml:space="preserve"> aiempaa yhdenmukaisemmin</w:t>
      </w:r>
      <w:r w:rsidRPr="001F625C">
        <w:t>.</w:t>
      </w:r>
      <w:r>
        <w:t xml:space="preserve"> Tällaisen sääntelyn tavoitteena olisi minimoida mahdollisesta sähköpulasta tai kriisistä aiheutuvat haitat ja osaltaan edistää yhteiskunnan häiriötöntä toimintaa.</w:t>
      </w:r>
    </w:p>
    <w:p w14:paraId="2A596645" w14:textId="68AA6BB1" w:rsidR="00A74F57" w:rsidRDefault="00A826E4" w:rsidP="001F625C">
      <w:pPr>
        <w:pStyle w:val="MKappalejako"/>
      </w:pPr>
      <w:r w:rsidRPr="00A826E4">
        <w:t xml:space="preserve">Kriittisten sähkönkäyttöpaikkojen määrittäminen ei </w:t>
      </w:r>
      <w:r w:rsidR="00AC685B">
        <w:t xml:space="preserve">kuitenkaan </w:t>
      </w:r>
      <w:r w:rsidRPr="00A826E4">
        <w:t>poista lähtökohtaa</w:t>
      </w:r>
      <w:r w:rsidR="00AC685B">
        <w:t xml:space="preserve"> siitä</w:t>
      </w:r>
      <w:r w:rsidRPr="00A826E4">
        <w:t xml:space="preserve">, että käyttöpaikat ovat itse vastuussa varautumisestaan </w:t>
      </w:r>
      <w:r w:rsidR="00AC685B">
        <w:t>sähkökatkojen varalta</w:t>
      </w:r>
      <w:r w:rsidRPr="00A826E4">
        <w:t xml:space="preserve">. </w:t>
      </w:r>
      <w:r w:rsidR="00D93C9F">
        <w:t>Luokittelu kriittiseksi sähkönkäyttäjäksi ei tarkoita</w:t>
      </w:r>
      <w:r w:rsidR="003522F4">
        <w:t>,</w:t>
      </w:r>
      <w:r w:rsidR="00D93C9F">
        <w:t xml:space="preserve"> </w:t>
      </w:r>
      <w:r w:rsidR="003522F4">
        <w:t xml:space="preserve">ettei </w:t>
      </w:r>
      <w:r w:rsidR="00D93C9F">
        <w:t>toimijan käyttöpaikan sähkö voisi joissain tilanteissa katketa.</w:t>
      </w:r>
      <w:r w:rsidR="00AC685B">
        <w:t xml:space="preserve"> </w:t>
      </w:r>
    </w:p>
    <w:p w14:paraId="77C1035E" w14:textId="06BD47EF" w:rsidR="00164CB3" w:rsidRDefault="001F625C" w:rsidP="00164CB3">
      <w:pPr>
        <w:pStyle w:val="MKappalejako"/>
      </w:pPr>
      <w:r>
        <w:t xml:space="preserve">Tällä hetkellä jokainen verkonhaltija vastaa </w:t>
      </w:r>
      <w:r w:rsidR="003522F4">
        <w:t xml:space="preserve">itse </w:t>
      </w:r>
      <w:r>
        <w:t>tärkeiden sähkönkäyttöpaikkojen nimeämisestä sähkömarkkinalain (580/2013) vaatimusten mukaisesti.</w:t>
      </w:r>
      <w:r w:rsidR="00A74F57">
        <w:t xml:space="preserve"> </w:t>
      </w:r>
      <w:r w:rsidR="00113244">
        <w:t>S</w:t>
      </w:r>
      <w:r w:rsidR="00164CB3">
        <w:t>ähkömarkkinalain 28 §</w:t>
      </w:r>
      <w:r w:rsidR="00113244">
        <w:t xml:space="preserve"> </w:t>
      </w:r>
      <w:r w:rsidR="00164CB3">
        <w:t>edellyttää sähköverkonhaltijoita varautumaan</w:t>
      </w:r>
      <w:r w:rsidR="00164CB3" w:rsidRPr="00164CB3">
        <w:t xml:space="preserve"> sähköverkkoonsa kohdistuviin normaaliolojen häiriötilanteisiin</w:t>
      </w:r>
      <w:r w:rsidR="00164CB3">
        <w:t xml:space="preserve"> sekä mahdollisten sähkön säännöstelytoimenpiteiden täytäntöönpanoon. Sen vuoksi verkonhaltijan on laadittava varautumissuunnitelma</w:t>
      </w:r>
      <w:r w:rsidR="00E15E75">
        <w:t xml:space="preserve"> sekä määritettävä</w:t>
      </w:r>
      <w:r w:rsidR="00164CB3">
        <w:t xml:space="preserve">, miten ja missä järjestyksessä sähköt palautetaan asiakkaille häiriötilanteessa. </w:t>
      </w:r>
      <w:r w:rsidR="00A75516">
        <w:t>Lainsäädännössä ei ole tarkennettu sitä, minkä kriteerien perustella verkonhaltijoiden tul</w:t>
      </w:r>
      <w:r w:rsidR="00E15E75">
        <w:t xml:space="preserve">ee priorisoida sähkönkäyttäjiä, vaan verkonhaltijat ovat </w:t>
      </w:r>
      <w:r w:rsidR="008472F7">
        <w:t>vastanneet</w:t>
      </w:r>
      <w:r w:rsidR="00E15E75">
        <w:t xml:space="preserve"> siitä, minkä kriteerien perusteella ne priorisoinnin tekevät. </w:t>
      </w:r>
    </w:p>
    <w:p w14:paraId="787A7A20" w14:textId="289A69A4" w:rsidR="00A75516" w:rsidRDefault="00A75516" w:rsidP="003522F4">
      <w:pPr>
        <w:pStyle w:val="MKappalejako"/>
      </w:pPr>
      <w:r>
        <w:t xml:space="preserve">Huoltovarmuuskeskuksen voimatalouspooli on laatinut </w:t>
      </w:r>
      <w:r w:rsidR="00AC2536">
        <w:t xml:space="preserve">ohjeistuksen </w:t>
      </w:r>
      <w:r>
        <w:t>yleis</w:t>
      </w:r>
      <w:r w:rsidR="00AC2536">
        <w:t>eksi</w:t>
      </w:r>
      <w:r>
        <w:t xml:space="preserve"> sähkönkäyttäjien tärkeysluokituks</w:t>
      </w:r>
      <w:r w:rsidR="00AC2536">
        <w:t>eksi</w:t>
      </w:r>
      <w:r w:rsidR="009A4B50">
        <w:t xml:space="preserve"> vuonna 2018. </w:t>
      </w:r>
      <w:r w:rsidR="003522F4">
        <w:t>Luokittelussa</w:t>
      </w:r>
      <w:r>
        <w:t xml:space="preserve"> on listattu elintarvikehuollon, sosiaali- ja terveydenhuollon, energianyhteiskuntahuollon, tiedotuksen ja viestinnän, teollisuustuotannon sekä julkishallinnon- ja palveluiden osalta kriittisiä sähkönkäyttäjiä.</w:t>
      </w:r>
      <w:r w:rsidR="00E15E75">
        <w:t xml:space="preserve"> </w:t>
      </w:r>
      <w:r w:rsidR="003522F4">
        <w:t xml:space="preserve">Luokittelua </w:t>
      </w:r>
      <w:r w:rsidR="00E15E75">
        <w:t xml:space="preserve">ei kuitenkaan ole tehty erityisesti sähkökatkoksia tai </w:t>
      </w:r>
      <w:r w:rsidR="00E15E75">
        <w:lastRenderedPageBreak/>
        <w:t>sähköpulatilanteita</w:t>
      </w:r>
      <w:r w:rsidR="008122B0">
        <w:t>, vaan kyseessä on yleinen tärkeysluokitus</w:t>
      </w:r>
      <w:r w:rsidR="00E15E75">
        <w:t>.</w:t>
      </w:r>
      <w:r w:rsidR="003522F4">
        <w:t xml:space="preserve"> Eri toimintoja tai ryhmiä ei ole laitettu järjestykseen tai priorisoitu tarkemmin.</w:t>
      </w:r>
    </w:p>
    <w:p w14:paraId="2A8A38A8" w14:textId="131C69CA" w:rsidR="00A86E0B" w:rsidRDefault="00FB5BFB" w:rsidP="00AA7804">
      <w:pPr>
        <w:pStyle w:val="MKappalejako"/>
      </w:pPr>
      <w:r>
        <w:t>Koska kriittisiä sähkönkäyttäjiä ei o</w:t>
      </w:r>
      <w:r w:rsidR="003522F4">
        <w:t>le määritelty yhdenmukaisesti, H</w:t>
      </w:r>
      <w:r>
        <w:t>uoltovarm</w:t>
      </w:r>
      <w:r w:rsidR="00A75516">
        <w:t>uuskeskus teetti</w:t>
      </w:r>
      <w:r w:rsidR="00846146">
        <w:t xml:space="preserve"> 27.8</w:t>
      </w:r>
      <w:r w:rsidR="00E15E75">
        <w:t>.</w:t>
      </w:r>
      <w:r w:rsidR="00846146">
        <w:t>2021 päivätyn</w:t>
      </w:r>
      <w:r w:rsidR="00A75516">
        <w:t xml:space="preserve"> selvityksen </w:t>
      </w:r>
      <w:r w:rsidR="005F6752">
        <w:t>kriittisten sähkönkäyttöpaikkojen priorisoin</w:t>
      </w:r>
      <w:r w:rsidR="00E15E75">
        <w:t>nista</w:t>
      </w:r>
      <w:r w:rsidR="001A4125">
        <w:t xml:space="preserve"> yhteistyössä työ- ja elinkeinoministeriön kanssa</w:t>
      </w:r>
      <w:r w:rsidR="005F6752">
        <w:t xml:space="preserve">. Selvitys </w:t>
      </w:r>
      <w:r w:rsidR="00846146">
        <w:t xml:space="preserve">tehtiin tukemaan myöhempää viranomaisohjeistusta tai säädösvalmistelua. </w:t>
      </w:r>
      <w:r w:rsidR="00EF54A9">
        <w:t>Selvityksessä tunnistettiin</w:t>
      </w:r>
      <w:r w:rsidR="00CA4235">
        <w:t xml:space="preserve"> erilaiset häiriö- ja keskeytystilanteet</w:t>
      </w:r>
      <w:r w:rsidR="00EC22C5">
        <w:t>,</w:t>
      </w:r>
      <w:r w:rsidR="00CA4235">
        <w:t xml:space="preserve"> sähköpula</w:t>
      </w:r>
      <w:r w:rsidR="00E15E75">
        <w:t xml:space="preserve"> sekä kriisi</w:t>
      </w:r>
      <w:r w:rsidR="00EC22C5">
        <w:t>tilanteet poikkeusolot mukaan lukien</w:t>
      </w:r>
      <w:r w:rsidR="00D670A5">
        <w:t>, joissa sähkönkäyttöpaikkojen priorisointi</w:t>
      </w:r>
      <w:r w:rsidR="004A3DB7">
        <w:t xml:space="preserve">kriteereitä </w:t>
      </w:r>
      <w:r w:rsidR="00EF54A9">
        <w:t>voitaisiin soveltaa</w:t>
      </w:r>
      <w:r w:rsidR="004A3DB7">
        <w:t>.</w:t>
      </w:r>
    </w:p>
    <w:p w14:paraId="44132F9E" w14:textId="1D2659B2" w:rsidR="00AC685B" w:rsidRDefault="00AC2536" w:rsidP="00AA7804">
      <w:pPr>
        <w:pStyle w:val="MKappalejako"/>
      </w:pPr>
      <w:r>
        <w:t>Kriittisyysluokittelussa on tärkeää</w:t>
      </w:r>
      <w:r w:rsidR="00AC685B">
        <w:t xml:space="preserve">, että kriittisten käyttöpaikkojen määrä ei nouse hallitsemattoman suureksi. Tällöin esimerkiksi sähköpulatilanteessa verkkoyhtiöllä ei olisi keinoja välttää sähkökatkojen kohdistamista kriittisille asiakkaille. </w:t>
      </w:r>
    </w:p>
    <w:p w14:paraId="4F0FD40C" w14:textId="5A42F4E7" w:rsidR="00236C1F" w:rsidRDefault="00236C1F" w:rsidP="00AA7804">
      <w:pPr>
        <w:pStyle w:val="MKappalejako"/>
      </w:pPr>
      <w:r>
        <w:rPr>
          <w:i/>
        </w:rPr>
        <w:t>Soveltuva lainsäädäntö</w:t>
      </w:r>
    </w:p>
    <w:p w14:paraId="3F169E15" w14:textId="3ACDD557" w:rsidR="00E15E75" w:rsidRDefault="00E15E75" w:rsidP="00AA7804">
      <w:pPr>
        <w:pStyle w:val="MKappalejako"/>
      </w:pPr>
      <w:r>
        <w:t xml:space="preserve">Euroopan parlamentin ja neuvoston asetuksella (2019/941) riskeihin varautumisesta sähköalalla ja direktiivin 2005/89/EY kumoamisesta vahvistetaan säännöt jäsenvaltioiden yhteistyöstä sähkökriisien ehkäisemiseksi, niiden varmistamiseksi ja hallitsemiseksi esimerkiksi eräiden äärimmäisten olosuhteiden, kuten kovien pakkasten, helleaaltojen tai kyberhyökkäysten sattuessa. Asetuksen 11 artiklan mukaan kunkin jäsenvaltion </w:t>
      </w:r>
      <w:r w:rsidR="00417257">
        <w:t xml:space="preserve">suunnitelmassa </w:t>
      </w:r>
      <w:r>
        <w:t>riskeihinvarautumis</w:t>
      </w:r>
      <w:r w:rsidR="00417257">
        <w:t>ta</w:t>
      </w:r>
      <w:r>
        <w:t xml:space="preserve"> on esit</w:t>
      </w:r>
      <w:r w:rsidR="00E23BA2">
        <w:t xml:space="preserve">ettävä kansalliset toimenpiteet </w:t>
      </w:r>
      <w:r>
        <w:t>sähkökriisien ehkäisemiseksi, niihin varautumiseksi ja niiden lieventämiseksi. Suunnitelmassa on muun muassa esitettävä kehys manuaaliselle kuormien irtikytkennälle ja vahvistettava olosuhteet, joissa kuormia on tarkoitus irtikytkeä. Yleisen ja henkilökohtaisen turvallisuuden osalta suunnitelmassa on täsmennettävä, mitkä sähkön käyttäjäryhmät ovat kansallisen lainsäädännön mukaisesti oikeutettuja erityiseen suojeluun irtikytkemiseltä, sekä perusteltava tällaisen suojelun tarve.</w:t>
      </w:r>
    </w:p>
    <w:p w14:paraId="56F7137D" w14:textId="6DFF8E88" w:rsidR="00EB2B4D" w:rsidRDefault="00EB2B4D" w:rsidP="00AA7804">
      <w:pPr>
        <w:pStyle w:val="MKappalejako"/>
      </w:pPr>
      <w:r>
        <w:t>Kansallisesti toimitusvarmuusasetuksen mukaisen riskienvarautumissuunnitelman laatiminen on säädetty Energiavirastosta annetun lain (870/2013) 1 §:n 4 momentissa Energiaviraston tehtäväksi.</w:t>
      </w:r>
    </w:p>
    <w:p w14:paraId="1B1C6FE2" w14:textId="456FD9BC" w:rsidR="00DD2207" w:rsidRDefault="00DD2207" w:rsidP="00AA7804">
      <w:pPr>
        <w:pStyle w:val="MKappalejako"/>
      </w:pPr>
      <w:r>
        <w:t>Meneillään olevista EU-tason säädösuudistuksista olennainen on myös komission direktiiviehdotus kriittisten toimijoiden häiriönsietokyvystä (</w:t>
      </w:r>
      <w:r w:rsidRPr="00DD2207">
        <w:t>COM (2020) 829</w:t>
      </w:r>
      <w:r>
        <w:t>). Direktiiviehdotuksen tarkoituksena on parantaa välttämättömien palvelujen tarjontaa sisämarkkinoilla toimilla, jotka ylläpitävät ja parantavat yhteiskuntien kannalta kriittisten toimijoiden häiriönsietokykyä. Ehdotus edellyttää, että EU-maat määrittävät kriittisen infrastruktuurin kriisinkestävyydestä vastaavat viranomaiset, arvioivat elintärkeät toimintonsa ja nimeävät kansallisesti merkittävät kriittiset infrastruktuuri- ja palvelutoimijat yhteisten kriteerien pohjalta. Direktiiviehdotuksen mukaan jäsenvaltioiden olisi laadittava strategia kriittisten toimijoiden häiriönsietokyvyn varmistamiseksi.</w:t>
      </w:r>
    </w:p>
    <w:p w14:paraId="356C78DC" w14:textId="5546FFBE" w:rsidR="00DD2207" w:rsidRDefault="00DD2207" w:rsidP="00FA6BF3">
      <w:pPr>
        <w:pStyle w:val="MKappalejako"/>
      </w:pPr>
      <w:r>
        <w:t xml:space="preserve">Huoltovarmuuden turvaamisesta annetun lain (1390/1992) tarkoituksena on poikkeusolojen ja niihin verrattavissa olevien vakavien häiriöiden varalta turvata väestön toimeentulon, maan talouselämän ja maanpuolustuksen kannalta välttämättömät taloudelliset toiminnot ja niihin liittyvät tekniset järjestelmät (huoltovarmuus). Lain mukaan huoltovarmuuden kehittäminen ja varautumistoimien yhteensovittaminen </w:t>
      </w:r>
      <w:r>
        <w:lastRenderedPageBreak/>
        <w:t xml:space="preserve">kuuluvat työ- ja elinkeinoministeriölle (4 §). Huoltovarmuuden kehittämistä ja ylläpitoa varten on Huoltovarmuuskeskus, jonka tehtävänä on muun muassa kehittää julkishallinnon ja elinkeinoelämän yhteistoimintaa huoltovarmuusasioissa sekä varmistaa huoltovarmuuden kannalta elintärkeiden teknisten järjestelmien toimivuus (5 ja 6 §). </w:t>
      </w:r>
      <w:r w:rsidR="00E23BA2">
        <w:t>Poikkeusolot olisivat kuitenkin asetusehdotuksen soveltamisalan ulkopuolella.</w:t>
      </w:r>
    </w:p>
    <w:p w14:paraId="54410185" w14:textId="42813E7B" w:rsidR="00DD2207" w:rsidRDefault="00DD2207" w:rsidP="00FA6BF3">
      <w:pPr>
        <w:pStyle w:val="MKappalejako"/>
      </w:pPr>
      <w:r>
        <w:t>Valtioneuvoston päätöksessä (1048/2018) huoltovarmuuden tavoitteista on todettu, että huoltovarmuustoiminnan painopistettä suunnataan lisääntyvästi kriittisen infrastruktuurin toimintakyvyn varmistamiseen materiaalisen varautumisen lisäksi. Energiansaannin varmistaminen on yksi päätöksessä mainituista kriittisen infrastruktuurin erityisistä painopisteistä.</w:t>
      </w:r>
    </w:p>
    <w:p w14:paraId="7346D38A" w14:textId="525417EE" w:rsidR="00DD2207" w:rsidRDefault="00A544C4" w:rsidP="00FA6BF3">
      <w:pPr>
        <w:pStyle w:val="MKappalejako"/>
      </w:pPr>
      <w:r>
        <w:t>H</w:t>
      </w:r>
      <w:r w:rsidR="00DD2207">
        <w:t>uoltovarmuuden tavoitteista annetussa valtioneuvoston päätöksessä erikseen käsiteltyjä kriittisen tuotannon ja palveluiden sektoreita ovat vesihuolto, teollisuus, in</w:t>
      </w:r>
      <w:r>
        <w:t>frast</w:t>
      </w:r>
      <w:r w:rsidR="00DD2207">
        <w:t>r</w:t>
      </w:r>
      <w:r>
        <w:t>u</w:t>
      </w:r>
      <w:r w:rsidR="00DD2207">
        <w:t>ktuurin rakentaminen ja kunnossapito, elintarvikehuolto, sosiaali- ja terveydenhuolto ja lääkehuolto sekä jätehuolto. Useiden kriittisten sektoreiden osalta päätöksessä on otettu huomioon riippuvuus energiasektorista ja sähkönjakelusta. Esimerkiksi vesihuollon osalta on todettu, että vesihuoltolaitokset varautuvat muun muassa energian saannin häiriöihin ja toisaalta myös selvittävät yhteistyössä energiatoimittajien kanssa edellytyksiä luoda järjestelmä kriittisten tuotannontekijöiden jakeluhäiriön hallintaan.</w:t>
      </w:r>
    </w:p>
    <w:p w14:paraId="211145A4" w14:textId="1BD1BF77" w:rsidR="00DD2207" w:rsidRDefault="00DD2207" w:rsidP="00FA6BF3">
      <w:pPr>
        <w:pStyle w:val="MKappalejako"/>
      </w:pPr>
      <w:r>
        <w:t>Sähkömarkkinalain säännökset sähkön toimitusvarmuudesta muodostavat laajan kokonaisuuden. Laissa on säännöksiä verkon kehittämisvelvollisuudesta (15 §), toiminnan laatuvaatimuksista (51 §) sekä verkon toiminnan häiriöistä maksettavista korvauksista ja muista seurauksista (97–100 § ja 107 §). Laissa on säädetty myös toiminnan kehittämiseksi asettavista taloudellisista kannustimista (106 §).</w:t>
      </w:r>
    </w:p>
    <w:p w14:paraId="07C24A83" w14:textId="77777777" w:rsidR="00954BB5" w:rsidRDefault="00DD2207" w:rsidP="00FA6BF3">
      <w:pPr>
        <w:pStyle w:val="MKappalejako"/>
      </w:pPr>
      <w:r>
        <w:t xml:space="preserve">Koko Suomen sähköjärjestelmän teknisestä toimivuudesta ja käyttövarmuudesta huolehtii kantaverkonhaltija Fingrid. Se voi asettaa järjestelmävastuun toteuttamiseksi tarpeellisia ehtoja sähkön siirtojärjestelmän sekä siihen liitettyjen voimalaitosten ja kuormien käyttämiselle (SML 45 §). </w:t>
      </w:r>
    </w:p>
    <w:p w14:paraId="58AB0B40" w14:textId="156C586F" w:rsidR="00DD2207" w:rsidRDefault="00954BB5" w:rsidP="00FA6BF3">
      <w:pPr>
        <w:pStyle w:val="MKappalejako"/>
      </w:pPr>
      <w:r>
        <w:t>Alueellisten verkkoyhtiöiden häiriötilanteisiin varautumisessa keskeisessä asemassa ovat säännökset verkonhaltijan varautumissuunnitelmasta (SML 28 §).</w:t>
      </w:r>
      <w:r w:rsidR="00A544C4">
        <w:t xml:space="preserve"> Sähkömarkkinalain 28 §:n mukaan verkonhaltijan on asianmukaisella suunnittelulla varauduttava sähköverkkoonsa kohdistuviin normaaliolojen häiriötilanteisiin, sähköjärjestelmässä ilmenevien sähkönsaannin häiriöiden edellyttämien säännöstelytoimenpiteiden täytäntöönpanoon ja valmiuslaissa tarkoitettuihin poikkeusoloihin.</w:t>
      </w:r>
    </w:p>
    <w:p w14:paraId="108FE341" w14:textId="433C4A65" w:rsidR="00A544C4" w:rsidRDefault="00A544C4" w:rsidP="00FA6BF3">
      <w:pPr>
        <w:pStyle w:val="MKappalejako"/>
      </w:pPr>
      <w:r>
        <w:t>Sähkömarkkinalain 28 §:n 3 momentin mukaan Energiavirastolla on oikeus kuuden kuukauden kuluessa varautumissuunnitelman vastaanottamisesta vaatia verkonhaltijaa tekemään siihen muutoksia, jos se ei täytä säädettyjä vaatimuksia.</w:t>
      </w:r>
    </w:p>
    <w:p w14:paraId="6DA294C0" w14:textId="77777777" w:rsidR="00A544C4" w:rsidRPr="00954BB5" w:rsidRDefault="00A544C4" w:rsidP="00A544C4">
      <w:pPr>
        <w:pStyle w:val="MKappalejako"/>
      </w:pPr>
      <w:r>
        <w:t xml:space="preserve">Hallituksen esityksen yksityiskohtaisten perusteluiden mukaan </w:t>
      </w:r>
      <w:r w:rsidRPr="00954BB5">
        <w:t>kehittämissuunnitelmassa olisi verkon käyttäjien kohtuullisten tarpeiden mukaisesti kiinnitettävä huomiota sellaisten sähkönkäyttöpaikkojen sähkönsaannin varmistamiseen, joihin on sijoittunut yhteiskunnan johtamisen tai turv</w:t>
      </w:r>
      <w:r>
        <w:t xml:space="preserve">allisuuden, väestön toimeentulon taikka elinkeinoelämän toimintakyvyn varmistamisen kannalta tärkeitä toimintoja ja palveluita. </w:t>
      </w:r>
    </w:p>
    <w:p w14:paraId="2946205B" w14:textId="72AD77D7" w:rsidR="00A544C4" w:rsidRDefault="00A544C4" w:rsidP="00FA6BF3">
      <w:pPr>
        <w:pStyle w:val="MKappalejako"/>
      </w:pPr>
      <w:r>
        <w:lastRenderedPageBreak/>
        <w:t xml:space="preserve">Sähköpulatilannetta </w:t>
      </w:r>
      <w:r w:rsidR="006D0591">
        <w:t xml:space="preserve">koskien </w:t>
      </w:r>
      <w:r w:rsidR="0083578C">
        <w:t xml:space="preserve">hallituksen esityksessä on todettu, että sähkön saatavuus voi vaikeutua muun muassa voimalaitoslakon aikana, kantaverkon häiriötilanteessa tai polttoaineen saannin vaikeutuessa erilaisten kriisien vuoksi. Tällöin jakeluverkonhaltijat voivat joutua säännöstelemään sähkön saantia. Tällaisten harvinaisten, mutta vakavien tilanteiden varalle jakeluverkonhaltijat ovat laatineet suunnitelmat, joilla pyritään kaikissa oloissa turvaamaan esimerkiksi sairaaloiden ja hälytyskeskusten toiminta. Käytännössä tällainen sähkön saannin säännöstely tarkoittaa ensimmäisessä vaiheessa sähkön saannin rajoittamista </w:t>
      </w:r>
      <w:r w:rsidR="006D0591">
        <w:t>siten</w:t>
      </w:r>
      <w:r w:rsidR="0083578C">
        <w:t xml:space="preserve">, että </w:t>
      </w:r>
      <w:r w:rsidR="006D0591">
        <w:t xml:space="preserve">verkon </w:t>
      </w:r>
      <w:r w:rsidR="0083578C">
        <w:t xml:space="preserve">eri alueille toimitetaan sähköä vuorotellen. Sähkön tuottajien, myyjien ja verkonhaltijoiden välillä on valmisteltu toimintaperiaatteet sähköpulan </w:t>
      </w:r>
      <w:r w:rsidR="006D0591">
        <w:t>varalta</w:t>
      </w:r>
      <w:r w:rsidR="0083578C">
        <w:t xml:space="preserve">. Periaatteet koskevat niin valtakunnallista sähköpulaa, sitä edeltävää tilannetta kuin myös alueellista pulatilannetta. Periaatteet lähtevät siitä, että </w:t>
      </w:r>
      <w:r w:rsidR="006D0591">
        <w:t xml:space="preserve">sähkön </w:t>
      </w:r>
      <w:r w:rsidR="0083578C">
        <w:t>toimitusvelvoitteet täytetään siinä laajuudessa kuin sen on mahdollista. Esteen vallitessa osapuolet rajoittavat toimituksiaan ja myös omaa käyttöään suhteellisesti samoin alueellisin osuuksin kohdistettuna sähkönkäyttäjiin mahdollisimman tasapuolisesti. Rajoitukset luokitellaan tärkeysasteen mukaisiin portaisiin ja elintärkeät toiminnot</w:t>
      </w:r>
      <w:r w:rsidR="006D0591">
        <w:t xml:space="preserve"> pyritään jättämään</w:t>
      </w:r>
      <w:r w:rsidR="0083578C">
        <w:t xml:space="preserve"> rajoitusten ulkopuolelle.</w:t>
      </w:r>
    </w:p>
    <w:p w14:paraId="4B442D22" w14:textId="6D5F38DF" w:rsidR="00954BB5" w:rsidRDefault="00954BB5" w:rsidP="00FA6BF3">
      <w:pPr>
        <w:pStyle w:val="MKappalejako"/>
      </w:pPr>
      <w:r>
        <w:t>Eri sähkönkäyttöpaikkojen keskeytyskriittisyys liit</w:t>
      </w:r>
      <w:r w:rsidR="006D0591">
        <w:t>tyy myös verkon kehittämiseen. Sähkömarkkinal</w:t>
      </w:r>
      <w:r>
        <w:t>ain 52 §:n mukaisessa kehittämissuunnitelmassa on verkon käyttäjien kohtuullisten tarpeiden mukaisesti kiinnitettävä huomiota sellaisten sähkönkäyttöpaikkojen sähkönsaannin varmistamiseen, joihin on sijoittunut yhteiskunnan johtamisen tai turvallisuuden, väestön toimeentulon taikka elinkeinoelämän toimintakyvyn varmistamisen kannalta tärkeitä toimintoja ja palveluita.</w:t>
      </w:r>
    </w:p>
    <w:p w14:paraId="660A15D5" w14:textId="62D3A023" w:rsidR="00B242E4" w:rsidRDefault="009C7326" w:rsidP="00FA6BF3">
      <w:pPr>
        <w:pStyle w:val="MKappalejako"/>
      </w:pPr>
      <w:r>
        <w:rPr>
          <w:i/>
        </w:rPr>
        <w:t>Sähkönkäyttöpaikkojen</w:t>
      </w:r>
      <w:r w:rsidR="00762D38">
        <w:rPr>
          <w:i/>
        </w:rPr>
        <w:t xml:space="preserve"> luokittelun perusteet</w:t>
      </w:r>
    </w:p>
    <w:p w14:paraId="43E4D479" w14:textId="120BD275" w:rsidR="00FA6BF3" w:rsidRDefault="007C316A" w:rsidP="00FA6BF3">
      <w:pPr>
        <w:pStyle w:val="MKappalejako"/>
      </w:pPr>
      <w:r>
        <w:t>Huoltovarmuuskeskuksen tilaaman kriittisten sähkönkäyttöpaikkojen priorisointia koskevan s</w:t>
      </w:r>
      <w:r w:rsidR="00792E65">
        <w:t>elvityksen mukaan jaottelu kriittisten asiakkaiden luokittelusta verkkoyhtiöissä vaihtelee jonkin verran. Joillain yhtiöllä luokittelu koskee pelkästään kriittisiä asiakkaita siten, että luokka 1 koskee erittäin keskeytyskriittisiä toimintoja ja alinkin luokka vielä keskeytyskriittisiä toimintoja. Toisilla yhtiöillä taas luokittelu koskee kaikkia sähkönkäyttäjiä siten, että varsinaiset keskeytyskriittiset kohteet on sijoitettu tärkeimpään luokkaan 1 ja muut luokat koskevat esimerkiksi liikekiinteistöjä, tavanomaista asutusta, kaava-alueen ulkopuolista asutusta ja loma-asutusta.</w:t>
      </w:r>
      <w:r w:rsidR="00FA6BF3">
        <w:t xml:space="preserve"> Kattavaa selvitystä varautumissuunnitelm</w:t>
      </w:r>
      <w:r w:rsidR="006D0591">
        <w:t>ie</w:t>
      </w:r>
      <w:r w:rsidR="00FA6BF3">
        <w:t>n sisällöistä ei kuitenkaan ole tehty</w:t>
      </w:r>
      <w:r w:rsidR="006D0591">
        <w:t>, sillä ne eivät ole julkisia</w:t>
      </w:r>
      <w:r w:rsidR="00FA6BF3">
        <w:t>.</w:t>
      </w:r>
    </w:p>
    <w:p w14:paraId="4A4357AB" w14:textId="096F05F1" w:rsidR="00792E65" w:rsidRDefault="006D7E58" w:rsidP="00AA7804">
      <w:pPr>
        <w:pStyle w:val="MKappalejako"/>
      </w:pPr>
      <w:r>
        <w:t>Varautuminen lähtee ajatuksesta, että myös sähkönkäyttäjillä on keskeinen vastuu oman sähköhuollon järjestämisestä. Sähkönkäyttäjien tulee suunnitella omaa toimintaansa ja huolehtia muun muassa tarvittavista varavoimajärjestelyistä</w:t>
      </w:r>
      <w:r w:rsidR="001914D9">
        <w:t>, jos häiriötön sähkönsaanti on tärkeää</w:t>
      </w:r>
      <w:r>
        <w:t>. Luonteva osa tätä varautumista on huolehtia siitä, että verkkoyhtiöllä on ajantasainen tieto sähkönkäyttöpaikkojen kriittisyydestä.</w:t>
      </w:r>
    </w:p>
    <w:p w14:paraId="6543EB27" w14:textId="2B83A4E2" w:rsidR="00164CB3" w:rsidRDefault="00D670A5" w:rsidP="00AA7804">
      <w:pPr>
        <w:pStyle w:val="MKappalejako"/>
      </w:pPr>
      <w:r>
        <w:t>Selvityksessä</w:t>
      </w:r>
      <w:r w:rsidR="006D7E58">
        <w:t xml:space="preserve"> annettiin suosituksia keskeytyskriittisten sähkönkäyttöpaikkojen tunnistamisesta ja tietojen ylläpitämisestä. Keskeistä oli sähkönkäyttöpaikkojen keskeytyskriittisyyden selvittäminen ylipäänsä ja tiedon pitäminen ajan tasalla. Tämä olisi verkonhaltijoiden velvollisuus. Sähkönkäyttäjällä tulisi olla tieto siitä, kuinka keskeytyskriittiseksi sähkönkäyttöpaikka on luokiteltu.</w:t>
      </w:r>
    </w:p>
    <w:p w14:paraId="745931B6" w14:textId="66CD0321" w:rsidR="00251EFE" w:rsidRDefault="006D0591" w:rsidP="00AA7804">
      <w:pPr>
        <w:pStyle w:val="MKappalejako"/>
      </w:pPr>
      <w:r>
        <w:lastRenderedPageBreak/>
        <w:t>Selvityksen mukaan s</w:t>
      </w:r>
      <w:r w:rsidR="00251EFE">
        <w:t>ähkön</w:t>
      </w:r>
      <w:r w:rsidR="00B25599">
        <w:t>käyttöpaikan kriittisyyttä voitaisiin</w:t>
      </w:r>
      <w:r w:rsidR="00251EFE">
        <w:t xml:space="preserve"> arvioida sähkömarkkinalain perusteluiden mukaisesti esimerkiksi sen perusteella, mikä merkitys sähköntoimitusten keskeytyksillä on yhteiskunnan johtamisen ja turvallisuuden, väestön toimeentulon sekä elinkeinoelämän toimintakyvyn kannalta. Priorisoinnissa voitaisiin selvityksen perusteella </w:t>
      </w:r>
      <w:r w:rsidR="00EC0255">
        <w:t>ottaa huomioon sähköntoimitusten keskeytysten keston vaikutus sähkönkäyttöpaikalle</w:t>
      </w:r>
      <w:r w:rsidR="00251EFE">
        <w:t>.</w:t>
      </w:r>
      <w:r w:rsidR="000C49AF">
        <w:t xml:space="preserve"> Esimerkiksi Ruotsissa korkeimpaan prioriteettiluokkaan kuuluvat sähkön käyttäjät, joilla on jo lyhyellä aikavälillä (tunteja) suuri merkitys elämälle ja terveydelle.</w:t>
      </w:r>
    </w:p>
    <w:p w14:paraId="7DAD6CC4" w14:textId="3184D903" w:rsidR="009E6D83" w:rsidRDefault="009E6D83" w:rsidP="00AA7804">
      <w:pPr>
        <w:pStyle w:val="MKappalejako"/>
      </w:pPr>
      <w:r>
        <w:t>Energiaviraston ohjeistuksessa verkonhaltijoita on ohjeistettu kuvaamaan, miten kriittiset sähkönkäyttöpaikat on määritelty ja huomioitu varautumisessa ja vakavissa häiriötilanteissa sekä määrittely tehty yhteistyössä asiakkaiden kanssa. Tarkempaa ohjeistusta ei ole annettu.</w:t>
      </w:r>
    </w:p>
    <w:p w14:paraId="1B3EDAA6" w14:textId="7D645DDC" w:rsidR="005F6752" w:rsidRDefault="009E6D83" w:rsidP="00AA7804">
      <w:pPr>
        <w:pStyle w:val="MKappalejako"/>
      </w:pPr>
      <w:r>
        <w:t xml:space="preserve">Huoltovarmuuskeskuksen tilaaman kriittisten sähkönkäyttöpaikkojen priorisointia koskevan selvityksen mukaan selkein ja ohjaavin sähkönkäyttäjien </w:t>
      </w:r>
      <w:r w:rsidR="00C17E35">
        <w:t>priorisointilistaus</w:t>
      </w:r>
      <w:r>
        <w:t xml:space="preserve"> saataisiin</w:t>
      </w:r>
      <w:r w:rsidR="00E53593">
        <w:t xml:space="preserve">, jos kansallisesti esitettäisiin valmiit luokat, </w:t>
      </w:r>
      <w:r>
        <w:t xml:space="preserve">joihin </w:t>
      </w:r>
      <w:r w:rsidR="00E53593">
        <w:t>erilaiset sähkönkäyttöpaikat o</w:t>
      </w:r>
      <w:r>
        <w:t>lisi</w:t>
      </w:r>
      <w:r w:rsidR="00E53593">
        <w:t xml:space="preserve"> luokiteltava. Lisäksi</w:t>
      </w:r>
      <w:r w:rsidR="00C17E35">
        <w:t xml:space="preserve"> selvityksessä</w:t>
      </w:r>
      <w:r w:rsidR="00E53593">
        <w:t xml:space="preserve"> esitetään laaja luettelo toimialoista ja toimijoista, joiden sähkönkäyttöpaikat saattavat olla keskeytyskriittisiä ja joiden mahdollinen keskeytyskriittisyys verkkoyhtiöiden tulisi tunnistaa. Keskeytyskriittisten sähkönkäyttöpaikkojen määrittelyssä ja priorisoinnissa on jossain määrin mahdollista ottaa huomioon, mitkä mahdollisuudet sähkönkäyttäjällä on varautua sähkökatkoksiin omalla varavoimalla</w:t>
      </w:r>
      <w:r w:rsidR="00B25599">
        <w:t>an</w:t>
      </w:r>
      <w:r w:rsidR="00E53593">
        <w:t>.</w:t>
      </w:r>
    </w:p>
    <w:p w14:paraId="2999C5D5" w14:textId="5783D525" w:rsidR="00E74880" w:rsidRDefault="00E74880" w:rsidP="00E74880">
      <w:pPr>
        <w:pStyle w:val="M1Otsikkotaso"/>
      </w:pPr>
      <w:r>
        <w:t>Ehdotuksen sisältö</w:t>
      </w:r>
    </w:p>
    <w:p w14:paraId="75040107" w14:textId="76A55AC9" w:rsidR="00BD591A" w:rsidRDefault="00BD591A" w:rsidP="00BD591A">
      <w:pPr>
        <w:pStyle w:val="MKappalejako"/>
      </w:pPr>
      <w:r>
        <w:t>Ehdotetulla asetuksella annettaisiin säädökset kriittisten sähkökäyttöpaikkojen märittämiseksi sekä myös muiden sähkönkäyttöpaikkojen etusijajärjestyksen asettamisesta sähkömarkkinalain 28 §:n 2 momentin perusteella. Varautumissuunnitelman sisältöä tarkentavat säännökset voivat koskea yhteiskunnan johtamisen tai turvallisuuden, väestön toimeentulon taikka elinkeinoelämän toimintakyvyn varmistamiseksi tarpeellista sähköverkkojen toiminnan sekä sähkönsiirron tai -jakelun järjestelyä.</w:t>
      </w:r>
    </w:p>
    <w:p w14:paraId="2E1EFACD" w14:textId="76023330" w:rsidR="00E74880" w:rsidRPr="00967BDA" w:rsidRDefault="007D76D0" w:rsidP="00AA7804">
      <w:pPr>
        <w:pStyle w:val="MKappalejako"/>
        <w:rPr>
          <w:u w:val="single"/>
        </w:rPr>
      </w:pPr>
      <w:r w:rsidRPr="00967BDA">
        <w:rPr>
          <w:u w:val="single"/>
        </w:rPr>
        <w:t>1 §.</w:t>
      </w:r>
      <w:r w:rsidR="00967BDA" w:rsidRPr="00967BDA">
        <w:rPr>
          <w:u w:val="single"/>
        </w:rPr>
        <w:t xml:space="preserve"> Soveltamisala</w:t>
      </w:r>
    </w:p>
    <w:p w14:paraId="13D7283F" w14:textId="619D5CAB" w:rsidR="006545F9" w:rsidRDefault="00F96F9E" w:rsidP="0081680B">
      <w:pPr>
        <w:pStyle w:val="MKappalejako"/>
      </w:pPr>
      <w:r>
        <w:t>Ensimmäisessä pykälässä säädettäisiin asetuksen soveltamisalasta. Ehdotetulla a</w:t>
      </w:r>
      <w:r w:rsidR="002521C7">
        <w:t xml:space="preserve">setuksella </w:t>
      </w:r>
      <w:r w:rsidR="006545F9">
        <w:t xml:space="preserve">määritettäisiin kriittiset sähkönkäyttöpaikat sekä </w:t>
      </w:r>
      <w:r w:rsidR="002521C7">
        <w:t xml:space="preserve">säädettäisiin </w:t>
      </w:r>
      <w:r w:rsidR="006545F9" w:rsidRPr="006545F9">
        <w:t>sähkönkäyttöpaikkojen etusijajärjestyksestä erilaisissa häiriötilanteissa, sähköpulassa sekä kriisitilanteissa siten, että turvataan mahdollisimman häiriötön sähkönsaanti yhteiskunnan toiminnan turvaamiseksi. Kriittiset sähkönkäyttöpaikat ja sähkönkäyttöp</w:t>
      </w:r>
      <w:r w:rsidR="006545F9">
        <w:t>aikkojen etusijajär</w:t>
      </w:r>
      <w:r w:rsidR="006545F9" w:rsidRPr="006545F9">
        <w:t xml:space="preserve">jestys </w:t>
      </w:r>
      <w:r w:rsidR="00B46A21">
        <w:t>olisi</w:t>
      </w:r>
      <w:r w:rsidR="00B46A21" w:rsidRPr="006545F9">
        <w:t xml:space="preserve"> </w:t>
      </w:r>
      <w:r w:rsidR="006545F9" w:rsidRPr="006545F9">
        <w:t xml:space="preserve">osa verkkohaltijan varautumissuunnitelmaa. </w:t>
      </w:r>
    </w:p>
    <w:p w14:paraId="067B617F" w14:textId="79DEFD2C" w:rsidR="00E4758E" w:rsidRDefault="00491842" w:rsidP="0081680B">
      <w:pPr>
        <w:pStyle w:val="MKappalejako"/>
      </w:pPr>
      <w:r>
        <w:t>Luokittelua ei sovellettaisi keskeytystilanteisiin, joissa sähkönjakelu asiakkaille joudutaan keskeyttämään esimerkiksi huolto- ja korjaustöiden vuoksi tai yksittäisestä vikaantumisesta johtuen.</w:t>
      </w:r>
    </w:p>
    <w:p w14:paraId="12BAC0C8" w14:textId="5AF38529" w:rsidR="0081680B" w:rsidRDefault="002521C7" w:rsidP="00AA7804">
      <w:pPr>
        <w:pStyle w:val="MKappalejako"/>
      </w:pPr>
      <w:r>
        <w:t xml:space="preserve">Valtioneuvoston </w:t>
      </w:r>
      <w:r w:rsidR="00491842">
        <w:t>uusimman</w:t>
      </w:r>
      <w:r>
        <w:t xml:space="preserve"> huoltovarmuusselontekoluonnoksen mukaan k</w:t>
      </w:r>
      <w:r w:rsidR="007D76D0">
        <w:t>riittinen infrastruktuuri voidaan määritellä yhteiskunnan perusrakenteiksi ja järjestelmiksi, joita ilman yhteiskunnan elintärkeät toiminnot pysähtyvät.</w:t>
      </w:r>
      <w:r w:rsidR="00886A8D">
        <w:t xml:space="preserve"> </w:t>
      </w:r>
      <w:r w:rsidR="007D76D0">
        <w:t xml:space="preserve">Esimerkkejä kriittisistä </w:t>
      </w:r>
      <w:r w:rsidR="007D76D0">
        <w:lastRenderedPageBreak/>
        <w:t>infrastruktuureista ovat sähkön kanta- ja siirtoverkot, lämpölaitokset ja lämmönjakeluverkot, matkaviestintäverkot, väestötietojärjestelmä ja paikantamisjärjestelmät, palvelinkeskukset, tie- ja raideverkosto, vesilaitokset, sairaalat ja logistiikkakeskukset. Esimerkkejä kriittisistä palveluista ja tuotannosta ovat sähkön tuotanto ja siirto, lämmöntuotanto- ja jakelu, tietoliikenneyhteydet, tietovarannot, logistiset toimitusketjut, vedenjakelu ja jätehuolto, sosiaali- ja terveydenhuolto, alku- ja elintarviketuotanto ja media.</w:t>
      </w:r>
      <w:r w:rsidR="008536B7">
        <w:t xml:space="preserve"> </w:t>
      </w:r>
      <w:r w:rsidR="007D76D0">
        <w:t>Valtioneuvoston ajankohtaisselonteon mukaan erityisiä painopisteitä kriittisen infrastruktuurin toimintakyvyn turvaamisessa on muun muassa energiasaannin varmistaminen.</w:t>
      </w:r>
      <w:r w:rsidR="0081680B" w:rsidRPr="0081680B">
        <w:t xml:space="preserve"> </w:t>
      </w:r>
    </w:p>
    <w:p w14:paraId="364E293A" w14:textId="41875F22" w:rsidR="002521C7" w:rsidRDefault="008536B7" w:rsidP="00AA7804">
      <w:pPr>
        <w:pStyle w:val="MKappalejako"/>
      </w:pPr>
      <w:r>
        <w:t xml:space="preserve">Kaikkein kriittisimpien </w:t>
      </w:r>
      <w:r w:rsidR="002521C7">
        <w:t xml:space="preserve">sähkönkäyttöpaikkojen </w:t>
      </w:r>
      <w:r>
        <w:t>luokittelu kansallisella tasolla sekä luokitteluperusteiden yhdenmukaistamisen tarkoituksena on lisätä yleistä tietoisuutta</w:t>
      </w:r>
      <w:r w:rsidR="00F96F9E">
        <w:t xml:space="preserve"> luokitellusta sekä yhdenmukaistaa verkonhaltijoiden varautumissuunnitelmien luokitteluperiaatteita. Viime kädessä tarkoitus on minimoida mahdollisesta sähköpulasta aiheutuvat haitat</w:t>
      </w:r>
      <w:r w:rsidR="006D0591">
        <w:t xml:space="preserve"> yhteiskunnan toiminnalle</w:t>
      </w:r>
      <w:r w:rsidR="00F96F9E">
        <w:t xml:space="preserve">. </w:t>
      </w:r>
      <w:r w:rsidR="0081680B">
        <w:t>Sähkönkäyttöpaikat tul</w:t>
      </w:r>
      <w:r w:rsidR="00491842">
        <w:t>isi</w:t>
      </w:r>
      <w:r w:rsidR="0081680B">
        <w:t xml:space="preserve"> luokitella useaan eri luokkaan sen perusteella, kuinka keskeytyskriittisiä ne ovat. </w:t>
      </w:r>
      <w:r w:rsidR="00F96F9E">
        <w:t xml:space="preserve">Tärkeää on, että kriittiset sähkönkäyttäjät myös tietävät </w:t>
      </w:r>
      <w:r w:rsidR="0081680B">
        <w:t>oman luokittelunsa</w:t>
      </w:r>
      <w:r w:rsidR="00F96F9E">
        <w:t>.</w:t>
      </w:r>
      <w:r w:rsidR="0081680B">
        <w:t xml:space="preserve"> </w:t>
      </w:r>
    </w:p>
    <w:p w14:paraId="6C999860" w14:textId="2438332A" w:rsidR="000073D0" w:rsidRPr="00B46A21" w:rsidRDefault="00344B9B" w:rsidP="00AA7804">
      <w:pPr>
        <w:pStyle w:val="MKappalejako"/>
      </w:pPr>
      <w:r>
        <w:t>J</w:t>
      </w:r>
      <w:r w:rsidRPr="001A7157">
        <w:t xml:space="preserve">ärjestelmävastaava kantaverkonhaltija </w:t>
      </w:r>
      <w:r>
        <w:t>voi j</w:t>
      </w:r>
      <w:r w:rsidRPr="001A7157">
        <w:t>ärjestelmävastuun nojalla viime kädessä määrätä jakeluverkonhaltijoita vähentämään kulutusta alueellaan, jotta sähköjärjestelmä ei romahtaisi kokonaan</w:t>
      </w:r>
      <w:r>
        <w:t xml:space="preserve"> sähkönpulan takia</w:t>
      </w:r>
      <w:r w:rsidRPr="001A7157">
        <w:t xml:space="preserve">. Sähköpulassa verkkoyhtiöt toteuttavat ennalta laadittuja sähkön käyttöpaikkojen irtikytkentäsuunnitelmia, jolloin eri sähkönkäyttöpaikkojen kriittisyys voidaan ottaa paremmin huomioon. Kriittisten sähkönkäyttöpaikkojen lukumäärä tulee kuitenkin olla rajattu, jotta verkkoyhtiöllä on käytännössä mahdollista toteuttaa kantaverkkoyhtiön vaatima sähkönkäytön vähentäminen. </w:t>
      </w:r>
      <w:r w:rsidR="007214A9" w:rsidRPr="00B46A21">
        <w:t>Kriittisten sähkönkäyttöpaikkojen määrää joudutaan väistämättä rajaamaan</w:t>
      </w:r>
      <w:r>
        <w:t xml:space="preserve"> </w:t>
      </w:r>
      <w:r w:rsidRPr="006545F9">
        <w:t>häiriötilanteissa, sähköpulassa sekä kriisitilanteissa</w:t>
      </w:r>
      <w:r>
        <w:t xml:space="preserve">, </w:t>
      </w:r>
      <w:r w:rsidR="007214A9" w:rsidRPr="00B46A21">
        <w:t xml:space="preserve">eikä arviota kriittisyydestä voida jättää yksin sähkön käyttäjän päätettäväksi. Häiriötilanteet sähköverkoissa voivat olla moninaisia ja eteen </w:t>
      </w:r>
      <w:r w:rsidRPr="001A7157">
        <w:t>voi tulla</w:t>
      </w:r>
      <w:r w:rsidRPr="00344B9B">
        <w:t xml:space="preserve"> </w:t>
      </w:r>
      <w:r w:rsidR="007214A9" w:rsidRPr="00B46A21">
        <w:t xml:space="preserve">tilanteita, joissa sähköt </w:t>
      </w:r>
      <w:r>
        <w:t xml:space="preserve">pystytään </w:t>
      </w:r>
      <w:r w:rsidR="007214A9" w:rsidRPr="00B46A21">
        <w:t>palautta</w:t>
      </w:r>
      <w:r>
        <w:t>maan</w:t>
      </w:r>
      <w:r w:rsidR="007214A9" w:rsidRPr="00B46A21">
        <w:t xml:space="preserve"> vähemmän kriittisille asiakkaille huomattavasti kriittisiä asiakkaita nopeammin. </w:t>
      </w:r>
      <w:r>
        <w:t xml:space="preserve"> </w:t>
      </w:r>
    </w:p>
    <w:p w14:paraId="72D91E2E" w14:textId="58B5F9F4" w:rsidR="007D76D0" w:rsidRDefault="007D76D0" w:rsidP="00AA7804">
      <w:pPr>
        <w:pStyle w:val="MKappalejako"/>
        <w:rPr>
          <w:u w:val="single"/>
        </w:rPr>
      </w:pPr>
      <w:r w:rsidRPr="00F96F9E">
        <w:rPr>
          <w:u w:val="single"/>
        </w:rPr>
        <w:t>2 §.</w:t>
      </w:r>
      <w:r w:rsidR="00F96F9E" w:rsidRPr="00F96F9E">
        <w:rPr>
          <w:u w:val="single"/>
        </w:rPr>
        <w:t xml:space="preserve"> </w:t>
      </w:r>
      <w:r w:rsidR="000D6F05">
        <w:rPr>
          <w:u w:val="single"/>
        </w:rPr>
        <w:t>Kriittiset</w:t>
      </w:r>
      <w:r w:rsidR="00F96F9E" w:rsidRPr="00F96F9E">
        <w:rPr>
          <w:u w:val="single"/>
        </w:rPr>
        <w:t xml:space="preserve"> sähkönkäyttöpaikat</w:t>
      </w:r>
    </w:p>
    <w:p w14:paraId="04DFCF25" w14:textId="08CE11F8" w:rsidR="0081680B" w:rsidRDefault="0081680B" w:rsidP="00AA7804">
      <w:pPr>
        <w:pStyle w:val="MKappalejako"/>
      </w:pPr>
      <w:r w:rsidRPr="0081680B">
        <w:t>Toisessa</w:t>
      </w:r>
      <w:r>
        <w:t xml:space="preserve"> pykälässä säädettäisiin kriittis</w:t>
      </w:r>
      <w:r w:rsidR="00B46A21">
        <w:t>ten</w:t>
      </w:r>
      <w:r>
        <w:t xml:space="preserve"> sähkönkäyttöpaiko</w:t>
      </w:r>
      <w:r w:rsidR="00B46A21">
        <w:t>jen sisällyttämisestä sähköverkonhaltijan varautumissuunnitelmaan</w:t>
      </w:r>
      <w:r>
        <w:t xml:space="preserve">. </w:t>
      </w:r>
      <w:r w:rsidRPr="0081680B">
        <w:t>Sähkönkäyttöpaikkojen kriittisyys määräyty</w:t>
      </w:r>
      <w:r w:rsidR="006B0C02">
        <w:t>isi</w:t>
      </w:r>
      <w:r w:rsidRPr="0081680B">
        <w:t xml:space="preserve"> sen perustella, mikä merkitys sähköntoimitusten keskeytyksillä on </w:t>
      </w:r>
      <w:r w:rsidR="00646A39">
        <w:t xml:space="preserve">erityisesti </w:t>
      </w:r>
      <w:r w:rsidRPr="0081680B">
        <w:t>yhteiskunnan johtamisen ja turvallisuuden</w:t>
      </w:r>
      <w:r w:rsidR="00646A39">
        <w:t xml:space="preserve"> </w:t>
      </w:r>
      <w:r w:rsidR="00646A39" w:rsidRPr="0081680B">
        <w:t>kannalta</w:t>
      </w:r>
      <w:r w:rsidR="00E5597A">
        <w:t xml:space="preserve"> </w:t>
      </w:r>
      <w:r w:rsidR="00B46A21">
        <w:t>välttämättömille</w:t>
      </w:r>
      <w:r w:rsidR="00E5597A">
        <w:t xml:space="preserve"> toiminnoille</w:t>
      </w:r>
      <w:r w:rsidR="00646A39">
        <w:t xml:space="preserve">. Tarkoituksena on, että näiden </w:t>
      </w:r>
      <w:r>
        <w:t>kaikkein kriittisimpien sähkö</w:t>
      </w:r>
      <w:r w:rsidR="00813B4E">
        <w:t>nkäyttöpaikkojen sähkönsaanti turvat</w:t>
      </w:r>
      <w:r w:rsidR="006B0C02">
        <w:t>taisiin</w:t>
      </w:r>
      <w:r w:rsidR="00813B4E">
        <w:t xml:space="preserve"> ensisijaisesti. </w:t>
      </w:r>
      <w:r w:rsidR="00B331E2">
        <w:t>Sähköpulatilanteeseen varautumisessa verkkoyhtiöiden tulisi pyrkiä jättämään keskeytyskriittiset kohteet mahdollisuuksien mukaan rajoitusten ulkopuolelle.</w:t>
      </w:r>
      <w:r w:rsidR="00646A39">
        <w:t xml:space="preserve"> Sama koskisi erilaisia häiriö- sekä kriisitilanteita</w:t>
      </w:r>
      <w:r w:rsidR="002D623B">
        <w:t xml:space="preserve"> ja niistä palautumista</w:t>
      </w:r>
      <w:r w:rsidR="00646A39">
        <w:t>. Kriittisiä sähkönkäyttöpaikkoja tunnistettaessa on katsottu ensisijaiseksi turvata yhteiskunnan tärkeimpien toimintojen ylläpito.</w:t>
      </w:r>
    </w:p>
    <w:p w14:paraId="1F4912B3" w14:textId="35DFE152" w:rsidR="00607DCD" w:rsidRDefault="00646A39" w:rsidP="00607DCD">
      <w:pPr>
        <w:pStyle w:val="MKappalejako"/>
      </w:pPr>
      <w:r>
        <w:t xml:space="preserve">Pykälän 1 momentin mukaan </w:t>
      </w:r>
      <w:r w:rsidR="00B46A21" w:rsidRPr="006748BB">
        <w:t xml:space="preserve">turvallisuuteen, terveydenhuoltoon ja </w:t>
      </w:r>
      <w:r w:rsidR="00B46A21">
        <w:t xml:space="preserve">kriittiseen </w:t>
      </w:r>
      <w:r w:rsidR="00B46A21" w:rsidRPr="006748BB">
        <w:t>infrastruktuuri</w:t>
      </w:r>
      <w:r w:rsidR="00B46A21">
        <w:t>in</w:t>
      </w:r>
      <w:r w:rsidR="00B46A21" w:rsidRPr="006748BB">
        <w:t xml:space="preserve"> ja energianhuoltoon kuuluv</w:t>
      </w:r>
      <w:r w:rsidR="00B46A21">
        <w:t xml:space="preserve">ia </w:t>
      </w:r>
      <w:r>
        <w:t xml:space="preserve">kriittisiä sähkönkäyttöpaikkoja olisivat </w:t>
      </w:r>
      <w:r w:rsidR="00607DCD">
        <w:t>huoltovarmuuskriittisten vesihuoltolaitosten keskeiset kohteet, häiriöttömän sähköntoimituksen jatkumisen tai palauttamisen kannalta välttämättömät kantaverkonhalti</w:t>
      </w:r>
      <w:r w:rsidR="00607DCD">
        <w:lastRenderedPageBreak/>
        <w:t xml:space="preserve">jan, sähkönjakeluverkonhaltijoiden ja sähköntuottajien valvomot, sähköasemat, merkittävät sähkövarastot ja sähköntuotantolaitokset ja näiden viestintäverkot, kaukolämmön keskeisimmät lämpökeskukset ja pumppaamot, keskeiset kansainväliset lentokentät, maa-, meri-, raide- ja lentoliikenteen keskeiset valvomot, poliisi- ja pelastuslaitokset sekä hätäkeskukset, sairaalat, ulkomaankaupan kannalta keskeiset satamat, vankilat, viranomaisviestinnän tukiasemat ja näihin liittyvät konesalit, muiden viestintäverkkojen keskeisimmät kohdat sekä </w:t>
      </w:r>
      <w:r w:rsidR="00AE6258">
        <w:t>Oy Yleisradio Ab:n</w:t>
      </w:r>
      <w:r w:rsidR="00607DCD">
        <w:t xml:space="preserve"> käyttämät radiomastot sekä yhteiskunnanjohtamisen kannalta keskeiset valtion viranomaiset sekä kuntien johtokeskukset ja evakuointikeskukset ja niiden varapaikat.</w:t>
      </w:r>
    </w:p>
    <w:p w14:paraId="3F05BCCC" w14:textId="77777777" w:rsidR="0040152F" w:rsidRDefault="0040152F" w:rsidP="0040152F">
      <w:pPr>
        <w:pStyle w:val="MKappalejako"/>
      </w:pPr>
      <w:r>
        <w:t>Sähkönkäyttäjien olisi hyvä huomioida, että jakeluverkonhaltijalle ei välttämättä verkkosopimusta tehtäessä ole tietoa käyttöpaikan kriittisyydestä. Pykälän 2 momentin mukaisen kriittisen s</w:t>
      </w:r>
      <w:r w:rsidRPr="00C82642">
        <w:t xml:space="preserve">ähkönkäyttöpaikan </w:t>
      </w:r>
      <w:r>
        <w:t>olisikin hyvä olla aktiivinen asiassa ja varmistaa, että kriittisyysluokitus on tehty oikein, jos jakeluverkonhaltija ei asiakkaalle tällaista ilmoitusta ole tehnyt.</w:t>
      </w:r>
    </w:p>
    <w:p w14:paraId="0B1C1B21" w14:textId="5195BCE3" w:rsidR="00AE6C2B" w:rsidRDefault="00AE6C2B" w:rsidP="00156B6C">
      <w:pPr>
        <w:pStyle w:val="MKappalejako"/>
      </w:pPr>
      <w:r>
        <w:t xml:space="preserve">Maanpuolustuksen ja rajavalvonnan kannalta keskeisten kohteiden sähkönsaannista vastaa puolustusvoimat ja rajavartiolaitos </w:t>
      </w:r>
      <w:r w:rsidR="007D4618">
        <w:t>itsenäisesti</w:t>
      </w:r>
      <w:r w:rsidR="00BA0C79">
        <w:t>, eikä niitä sen vuoksi huomioida asetuksen kriittisten sähkönkäyttäjien luokituksessa</w:t>
      </w:r>
      <w:r>
        <w:t>.</w:t>
      </w:r>
    </w:p>
    <w:p w14:paraId="6B4212A8" w14:textId="64941642" w:rsidR="008B55F9" w:rsidRDefault="00813373" w:rsidP="00156B6C">
      <w:pPr>
        <w:pStyle w:val="MKappalejako"/>
      </w:pPr>
      <w:r>
        <w:t>P</w:t>
      </w:r>
      <w:r w:rsidR="008B55F9">
        <w:t xml:space="preserve">ykälän 2 momentissa korostettaisiin sitä, että kriittisiä sähkönkäyttöpaikkoja ei ole lueteltu niiden etujärjestyksessä. </w:t>
      </w:r>
      <w:r w:rsidR="006332B0">
        <w:t>Kaikkien kriittisten sähkönkäyttöpaikkojen sähkönsaanti pyritään turvaamaan. Siitä johtuen kriittiseksi luokiteltujen sähkönkäyttöpaikkojen lukumäärä ei saisi olla kovin suuri.</w:t>
      </w:r>
    </w:p>
    <w:p w14:paraId="5E3394FF" w14:textId="0A2B4399" w:rsidR="00646A39" w:rsidRDefault="008B55F9" w:rsidP="00AA7804">
      <w:pPr>
        <w:pStyle w:val="MKappalejako"/>
      </w:pPr>
      <w:r>
        <w:t>Pykälän 3</w:t>
      </w:r>
      <w:r w:rsidR="00646A39">
        <w:t xml:space="preserve"> momentissa säädettäisiin, että järjestelmävastaava kantaverkonhaltija voisi omassa varautumissuunnitelmassaan poiketa 1 momentin mukaisesta luokittelusta.</w:t>
      </w:r>
      <w:r w:rsidR="00156B6C">
        <w:t xml:space="preserve"> Kantaverkonhaltijan</w:t>
      </w:r>
      <w:r w:rsidR="007D4618">
        <w:t xml:space="preserve"> asiakkaat ovat hyvin eri tyyppisiä jakeluverkkoon nähden </w:t>
      </w:r>
      <w:r w:rsidR="005A089A">
        <w:t>eikä verkkoon</w:t>
      </w:r>
      <w:r w:rsidR="00156B6C">
        <w:t xml:space="preserve"> ole liittynyt sähkönkäyttöpaikkoja samalla tavoin kuin jakeluverkkoon. Kantaverkonhaltija vastaa sähköjärjestelmän teknisestä toimivuudesta ja käyttövarmuudesta ja katsoo järjestelmän tarpeita </w:t>
      </w:r>
      <w:r w:rsidR="000629D2">
        <w:t xml:space="preserve">ennen kaikkea </w:t>
      </w:r>
      <w:r w:rsidR="007D4618">
        <w:t>tästä</w:t>
      </w:r>
      <w:r w:rsidR="00156B6C">
        <w:t xml:space="preserve"> näkökulmasta.</w:t>
      </w:r>
    </w:p>
    <w:p w14:paraId="16F25A74" w14:textId="29EBA0FC" w:rsidR="007D76D0" w:rsidRPr="00A64CE9" w:rsidRDefault="007D76D0" w:rsidP="00AA7804">
      <w:pPr>
        <w:pStyle w:val="MKappalejako"/>
        <w:rPr>
          <w:u w:val="single"/>
        </w:rPr>
      </w:pPr>
      <w:r w:rsidRPr="00A64CE9">
        <w:rPr>
          <w:u w:val="single"/>
        </w:rPr>
        <w:t>3 §.</w:t>
      </w:r>
      <w:r w:rsidR="00A64CE9" w:rsidRPr="00A64CE9">
        <w:rPr>
          <w:u w:val="single"/>
        </w:rPr>
        <w:t xml:space="preserve"> Muiden</w:t>
      </w:r>
      <w:r w:rsidR="006B0C02">
        <w:rPr>
          <w:u w:val="single"/>
        </w:rPr>
        <w:t xml:space="preserve"> </w:t>
      </w:r>
      <w:r w:rsidR="00A64CE9" w:rsidRPr="00A64CE9">
        <w:rPr>
          <w:u w:val="single"/>
        </w:rPr>
        <w:t xml:space="preserve">sähkönkäyttöpaikkojen </w:t>
      </w:r>
      <w:r w:rsidR="004D31F7">
        <w:rPr>
          <w:u w:val="single"/>
        </w:rPr>
        <w:t>etusijajärjestys</w:t>
      </w:r>
    </w:p>
    <w:p w14:paraId="40207829" w14:textId="31E57963" w:rsidR="00813373" w:rsidRDefault="0039343A" w:rsidP="00AA7804">
      <w:pPr>
        <w:pStyle w:val="MKappalejako"/>
      </w:pPr>
      <w:r>
        <w:t>Pykälän ensimmäisessä momentissa</w:t>
      </w:r>
      <w:r w:rsidR="006B0C02">
        <w:t xml:space="preserve"> asetettaisiin jakeluverkonhaltijoille velvoite luokitella </w:t>
      </w:r>
      <w:r w:rsidR="00813373">
        <w:t xml:space="preserve">varautumissuunitelassa </w:t>
      </w:r>
      <w:r w:rsidR="006B0C02">
        <w:t xml:space="preserve">muut </w:t>
      </w:r>
      <w:r w:rsidR="004D31F7">
        <w:t xml:space="preserve">kuin 2 §:n mukaiset </w:t>
      </w:r>
      <w:r w:rsidR="006B0C02">
        <w:t xml:space="preserve">kriittiset sähkönkäyttöpaikat </w:t>
      </w:r>
      <w:r w:rsidR="00813373" w:rsidRPr="00813373">
        <w:t>kriittisyys häiriö-, sähköpula- ja kriisitilanteita vart</w:t>
      </w:r>
      <w:r w:rsidR="00813373">
        <w:t xml:space="preserve">en </w:t>
      </w:r>
      <w:r w:rsidR="00813373" w:rsidRPr="00EE0F83">
        <w:t>yhteiskunnan johtamisen ja turvallisuuden, väestön toimeentulon sekä elinkeinoelämän toimintakyvyn varmistamiseksi</w:t>
      </w:r>
      <w:r w:rsidR="00813373">
        <w:t xml:space="preserve">. </w:t>
      </w:r>
      <w:r w:rsidR="00813373">
        <w:t>Kaikki sähkönkäyttöpaikat olisi</w:t>
      </w:r>
      <w:r w:rsidR="00813373" w:rsidRPr="00813373">
        <w:t xml:space="preserve"> luokiteltava.</w:t>
      </w:r>
      <w:r w:rsidR="00813373">
        <w:t xml:space="preserve"> </w:t>
      </w:r>
    </w:p>
    <w:p w14:paraId="5D4B901B" w14:textId="64C931D3" w:rsidR="006B0C02" w:rsidRDefault="0039343A" w:rsidP="00813373">
      <w:pPr>
        <w:pStyle w:val="MKappalejako"/>
      </w:pPr>
      <w:r>
        <w:t xml:space="preserve">Toinen momentti koskisi sähkönkäyttöpaikkojen luokittelua. Luokittelussa </w:t>
      </w:r>
      <w:r w:rsidR="00813373">
        <w:t>sähkönkäyttöpaikat olisi luokiteltava vähintään kahteen eri kriittisyysryhmään. Luokittelussa olisi huomioitava</w:t>
      </w:r>
      <w:r>
        <w:t xml:space="preserve"> sähkönkäyttöpaikat, j</w:t>
      </w:r>
      <w:r w:rsidR="006B0C02">
        <w:t>oiden sähkönsaanti vo</w:t>
      </w:r>
      <w:r>
        <w:t>i keskeytyä</w:t>
      </w:r>
      <w:r w:rsidR="00420B25">
        <w:t xml:space="preserve"> </w:t>
      </w:r>
      <w:r w:rsidR="006B0C02">
        <w:t>ajoittain sekä sellaiset sähkönkäyttöpaikat, joiden sähkönsaanti voi</w:t>
      </w:r>
      <w:r>
        <w:t xml:space="preserve"> </w:t>
      </w:r>
      <w:r w:rsidR="006B0C02">
        <w:t>keskeyt</w:t>
      </w:r>
      <w:r>
        <w:t>yä</w:t>
      </w:r>
      <w:r w:rsidR="006B0C02">
        <w:t xml:space="preserve"> pidemmäksi ajaksi. </w:t>
      </w:r>
      <w:r w:rsidR="004D31F7">
        <w:t xml:space="preserve">Etusijajärjestyksen asettamisessa olisi huomioitava tavoite varmistaa </w:t>
      </w:r>
      <w:r w:rsidR="004D31F7" w:rsidRPr="00EE0F83">
        <w:t>yhteiskunnan johtamisen ja turvallisuuden, väestön toimeentulon sekä elinkeinoelämän toimintaky</w:t>
      </w:r>
      <w:r w:rsidR="004D31F7">
        <w:t>ky.</w:t>
      </w:r>
    </w:p>
    <w:p w14:paraId="30BF21B6" w14:textId="18FD754E" w:rsidR="00B6791B" w:rsidRDefault="004D31F7" w:rsidP="00AA7804">
      <w:pPr>
        <w:pStyle w:val="MKappalejako"/>
      </w:pPr>
      <w:r>
        <w:t>Y</w:t>
      </w:r>
      <w:r w:rsidRPr="00EE0F83">
        <w:t>hteiskunnan johtamisen ja turvallisuuden, väestön toimeentulon sekä elinkeinoelämän toimintaky</w:t>
      </w:r>
      <w:r>
        <w:t xml:space="preserve">ky kannalta keskeisiä </w:t>
      </w:r>
      <w:r w:rsidR="000629D2">
        <w:t>toimialoja ja toimijatyyppejä ovat</w:t>
      </w:r>
      <w:r>
        <w:t xml:space="preserve"> y</w:t>
      </w:r>
      <w:r w:rsidRPr="004D31F7">
        <w:t xml:space="preserve">hteiskunnan </w:t>
      </w:r>
      <w:r w:rsidRPr="004D31F7">
        <w:lastRenderedPageBreak/>
        <w:t>johtaminen ja julkishallinto</w:t>
      </w:r>
      <w:r>
        <w:t xml:space="preserve">; pelastustoimi, poliisi ja hätäkeskukset; sosiaali- ja terveydenhoidon yksiköt, kuten </w:t>
      </w:r>
      <w:r w:rsidRPr="0065288C">
        <w:t>sairaalat, terveyskeskukset ja hoitolaitokset sekä muut alan toimijat</w:t>
      </w:r>
      <w:r>
        <w:t>, kuten apteekit, laboratoriot ja lääkevarastot; v</w:t>
      </w:r>
      <w:r w:rsidRPr="004D31F7">
        <w:t>iestintä ja digitaalinen infrastruktuuri, kuten viestintäverkot, puhel</w:t>
      </w:r>
      <w:r>
        <w:t>in ja laajakaistapalvelujen tar</w:t>
      </w:r>
      <w:r w:rsidRPr="004D31F7">
        <w:t>joajat, televisio- ja radioverkkojen tarjoajat sekä muut digitaalisen infrastruktuurin tarjoajat</w:t>
      </w:r>
      <w:r>
        <w:t xml:space="preserve">; sähköntuotanto ja –siirto; muu </w:t>
      </w:r>
      <w:r w:rsidRPr="0065288C">
        <w:t>energiantuotanto, siirto ja myynti, kuten kaukolämpö- ja kaukojäähdytys, öljy ja kaasuala sekä polttoaineenjakelu</w:t>
      </w:r>
      <w:r>
        <w:t xml:space="preserve">; ilma-, raide, vesi- ja tieliikenne, esimerkiksi lentoasemat, satamat ja tieviranomaiset, eri liikennemuotojen liikenteenvalvontajärjestelmät ja ohjauskeskukset; </w:t>
      </w:r>
      <w:r w:rsidR="00E512F4">
        <w:t>päiväkodit, koulut ja oppilaitokset; teollisuustoiminta, erityisesti kriittinen tai prosessiherkkä teollisuus kuten Se</w:t>
      </w:r>
      <w:r w:rsidR="00813373">
        <w:t xml:space="preserve"> </w:t>
      </w:r>
      <w:r w:rsidR="00E512F4">
        <w:t>veso-laitokset, maatalous, patoturvallisuuskohteet; sekä kaupan ala (erityisesti päivittäistavarakauppa), pankkitoiminta ja finanssimarkkinat</w:t>
      </w:r>
      <w:r w:rsidR="001762C5">
        <w:t xml:space="preserve"> sekä</w:t>
      </w:r>
      <w:r w:rsidR="00E512F4">
        <w:t xml:space="preserve"> ravintolat.</w:t>
      </w:r>
    </w:p>
    <w:p w14:paraId="60910D22" w14:textId="7943D31E" w:rsidR="007D76D0" w:rsidRPr="002E2540" w:rsidRDefault="007D76D0" w:rsidP="00AA7804">
      <w:pPr>
        <w:pStyle w:val="MKappalejako"/>
        <w:rPr>
          <w:u w:val="single"/>
        </w:rPr>
      </w:pPr>
      <w:r w:rsidRPr="002E2540">
        <w:rPr>
          <w:u w:val="single"/>
        </w:rPr>
        <w:t>4 §.</w:t>
      </w:r>
      <w:r w:rsidR="006750DB" w:rsidRPr="002E2540">
        <w:rPr>
          <w:u w:val="single"/>
        </w:rPr>
        <w:t xml:space="preserve"> </w:t>
      </w:r>
      <w:r w:rsidR="002E2540">
        <w:rPr>
          <w:u w:val="single"/>
        </w:rPr>
        <w:t>Varautumissuunnitel</w:t>
      </w:r>
      <w:r w:rsidR="0083752F">
        <w:rPr>
          <w:u w:val="single"/>
        </w:rPr>
        <w:t>man</w:t>
      </w:r>
      <w:r w:rsidR="002E2540">
        <w:rPr>
          <w:u w:val="single"/>
        </w:rPr>
        <w:t xml:space="preserve"> päivittäminen</w:t>
      </w:r>
    </w:p>
    <w:p w14:paraId="40835C13" w14:textId="531DBA23" w:rsidR="002E2540" w:rsidRDefault="00F254A9" w:rsidP="00AA7804">
      <w:pPr>
        <w:pStyle w:val="MKappalejako"/>
      </w:pPr>
      <w:r>
        <w:t xml:space="preserve">Verkonhaltijan olisi tämän pykälän mukaisesti päivitettävä </w:t>
      </w:r>
      <w:r w:rsidR="00D13617">
        <w:t>sähkönkäyttöpaikkojen etusijajärjestys tämä asetuksen vaatimusten mukaisesti t varautumissuunnitelman päivittämisen yhteydessä.</w:t>
      </w:r>
      <w:r>
        <w:t xml:space="preserve"> Muiden sähkönkäyttöpaikkojen etusijajärjestyksen luokittelun tarkastaminen ei ole sillä tavoin olennainen olosuhteiden muutos, että se pitäisi tehdä välittömästi asetuksen voimaan tullessa. </w:t>
      </w:r>
      <w:r w:rsidR="000062B3">
        <w:t>Varautumissuun</w:t>
      </w:r>
      <w:r>
        <w:t>n</w:t>
      </w:r>
      <w:r w:rsidR="000062B3">
        <w:t>itelmia päivitettäisiin</w:t>
      </w:r>
      <w:r w:rsidR="002E2540" w:rsidRPr="002E2540">
        <w:t xml:space="preserve"> sähkönkäyttöpaikoissa tapahtuneiden muutosten johdosta vähintään kolmen vuoden välein.</w:t>
      </w:r>
    </w:p>
    <w:p w14:paraId="38731DFE" w14:textId="47FCF82B" w:rsidR="001762C5" w:rsidRDefault="00D13617" w:rsidP="00AA7804">
      <w:pPr>
        <w:pStyle w:val="MKappalejako"/>
      </w:pPr>
      <w:r>
        <w:t xml:space="preserve">Pykälän 2 momentissa säädettäisiin verkonhaltijan ilmoitus velvollisuudesta. </w:t>
      </w:r>
      <w:r w:rsidR="001762C5">
        <w:t>Verkonhaltijan tulisi ilmoittaa sähkönkäyttöpaikalle, jos kyseinen käyttöpaikka on 2 §:n mukainen kriittinen sähkönkäyttöpaikka. Tällä varmistettaisiin, että verkonhaltija on tietoinen sähkönkäyttöpaikan kriittisyydestä ja että asiakas tietää tulleensa luokitelluksi kriittiseksi käyttöpaikaksi.</w:t>
      </w:r>
    </w:p>
    <w:p w14:paraId="01C6E9B6" w14:textId="7ADF2EEA" w:rsidR="00813373" w:rsidRPr="002E2540" w:rsidRDefault="00813373" w:rsidP="00813373">
      <w:pPr>
        <w:pStyle w:val="MKappalejako"/>
        <w:rPr>
          <w:u w:val="single"/>
        </w:rPr>
      </w:pPr>
      <w:r>
        <w:rPr>
          <w:u w:val="single"/>
        </w:rPr>
        <w:t>5</w:t>
      </w:r>
      <w:r w:rsidRPr="002E2540">
        <w:rPr>
          <w:u w:val="single"/>
        </w:rPr>
        <w:t xml:space="preserve"> §. </w:t>
      </w:r>
      <w:r>
        <w:rPr>
          <w:u w:val="single"/>
        </w:rPr>
        <w:t>Voimaantulo</w:t>
      </w:r>
    </w:p>
    <w:p w14:paraId="6BC499B9" w14:textId="6DC1002B" w:rsidR="00813373" w:rsidRDefault="00D13617" w:rsidP="00AA7804">
      <w:pPr>
        <w:pStyle w:val="MKappalejako"/>
      </w:pPr>
      <w:r>
        <w:t>A</w:t>
      </w:r>
      <w:r w:rsidRPr="00D13617">
        <w:t>setus tulee voimaan [ ] päivänä [ ] kuuta 2022. Riippumatta siitä, mitä 4 §:n 1 momentissa o</w:t>
      </w:r>
      <w:r>
        <w:t>lisi</w:t>
      </w:r>
      <w:r w:rsidRPr="00D13617">
        <w:t xml:space="preserve"> säädetty, verkonhaltijan o</w:t>
      </w:r>
      <w:r>
        <w:t>lisi</w:t>
      </w:r>
      <w:r w:rsidRPr="00D13617">
        <w:t xml:space="preserve"> päivitettävä varautumissuunnitelmansa ensimmäisen kerran kriittisten sähkönkäyttöpaikkojen osalta kuukauden kuluttua asetuksen voimaantulosta.</w:t>
      </w:r>
      <w:r>
        <w:t xml:space="preserve"> </w:t>
      </w:r>
      <w:r>
        <w:t>Näin toimien ensi talven mahdollisia sähköpulatilanteita ennakoiden kaikkein kriittisimpien sähkönkäyttöpaikkojen luokittelu olisi ajan tasalla.</w:t>
      </w:r>
    </w:p>
    <w:p w14:paraId="42AA079B" w14:textId="77777777" w:rsidR="00663960" w:rsidRDefault="00663960" w:rsidP="00663960">
      <w:pPr>
        <w:pStyle w:val="M1Otsikkotaso"/>
      </w:pPr>
      <w:r>
        <w:t>Ehdotuksen vaikutukset</w:t>
      </w:r>
    </w:p>
    <w:p w14:paraId="42AA079C" w14:textId="3ECEA4BC" w:rsidR="00663960" w:rsidRDefault="00E74880" w:rsidP="007F5690">
      <w:pPr>
        <w:pStyle w:val="MKappalejako"/>
        <w:rPr>
          <w:u w:val="single"/>
        </w:rPr>
      </w:pPr>
      <w:r w:rsidRPr="007D76D0">
        <w:rPr>
          <w:u w:val="single"/>
        </w:rPr>
        <w:t xml:space="preserve">Taloudelliset vaikutukset </w:t>
      </w:r>
    </w:p>
    <w:p w14:paraId="393603E3" w14:textId="3D2B99EC" w:rsidR="0022444D" w:rsidRDefault="0022444D" w:rsidP="0022444D">
      <w:pPr>
        <w:pStyle w:val="MKappalejako"/>
      </w:pPr>
      <w:r>
        <w:t>Asetusehdotus tukee tavoitetta minimoida mahdollisesta sähköpulasta aiheutuvat haitat. Jo nykisin alueellisten verkkoyhtiöiden häiriötilanteisiin varautumisessa keskeisessä asemassa ovat säännökset verkonhaltijan varautumissuunnitelmassa. Ehdotuksella yhdenmukaistetaan kaikkein kriittisimpien sähkönkäyttöpaikkojen tunnistamista sekä laajennetaan luokittelu koskemaan kaikkia sähkönkäyttöpaikkoja. Muutokset verkonhaltijoiden varautumissuunnitelmiin arvioidaan pieniksi.</w:t>
      </w:r>
      <w:r w:rsidR="00AB3B5D">
        <w:t xml:space="preserve"> Muiden sähkönkäyttäjien etusijajärjestyksen asettamisen osalta muutoksia luokitteluun saattaa tulla erityisesti niiden käyttöpaikkojen osalta, joita tähän saakka ei ole luokiteltu.</w:t>
      </w:r>
    </w:p>
    <w:p w14:paraId="77FF4326" w14:textId="608FAD95" w:rsidR="00B331E2" w:rsidRDefault="0022444D" w:rsidP="007F5690">
      <w:pPr>
        <w:pStyle w:val="MKappalejako"/>
      </w:pPr>
      <w:r w:rsidRPr="0022444D">
        <w:lastRenderedPageBreak/>
        <w:t>Vaikutukset</w:t>
      </w:r>
      <w:r>
        <w:t xml:space="preserve"> sähkönkäyttäjiin </w:t>
      </w:r>
      <w:r w:rsidR="000246D6">
        <w:t>eivät ole merkittäviä</w:t>
      </w:r>
      <w:r w:rsidR="00D07C97">
        <w:t>, sillä sähkönkäyttäjien tulee joka tapauksessa olla varautunut sähkökatkoihin</w:t>
      </w:r>
      <w:r>
        <w:t xml:space="preserve">. Kriittisten sähkönkäyttäjien listauksen ei arvioida vaikuttavan </w:t>
      </w:r>
      <w:r w:rsidR="00AB3B5D">
        <w:t xml:space="preserve">verkonhaltijoiden varautumissuunnitelmissa olevaan listaukseen </w:t>
      </w:r>
      <w:r w:rsidR="000246D6">
        <w:t>suuresti</w:t>
      </w:r>
      <w:r w:rsidR="00AB3B5D">
        <w:t>. Varautumissuunnitelmien arvioidaan</w:t>
      </w:r>
      <w:r w:rsidR="00D07C97">
        <w:t xml:space="preserve"> suurelta osin</w:t>
      </w:r>
      <w:r w:rsidR="00AB3B5D">
        <w:t xml:space="preserve"> kattavan jo tällä hetkellä 2 pykälässä tunnustetut kriittiset sähkönkäyttöpaikat. </w:t>
      </w:r>
      <w:r w:rsidR="000246D6">
        <w:t xml:space="preserve">Muiden käyttöpaikkojen osalta asetus voi parantaa näiden asemaa, jos toimipaikkaa ei aiemmin ole luokiteltu. </w:t>
      </w:r>
      <w:r w:rsidR="00402B99">
        <w:t>Etusijajärjestyksen asettaminen ei poista sähkönkäyttöpaikkojen oman varautumisen tärkeyttä. Toimintatapojen yhtenäistämisen voisi arvioida parantavan</w:t>
      </w:r>
      <w:r w:rsidR="00A178DC">
        <w:t xml:space="preserve"> </w:t>
      </w:r>
      <w:r w:rsidR="00402B99">
        <w:t>kykyä toimia kriisitilanteessa</w:t>
      </w:r>
      <w:r w:rsidR="00A178DC">
        <w:t>.</w:t>
      </w:r>
      <w:r w:rsidR="000246D6">
        <w:t xml:space="preserve"> Säännöksillä luodaan ymmärrystä ja läpinäkyvyyttä olemassa olevista käytännöistä.</w:t>
      </w:r>
    </w:p>
    <w:p w14:paraId="25F6C12E" w14:textId="4A9AC00D" w:rsidR="00402B99" w:rsidRDefault="00402B99" w:rsidP="007F5690">
      <w:pPr>
        <w:pStyle w:val="MKappalejako"/>
      </w:pPr>
      <w:r>
        <w:t xml:space="preserve">Asetuksella ei myöskään katsota olevan merkittäviä markkinavaikutuksia. </w:t>
      </w:r>
    </w:p>
    <w:p w14:paraId="01325D2B" w14:textId="2CD50052" w:rsidR="00E74880" w:rsidRDefault="00E74880" w:rsidP="007F5690">
      <w:pPr>
        <w:pStyle w:val="MKappalejako"/>
        <w:rPr>
          <w:u w:val="single"/>
        </w:rPr>
      </w:pPr>
      <w:r w:rsidRPr="001A4351">
        <w:rPr>
          <w:u w:val="single"/>
        </w:rPr>
        <w:t>Vaikutukset viranomaisten toimintaan</w:t>
      </w:r>
    </w:p>
    <w:p w14:paraId="027A2355" w14:textId="63F5D12C" w:rsidR="001A4351" w:rsidRPr="001A4351" w:rsidRDefault="001A4351" w:rsidP="007F5690">
      <w:pPr>
        <w:pStyle w:val="MKappalejako"/>
        <w:rPr>
          <w:u w:val="single"/>
        </w:rPr>
      </w:pPr>
      <w:r w:rsidRPr="001A4351">
        <w:t xml:space="preserve">Energiavirasto valvoo </w:t>
      </w:r>
      <w:r>
        <w:t>toimivaltansa puitteissa jakeluverkonhaltijoiden varautumissuunnitelmien laatimista ja niiden päivittämistä. Ehdotuksella ei ole merkittäviä vaikutuksia viranomaistoimintaan.</w:t>
      </w:r>
    </w:p>
    <w:p w14:paraId="42AA079D" w14:textId="154B2AF6" w:rsidR="00663960" w:rsidRPr="00373C86" w:rsidRDefault="00663960" w:rsidP="00663960">
      <w:pPr>
        <w:pStyle w:val="M1Otsikkotaso"/>
      </w:pPr>
      <w:r w:rsidRPr="00373C86">
        <w:t>Asian valmistelu</w:t>
      </w:r>
      <w:r w:rsidR="00E74880">
        <w:t xml:space="preserve"> ja lausuntopalaute</w:t>
      </w:r>
    </w:p>
    <w:p w14:paraId="47D60FB3" w14:textId="7A358C96" w:rsidR="00B56C85" w:rsidRDefault="00E74880" w:rsidP="00B56C85">
      <w:pPr>
        <w:pStyle w:val="MKappalejako"/>
      </w:pPr>
      <w:r w:rsidRPr="00495AD7">
        <w:t xml:space="preserve">Asetusehdotus on valmisteltu </w:t>
      </w:r>
      <w:r>
        <w:t>virkatyönä työ- ja elinkeinoministeriössä</w:t>
      </w:r>
      <w:r w:rsidR="00C750DB">
        <w:t xml:space="preserve"> varautumisen ministerityöryhmä</w:t>
      </w:r>
      <w:r w:rsidR="00B56C85">
        <w:t xml:space="preserve"> pyynnöstä</w:t>
      </w:r>
      <w:r>
        <w:t>.</w:t>
      </w:r>
      <w:r w:rsidR="00B56C85">
        <w:t xml:space="preserve"> E</w:t>
      </w:r>
      <w:r>
        <w:t>hdotuksen taustalla</w:t>
      </w:r>
      <w:r w:rsidR="00B56C85">
        <w:t xml:space="preserve"> on huoltovarmuuskeskuksen vuonna 2021 tilaama </w:t>
      </w:r>
      <w:r w:rsidR="00C750DB">
        <w:t>selvitys</w:t>
      </w:r>
      <w:r w:rsidR="00B56C85">
        <w:t xml:space="preserve"> kriittisten sähkönkäyttöpaikkojen priorisoinnista, johon ehdotus pohjaa. Lisäksi työ- ja elinkeinoministeriö on käynyt keskustelua sidosryhmien kanssa kriittisten sähkönkäyttäjien tunnistamiseksi ja sähkönkäyttäjien etusijajärjestyksen laatimiseksi.</w:t>
      </w:r>
    </w:p>
    <w:p w14:paraId="42AA07A0" w14:textId="77777777" w:rsidR="00663960" w:rsidRPr="00373C86" w:rsidRDefault="00663960" w:rsidP="00663960">
      <w:pPr>
        <w:pStyle w:val="M1Otsikkotaso"/>
        <w:jc w:val="both"/>
      </w:pPr>
      <w:r w:rsidRPr="00373C86">
        <w:t>Voimaantulo</w:t>
      </w:r>
    </w:p>
    <w:p w14:paraId="42AA07A1" w14:textId="0C418DF3" w:rsidR="00663960" w:rsidRDefault="00663960" w:rsidP="00663960">
      <w:pPr>
        <w:pStyle w:val="MKappalejako"/>
        <w:rPr>
          <w:bCs/>
        </w:rPr>
      </w:pPr>
      <w:r>
        <w:rPr>
          <w:bCs/>
        </w:rPr>
        <w:t xml:space="preserve">Asetus on tarkoitettu tulemaan voimaan </w:t>
      </w:r>
      <w:r w:rsidR="00004D59">
        <w:rPr>
          <w:bCs/>
        </w:rPr>
        <w:t>[</w:t>
      </w:r>
      <w:r>
        <w:rPr>
          <w:bCs/>
        </w:rPr>
        <w:t xml:space="preserve"> </w:t>
      </w:r>
      <w:r w:rsidR="00004D59">
        <w:rPr>
          <w:bCs/>
        </w:rPr>
        <w:t>] marras</w:t>
      </w:r>
      <w:r w:rsidR="00B56C85">
        <w:rPr>
          <w:bCs/>
        </w:rPr>
        <w:t xml:space="preserve">kuuta </w:t>
      </w:r>
      <w:r>
        <w:rPr>
          <w:bCs/>
        </w:rPr>
        <w:t xml:space="preserve">2022. </w:t>
      </w:r>
    </w:p>
    <w:sectPr w:rsidR="00663960" w:rsidSect="00523EE7">
      <w:headerReference w:type="even" r:id="rId11"/>
      <w:headerReference w:type="default" r:id="rId12"/>
      <w:headerReference w:type="first" r:id="rId13"/>
      <w:pgSz w:w="11906" w:h="16838" w:code="9"/>
      <w:pgMar w:top="1701" w:right="1134" w:bottom="1220"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D95F" w14:textId="77777777" w:rsidR="00AC4EBD" w:rsidRDefault="00AC4EBD">
      <w:r>
        <w:separator/>
      </w:r>
    </w:p>
    <w:p w14:paraId="7D0DD505" w14:textId="77777777" w:rsidR="00AC4EBD" w:rsidRDefault="00AC4EBD"/>
  </w:endnote>
  <w:endnote w:type="continuationSeparator" w:id="0">
    <w:p w14:paraId="48B2851F" w14:textId="77777777" w:rsidR="00AC4EBD" w:rsidRDefault="00AC4EBD">
      <w:r>
        <w:continuationSeparator/>
      </w:r>
    </w:p>
    <w:p w14:paraId="03A9C7F0" w14:textId="77777777" w:rsidR="00AC4EBD" w:rsidRDefault="00AC4EBD"/>
  </w:endnote>
  <w:endnote w:type="continuationNotice" w:id="1">
    <w:p w14:paraId="6A5AD889" w14:textId="77777777" w:rsidR="00011E75" w:rsidRDefault="00011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127BA" w14:textId="77777777" w:rsidR="00AC4EBD" w:rsidRDefault="00AC4EBD">
      <w:r>
        <w:separator/>
      </w:r>
    </w:p>
    <w:p w14:paraId="090DF799" w14:textId="77777777" w:rsidR="00AC4EBD" w:rsidRDefault="00AC4EBD"/>
  </w:footnote>
  <w:footnote w:type="continuationSeparator" w:id="0">
    <w:p w14:paraId="72D71889" w14:textId="77777777" w:rsidR="00AC4EBD" w:rsidRDefault="00AC4EBD">
      <w:r>
        <w:continuationSeparator/>
      </w:r>
    </w:p>
    <w:p w14:paraId="40D536FB" w14:textId="77777777" w:rsidR="00AC4EBD" w:rsidRDefault="00AC4EBD"/>
  </w:footnote>
  <w:footnote w:type="continuationNotice" w:id="1">
    <w:p w14:paraId="66FF266E" w14:textId="77777777" w:rsidR="00011E75" w:rsidRDefault="00011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07AB" w14:textId="77777777" w:rsidR="00AC4EBD" w:rsidRDefault="00AC4EBD"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15</w:t>
    </w:r>
    <w:r>
      <w:rPr>
        <w:rStyle w:val="Sivunumero"/>
      </w:rPr>
      <w:fldChar w:fldCharType="end"/>
    </w:r>
  </w:p>
  <w:p w14:paraId="42AA07AC" w14:textId="77777777" w:rsidR="00AC4EBD" w:rsidRDefault="00AC4EBD" w:rsidP="00C16765">
    <w:pPr>
      <w:pStyle w:val="Yltunniste"/>
      <w:ind w:right="360"/>
    </w:pPr>
  </w:p>
  <w:p w14:paraId="42AA07AD" w14:textId="77777777" w:rsidR="00AC4EBD" w:rsidRDefault="00AC4E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07AE" w14:textId="22BF57C6" w:rsidR="00AC4EBD" w:rsidRDefault="00AC4EBD"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67BA5">
      <w:rPr>
        <w:rStyle w:val="Sivunumero"/>
        <w:noProof/>
      </w:rPr>
      <w:t>9</w:t>
    </w:r>
    <w:r>
      <w:rPr>
        <w:rStyle w:val="Sivunumero"/>
      </w:rPr>
      <w:fldChar w:fldCharType="end"/>
    </w:r>
  </w:p>
  <w:p w14:paraId="42AA07AF" w14:textId="77777777" w:rsidR="00AC4EBD" w:rsidRDefault="00AC4EBD" w:rsidP="00C16765">
    <w:pPr>
      <w:pStyle w:val="Yltunniste"/>
      <w:ind w:right="360"/>
    </w:pPr>
  </w:p>
  <w:p w14:paraId="42AA07B0" w14:textId="77777777" w:rsidR="00AC4EBD" w:rsidRDefault="00AC4EB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AC4EBD" w14:paraId="42AA07B4" w14:textId="77777777" w:rsidTr="00F30232">
      <w:tc>
        <w:tcPr>
          <w:tcW w:w="5148" w:type="dxa"/>
        </w:tcPr>
        <w:p w14:paraId="42AA07B1" w14:textId="77777777" w:rsidR="00AC4EBD" w:rsidRDefault="00AC4EBD" w:rsidP="00E55B2F">
          <w:pPr>
            <w:pStyle w:val="MMinisterio"/>
          </w:pPr>
          <w:r>
            <w:t>työ- ja elinkeinoministeriö</w:t>
          </w:r>
        </w:p>
      </w:tc>
      <w:tc>
        <w:tcPr>
          <w:tcW w:w="2160" w:type="dxa"/>
        </w:tcPr>
        <w:p w14:paraId="42AA07B2" w14:textId="77777777" w:rsidR="00AC4EBD" w:rsidRDefault="00AC4EBD" w:rsidP="00CE1E6A">
          <w:pPr>
            <w:pStyle w:val="MAsiakirjatyyppi"/>
          </w:pPr>
          <w:r>
            <w:t>Muistio</w:t>
          </w:r>
        </w:p>
      </w:tc>
      <w:tc>
        <w:tcPr>
          <w:tcW w:w="2517" w:type="dxa"/>
        </w:tcPr>
        <w:p w14:paraId="42AA07B3" w14:textId="77777777" w:rsidR="00AC4EBD" w:rsidRDefault="00AC4EBD" w:rsidP="00CE1E6A">
          <w:pPr>
            <w:pStyle w:val="MLiite"/>
          </w:pPr>
        </w:p>
      </w:tc>
    </w:tr>
    <w:tr w:rsidR="00AC4EBD" w14:paraId="42AA07B8" w14:textId="77777777" w:rsidTr="00F30232">
      <w:tc>
        <w:tcPr>
          <w:tcW w:w="5148" w:type="dxa"/>
        </w:tcPr>
        <w:p w14:paraId="42AA07B5" w14:textId="77777777" w:rsidR="00AC4EBD" w:rsidRDefault="00AC4EBD" w:rsidP="00C35CC2">
          <w:pPr>
            <w:pStyle w:val="MVirkanimike"/>
          </w:pPr>
          <w:r>
            <w:t>Erityisasiantuntija</w:t>
          </w:r>
        </w:p>
      </w:tc>
      <w:tc>
        <w:tcPr>
          <w:tcW w:w="2160" w:type="dxa"/>
        </w:tcPr>
        <w:p w14:paraId="42AA07B6" w14:textId="49EF593A" w:rsidR="00AC4EBD" w:rsidRDefault="00AC685B" w:rsidP="006B2391">
          <w:pPr>
            <w:pStyle w:val="Mpaivamaara"/>
          </w:pPr>
          <w:r>
            <w:t>1.11</w:t>
          </w:r>
          <w:r w:rsidR="00AC4EBD">
            <w:t>.2022</w:t>
          </w:r>
        </w:p>
      </w:tc>
      <w:tc>
        <w:tcPr>
          <w:tcW w:w="2517" w:type="dxa"/>
        </w:tcPr>
        <w:p w14:paraId="42AA07B7" w14:textId="77777777" w:rsidR="00AC4EBD" w:rsidRDefault="00AC4EBD" w:rsidP="00CE1E6A">
          <w:pPr>
            <w:pStyle w:val="MDnro"/>
          </w:pPr>
        </w:p>
      </w:tc>
    </w:tr>
    <w:tr w:rsidR="00AC4EBD" w14:paraId="42AA07BC" w14:textId="77777777" w:rsidTr="00F30232">
      <w:tc>
        <w:tcPr>
          <w:tcW w:w="5148" w:type="dxa"/>
        </w:tcPr>
        <w:p w14:paraId="42AA07B9" w14:textId="77777777" w:rsidR="00AC4EBD" w:rsidRPr="009B1A3E" w:rsidRDefault="00AC4EBD" w:rsidP="00C35CC2">
          <w:pPr>
            <w:pStyle w:val="MNimi"/>
          </w:pPr>
          <w:r>
            <w:t>Elina Hautakangas</w:t>
          </w:r>
        </w:p>
      </w:tc>
      <w:tc>
        <w:tcPr>
          <w:tcW w:w="2160" w:type="dxa"/>
        </w:tcPr>
        <w:p w14:paraId="42AA07BA" w14:textId="77777777" w:rsidR="00AC4EBD" w:rsidRDefault="00AC4EBD" w:rsidP="00CE1E6A">
          <w:pPr>
            <w:pStyle w:val="MAsiakirjanTila"/>
          </w:pPr>
        </w:p>
      </w:tc>
      <w:tc>
        <w:tcPr>
          <w:tcW w:w="2517" w:type="dxa"/>
        </w:tcPr>
        <w:p w14:paraId="42AA07BB" w14:textId="77777777" w:rsidR="00AC4EBD" w:rsidRDefault="00AC4EBD" w:rsidP="00CE1E6A">
          <w:pPr>
            <w:pStyle w:val="MAsiakirjanTila"/>
          </w:pPr>
        </w:p>
      </w:tc>
    </w:tr>
  </w:tbl>
  <w:p w14:paraId="42AA07BD" w14:textId="77777777" w:rsidR="00AC4EBD" w:rsidRDefault="00AC4EBD"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36E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0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3459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A0EE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6662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A61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C2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4A2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B0E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789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6" w15:restartNumberingAfterBreak="0">
    <w:nsid w:val="51A57CC2"/>
    <w:multiLevelType w:val="hybridMultilevel"/>
    <w:tmpl w:val="C5386FCA"/>
    <w:lvl w:ilvl="0" w:tplc="040B0001">
      <w:start w:val="1"/>
      <w:numFmt w:val="bullet"/>
      <w:lvlText w:val=""/>
      <w:lvlJc w:val="left"/>
      <w:pPr>
        <w:ind w:left="890" w:hanging="360"/>
      </w:pPr>
      <w:rPr>
        <w:rFonts w:ascii="Symbol" w:hAnsi="Symbol" w:hint="default"/>
      </w:rPr>
    </w:lvl>
    <w:lvl w:ilvl="1" w:tplc="040B0003" w:tentative="1">
      <w:start w:val="1"/>
      <w:numFmt w:val="bullet"/>
      <w:lvlText w:val="o"/>
      <w:lvlJc w:val="left"/>
      <w:pPr>
        <w:ind w:left="1610" w:hanging="360"/>
      </w:pPr>
      <w:rPr>
        <w:rFonts w:ascii="Courier New" w:hAnsi="Courier New" w:cs="Courier New" w:hint="default"/>
      </w:rPr>
    </w:lvl>
    <w:lvl w:ilvl="2" w:tplc="040B0005" w:tentative="1">
      <w:start w:val="1"/>
      <w:numFmt w:val="bullet"/>
      <w:lvlText w:val=""/>
      <w:lvlJc w:val="left"/>
      <w:pPr>
        <w:ind w:left="2330" w:hanging="360"/>
      </w:pPr>
      <w:rPr>
        <w:rFonts w:ascii="Wingdings" w:hAnsi="Wingdings" w:hint="default"/>
      </w:rPr>
    </w:lvl>
    <w:lvl w:ilvl="3" w:tplc="040B0001" w:tentative="1">
      <w:start w:val="1"/>
      <w:numFmt w:val="bullet"/>
      <w:lvlText w:val=""/>
      <w:lvlJc w:val="left"/>
      <w:pPr>
        <w:ind w:left="3050" w:hanging="360"/>
      </w:pPr>
      <w:rPr>
        <w:rFonts w:ascii="Symbol" w:hAnsi="Symbol" w:hint="default"/>
      </w:rPr>
    </w:lvl>
    <w:lvl w:ilvl="4" w:tplc="040B0003" w:tentative="1">
      <w:start w:val="1"/>
      <w:numFmt w:val="bullet"/>
      <w:lvlText w:val="o"/>
      <w:lvlJc w:val="left"/>
      <w:pPr>
        <w:ind w:left="3770" w:hanging="360"/>
      </w:pPr>
      <w:rPr>
        <w:rFonts w:ascii="Courier New" w:hAnsi="Courier New" w:cs="Courier New" w:hint="default"/>
      </w:rPr>
    </w:lvl>
    <w:lvl w:ilvl="5" w:tplc="040B0005" w:tentative="1">
      <w:start w:val="1"/>
      <w:numFmt w:val="bullet"/>
      <w:lvlText w:val=""/>
      <w:lvlJc w:val="left"/>
      <w:pPr>
        <w:ind w:left="4490" w:hanging="360"/>
      </w:pPr>
      <w:rPr>
        <w:rFonts w:ascii="Wingdings" w:hAnsi="Wingdings" w:hint="default"/>
      </w:rPr>
    </w:lvl>
    <w:lvl w:ilvl="6" w:tplc="040B0001" w:tentative="1">
      <w:start w:val="1"/>
      <w:numFmt w:val="bullet"/>
      <w:lvlText w:val=""/>
      <w:lvlJc w:val="left"/>
      <w:pPr>
        <w:ind w:left="5210" w:hanging="360"/>
      </w:pPr>
      <w:rPr>
        <w:rFonts w:ascii="Symbol" w:hAnsi="Symbol" w:hint="default"/>
      </w:rPr>
    </w:lvl>
    <w:lvl w:ilvl="7" w:tplc="040B0003" w:tentative="1">
      <w:start w:val="1"/>
      <w:numFmt w:val="bullet"/>
      <w:lvlText w:val="o"/>
      <w:lvlJc w:val="left"/>
      <w:pPr>
        <w:ind w:left="5930" w:hanging="360"/>
      </w:pPr>
      <w:rPr>
        <w:rFonts w:ascii="Courier New" w:hAnsi="Courier New" w:cs="Courier New" w:hint="default"/>
      </w:rPr>
    </w:lvl>
    <w:lvl w:ilvl="8" w:tplc="040B0005" w:tentative="1">
      <w:start w:val="1"/>
      <w:numFmt w:val="bullet"/>
      <w:lvlText w:val=""/>
      <w:lvlJc w:val="left"/>
      <w:pPr>
        <w:ind w:left="6650" w:hanging="360"/>
      </w:pPr>
      <w:rPr>
        <w:rFonts w:ascii="Wingdings" w:hAnsi="Wingdings" w:hint="default"/>
      </w:rPr>
    </w:lvl>
  </w:abstractNum>
  <w:abstractNum w:abstractNumId="17"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8"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18"/>
  </w:num>
  <w:num w:numId="2">
    <w:abstractNumId w:val="15"/>
  </w:num>
  <w:num w:numId="3">
    <w:abstractNumId w:val="17"/>
  </w:num>
  <w:num w:numId="4">
    <w:abstractNumId w:val="11"/>
  </w:num>
  <w:num w:numId="5">
    <w:abstractNumId w:val="13"/>
  </w:num>
  <w:num w:numId="6">
    <w:abstractNumId w:val="10"/>
  </w:num>
  <w:num w:numId="7">
    <w:abstractNumId w:val="14"/>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E7"/>
    <w:rsid w:val="00001B93"/>
    <w:rsid w:val="00003B9D"/>
    <w:rsid w:val="00004D59"/>
    <w:rsid w:val="00004DC8"/>
    <w:rsid w:val="00004E1D"/>
    <w:rsid w:val="000062B3"/>
    <w:rsid w:val="000073D0"/>
    <w:rsid w:val="00011E75"/>
    <w:rsid w:val="00013370"/>
    <w:rsid w:val="00016871"/>
    <w:rsid w:val="00016BE9"/>
    <w:rsid w:val="00017D49"/>
    <w:rsid w:val="00020ED4"/>
    <w:rsid w:val="000246D6"/>
    <w:rsid w:val="00026052"/>
    <w:rsid w:val="000261C9"/>
    <w:rsid w:val="00030DDB"/>
    <w:rsid w:val="0003157D"/>
    <w:rsid w:val="00033116"/>
    <w:rsid w:val="000360EC"/>
    <w:rsid w:val="00036CFF"/>
    <w:rsid w:val="00036FDA"/>
    <w:rsid w:val="000418B9"/>
    <w:rsid w:val="00043104"/>
    <w:rsid w:val="00043EE3"/>
    <w:rsid w:val="000440CB"/>
    <w:rsid w:val="0006006D"/>
    <w:rsid w:val="000629D2"/>
    <w:rsid w:val="000664A9"/>
    <w:rsid w:val="000665DD"/>
    <w:rsid w:val="000679DC"/>
    <w:rsid w:val="000721E0"/>
    <w:rsid w:val="00075792"/>
    <w:rsid w:val="00076E87"/>
    <w:rsid w:val="000776CB"/>
    <w:rsid w:val="00082968"/>
    <w:rsid w:val="0008386C"/>
    <w:rsid w:val="000847BF"/>
    <w:rsid w:val="000914C0"/>
    <w:rsid w:val="00096B92"/>
    <w:rsid w:val="00097FFD"/>
    <w:rsid w:val="000A2179"/>
    <w:rsid w:val="000A3943"/>
    <w:rsid w:val="000B02E2"/>
    <w:rsid w:val="000B2A89"/>
    <w:rsid w:val="000B4D03"/>
    <w:rsid w:val="000B6C47"/>
    <w:rsid w:val="000B6EF6"/>
    <w:rsid w:val="000B781D"/>
    <w:rsid w:val="000C14CF"/>
    <w:rsid w:val="000C392C"/>
    <w:rsid w:val="000C49AF"/>
    <w:rsid w:val="000C745B"/>
    <w:rsid w:val="000D1863"/>
    <w:rsid w:val="000D38AA"/>
    <w:rsid w:val="000D593A"/>
    <w:rsid w:val="000D62D8"/>
    <w:rsid w:val="000D6F05"/>
    <w:rsid w:val="000E029A"/>
    <w:rsid w:val="000E197A"/>
    <w:rsid w:val="000E3810"/>
    <w:rsid w:val="000E6D17"/>
    <w:rsid w:val="000E7244"/>
    <w:rsid w:val="000F0F0B"/>
    <w:rsid w:val="000F2F84"/>
    <w:rsid w:val="000F4342"/>
    <w:rsid w:val="00105310"/>
    <w:rsid w:val="001103D1"/>
    <w:rsid w:val="001104C0"/>
    <w:rsid w:val="00113244"/>
    <w:rsid w:val="00114762"/>
    <w:rsid w:val="00126107"/>
    <w:rsid w:val="00130B20"/>
    <w:rsid w:val="00134AFC"/>
    <w:rsid w:val="00134FCE"/>
    <w:rsid w:val="001412F3"/>
    <w:rsid w:val="00141930"/>
    <w:rsid w:val="00141B8F"/>
    <w:rsid w:val="00150A72"/>
    <w:rsid w:val="001510A9"/>
    <w:rsid w:val="001517E7"/>
    <w:rsid w:val="00153158"/>
    <w:rsid w:val="00156991"/>
    <w:rsid w:val="00156B6C"/>
    <w:rsid w:val="001615BD"/>
    <w:rsid w:val="00161E14"/>
    <w:rsid w:val="0016247A"/>
    <w:rsid w:val="00164CB3"/>
    <w:rsid w:val="001662DC"/>
    <w:rsid w:val="0017142D"/>
    <w:rsid w:val="001762C5"/>
    <w:rsid w:val="001766C5"/>
    <w:rsid w:val="001769BB"/>
    <w:rsid w:val="00181B87"/>
    <w:rsid w:val="00186413"/>
    <w:rsid w:val="0018735A"/>
    <w:rsid w:val="001877D4"/>
    <w:rsid w:val="00190119"/>
    <w:rsid w:val="001914D9"/>
    <w:rsid w:val="00194319"/>
    <w:rsid w:val="001945AF"/>
    <w:rsid w:val="001A01BD"/>
    <w:rsid w:val="001A1EA1"/>
    <w:rsid w:val="001A4125"/>
    <w:rsid w:val="001A4351"/>
    <w:rsid w:val="001A4C83"/>
    <w:rsid w:val="001A685D"/>
    <w:rsid w:val="001B2C81"/>
    <w:rsid w:val="001B3A2B"/>
    <w:rsid w:val="001B3BEF"/>
    <w:rsid w:val="001B7D50"/>
    <w:rsid w:val="001C7583"/>
    <w:rsid w:val="001D08A0"/>
    <w:rsid w:val="001D2C53"/>
    <w:rsid w:val="001D2C93"/>
    <w:rsid w:val="001D51FB"/>
    <w:rsid w:val="001E1A3F"/>
    <w:rsid w:val="001E3686"/>
    <w:rsid w:val="001E3EEC"/>
    <w:rsid w:val="001F02CA"/>
    <w:rsid w:val="001F1AA5"/>
    <w:rsid w:val="001F625C"/>
    <w:rsid w:val="00200E3C"/>
    <w:rsid w:val="0020114A"/>
    <w:rsid w:val="00203909"/>
    <w:rsid w:val="002039A5"/>
    <w:rsid w:val="002042A1"/>
    <w:rsid w:val="00205D19"/>
    <w:rsid w:val="002067E4"/>
    <w:rsid w:val="00206EBC"/>
    <w:rsid w:val="00216461"/>
    <w:rsid w:val="002204E4"/>
    <w:rsid w:val="0022444D"/>
    <w:rsid w:val="00227595"/>
    <w:rsid w:val="00231552"/>
    <w:rsid w:val="0023160E"/>
    <w:rsid w:val="00231A95"/>
    <w:rsid w:val="002358C0"/>
    <w:rsid w:val="00236C1F"/>
    <w:rsid w:val="00243315"/>
    <w:rsid w:val="002445D1"/>
    <w:rsid w:val="0024522C"/>
    <w:rsid w:val="002453B3"/>
    <w:rsid w:val="00250D62"/>
    <w:rsid w:val="00251A1B"/>
    <w:rsid w:val="00251EFE"/>
    <w:rsid w:val="002521C7"/>
    <w:rsid w:val="002538AB"/>
    <w:rsid w:val="00253BE8"/>
    <w:rsid w:val="00255489"/>
    <w:rsid w:val="00256CC3"/>
    <w:rsid w:val="00261746"/>
    <w:rsid w:val="002618FD"/>
    <w:rsid w:val="00262398"/>
    <w:rsid w:val="002630B7"/>
    <w:rsid w:val="00267F4E"/>
    <w:rsid w:val="0027002D"/>
    <w:rsid w:val="00270D6C"/>
    <w:rsid w:val="00271573"/>
    <w:rsid w:val="00274080"/>
    <w:rsid w:val="00275FDD"/>
    <w:rsid w:val="0027730F"/>
    <w:rsid w:val="00277B2D"/>
    <w:rsid w:val="00285697"/>
    <w:rsid w:val="00292577"/>
    <w:rsid w:val="002959A2"/>
    <w:rsid w:val="002967E9"/>
    <w:rsid w:val="002A3AEC"/>
    <w:rsid w:val="002A644D"/>
    <w:rsid w:val="002A6D64"/>
    <w:rsid w:val="002C06A2"/>
    <w:rsid w:val="002C154D"/>
    <w:rsid w:val="002D08F5"/>
    <w:rsid w:val="002D1A16"/>
    <w:rsid w:val="002D2221"/>
    <w:rsid w:val="002D623B"/>
    <w:rsid w:val="002E2540"/>
    <w:rsid w:val="002E45A8"/>
    <w:rsid w:val="002E52A6"/>
    <w:rsid w:val="002E6789"/>
    <w:rsid w:val="002E72A7"/>
    <w:rsid w:val="002E7C3F"/>
    <w:rsid w:val="002F02B0"/>
    <w:rsid w:val="002F1111"/>
    <w:rsid w:val="002F5ADA"/>
    <w:rsid w:val="002F7519"/>
    <w:rsid w:val="00300C34"/>
    <w:rsid w:val="00305FB3"/>
    <w:rsid w:val="0031238E"/>
    <w:rsid w:val="00312526"/>
    <w:rsid w:val="0031300B"/>
    <w:rsid w:val="00314B5D"/>
    <w:rsid w:val="003150F6"/>
    <w:rsid w:val="00320F20"/>
    <w:rsid w:val="0032257C"/>
    <w:rsid w:val="00327F2B"/>
    <w:rsid w:val="00333024"/>
    <w:rsid w:val="003373ED"/>
    <w:rsid w:val="00337485"/>
    <w:rsid w:val="003404F1"/>
    <w:rsid w:val="003418A2"/>
    <w:rsid w:val="0034326F"/>
    <w:rsid w:val="00344B9B"/>
    <w:rsid w:val="00347B82"/>
    <w:rsid w:val="00352219"/>
    <w:rsid w:val="003522F4"/>
    <w:rsid w:val="00353C7B"/>
    <w:rsid w:val="003562DB"/>
    <w:rsid w:val="00363829"/>
    <w:rsid w:val="00365336"/>
    <w:rsid w:val="00366568"/>
    <w:rsid w:val="0037683C"/>
    <w:rsid w:val="00391E12"/>
    <w:rsid w:val="00392F02"/>
    <w:rsid w:val="0039343A"/>
    <w:rsid w:val="00394167"/>
    <w:rsid w:val="00394A2B"/>
    <w:rsid w:val="00395A74"/>
    <w:rsid w:val="003969B6"/>
    <w:rsid w:val="00397305"/>
    <w:rsid w:val="00397C58"/>
    <w:rsid w:val="003A27A7"/>
    <w:rsid w:val="003B02E1"/>
    <w:rsid w:val="003B0392"/>
    <w:rsid w:val="003B5BB9"/>
    <w:rsid w:val="003B5F1E"/>
    <w:rsid w:val="003B6032"/>
    <w:rsid w:val="003B7EC7"/>
    <w:rsid w:val="003C1A82"/>
    <w:rsid w:val="003C509E"/>
    <w:rsid w:val="003C75DE"/>
    <w:rsid w:val="003D2BA2"/>
    <w:rsid w:val="003D3261"/>
    <w:rsid w:val="003D4DDA"/>
    <w:rsid w:val="003D717C"/>
    <w:rsid w:val="003F02D9"/>
    <w:rsid w:val="003F1E74"/>
    <w:rsid w:val="003F5CF3"/>
    <w:rsid w:val="0040152F"/>
    <w:rsid w:val="00402B99"/>
    <w:rsid w:val="00405236"/>
    <w:rsid w:val="004057EC"/>
    <w:rsid w:val="00407CF5"/>
    <w:rsid w:val="00411978"/>
    <w:rsid w:val="00414699"/>
    <w:rsid w:val="00417257"/>
    <w:rsid w:val="00417E3F"/>
    <w:rsid w:val="004207EA"/>
    <w:rsid w:val="00420B25"/>
    <w:rsid w:val="00421173"/>
    <w:rsid w:val="00422707"/>
    <w:rsid w:val="00422F7E"/>
    <w:rsid w:val="0042375E"/>
    <w:rsid w:val="00426F58"/>
    <w:rsid w:val="00430CE7"/>
    <w:rsid w:val="00433885"/>
    <w:rsid w:val="00436212"/>
    <w:rsid w:val="00452504"/>
    <w:rsid w:val="00454612"/>
    <w:rsid w:val="0046101C"/>
    <w:rsid w:val="00463B90"/>
    <w:rsid w:val="00464282"/>
    <w:rsid w:val="00464D49"/>
    <w:rsid w:val="004676A7"/>
    <w:rsid w:val="00472B1E"/>
    <w:rsid w:val="00473318"/>
    <w:rsid w:val="00474337"/>
    <w:rsid w:val="00476219"/>
    <w:rsid w:val="0047720D"/>
    <w:rsid w:val="0047785C"/>
    <w:rsid w:val="00477B91"/>
    <w:rsid w:val="004810C9"/>
    <w:rsid w:val="00481716"/>
    <w:rsid w:val="00481A80"/>
    <w:rsid w:val="00483F45"/>
    <w:rsid w:val="004912D1"/>
    <w:rsid w:val="00491842"/>
    <w:rsid w:val="00491851"/>
    <w:rsid w:val="00492A5C"/>
    <w:rsid w:val="0049305C"/>
    <w:rsid w:val="00495323"/>
    <w:rsid w:val="004A3DB7"/>
    <w:rsid w:val="004A7278"/>
    <w:rsid w:val="004B4736"/>
    <w:rsid w:val="004B7921"/>
    <w:rsid w:val="004C0CD8"/>
    <w:rsid w:val="004C3EAC"/>
    <w:rsid w:val="004C4C7E"/>
    <w:rsid w:val="004C539B"/>
    <w:rsid w:val="004D147B"/>
    <w:rsid w:val="004D2FAF"/>
    <w:rsid w:val="004D31F7"/>
    <w:rsid w:val="004D3B8B"/>
    <w:rsid w:val="004D4494"/>
    <w:rsid w:val="004D7CE3"/>
    <w:rsid w:val="004E1868"/>
    <w:rsid w:val="004E1E7B"/>
    <w:rsid w:val="004E43BD"/>
    <w:rsid w:val="004E6542"/>
    <w:rsid w:val="004E7368"/>
    <w:rsid w:val="004F0077"/>
    <w:rsid w:val="004F5033"/>
    <w:rsid w:val="004F50CD"/>
    <w:rsid w:val="004F719D"/>
    <w:rsid w:val="00500F28"/>
    <w:rsid w:val="005024E3"/>
    <w:rsid w:val="00506F26"/>
    <w:rsid w:val="00512DBC"/>
    <w:rsid w:val="00514BCF"/>
    <w:rsid w:val="00514D78"/>
    <w:rsid w:val="005160A2"/>
    <w:rsid w:val="005162AB"/>
    <w:rsid w:val="005214BD"/>
    <w:rsid w:val="00522F94"/>
    <w:rsid w:val="00523EE7"/>
    <w:rsid w:val="00531272"/>
    <w:rsid w:val="00531C7E"/>
    <w:rsid w:val="00531E6D"/>
    <w:rsid w:val="00533270"/>
    <w:rsid w:val="00535B82"/>
    <w:rsid w:val="005422C5"/>
    <w:rsid w:val="00543A09"/>
    <w:rsid w:val="0055070B"/>
    <w:rsid w:val="00552B39"/>
    <w:rsid w:val="00552FBC"/>
    <w:rsid w:val="005569D8"/>
    <w:rsid w:val="005611D3"/>
    <w:rsid w:val="005613C0"/>
    <w:rsid w:val="00563183"/>
    <w:rsid w:val="00564517"/>
    <w:rsid w:val="00567BA5"/>
    <w:rsid w:val="00570293"/>
    <w:rsid w:val="00572E5C"/>
    <w:rsid w:val="0057775E"/>
    <w:rsid w:val="0057780A"/>
    <w:rsid w:val="00582A53"/>
    <w:rsid w:val="00582B50"/>
    <w:rsid w:val="00585265"/>
    <w:rsid w:val="00585E3C"/>
    <w:rsid w:val="00586E0D"/>
    <w:rsid w:val="00587E25"/>
    <w:rsid w:val="0059354A"/>
    <w:rsid w:val="005939B2"/>
    <w:rsid w:val="00594F19"/>
    <w:rsid w:val="005A089A"/>
    <w:rsid w:val="005A0FD9"/>
    <w:rsid w:val="005A14C0"/>
    <w:rsid w:val="005A2A0A"/>
    <w:rsid w:val="005A49AA"/>
    <w:rsid w:val="005A4EB7"/>
    <w:rsid w:val="005A56B4"/>
    <w:rsid w:val="005B3069"/>
    <w:rsid w:val="005B6DA7"/>
    <w:rsid w:val="005C15D9"/>
    <w:rsid w:val="005C19AD"/>
    <w:rsid w:val="005C2AA3"/>
    <w:rsid w:val="005C40BC"/>
    <w:rsid w:val="005C7472"/>
    <w:rsid w:val="005C78A8"/>
    <w:rsid w:val="005C7B21"/>
    <w:rsid w:val="005D3373"/>
    <w:rsid w:val="005D5916"/>
    <w:rsid w:val="005E2980"/>
    <w:rsid w:val="005F063C"/>
    <w:rsid w:val="005F3C3A"/>
    <w:rsid w:val="005F64AD"/>
    <w:rsid w:val="005F6752"/>
    <w:rsid w:val="0060194F"/>
    <w:rsid w:val="00601C2E"/>
    <w:rsid w:val="00604AFC"/>
    <w:rsid w:val="00607DCD"/>
    <w:rsid w:val="00610058"/>
    <w:rsid w:val="00620CCF"/>
    <w:rsid w:val="00624DC2"/>
    <w:rsid w:val="006253C1"/>
    <w:rsid w:val="00625A68"/>
    <w:rsid w:val="006332B0"/>
    <w:rsid w:val="00634028"/>
    <w:rsid w:val="0063454B"/>
    <w:rsid w:val="00640B5C"/>
    <w:rsid w:val="0064130D"/>
    <w:rsid w:val="00642AD4"/>
    <w:rsid w:val="00646A39"/>
    <w:rsid w:val="006545F9"/>
    <w:rsid w:val="00660CCE"/>
    <w:rsid w:val="00663550"/>
    <w:rsid w:val="00663960"/>
    <w:rsid w:val="00670629"/>
    <w:rsid w:val="00670D20"/>
    <w:rsid w:val="006710EF"/>
    <w:rsid w:val="006750DB"/>
    <w:rsid w:val="00677DBD"/>
    <w:rsid w:val="00682906"/>
    <w:rsid w:val="0069164A"/>
    <w:rsid w:val="006936F2"/>
    <w:rsid w:val="006943CB"/>
    <w:rsid w:val="00697B90"/>
    <w:rsid w:val="006A04C7"/>
    <w:rsid w:val="006A1C44"/>
    <w:rsid w:val="006A37BC"/>
    <w:rsid w:val="006A425F"/>
    <w:rsid w:val="006A57B2"/>
    <w:rsid w:val="006B0C02"/>
    <w:rsid w:val="006B19B5"/>
    <w:rsid w:val="006B2391"/>
    <w:rsid w:val="006B3F6A"/>
    <w:rsid w:val="006B4790"/>
    <w:rsid w:val="006C154F"/>
    <w:rsid w:val="006C7895"/>
    <w:rsid w:val="006C7D0C"/>
    <w:rsid w:val="006D0591"/>
    <w:rsid w:val="006D283C"/>
    <w:rsid w:val="006D3894"/>
    <w:rsid w:val="006D3D57"/>
    <w:rsid w:val="006D60FB"/>
    <w:rsid w:val="006D79C5"/>
    <w:rsid w:val="006D7E58"/>
    <w:rsid w:val="006E28C8"/>
    <w:rsid w:val="006E4485"/>
    <w:rsid w:val="006F0FE2"/>
    <w:rsid w:val="006F15D6"/>
    <w:rsid w:val="006F4D87"/>
    <w:rsid w:val="006F5E4F"/>
    <w:rsid w:val="00707163"/>
    <w:rsid w:val="0071076F"/>
    <w:rsid w:val="00712423"/>
    <w:rsid w:val="0071346F"/>
    <w:rsid w:val="00715C0A"/>
    <w:rsid w:val="007214A9"/>
    <w:rsid w:val="0072386A"/>
    <w:rsid w:val="00723CB9"/>
    <w:rsid w:val="007261D9"/>
    <w:rsid w:val="007301DD"/>
    <w:rsid w:val="00732A16"/>
    <w:rsid w:val="00741565"/>
    <w:rsid w:val="00745185"/>
    <w:rsid w:val="00746B71"/>
    <w:rsid w:val="007507DF"/>
    <w:rsid w:val="00750850"/>
    <w:rsid w:val="0075215C"/>
    <w:rsid w:val="0075649A"/>
    <w:rsid w:val="00761279"/>
    <w:rsid w:val="0076225D"/>
    <w:rsid w:val="00762D38"/>
    <w:rsid w:val="007637F5"/>
    <w:rsid w:val="007638D4"/>
    <w:rsid w:val="00766217"/>
    <w:rsid w:val="00770FC1"/>
    <w:rsid w:val="0077145D"/>
    <w:rsid w:val="00771E05"/>
    <w:rsid w:val="00771E09"/>
    <w:rsid w:val="00775D62"/>
    <w:rsid w:val="007772AA"/>
    <w:rsid w:val="007774AE"/>
    <w:rsid w:val="0078062E"/>
    <w:rsid w:val="00780CBA"/>
    <w:rsid w:val="00781378"/>
    <w:rsid w:val="0078182B"/>
    <w:rsid w:val="007825F3"/>
    <w:rsid w:val="00787BBE"/>
    <w:rsid w:val="00790734"/>
    <w:rsid w:val="00791DF1"/>
    <w:rsid w:val="00792E65"/>
    <w:rsid w:val="00797696"/>
    <w:rsid w:val="007A14E9"/>
    <w:rsid w:val="007A29CE"/>
    <w:rsid w:val="007A2B6B"/>
    <w:rsid w:val="007B36BC"/>
    <w:rsid w:val="007B5EB1"/>
    <w:rsid w:val="007C316A"/>
    <w:rsid w:val="007C384F"/>
    <w:rsid w:val="007C58E9"/>
    <w:rsid w:val="007C6367"/>
    <w:rsid w:val="007D26F7"/>
    <w:rsid w:val="007D4618"/>
    <w:rsid w:val="007D61AC"/>
    <w:rsid w:val="007D6E8F"/>
    <w:rsid w:val="007D76D0"/>
    <w:rsid w:val="007E030E"/>
    <w:rsid w:val="007E2019"/>
    <w:rsid w:val="007E2A79"/>
    <w:rsid w:val="007E6C44"/>
    <w:rsid w:val="007F5111"/>
    <w:rsid w:val="007F5199"/>
    <w:rsid w:val="007F5690"/>
    <w:rsid w:val="007F726C"/>
    <w:rsid w:val="008007EC"/>
    <w:rsid w:val="0080374A"/>
    <w:rsid w:val="00805BF9"/>
    <w:rsid w:val="00807713"/>
    <w:rsid w:val="008115B3"/>
    <w:rsid w:val="008122B0"/>
    <w:rsid w:val="00813373"/>
    <w:rsid w:val="00813B4E"/>
    <w:rsid w:val="00814B33"/>
    <w:rsid w:val="00815FA3"/>
    <w:rsid w:val="0081680B"/>
    <w:rsid w:val="00816E68"/>
    <w:rsid w:val="00817E7C"/>
    <w:rsid w:val="00820035"/>
    <w:rsid w:val="00820F62"/>
    <w:rsid w:val="00822679"/>
    <w:rsid w:val="008250BA"/>
    <w:rsid w:val="008330BD"/>
    <w:rsid w:val="0083578C"/>
    <w:rsid w:val="00835E44"/>
    <w:rsid w:val="00836249"/>
    <w:rsid w:val="00836E45"/>
    <w:rsid w:val="008372BC"/>
    <w:rsid w:val="0083752F"/>
    <w:rsid w:val="00837A36"/>
    <w:rsid w:val="00837ADC"/>
    <w:rsid w:val="00840DAA"/>
    <w:rsid w:val="00840F2D"/>
    <w:rsid w:val="008419F2"/>
    <w:rsid w:val="00844AE5"/>
    <w:rsid w:val="00846146"/>
    <w:rsid w:val="008472F7"/>
    <w:rsid w:val="00850863"/>
    <w:rsid w:val="0085128D"/>
    <w:rsid w:val="00851720"/>
    <w:rsid w:val="008523BF"/>
    <w:rsid w:val="008536B7"/>
    <w:rsid w:val="00853B1E"/>
    <w:rsid w:val="008578EC"/>
    <w:rsid w:val="00860B1E"/>
    <w:rsid w:val="00862446"/>
    <w:rsid w:val="0086419F"/>
    <w:rsid w:val="0086435B"/>
    <w:rsid w:val="0086467E"/>
    <w:rsid w:val="008655C1"/>
    <w:rsid w:val="00866D43"/>
    <w:rsid w:val="0087128E"/>
    <w:rsid w:val="00871A96"/>
    <w:rsid w:val="008735DE"/>
    <w:rsid w:val="00873718"/>
    <w:rsid w:val="00873A80"/>
    <w:rsid w:val="00876489"/>
    <w:rsid w:val="00880CAB"/>
    <w:rsid w:val="008813F0"/>
    <w:rsid w:val="00886A8D"/>
    <w:rsid w:val="008870E2"/>
    <w:rsid w:val="0089344B"/>
    <w:rsid w:val="008965E0"/>
    <w:rsid w:val="008A2033"/>
    <w:rsid w:val="008A4A84"/>
    <w:rsid w:val="008B06AE"/>
    <w:rsid w:val="008B29AE"/>
    <w:rsid w:val="008B55F9"/>
    <w:rsid w:val="008B733A"/>
    <w:rsid w:val="008B78C8"/>
    <w:rsid w:val="008C0EF0"/>
    <w:rsid w:val="008C19F5"/>
    <w:rsid w:val="008C3FE1"/>
    <w:rsid w:val="008C5887"/>
    <w:rsid w:val="008D15AD"/>
    <w:rsid w:val="008D3665"/>
    <w:rsid w:val="008D43A6"/>
    <w:rsid w:val="008E0698"/>
    <w:rsid w:val="008E1413"/>
    <w:rsid w:val="008E56C5"/>
    <w:rsid w:val="008E6593"/>
    <w:rsid w:val="008F2CE0"/>
    <w:rsid w:val="008F3569"/>
    <w:rsid w:val="008F4D4F"/>
    <w:rsid w:val="008F6855"/>
    <w:rsid w:val="008F6A61"/>
    <w:rsid w:val="008F7B1E"/>
    <w:rsid w:val="0090018C"/>
    <w:rsid w:val="009025E1"/>
    <w:rsid w:val="00907080"/>
    <w:rsid w:val="00911C02"/>
    <w:rsid w:val="009128EB"/>
    <w:rsid w:val="0091374B"/>
    <w:rsid w:val="00917F0E"/>
    <w:rsid w:val="00923973"/>
    <w:rsid w:val="00926508"/>
    <w:rsid w:val="0093080C"/>
    <w:rsid w:val="00934EB7"/>
    <w:rsid w:val="009358F1"/>
    <w:rsid w:val="00935EAD"/>
    <w:rsid w:val="00940958"/>
    <w:rsid w:val="009415A0"/>
    <w:rsid w:val="009451DF"/>
    <w:rsid w:val="009460AC"/>
    <w:rsid w:val="009468F5"/>
    <w:rsid w:val="009475B0"/>
    <w:rsid w:val="00954996"/>
    <w:rsid w:val="00954BB5"/>
    <w:rsid w:val="00954D2E"/>
    <w:rsid w:val="009550D3"/>
    <w:rsid w:val="00956890"/>
    <w:rsid w:val="00957E6E"/>
    <w:rsid w:val="0096080D"/>
    <w:rsid w:val="009609C9"/>
    <w:rsid w:val="00960F2C"/>
    <w:rsid w:val="00961FFB"/>
    <w:rsid w:val="009633D2"/>
    <w:rsid w:val="009660C1"/>
    <w:rsid w:val="00966798"/>
    <w:rsid w:val="00967BDA"/>
    <w:rsid w:val="009748FE"/>
    <w:rsid w:val="00975552"/>
    <w:rsid w:val="00975C85"/>
    <w:rsid w:val="009775DC"/>
    <w:rsid w:val="0098057D"/>
    <w:rsid w:val="00982357"/>
    <w:rsid w:val="00984259"/>
    <w:rsid w:val="0098505C"/>
    <w:rsid w:val="009853F9"/>
    <w:rsid w:val="009859BF"/>
    <w:rsid w:val="00985BCD"/>
    <w:rsid w:val="00990771"/>
    <w:rsid w:val="009913E0"/>
    <w:rsid w:val="00994D8D"/>
    <w:rsid w:val="00995404"/>
    <w:rsid w:val="009974C8"/>
    <w:rsid w:val="009A074B"/>
    <w:rsid w:val="009A0B8F"/>
    <w:rsid w:val="009A36D3"/>
    <w:rsid w:val="009A4B50"/>
    <w:rsid w:val="009A5103"/>
    <w:rsid w:val="009A5DE0"/>
    <w:rsid w:val="009B1A3E"/>
    <w:rsid w:val="009B24EB"/>
    <w:rsid w:val="009B2E85"/>
    <w:rsid w:val="009B4A09"/>
    <w:rsid w:val="009B5499"/>
    <w:rsid w:val="009B57C9"/>
    <w:rsid w:val="009C7326"/>
    <w:rsid w:val="009D2474"/>
    <w:rsid w:val="009D3F00"/>
    <w:rsid w:val="009E1140"/>
    <w:rsid w:val="009E6D83"/>
    <w:rsid w:val="009F1E51"/>
    <w:rsid w:val="009F5219"/>
    <w:rsid w:val="00A02CB9"/>
    <w:rsid w:val="00A06E73"/>
    <w:rsid w:val="00A10094"/>
    <w:rsid w:val="00A11BAC"/>
    <w:rsid w:val="00A12C9F"/>
    <w:rsid w:val="00A17262"/>
    <w:rsid w:val="00A178DC"/>
    <w:rsid w:val="00A17A33"/>
    <w:rsid w:val="00A17F62"/>
    <w:rsid w:val="00A204CF"/>
    <w:rsid w:val="00A20F5B"/>
    <w:rsid w:val="00A20FB5"/>
    <w:rsid w:val="00A31814"/>
    <w:rsid w:val="00A32BAE"/>
    <w:rsid w:val="00A32C76"/>
    <w:rsid w:val="00A33AB3"/>
    <w:rsid w:val="00A34A6F"/>
    <w:rsid w:val="00A35B39"/>
    <w:rsid w:val="00A46A4A"/>
    <w:rsid w:val="00A50708"/>
    <w:rsid w:val="00A532EA"/>
    <w:rsid w:val="00A53FE8"/>
    <w:rsid w:val="00A544C4"/>
    <w:rsid w:val="00A5598E"/>
    <w:rsid w:val="00A55E27"/>
    <w:rsid w:val="00A611DB"/>
    <w:rsid w:val="00A64CE9"/>
    <w:rsid w:val="00A678D8"/>
    <w:rsid w:val="00A67BEE"/>
    <w:rsid w:val="00A70674"/>
    <w:rsid w:val="00A70D65"/>
    <w:rsid w:val="00A716A0"/>
    <w:rsid w:val="00A74F57"/>
    <w:rsid w:val="00A75516"/>
    <w:rsid w:val="00A800D8"/>
    <w:rsid w:val="00A81C63"/>
    <w:rsid w:val="00A826E4"/>
    <w:rsid w:val="00A845F7"/>
    <w:rsid w:val="00A86E0B"/>
    <w:rsid w:val="00A86F23"/>
    <w:rsid w:val="00A87C5A"/>
    <w:rsid w:val="00A901A6"/>
    <w:rsid w:val="00A908D6"/>
    <w:rsid w:val="00A92611"/>
    <w:rsid w:val="00A93EE4"/>
    <w:rsid w:val="00AA0E9E"/>
    <w:rsid w:val="00AA1449"/>
    <w:rsid w:val="00AA2912"/>
    <w:rsid w:val="00AA56F1"/>
    <w:rsid w:val="00AA7804"/>
    <w:rsid w:val="00AB367A"/>
    <w:rsid w:val="00AB3B5D"/>
    <w:rsid w:val="00AB6BD6"/>
    <w:rsid w:val="00AC2536"/>
    <w:rsid w:val="00AC4EBD"/>
    <w:rsid w:val="00AC685B"/>
    <w:rsid w:val="00AC7F5F"/>
    <w:rsid w:val="00AD0008"/>
    <w:rsid w:val="00AD2CD0"/>
    <w:rsid w:val="00AD6CC3"/>
    <w:rsid w:val="00AE27BF"/>
    <w:rsid w:val="00AE3757"/>
    <w:rsid w:val="00AE5067"/>
    <w:rsid w:val="00AE6258"/>
    <w:rsid w:val="00AE6C2B"/>
    <w:rsid w:val="00AF353F"/>
    <w:rsid w:val="00AF38BE"/>
    <w:rsid w:val="00AF66D1"/>
    <w:rsid w:val="00AF6F03"/>
    <w:rsid w:val="00B010FB"/>
    <w:rsid w:val="00B042F4"/>
    <w:rsid w:val="00B05027"/>
    <w:rsid w:val="00B05488"/>
    <w:rsid w:val="00B05C1F"/>
    <w:rsid w:val="00B11398"/>
    <w:rsid w:val="00B128F7"/>
    <w:rsid w:val="00B16B69"/>
    <w:rsid w:val="00B208D6"/>
    <w:rsid w:val="00B20F82"/>
    <w:rsid w:val="00B242E4"/>
    <w:rsid w:val="00B244EF"/>
    <w:rsid w:val="00B25599"/>
    <w:rsid w:val="00B26B2C"/>
    <w:rsid w:val="00B331E2"/>
    <w:rsid w:val="00B35902"/>
    <w:rsid w:val="00B36D8A"/>
    <w:rsid w:val="00B37DE8"/>
    <w:rsid w:val="00B423B6"/>
    <w:rsid w:val="00B46A21"/>
    <w:rsid w:val="00B5498A"/>
    <w:rsid w:val="00B563B4"/>
    <w:rsid w:val="00B56C85"/>
    <w:rsid w:val="00B63AEA"/>
    <w:rsid w:val="00B64510"/>
    <w:rsid w:val="00B667B8"/>
    <w:rsid w:val="00B6791B"/>
    <w:rsid w:val="00B73F74"/>
    <w:rsid w:val="00B7443B"/>
    <w:rsid w:val="00B768A7"/>
    <w:rsid w:val="00B8071C"/>
    <w:rsid w:val="00B810A7"/>
    <w:rsid w:val="00B81D6B"/>
    <w:rsid w:val="00B82E8F"/>
    <w:rsid w:val="00B8521E"/>
    <w:rsid w:val="00B85247"/>
    <w:rsid w:val="00B87CC5"/>
    <w:rsid w:val="00B93708"/>
    <w:rsid w:val="00B93822"/>
    <w:rsid w:val="00B944D9"/>
    <w:rsid w:val="00B95105"/>
    <w:rsid w:val="00B96BD5"/>
    <w:rsid w:val="00BA0C79"/>
    <w:rsid w:val="00BA174F"/>
    <w:rsid w:val="00BA178C"/>
    <w:rsid w:val="00BA23CF"/>
    <w:rsid w:val="00BA3726"/>
    <w:rsid w:val="00BA50DC"/>
    <w:rsid w:val="00BB0517"/>
    <w:rsid w:val="00BB0819"/>
    <w:rsid w:val="00BB1E08"/>
    <w:rsid w:val="00BB586E"/>
    <w:rsid w:val="00BC0C4E"/>
    <w:rsid w:val="00BC1629"/>
    <w:rsid w:val="00BC3A6A"/>
    <w:rsid w:val="00BC3C3D"/>
    <w:rsid w:val="00BC603B"/>
    <w:rsid w:val="00BD018B"/>
    <w:rsid w:val="00BD2034"/>
    <w:rsid w:val="00BD44FD"/>
    <w:rsid w:val="00BD591A"/>
    <w:rsid w:val="00BE1214"/>
    <w:rsid w:val="00BE751C"/>
    <w:rsid w:val="00BF0852"/>
    <w:rsid w:val="00BF12DF"/>
    <w:rsid w:val="00C06368"/>
    <w:rsid w:val="00C06B3D"/>
    <w:rsid w:val="00C13AD5"/>
    <w:rsid w:val="00C15BB9"/>
    <w:rsid w:val="00C16765"/>
    <w:rsid w:val="00C17C63"/>
    <w:rsid w:val="00C17E35"/>
    <w:rsid w:val="00C22FD7"/>
    <w:rsid w:val="00C232FA"/>
    <w:rsid w:val="00C264C5"/>
    <w:rsid w:val="00C31324"/>
    <w:rsid w:val="00C35CC2"/>
    <w:rsid w:val="00C45237"/>
    <w:rsid w:val="00C458DB"/>
    <w:rsid w:val="00C5045E"/>
    <w:rsid w:val="00C52C22"/>
    <w:rsid w:val="00C61034"/>
    <w:rsid w:val="00C63A99"/>
    <w:rsid w:val="00C64708"/>
    <w:rsid w:val="00C649D2"/>
    <w:rsid w:val="00C70148"/>
    <w:rsid w:val="00C73F7F"/>
    <w:rsid w:val="00C750DB"/>
    <w:rsid w:val="00C75581"/>
    <w:rsid w:val="00C76460"/>
    <w:rsid w:val="00C81F0D"/>
    <w:rsid w:val="00C820F8"/>
    <w:rsid w:val="00C82642"/>
    <w:rsid w:val="00C85E50"/>
    <w:rsid w:val="00C87DEB"/>
    <w:rsid w:val="00C90EF0"/>
    <w:rsid w:val="00C935D4"/>
    <w:rsid w:val="00C939A7"/>
    <w:rsid w:val="00CA4235"/>
    <w:rsid w:val="00CA7E97"/>
    <w:rsid w:val="00CB022E"/>
    <w:rsid w:val="00CB1B0D"/>
    <w:rsid w:val="00CB3924"/>
    <w:rsid w:val="00CB4256"/>
    <w:rsid w:val="00CB6201"/>
    <w:rsid w:val="00CB6A9D"/>
    <w:rsid w:val="00CB7BA3"/>
    <w:rsid w:val="00CC02E0"/>
    <w:rsid w:val="00CC0AD6"/>
    <w:rsid w:val="00CC181A"/>
    <w:rsid w:val="00CC2C39"/>
    <w:rsid w:val="00CC2D94"/>
    <w:rsid w:val="00CC3792"/>
    <w:rsid w:val="00CC3BF4"/>
    <w:rsid w:val="00CC47BE"/>
    <w:rsid w:val="00CC4B2F"/>
    <w:rsid w:val="00CC59A4"/>
    <w:rsid w:val="00CD0629"/>
    <w:rsid w:val="00CD0FA7"/>
    <w:rsid w:val="00CD23B7"/>
    <w:rsid w:val="00CD27AC"/>
    <w:rsid w:val="00CD4DED"/>
    <w:rsid w:val="00CE1E6A"/>
    <w:rsid w:val="00CE23A5"/>
    <w:rsid w:val="00CF2869"/>
    <w:rsid w:val="00CF3170"/>
    <w:rsid w:val="00CF37AA"/>
    <w:rsid w:val="00D06FE4"/>
    <w:rsid w:val="00D072F7"/>
    <w:rsid w:val="00D07870"/>
    <w:rsid w:val="00D07C10"/>
    <w:rsid w:val="00D07C97"/>
    <w:rsid w:val="00D10421"/>
    <w:rsid w:val="00D13617"/>
    <w:rsid w:val="00D15962"/>
    <w:rsid w:val="00D16D4A"/>
    <w:rsid w:val="00D16F1A"/>
    <w:rsid w:val="00D173B3"/>
    <w:rsid w:val="00D17A07"/>
    <w:rsid w:val="00D24B36"/>
    <w:rsid w:val="00D30271"/>
    <w:rsid w:val="00D304ED"/>
    <w:rsid w:val="00D30679"/>
    <w:rsid w:val="00D314A9"/>
    <w:rsid w:val="00D34DAA"/>
    <w:rsid w:val="00D351E5"/>
    <w:rsid w:val="00D366EE"/>
    <w:rsid w:val="00D413AF"/>
    <w:rsid w:val="00D41465"/>
    <w:rsid w:val="00D460C5"/>
    <w:rsid w:val="00D52CBA"/>
    <w:rsid w:val="00D54326"/>
    <w:rsid w:val="00D6381F"/>
    <w:rsid w:val="00D670A5"/>
    <w:rsid w:val="00D674D3"/>
    <w:rsid w:val="00D70EBB"/>
    <w:rsid w:val="00D71CDA"/>
    <w:rsid w:val="00D72181"/>
    <w:rsid w:val="00D72A91"/>
    <w:rsid w:val="00D72AE9"/>
    <w:rsid w:val="00D74F24"/>
    <w:rsid w:val="00D77865"/>
    <w:rsid w:val="00D919D0"/>
    <w:rsid w:val="00D91BCE"/>
    <w:rsid w:val="00D9233A"/>
    <w:rsid w:val="00D93C9F"/>
    <w:rsid w:val="00D942FA"/>
    <w:rsid w:val="00D97985"/>
    <w:rsid w:val="00DA17B5"/>
    <w:rsid w:val="00DA17BA"/>
    <w:rsid w:val="00DA2418"/>
    <w:rsid w:val="00DA3B6C"/>
    <w:rsid w:val="00DB04D3"/>
    <w:rsid w:val="00DB1447"/>
    <w:rsid w:val="00DB4F9D"/>
    <w:rsid w:val="00DB5AAF"/>
    <w:rsid w:val="00DB634D"/>
    <w:rsid w:val="00DC024D"/>
    <w:rsid w:val="00DC37DF"/>
    <w:rsid w:val="00DC3D45"/>
    <w:rsid w:val="00DC707B"/>
    <w:rsid w:val="00DC7917"/>
    <w:rsid w:val="00DD2207"/>
    <w:rsid w:val="00DD3561"/>
    <w:rsid w:val="00DD5212"/>
    <w:rsid w:val="00DD5818"/>
    <w:rsid w:val="00DD6912"/>
    <w:rsid w:val="00DE26B0"/>
    <w:rsid w:val="00DE49EB"/>
    <w:rsid w:val="00DE5D1E"/>
    <w:rsid w:val="00DE5FCC"/>
    <w:rsid w:val="00DE6718"/>
    <w:rsid w:val="00DF0625"/>
    <w:rsid w:val="00DF0A1E"/>
    <w:rsid w:val="00E06D16"/>
    <w:rsid w:val="00E15E75"/>
    <w:rsid w:val="00E21934"/>
    <w:rsid w:val="00E223B1"/>
    <w:rsid w:val="00E238F1"/>
    <w:rsid w:val="00E23BA2"/>
    <w:rsid w:val="00E250F7"/>
    <w:rsid w:val="00E25F15"/>
    <w:rsid w:val="00E26F1D"/>
    <w:rsid w:val="00E27A77"/>
    <w:rsid w:val="00E27C61"/>
    <w:rsid w:val="00E3147B"/>
    <w:rsid w:val="00E35053"/>
    <w:rsid w:val="00E3663F"/>
    <w:rsid w:val="00E45221"/>
    <w:rsid w:val="00E45440"/>
    <w:rsid w:val="00E4689F"/>
    <w:rsid w:val="00E4758E"/>
    <w:rsid w:val="00E477E1"/>
    <w:rsid w:val="00E506BB"/>
    <w:rsid w:val="00E512F4"/>
    <w:rsid w:val="00E53593"/>
    <w:rsid w:val="00E5597A"/>
    <w:rsid w:val="00E55B2F"/>
    <w:rsid w:val="00E5609F"/>
    <w:rsid w:val="00E56238"/>
    <w:rsid w:val="00E62D25"/>
    <w:rsid w:val="00E64D37"/>
    <w:rsid w:val="00E67292"/>
    <w:rsid w:val="00E67725"/>
    <w:rsid w:val="00E7048D"/>
    <w:rsid w:val="00E7173E"/>
    <w:rsid w:val="00E74363"/>
    <w:rsid w:val="00E746CA"/>
    <w:rsid w:val="00E74880"/>
    <w:rsid w:val="00E7544B"/>
    <w:rsid w:val="00E76882"/>
    <w:rsid w:val="00E81847"/>
    <w:rsid w:val="00E82D07"/>
    <w:rsid w:val="00E84226"/>
    <w:rsid w:val="00E85642"/>
    <w:rsid w:val="00E85EA9"/>
    <w:rsid w:val="00E91FB5"/>
    <w:rsid w:val="00E93F28"/>
    <w:rsid w:val="00E95097"/>
    <w:rsid w:val="00E953ED"/>
    <w:rsid w:val="00E9592B"/>
    <w:rsid w:val="00E96FB5"/>
    <w:rsid w:val="00E970A1"/>
    <w:rsid w:val="00E970FF"/>
    <w:rsid w:val="00EA03B1"/>
    <w:rsid w:val="00EA1F05"/>
    <w:rsid w:val="00EA2603"/>
    <w:rsid w:val="00EA3578"/>
    <w:rsid w:val="00EA366F"/>
    <w:rsid w:val="00EA4500"/>
    <w:rsid w:val="00EA7501"/>
    <w:rsid w:val="00EA778D"/>
    <w:rsid w:val="00EB2B4D"/>
    <w:rsid w:val="00EB6ED7"/>
    <w:rsid w:val="00EB7D67"/>
    <w:rsid w:val="00EC0255"/>
    <w:rsid w:val="00EC1B06"/>
    <w:rsid w:val="00EC1D56"/>
    <w:rsid w:val="00EC2023"/>
    <w:rsid w:val="00EC22C5"/>
    <w:rsid w:val="00EC2980"/>
    <w:rsid w:val="00EC327A"/>
    <w:rsid w:val="00EC55B1"/>
    <w:rsid w:val="00ED3916"/>
    <w:rsid w:val="00EE1E92"/>
    <w:rsid w:val="00EE4ED8"/>
    <w:rsid w:val="00EE6FB0"/>
    <w:rsid w:val="00EF54A9"/>
    <w:rsid w:val="00EF60FF"/>
    <w:rsid w:val="00EF732E"/>
    <w:rsid w:val="00F032D3"/>
    <w:rsid w:val="00F0355F"/>
    <w:rsid w:val="00F0382F"/>
    <w:rsid w:val="00F043B7"/>
    <w:rsid w:val="00F12EC6"/>
    <w:rsid w:val="00F1412D"/>
    <w:rsid w:val="00F1517C"/>
    <w:rsid w:val="00F15E1D"/>
    <w:rsid w:val="00F16BDC"/>
    <w:rsid w:val="00F254A9"/>
    <w:rsid w:val="00F260A2"/>
    <w:rsid w:val="00F26CFB"/>
    <w:rsid w:val="00F30232"/>
    <w:rsid w:val="00F3524C"/>
    <w:rsid w:val="00F36109"/>
    <w:rsid w:val="00F400FD"/>
    <w:rsid w:val="00F40D03"/>
    <w:rsid w:val="00F43894"/>
    <w:rsid w:val="00F440FA"/>
    <w:rsid w:val="00F45D00"/>
    <w:rsid w:val="00F51505"/>
    <w:rsid w:val="00F51C49"/>
    <w:rsid w:val="00F53B29"/>
    <w:rsid w:val="00F54F89"/>
    <w:rsid w:val="00F550FC"/>
    <w:rsid w:val="00F55EE3"/>
    <w:rsid w:val="00F5615C"/>
    <w:rsid w:val="00F575AB"/>
    <w:rsid w:val="00F6120A"/>
    <w:rsid w:val="00F640CA"/>
    <w:rsid w:val="00F64860"/>
    <w:rsid w:val="00F64AFD"/>
    <w:rsid w:val="00F7008C"/>
    <w:rsid w:val="00F72B6E"/>
    <w:rsid w:val="00F8613B"/>
    <w:rsid w:val="00F86208"/>
    <w:rsid w:val="00F906BB"/>
    <w:rsid w:val="00F92C00"/>
    <w:rsid w:val="00F93556"/>
    <w:rsid w:val="00F94BC7"/>
    <w:rsid w:val="00F951D1"/>
    <w:rsid w:val="00F957C9"/>
    <w:rsid w:val="00F96F9E"/>
    <w:rsid w:val="00FA6BF3"/>
    <w:rsid w:val="00FB397B"/>
    <w:rsid w:val="00FB5BFB"/>
    <w:rsid w:val="00FC0B7F"/>
    <w:rsid w:val="00FC0CD8"/>
    <w:rsid w:val="00FC37FE"/>
    <w:rsid w:val="00FC44C6"/>
    <w:rsid w:val="00FC61F1"/>
    <w:rsid w:val="00FC7298"/>
    <w:rsid w:val="00FC7352"/>
    <w:rsid w:val="00FE0F39"/>
    <w:rsid w:val="00FE48D3"/>
    <w:rsid w:val="00FE66F5"/>
    <w:rsid w:val="00FF23EA"/>
    <w:rsid w:val="00FF6B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A0790"/>
  <w15:chartTrackingRefBased/>
  <w15:docId w15:val="{07E69F3A-7E80-4412-B4E4-46891C4D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23EE7"/>
    <w:pPr>
      <w:spacing w:after="240" w:line="280" w:lineRule="exact"/>
      <w:jc w:val="both"/>
    </w:pPr>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link w:val="AlatunnisteChar"/>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Leipteksti">
    <w:name w:val="Body Text"/>
    <w:basedOn w:val="Normaali"/>
    <w:rsid w:val="00523EE7"/>
    <w:pPr>
      <w:spacing w:after="120"/>
    </w:pPr>
  </w:style>
  <w:style w:type="character" w:customStyle="1" w:styleId="YltunnisteChar">
    <w:name w:val="Ylätunniste Char"/>
    <w:link w:val="Yltunniste"/>
    <w:rsid w:val="00F55EE3"/>
    <w:rPr>
      <w:sz w:val="24"/>
      <w:szCs w:val="24"/>
      <w:lang w:val="fi-FI" w:eastAsia="fi-FI" w:bidi="ar-SA"/>
    </w:rPr>
  </w:style>
  <w:style w:type="character" w:customStyle="1" w:styleId="AlatunnisteChar">
    <w:name w:val="Alatunniste Char"/>
    <w:link w:val="Alatunniste"/>
    <w:rsid w:val="00F55EE3"/>
    <w:rPr>
      <w:sz w:val="24"/>
      <w:szCs w:val="24"/>
      <w:lang w:val="fi-FI" w:eastAsia="fi-FI" w:bidi="ar-SA"/>
    </w:rPr>
  </w:style>
  <w:style w:type="paragraph" w:styleId="Seliteteksti">
    <w:name w:val="Balloon Text"/>
    <w:basedOn w:val="Normaali"/>
    <w:link w:val="SelitetekstiChar"/>
    <w:semiHidden/>
    <w:unhideWhenUsed/>
    <w:rsid w:val="00F55EE3"/>
    <w:pPr>
      <w:spacing w:after="0" w:line="240" w:lineRule="auto"/>
    </w:pPr>
    <w:rPr>
      <w:rFonts w:ascii="Tahoma" w:hAnsi="Tahoma" w:cs="Tahoma"/>
      <w:sz w:val="16"/>
      <w:szCs w:val="16"/>
    </w:rPr>
  </w:style>
  <w:style w:type="character" w:customStyle="1" w:styleId="SelitetekstiChar">
    <w:name w:val="Seliteteksti Char"/>
    <w:link w:val="Seliteteksti"/>
    <w:semiHidden/>
    <w:rsid w:val="00F55EE3"/>
    <w:rPr>
      <w:rFonts w:ascii="Tahoma" w:hAnsi="Tahoma" w:cs="Tahoma"/>
      <w:sz w:val="16"/>
      <w:szCs w:val="16"/>
      <w:lang w:val="fi-FI" w:eastAsia="fi-FI" w:bidi="ar-SA"/>
    </w:rPr>
  </w:style>
  <w:style w:type="paragraph" w:styleId="Kommentinteksti">
    <w:name w:val="annotation text"/>
    <w:basedOn w:val="Normaali"/>
    <w:link w:val="KommentintekstiChar"/>
    <w:semiHidden/>
    <w:unhideWhenUsed/>
    <w:rsid w:val="00F55EE3"/>
    <w:rPr>
      <w:sz w:val="20"/>
      <w:szCs w:val="20"/>
    </w:rPr>
  </w:style>
  <w:style w:type="character" w:customStyle="1" w:styleId="KommentintekstiChar">
    <w:name w:val="Kommentin teksti Char"/>
    <w:link w:val="Kommentinteksti"/>
    <w:semiHidden/>
    <w:rsid w:val="00F55EE3"/>
    <w:rPr>
      <w:lang w:val="fi-FI" w:eastAsia="fi-FI" w:bidi="ar-SA"/>
    </w:rPr>
  </w:style>
  <w:style w:type="paragraph" w:styleId="Kommentinotsikko">
    <w:name w:val="annotation subject"/>
    <w:basedOn w:val="Kommentinteksti"/>
    <w:next w:val="Kommentinteksti"/>
    <w:link w:val="KommentinotsikkoChar"/>
    <w:semiHidden/>
    <w:unhideWhenUsed/>
    <w:rsid w:val="00F55EE3"/>
    <w:rPr>
      <w:b/>
      <w:bCs/>
    </w:rPr>
  </w:style>
  <w:style w:type="character" w:customStyle="1" w:styleId="KommentinotsikkoChar">
    <w:name w:val="Kommentin otsikko Char"/>
    <w:link w:val="Kommentinotsikko"/>
    <w:semiHidden/>
    <w:rsid w:val="00F55EE3"/>
    <w:rPr>
      <w:b/>
      <w:bCs/>
      <w:lang w:val="fi-FI" w:eastAsia="fi-FI" w:bidi="ar-SA"/>
    </w:rPr>
  </w:style>
  <w:style w:type="character" w:styleId="Kommentinviite">
    <w:name w:val="annotation reference"/>
    <w:rsid w:val="009A36D3"/>
    <w:rPr>
      <w:sz w:val="16"/>
      <w:szCs w:val="16"/>
    </w:rPr>
  </w:style>
  <w:style w:type="paragraph" w:customStyle="1" w:styleId="LLSaadoksenNimi">
    <w:name w:val="LLSaadoksenNimi"/>
    <w:next w:val="Normaali"/>
    <w:rsid w:val="0027730F"/>
    <w:pPr>
      <w:spacing w:after="220" w:line="220" w:lineRule="exact"/>
      <w:jc w:val="center"/>
      <w:outlineLvl w:val="1"/>
    </w:pPr>
    <w:rPr>
      <w:b/>
      <w:sz w:val="21"/>
      <w:szCs w:val="24"/>
    </w:rPr>
  </w:style>
  <w:style w:type="paragraph" w:customStyle="1" w:styleId="LLKappalejako">
    <w:name w:val="LLKappalejako"/>
    <w:link w:val="LLKappalejakoChar"/>
    <w:rsid w:val="00B6791B"/>
    <w:pPr>
      <w:spacing w:line="220" w:lineRule="exact"/>
      <w:ind w:firstLine="170"/>
      <w:jc w:val="both"/>
    </w:pPr>
    <w:rPr>
      <w:sz w:val="22"/>
      <w:szCs w:val="24"/>
    </w:rPr>
  </w:style>
  <w:style w:type="character" w:customStyle="1" w:styleId="LLKappalejakoChar">
    <w:name w:val="LLKappalejako Char"/>
    <w:link w:val="LLKappalejako"/>
    <w:locked/>
    <w:rsid w:val="00B6791B"/>
    <w:rPr>
      <w:sz w:val="22"/>
      <w:szCs w:val="24"/>
    </w:rPr>
  </w:style>
  <w:style w:type="paragraph" w:customStyle="1" w:styleId="sti-art">
    <w:name w:val="sti-art"/>
    <w:basedOn w:val="Normaali"/>
    <w:rsid w:val="00FC37FE"/>
    <w:pPr>
      <w:spacing w:before="100" w:beforeAutospacing="1" w:after="100" w:afterAutospacing="1" w:line="240" w:lineRule="auto"/>
      <w:jc w:val="left"/>
    </w:pPr>
  </w:style>
  <w:style w:type="paragraph" w:customStyle="1" w:styleId="Normaali1">
    <w:name w:val="Normaali1"/>
    <w:basedOn w:val="Normaali"/>
    <w:rsid w:val="00FC37FE"/>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1584">
      <w:bodyDiv w:val="1"/>
      <w:marLeft w:val="0"/>
      <w:marRight w:val="0"/>
      <w:marTop w:val="0"/>
      <w:marBottom w:val="0"/>
      <w:divBdr>
        <w:top w:val="none" w:sz="0" w:space="0" w:color="auto"/>
        <w:left w:val="none" w:sz="0" w:space="0" w:color="auto"/>
        <w:bottom w:val="none" w:sz="0" w:space="0" w:color="auto"/>
        <w:right w:val="none" w:sz="0" w:space="0" w:color="auto"/>
      </w:divBdr>
    </w:div>
    <w:div w:id="922690454">
      <w:bodyDiv w:val="1"/>
      <w:marLeft w:val="0"/>
      <w:marRight w:val="0"/>
      <w:marTop w:val="0"/>
      <w:marBottom w:val="0"/>
      <w:divBdr>
        <w:top w:val="none" w:sz="0" w:space="0" w:color="auto"/>
        <w:left w:val="none" w:sz="0" w:space="0" w:color="auto"/>
        <w:bottom w:val="none" w:sz="0" w:space="0" w:color="auto"/>
        <w:right w:val="none" w:sz="0" w:space="0" w:color="auto"/>
      </w:divBdr>
    </w:div>
    <w:div w:id="1383408208">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rvama1\Desktop\Muistio2003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04BF-F4E4-4559-8F24-4D198154CE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238E82-AE5F-4384-BC1B-8F6E07B9B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63981-BCA0-43BC-B3F0-266763A621C6}">
  <ds:schemaRefs>
    <ds:schemaRef ds:uri="http://schemas.microsoft.com/sharepoint/v3/contenttype/forms"/>
  </ds:schemaRefs>
</ds:datastoreItem>
</file>

<file path=customXml/itemProps4.xml><?xml version="1.0" encoding="utf-8"?>
<ds:datastoreItem xmlns:ds="http://schemas.openxmlformats.org/officeDocument/2006/customXml" ds:itemID="{D7AD0D4A-85B7-4F2C-9C8C-D1BDF871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Muistio2003Suomi.dot</Template>
  <TotalTime>0</TotalTime>
  <Pages>9</Pages>
  <Words>2937</Words>
  <Characters>23798</Characters>
  <Application>Microsoft Office Word</Application>
  <DocSecurity>0</DocSecurity>
  <Lines>198</Lines>
  <Paragraphs>53</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tarvama1</dc:creator>
  <cp:keywords/>
  <cp:lastModifiedBy>Hautakangas Elina (TEM)</cp:lastModifiedBy>
  <cp:revision>2</cp:revision>
  <cp:lastPrinted>2022-10-18T12:25:00Z</cp:lastPrinted>
  <dcterms:created xsi:type="dcterms:W3CDTF">2022-11-01T15:13:00Z</dcterms:created>
  <dcterms:modified xsi:type="dcterms:W3CDTF">2022-11-01T15:13:00Z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