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5F0F4D23B60847EE8B42831D25C2A54C"/>
        </w:placeholder>
        <w15:color w:val="00FFFF"/>
      </w:sdtPr>
      <w:sdtEndPr/>
      <w:sdtContent>
        <w:p w:rsidR="00D90A5B" w:rsidRDefault="00D90A5B">
          <w:pPr>
            <w:pStyle w:val="LLNormaali"/>
          </w:pPr>
        </w:p>
        <w:p w:rsidR="004F334C" w:rsidRDefault="004F334C" w:rsidP="004F334C">
          <w:pPr>
            <w:pStyle w:val="LLValtioneuvostonAsetus"/>
          </w:pPr>
          <w:r>
            <w:t>Statsrådets förordning</w:t>
          </w:r>
        </w:p>
        <w:p w:rsidR="001D5B51" w:rsidRPr="009167E1" w:rsidRDefault="00CE322E" w:rsidP="001D5B51">
          <w:pPr>
            <w:pStyle w:val="LLSaadoksenNimi"/>
          </w:pPr>
          <w:r>
            <w:t>om ändring av statsrådets förordning om verkställighet av böter</w:t>
          </w:r>
        </w:p>
        <w:p w:rsidR="001D5B51" w:rsidRPr="009167E1" w:rsidRDefault="008341AB" w:rsidP="001D5B51">
          <w:pPr>
            <w:pStyle w:val="LLJohtolauseKappaleet"/>
          </w:pPr>
          <w:r>
            <w:t xml:space="preserve">I enlighet med statsrådets beslut </w:t>
          </w:r>
        </w:p>
        <w:p w:rsidR="001D5B51" w:rsidRDefault="001D5B51" w:rsidP="001D5B51">
          <w:pPr>
            <w:pStyle w:val="LLJohtolauseKappaleet"/>
          </w:pPr>
          <w:r>
            <w:rPr>
              <w:i/>
              <w:iCs/>
            </w:rPr>
            <w:t>ändras</w:t>
          </w:r>
          <w:r>
            <w:t xml:space="preserve"> i statsrådets förordning om verkställighet av böter (789/2002) 7 </w:t>
          </w:r>
          <w:r w:rsidR="00D826D1">
            <w:t>§ 1 mom., 11 § 1 mom. och 23 § 2</w:t>
          </w:r>
          <w:bookmarkStart w:id="0" w:name="_GoBack"/>
          <w:bookmarkEnd w:id="0"/>
          <w:r>
            <w:t xml:space="preserve"> mom. som följer:</w:t>
          </w:r>
        </w:p>
        <w:p w:rsidR="00A901B2" w:rsidRDefault="00A901B2" w:rsidP="001D5B51">
          <w:pPr>
            <w:pStyle w:val="LLJohtolauseKappaleet"/>
          </w:pPr>
        </w:p>
        <w:p w:rsidR="00A901B2" w:rsidRDefault="00A901B2" w:rsidP="00A901B2">
          <w:pPr>
            <w:pStyle w:val="LLPykala"/>
          </w:pPr>
          <w:r>
            <w:t>7 §</w:t>
          </w:r>
        </w:p>
        <w:p w:rsidR="00A901B2" w:rsidRDefault="00A901B2" w:rsidP="00A901B2">
          <w:pPr>
            <w:pStyle w:val="LLPykalanOtsikko"/>
          </w:pPr>
          <w:r>
            <w:t>Uppgifter som skall lämnas till den betalningsskyldige</w:t>
          </w:r>
        </w:p>
        <w:p w:rsidR="00A901B2" w:rsidRDefault="00A901B2" w:rsidP="00A901B2">
          <w:pPr>
            <w:pStyle w:val="LLJohtolauseKappaleet"/>
          </w:pPr>
          <w:r>
            <w:t>Till den betalningsskyldige ska i det sammanhang som avses i 11 § i lagen om verkställighet av böter för betalningen lämnas uppgifter om den myndighet som fastställt fordran, det avgörande som ligger till grund för fordran, det obetalda beloppet, de referensuppgifter som behövs för betalningen av fordran och kontouppgifterna i fråga om den myndighet som tar emot betalningen. I strafforderförfarandet ges motsvarande uppgifter som behövs för betalningen i samband med straffyrkandet.</w:t>
          </w:r>
        </w:p>
        <w:p w:rsidR="00A901B2" w:rsidRPr="009167E1" w:rsidRDefault="00A901B2" w:rsidP="00BA71BD">
          <w:pPr>
            <w:pStyle w:val="LLNormaali"/>
          </w:pPr>
          <w:proofErr w:type="gramStart"/>
          <w:r>
            <w:t>—</w:t>
          </w:r>
          <w:proofErr w:type="gramEnd"/>
          <w:r>
            <w:t xml:space="preserve"> — — — — — — — — — — — — — — — — — — — — — — — — — — — — —</w:t>
          </w:r>
        </w:p>
        <w:p w:rsidR="00A901B2" w:rsidRDefault="00A901B2" w:rsidP="00A901B2">
          <w:pPr>
            <w:pStyle w:val="LLJohtolauseKappaleet"/>
          </w:pPr>
        </w:p>
        <w:p w:rsidR="001D5B51" w:rsidRDefault="001D5B51" w:rsidP="001D5B51">
          <w:pPr>
            <w:pStyle w:val="LLNormaali"/>
          </w:pPr>
        </w:p>
        <w:p w:rsidR="00CE322E" w:rsidRDefault="00CE322E" w:rsidP="00CE322E">
          <w:pPr>
            <w:pStyle w:val="LLPykala"/>
          </w:pPr>
          <w:r>
            <w:t>11 §</w:t>
          </w:r>
        </w:p>
        <w:p w:rsidR="00CE322E" w:rsidRDefault="00CE322E" w:rsidP="00CE322E">
          <w:pPr>
            <w:pStyle w:val="LLPykalanOtsikko"/>
          </w:pPr>
          <w:r>
            <w:t>Åtgärder i anslutning till stämning</w:t>
          </w:r>
        </w:p>
        <w:p w:rsidR="00CE322E" w:rsidRDefault="00CE322E" w:rsidP="00CE322E">
          <w:pPr>
            <w:pStyle w:val="LLKappalejako"/>
          </w:pPr>
          <w:r>
            <w:t>Till den betalningsskyldige ska i samband med att han eller hon stäms in till en rättegång för bestämmande av förvandlingsstraff för betalningen lämnas uppgifter om den myndighet som fastställt fordran, det avgörande som ligger till grund för fordran, det obetalda beloppet, de re</w:t>
          </w:r>
          <w:proofErr w:type="gramStart"/>
          <w:r>
            <w:t>ferensuppgifter som behövs för betalningen av fordran och kontouppgifterna i fråga om den myndighet som tar emot betalningen.</w:t>
          </w:r>
          <w:proofErr w:type="gramEnd"/>
        </w:p>
        <w:p w:rsidR="00CE322E" w:rsidRDefault="00CE322E" w:rsidP="00BA71BD">
          <w:pPr>
            <w:pStyle w:val="LLNormaali"/>
          </w:pPr>
          <w:proofErr w:type="gramStart"/>
          <w:r>
            <w:t>—</w:t>
          </w:r>
          <w:proofErr w:type="gramEnd"/>
          <w:r>
            <w:t xml:space="preserve"> — — — — — — — — — — — — — — — — — — — — — — — — — — — — —</w:t>
          </w:r>
        </w:p>
        <w:p w:rsidR="00A901B2" w:rsidRDefault="00A901B2" w:rsidP="00BA71BD">
          <w:pPr>
            <w:pStyle w:val="LLNormaali"/>
          </w:pPr>
        </w:p>
        <w:p w:rsidR="00A901B2" w:rsidRDefault="00A901B2" w:rsidP="00A901B2">
          <w:pPr>
            <w:pStyle w:val="LLPykala"/>
          </w:pPr>
          <w:r>
            <w:t>23 §</w:t>
          </w:r>
        </w:p>
        <w:p w:rsidR="00A901B2" w:rsidRDefault="00A901B2" w:rsidP="00A901B2">
          <w:pPr>
            <w:pStyle w:val="LLPykalanOtsikko"/>
          </w:pPr>
          <w:r>
            <w:t>Deponering och redovisning av betalningar</w:t>
          </w:r>
        </w:p>
        <w:p w:rsidR="00A901B2" w:rsidRPr="009167E1" w:rsidRDefault="00A901B2" w:rsidP="00BA71BD">
          <w:pPr>
            <w:pStyle w:val="LLNormaali"/>
          </w:pPr>
          <w:proofErr w:type="gramStart"/>
          <w:r>
            <w:t>—</w:t>
          </w:r>
          <w:proofErr w:type="gramEnd"/>
          <w:r>
            <w:t xml:space="preserve"> — — — — — — — — — — — — — — — — — — — — — — — — — — — — —</w:t>
          </w:r>
        </w:p>
        <w:p w:rsidR="00A901B2" w:rsidRDefault="00A901B2" w:rsidP="00A901B2">
          <w:pPr>
            <w:pStyle w:val="LLKappalejako"/>
          </w:pPr>
          <w:r>
            <w:t>Om något annat inte bestäms ska en i 12 § 1 mom. i lagen om verkställighet av böter avsedd tjänsteman som tagit emot en betalning deponera medlen på kontot för tjänstemedel eller på något annat tillförlitligt sätt, om medlen inte har betalats in på det nämnda kontot eller genast redovisas. Redovisningen till Rättsregistercentralen ska om möjligt göras utan omotiverat dröjsmål. Av redovisningen ska framgå den betalningsskyldige, fordran, de referensuppgifter som lämnats för betalning av fordran, betalningens belopp och dagen för inbetalningen.</w:t>
          </w:r>
        </w:p>
        <w:p w:rsidR="00A901B2" w:rsidRPr="009167E1" w:rsidRDefault="00A901B2" w:rsidP="00BA71BD">
          <w:pPr>
            <w:pStyle w:val="LLNormaali"/>
          </w:pPr>
          <w:proofErr w:type="gramStart"/>
          <w:r>
            <w:t>—</w:t>
          </w:r>
          <w:proofErr w:type="gramEnd"/>
          <w:r>
            <w:t xml:space="preserve"> — — — — — — — — — — — — — — — — — — — — — — — — — — — — —</w:t>
          </w:r>
        </w:p>
        <w:p w:rsidR="00A901B2" w:rsidRPr="009167E1" w:rsidRDefault="00A901B2" w:rsidP="00A901B2">
          <w:pPr>
            <w:pStyle w:val="LLKappalejako"/>
          </w:pPr>
        </w:p>
        <w:p w:rsidR="001D5B51" w:rsidRPr="009167E1" w:rsidRDefault="001D5B51" w:rsidP="001D5B51">
          <w:pPr>
            <w:pStyle w:val="LLNormaali"/>
            <w:jc w:val="center"/>
          </w:pPr>
          <w:proofErr w:type="gramStart"/>
          <w:r>
            <w:t>—</w:t>
          </w:r>
          <w:proofErr w:type="gramEnd"/>
          <w:r>
            <w:t>——</w:t>
          </w:r>
        </w:p>
        <w:p w:rsidR="001D5B51" w:rsidRDefault="001D5B51" w:rsidP="001D5B51">
          <w:pPr>
            <w:pStyle w:val="LLVoimaantulokappale"/>
          </w:pPr>
          <w:r>
            <w:t xml:space="preserve">Denna förordning träder i kraft </w:t>
          </w:r>
          <w:proofErr w:type="gramStart"/>
          <w:r>
            <w:t>den   2023</w:t>
          </w:r>
          <w:proofErr w:type="gramEnd"/>
          <w:r>
            <w:t>.</w:t>
          </w:r>
        </w:p>
        <w:p w:rsidR="001D5B51" w:rsidRDefault="00AE6412" w:rsidP="001D5B51">
          <w:pPr>
            <w:pStyle w:val="LLNormaali"/>
          </w:pPr>
        </w:p>
      </w:sdtContent>
    </w:sdt>
    <w:p w:rsidR="001D5B51" w:rsidRDefault="001D5B51" w:rsidP="004F334C"/>
    <w:sdt>
      <w:sdtPr>
        <w:alias w:val="Datum"/>
        <w:tag w:val="CCPaivays"/>
        <w:id w:val="1988824703"/>
        <w:placeholder>
          <w:docPart w:val="258992FA4B60484184A79271870BFB98"/>
        </w:placeholder>
        <w15:color w:val="33CCCC"/>
        <w:text/>
      </w:sdtPr>
      <w:sdtEndPr/>
      <w:sdtContent>
        <w:p w:rsidR="001D5B51" w:rsidRDefault="001D5B51" w:rsidP="001D5B51">
          <w:pPr>
            <w:pStyle w:val="LLPaivays"/>
            <w:rPr>
              <w:rFonts w:eastAsia="Calibri"/>
              <w:szCs w:val="22"/>
            </w:rPr>
          </w:pPr>
          <w:r>
            <w:t xml:space="preserve">Helsingfors </w:t>
          </w:r>
          <w:proofErr w:type="gramStart"/>
          <w:r>
            <w:t>den  20</w:t>
          </w:r>
          <w:proofErr w:type="gramEnd"/>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54CDFDB636E44F3484076E49137D754C"/>
        </w:placeholder>
        <w15:color w:val="00FFFF"/>
      </w:sdtPr>
      <w:sdtEndPr/>
      <w:sdtContent>
        <w:p w:rsidR="001D5B51" w:rsidRDefault="00CE322E" w:rsidP="001D5B51">
          <w:pPr>
            <w:pStyle w:val="LLAllekirjoitus"/>
            <w:rPr>
              <w:rFonts w:eastAsia="Calibri"/>
              <w:b w:val="0"/>
              <w:sz w:val="22"/>
              <w:szCs w:val="22"/>
            </w:rPr>
          </w:pPr>
          <w:r>
            <w:rPr>
              <w:b w:val="0"/>
              <w:sz w:val="22"/>
            </w:rPr>
            <w:t>Justitieminister Förnamn Efternamn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CE322E" w:rsidP="001D5B51">
      <w:pPr>
        <w:pStyle w:val="LLVarmennus"/>
      </w:pPr>
      <w:r>
        <w:t>Lagstiftningsråd Juho Martikainen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12" w:rsidRDefault="00AE6412">
      <w:r>
        <w:separator/>
      </w:r>
    </w:p>
  </w:endnote>
  <w:endnote w:type="continuationSeparator" w:id="0">
    <w:p w:rsidR="00AE6412" w:rsidRDefault="00AE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A0238">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12" w:rsidRDefault="00AE6412">
      <w:r>
        <w:separator/>
      </w:r>
    </w:p>
  </w:footnote>
  <w:footnote w:type="continuationSeparator" w:id="0">
    <w:p w:rsidR="00AE6412" w:rsidRDefault="00AE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2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2506"/>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4342"/>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78FE"/>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0238"/>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1B2"/>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6412"/>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322E"/>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6D1"/>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A75CB"/>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474A5B"/>
  <w15:docId w15:val="{E6D2575F-B092-44DF-9C10-C1F4901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132547496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F4D23B60847EE8B42831D25C2A54C"/>
        <w:category>
          <w:name w:val="Yleiset"/>
          <w:gallery w:val="placeholder"/>
        </w:category>
        <w:types>
          <w:type w:val="bbPlcHdr"/>
        </w:types>
        <w:behaviors>
          <w:behavior w:val="content"/>
        </w:behaviors>
        <w:guid w:val="{24948A70-D338-4EFD-8A1C-255CB9EB6A0B}"/>
      </w:docPartPr>
      <w:docPartBody>
        <w:p w:rsidR="00B64401" w:rsidRDefault="00A54C77">
          <w:pPr>
            <w:pStyle w:val="5F0F4D23B60847EE8B42831D25C2A54C"/>
          </w:pPr>
          <w:r w:rsidRPr="005D3E42">
            <w:rPr>
              <w:rStyle w:val="Paikkamerkkiteksti"/>
            </w:rPr>
            <w:t>Click or tap here to enter text.</w:t>
          </w:r>
        </w:p>
      </w:docPartBody>
    </w:docPart>
    <w:docPart>
      <w:docPartPr>
        <w:name w:val="258992FA4B60484184A79271870BFB98"/>
        <w:category>
          <w:name w:val="Yleiset"/>
          <w:gallery w:val="placeholder"/>
        </w:category>
        <w:types>
          <w:type w:val="bbPlcHdr"/>
        </w:types>
        <w:behaviors>
          <w:behavior w:val="content"/>
        </w:behaviors>
        <w:guid w:val="{C566AA5A-EEC9-4EEF-A48A-AAF93E7147AF}"/>
      </w:docPartPr>
      <w:docPartBody>
        <w:p w:rsidR="00B64401" w:rsidRDefault="00A54C77">
          <w:pPr>
            <w:pStyle w:val="258992FA4B60484184A79271870BFB98"/>
          </w:pPr>
          <w:r w:rsidRPr="005D3E42">
            <w:rPr>
              <w:rStyle w:val="Paikkamerkkiteksti"/>
            </w:rPr>
            <w:t>Click or tap here to enter text.</w:t>
          </w:r>
        </w:p>
      </w:docPartBody>
    </w:docPart>
    <w:docPart>
      <w:docPartPr>
        <w:name w:val="54CDFDB636E44F3484076E49137D754C"/>
        <w:category>
          <w:name w:val="Yleiset"/>
          <w:gallery w:val="placeholder"/>
        </w:category>
        <w:types>
          <w:type w:val="bbPlcHdr"/>
        </w:types>
        <w:behaviors>
          <w:behavior w:val="content"/>
        </w:behaviors>
        <w:guid w:val="{12F77D7F-EE86-4CA4-B89E-A9ECB5B83853}"/>
      </w:docPartPr>
      <w:docPartBody>
        <w:p w:rsidR="00B64401" w:rsidRDefault="00A54C77">
          <w:pPr>
            <w:pStyle w:val="54CDFDB636E44F3484076E49137D754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77"/>
    <w:rsid w:val="0066552E"/>
    <w:rsid w:val="00A14933"/>
    <w:rsid w:val="00A54C77"/>
    <w:rsid w:val="00B644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F0F4D23B60847EE8B42831D25C2A54C">
    <w:name w:val="5F0F4D23B60847EE8B42831D25C2A54C"/>
  </w:style>
  <w:style w:type="paragraph" w:customStyle="1" w:styleId="258992FA4B60484184A79271870BFB98">
    <w:name w:val="258992FA4B60484184A79271870BFB98"/>
  </w:style>
  <w:style w:type="paragraph" w:customStyle="1" w:styleId="54CDFDB636E44F3484076E49137D754C">
    <w:name w:val="54CDFDB636E44F3484076E49137D7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C0D3-F9EF-4F78-B39E-26811FD2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2</TotalTime>
  <Pages>2</Pages>
  <Words>245</Words>
  <Characters>1987</Characters>
  <Application>Microsoft Office Word</Application>
  <DocSecurity>0</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Martikainen Juho (OM)</dc:creator>
  <cp:keywords/>
  <dc:description/>
  <cp:lastModifiedBy>Martikainen Juho (OM)</cp:lastModifiedBy>
  <cp:revision>3</cp:revision>
  <cp:lastPrinted>2017-12-04T10:02:00Z</cp:lastPrinted>
  <dcterms:created xsi:type="dcterms:W3CDTF">2023-04-14T05:23:00Z</dcterms:created>
  <dcterms:modified xsi:type="dcterms:W3CDTF">2023-04-14T05:25:00Z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