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505180228"/>
        <w:placeholder>
          <w:docPart w:val="98F4E4C2FC4146FB9E7D44C2C31D75C0"/>
        </w:placeholder>
        <w15:color w:val="00FFFF"/>
      </w:sdtPr>
      <w:sdtEndPr/>
      <w:sdtContent>
        <w:p w:rsidR="00D90A5B" w:rsidRDefault="00D90A5B">
          <w:pPr>
            <w:pStyle w:val="LLNormaali"/>
          </w:pPr>
        </w:p>
        <w:p w:rsidR="004F334C" w:rsidRDefault="004F334C" w:rsidP="004F334C">
          <w:pPr>
            <w:pStyle w:val="LLValtioneuvostonAsetus"/>
          </w:pPr>
          <w:r>
            <w:t>Statsrådets förordning</w:t>
          </w:r>
        </w:p>
        <w:p w:rsidR="001D5B51" w:rsidRPr="009167E1" w:rsidRDefault="005B16E7" w:rsidP="001D5B51">
          <w:pPr>
            <w:pStyle w:val="LLSaadoksenNimi"/>
          </w:pPr>
          <w:r>
            <w:t>om transport av farliga ämnen inom Försvarsmakten och Gränsbevakningsväsendet</w:t>
          </w:r>
        </w:p>
        <w:p w:rsidR="001D5B51" w:rsidRDefault="008341AB" w:rsidP="005B16E7">
          <w:pPr>
            <w:pStyle w:val="LLJohtolauseKappaleet"/>
          </w:pPr>
          <w:r>
            <w:t xml:space="preserve">I enlighet med statsrådets beslut föreskrivs med stöd av lagen om transport av farliga ämnen inom Försvarsmakten och Gränsbevakningsväsendet (  /  ): </w:t>
          </w:r>
        </w:p>
        <w:p w:rsidR="005B16E7" w:rsidRDefault="005B16E7" w:rsidP="005B16E7">
          <w:pPr>
            <w:pStyle w:val="LLJohtolauseKappaleet"/>
          </w:pPr>
        </w:p>
        <w:p w:rsidR="005B16E7" w:rsidRDefault="005B16E7" w:rsidP="005B16E7">
          <w:pPr>
            <w:pStyle w:val="LLJohtolauseKappaleet"/>
          </w:pPr>
        </w:p>
        <w:p w:rsidR="005B16E7" w:rsidRDefault="005B16E7" w:rsidP="00974E8C">
          <w:pPr>
            <w:pStyle w:val="LLLuku"/>
          </w:pPr>
          <w:r>
            <w:t>1 kap.</w:t>
          </w:r>
        </w:p>
        <w:p w:rsidR="005B16E7" w:rsidRPr="006B525A" w:rsidRDefault="005B16E7" w:rsidP="00974E8C">
          <w:pPr>
            <w:pStyle w:val="LLLuvunOtsikko"/>
          </w:pPr>
          <w:r>
            <w:t>Allmänna bestämmelser</w:t>
          </w:r>
        </w:p>
        <w:p w:rsidR="005B16E7" w:rsidRDefault="005B16E7" w:rsidP="005B16E7">
          <w:pPr>
            <w:pStyle w:val="LLJohtolauseKappaleet"/>
          </w:pPr>
        </w:p>
        <w:p w:rsidR="001D5B51" w:rsidRDefault="005B16E7" w:rsidP="001D5B51">
          <w:pPr>
            <w:pStyle w:val="LLPykala"/>
          </w:pPr>
          <w:r>
            <w:t>1 §</w:t>
          </w:r>
        </w:p>
        <w:p w:rsidR="005B16E7" w:rsidRDefault="005B16E7" w:rsidP="00057B14">
          <w:pPr>
            <w:pStyle w:val="LLPykalanOtsikko"/>
          </w:pPr>
          <w:r>
            <w:t>Definitioner</w:t>
          </w:r>
        </w:p>
        <w:p w:rsidR="005B16E7" w:rsidRDefault="005B16E7" w:rsidP="0078170F">
          <w:pPr>
            <w:pStyle w:val="LLMomentinJohdantoKappale"/>
          </w:pPr>
          <w:r>
            <w:t>I denna förordning avses med</w:t>
          </w:r>
        </w:p>
        <w:p w:rsidR="005B16E7" w:rsidRDefault="005B16E7" w:rsidP="005B16E7">
          <w:pPr>
            <w:pStyle w:val="LLMomentinAlakohta"/>
            <w:numPr>
              <w:ilvl w:val="0"/>
              <w:numId w:val="26"/>
            </w:numPr>
          </w:pPr>
          <w:r>
            <w:rPr>
              <w:i/>
              <w:iCs/>
            </w:rPr>
            <w:t>Försvarsmaktens TFÄ-lag</w:t>
          </w:r>
          <w:r>
            <w:t xml:space="preserve"> lagen om transport av farliga ämnen inom Försvarsmakten och Gränsbevakningsväsendet (  /  ),</w:t>
          </w:r>
        </w:p>
        <w:p w:rsidR="005B16E7" w:rsidRPr="005B16E7" w:rsidRDefault="005B16E7" w:rsidP="005B16E7">
          <w:pPr>
            <w:pStyle w:val="Luettelokappale"/>
            <w:numPr>
              <w:ilvl w:val="0"/>
              <w:numId w:val="26"/>
            </w:numPr>
            <w:rPr>
              <w:rFonts w:eastAsia="Times New Roman"/>
              <w:szCs w:val="24"/>
            </w:rPr>
          </w:pPr>
          <w:r>
            <w:rPr>
              <w:i/>
              <w:iCs/>
            </w:rPr>
            <w:t xml:space="preserve">fordonsinspektör </w:t>
          </w:r>
          <w:r>
            <w:t>en i militärfordonslagen (332/2023) och i bestämmelser som utfärdats med stöd av den lagen avsedd fordonsinspektör som har giltig behörighet,</w:t>
          </w:r>
        </w:p>
        <w:p w:rsidR="005B16E7" w:rsidRPr="005B16E7" w:rsidRDefault="005B16E7" w:rsidP="005B16E7">
          <w:pPr>
            <w:pStyle w:val="Luettelokappale"/>
            <w:numPr>
              <w:ilvl w:val="0"/>
              <w:numId w:val="26"/>
            </w:numPr>
            <w:rPr>
              <w:rFonts w:eastAsia="Times New Roman"/>
              <w:szCs w:val="24"/>
            </w:rPr>
          </w:pPr>
          <w:r>
            <w:rPr>
              <w:i/>
              <w:iCs/>
            </w:rPr>
            <w:t>storolycka</w:t>
          </w:r>
          <w:r>
            <w:t xml:space="preserve"> betydande utsläpp, brand, explosion eller annan händelse som orsakas av sådana okontrollerade händelseförlopp i samband med tillfällig förvaring av farliga ämnen som kan medföra allvarlig, omedelbar eller fördröjd fara för människors hälsa, miljön eller egendom inne i eller utanför en plats för tillfällig förvaring.</w:t>
          </w:r>
        </w:p>
        <w:p w:rsidR="005B16E7" w:rsidRDefault="005B16E7" w:rsidP="005B16E7">
          <w:pPr>
            <w:pStyle w:val="LLMomentinAlakohta"/>
            <w:ind w:left="530" w:firstLine="0"/>
          </w:pPr>
        </w:p>
        <w:p w:rsidR="005B16E7" w:rsidRDefault="005B16E7" w:rsidP="00974E8C">
          <w:pPr>
            <w:pStyle w:val="LLLuku"/>
          </w:pPr>
          <w:r>
            <w:t>2 kap.</w:t>
          </w:r>
        </w:p>
        <w:p w:rsidR="005B16E7" w:rsidRPr="006B525A" w:rsidRDefault="005B16E7" w:rsidP="00974E8C">
          <w:pPr>
            <w:pStyle w:val="LLLuvunOtsikko"/>
          </w:pPr>
          <w:r>
            <w:t>Tillfällig förvaring</w:t>
          </w:r>
        </w:p>
        <w:p w:rsidR="005B16E7" w:rsidRPr="009167E1" w:rsidRDefault="005B16E7" w:rsidP="00BA71BD">
          <w:pPr>
            <w:pStyle w:val="LLPykala"/>
          </w:pPr>
          <w:r>
            <w:t>2 §</w:t>
          </w:r>
        </w:p>
        <w:p w:rsidR="005B16E7" w:rsidRDefault="005B16E7" w:rsidP="00057B14">
          <w:pPr>
            <w:pStyle w:val="LLPykalanOtsikko"/>
          </w:pPr>
          <w:r>
            <w:t xml:space="preserve">Farliga ämnen och lasttransportenheter på platser för tillfällig förvaring </w:t>
          </w:r>
        </w:p>
        <w:p w:rsidR="005B16E7" w:rsidRDefault="005B16E7" w:rsidP="0078170F">
          <w:pPr>
            <w:pStyle w:val="LLKappalejako"/>
          </w:pPr>
          <w:r>
            <w:t>På en plats för tillfällig förvaring i en örlogshamn, ett örlogshamnområde, en militär flygplats och på platser för upprepad, fast och tillfällig förvaring samt på andra platser för tillfällig förvaring ska lasttransportenheter separeras från varandra på ett säkert sätt, och räddningsmyndigheterna ska säkerställas fri passage till farliga ämnen och lasttransportenheter som innehåller farliga ämnen. Vid placeringen ska hänsyn tas till övrig trafik på platsen för tillfällig förvaring, och minsta möjliga flyttande av lasttransportenheter under förvaringen ska eftersträvas.</w:t>
          </w:r>
        </w:p>
        <w:p w:rsidR="005B16E7" w:rsidRDefault="005B16E7" w:rsidP="0078170F">
          <w:pPr>
            <w:pStyle w:val="LLKappalejako"/>
          </w:pPr>
          <w:r>
            <w:t>Lasttransportenheter som innehåller farliga ämnen får inte under tillfällig förvaring staplas på varandra utan tvingande behov. Dock får högst två lasttransportenheter staplas på varandra om de innehåller endast miljöfarliga ämnen av klass 9.</w:t>
          </w:r>
        </w:p>
        <w:p w:rsidR="005B16E7" w:rsidRDefault="005B16E7" w:rsidP="0078170F">
          <w:pPr>
            <w:pStyle w:val="LLKappalejako"/>
          </w:pPr>
          <w:r>
            <w:t>Vid tillfällig förvaring av kollin utanför lasttransportenheten eller lastutrymmet ska minst samma separering iakttas som vid samlastning i en lasttransportenhet eller i ett lastutrymme i ett transportmedel.</w:t>
          </w:r>
        </w:p>
        <w:p w:rsidR="000C5A1E" w:rsidRDefault="000C5A1E" w:rsidP="0078170F">
          <w:pPr>
            <w:pStyle w:val="LLKappalejako"/>
          </w:pPr>
        </w:p>
        <w:p w:rsidR="000C5A1E" w:rsidRPr="009167E1" w:rsidRDefault="000C5A1E" w:rsidP="00BA71BD">
          <w:pPr>
            <w:pStyle w:val="LLPykala"/>
          </w:pPr>
          <w:r>
            <w:lastRenderedPageBreak/>
            <w:t>3 §</w:t>
          </w:r>
        </w:p>
        <w:p w:rsidR="000C5A1E" w:rsidRDefault="000C5A1E" w:rsidP="00057B14">
          <w:pPr>
            <w:pStyle w:val="LLPykalanOtsikko"/>
          </w:pPr>
          <w:r>
            <w:t xml:space="preserve">Lasttransportenheter i en örlogshamn, ett örlogshamnområde, en militär flygplats och på platser för upprepad, fast och tillfällig förvaring </w:t>
          </w:r>
        </w:p>
        <w:p w:rsidR="000C5A1E" w:rsidRDefault="000C5A1E" w:rsidP="0078170F">
          <w:pPr>
            <w:pStyle w:val="LLKappalejako"/>
          </w:pPr>
          <w:r>
            <w:t>I en örlogshamn, ett örlogshamnområde, en militär flygplats och på platser för upprepad, fast och tillfällig förvaring ska de separeringsavstånd som anges i bilaga 1 iakttas. I fråga om separering av lasttransportenheter som innehåller små mängder av ett farligt ämne behöver bestämmelserna i bilagan dock inte tillämpas, om säkerheten i övrigt säkerställs.</w:t>
          </w:r>
        </w:p>
        <w:p w:rsidR="000C5A1E" w:rsidRDefault="000C5A1E" w:rsidP="0078170F">
          <w:pPr>
            <w:pStyle w:val="LLKappalejako"/>
          </w:pPr>
          <w:r>
            <w:t>Följande ämnen ska utan dröjsmål avlägsnas från örlogshamnar, örlogshamnområden, militära flygplatser och platser för upprepad, fast och tillfällig förvaring:</w:t>
          </w:r>
        </w:p>
        <w:p w:rsidR="000C5A1E" w:rsidRDefault="000C5A1E" w:rsidP="000C5A1E">
          <w:pPr>
            <w:pStyle w:val="LLMomentinAlakohta"/>
            <w:numPr>
              <w:ilvl w:val="0"/>
              <w:numId w:val="27"/>
            </w:numPr>
          </w:pPr>
          <w:r>
            <w:t>explosiva ämnen av klass 1, med undantag för explosiva ämnen 1.4 S,</w:t>
          </w:r>
        </w:p>
        <w:p w:rsidR="000C5A1E" w:rsidRPr="000C5A1E" w:rsidRDefault="000C5A1E" w:rsidP="000C5A1E">
          <w:pPr>
            <w:pStyle w:val="Luettelokappale"/>
            <w:numPr>
              <w:ilvl w:val="0"/>
              <w:numId w:val="27"/>
            </w:numPr>
            <w:rPr>
              <w:rFonts w:eastAsia="Times New Roman"/>
              <w:szCs w:val="24"/>
            </w:rPr>
          </w:pPr>
          <w:r>
            <w:t>smittförande ämnen av klass 6.2,</w:t>
          </w:r>
        </w:p>
        <w:p w:rsidR="000C5A1E" w:rsidRDefault="000C5A1E" w:rsidP="000C5A1E">
          <w:pPr>
            <w:pStyle w:val="Luettelokappale"/>
            <w:numPr>
              <w:ilvl w:val="0"/>
              <w:numId w:val="27"/>
            </w:numPr>
            <w:rPr>
              <w:rFonts w:eastAsia="Times New Roman"/>
              <w:szCs w:val="24"/>
            </w:rPr>
          </w:pPr>
          <w:r>
            <w:t>radioaktiva ämnen av klass 7, med undantag för ämnen med benämningarna UN 2908–2911 i förteckningen över farliga ämnen.</w:t>
          </w:r>
        </w:p>
        <w:p w:rsidR="00866BBB" w:rsidRDefault="00866BBB" w:rsidP="0078170F">
          <w:pPr>
            <w:pStyle w:val="LLKappalejako"/>
          </w:pPr>
          <w:r>
            <w:t>De ämnen som avses i 2 mom. kan dock tillfälligt förvaras i en örlogshamn, ett örlogshamnområde, en militär flygplats och på platser för upprepad, fast och tillfällig förvaring, om det är tryggt och förvaringen inte förorsakar fara och om örlogshamninnehavaren, hamninnehavaren, militärflygplatsoperatören, flygplatsoperatören eller den som ansvarar för platsen för upprepad, fast och tillfällig förvaring har gett tillstånd till det.</w:t>
          </w:r>
        </w:p>
        <w:p w:rsidR="0000134A" w:rsidRDefault="0000134A" w:rsidP="0078170F">
          <w:pPr>
            <w:pStyle w:val="LLKappalejako"/>
          </w:pPr>
        </w:p>
        <w:p w:rsidR="0000134A" w:rsidRPr="009167E1" w:rsidRDefault="0000134A" w:rsidP="00BA71BD">
          <w:pPr>
            <w:pStyle w:val="LLPykala"/>
          </w:pPr>
          <w:r>
            <w:t>4 §</w:t>
          </w:r>
        </w:p>
        <w:p w:rsidR="0000134A" w:rsidRDefault="0000134A" w:rsidP="00057B14">
          <w:pPr>
            <w:pStyle w:val="LLPykalanOtsikko"/>
          </w:pPr>
          <w:r>
            <w:t>Beredskap att avvärja olyckor på platser för tillfällig förvaring</w:t>
          </w:r>
        </w:p>
        <w:p w:rsidR="0000134A" w:rsidRDefault="0000134A" w:rsidP="0078170F">
          <w:pPr>
            <w:pStyle w:val="LLKappalejako"/>
          </w:pPr>
          <w:r>
            <w:t>På platser för tillfällig förvaring ska det finnas primärsläckningsutrustning för bekämpning av olyckor och absorptions- och neutraliseringsämnen eller andra redskap för bekämpning av läckage på det sätt som de ämnen som förvaras, riskbedömningen och olyckskonsekvenserna förutsätter. Vid planeringen av platsen ska uppmärksamhet fästas vid att läckage av farliga ämnen och förorenat vatten kan samlas upp.</w:t>
          </w:r>
        </w:p>
        <w:p w:rsidR="0000134A" w:rsidRDefault="0000134A" w:rsidP="0078170F">
          <w:pPr>
            <w:pStyle w:val="LLKappalejako"/>
          </w:pPr>
          <w:r>
            <w:t>För skadade laster och avfall som förorenats av farliga ämnen i dessa laster ska en plats reserveras där de kan förvaras samt förpackas och lastas på nytt och där förorenat avfall kan samlas upp för destruktion. När sådana arrangemang planeras ska mängden och arten av de farliga ämnen som förvaras beaktas.</w:t>
          </w:r>
        </w:p>
        <w:p w:rsidR="0000134A" w:rsidRDefault="0000134A" w:rsidP="0078170F">
          <w:pPr>
            <w:pStyle w:val="LLKappalejako"/>
          </w:pPr>
        </w:p>
        <w:p w:rsidR="0000134A" w:rsidRPr="009167E1" w:rsidRDefault="0000134A" w:rsidP="00BA71BD">
          <w:pPr>
            <w:pStyle w:val="LLPykala"/>
          </w:pPr>
          <w:r>
            <w:t>5 §</w:t>
          </w:r>
        </w:p>
        <w:p w:rsidR="0000134A" w:rsidRDefault="0000134A" w:rsidP="00057B14">
          <w:pPr>
            <w:pStyle w:val="LLPykalanOtsikko"/>
          </w:pPr>
          <w:r>
            <w:t>Upprättande av interna räddningsplaner</w:t>
          </w:r>
        </w:p>
        <w:p w:rsidR="0000134A" w:rsidRDefault="0000134A" w:rsidP="0078170F">
          <w:pPr>
            <w:pStyle w:val="LLMomentinJohdantoKappale"/>
          </w:pPr>
          <w:r>
            <w:t>Den i 37 § i Försvarsmaktens TFÄ-lag avsedda interna räddningsplanen för en plats för tillfällig förvaring ska upprättas med beaktande av följande mål:</w:t>
          </w:r>
        </w:p>
        <w:p w:rsidR="0000134A" w:rsidRDefault="0000134A" w:rsidP="0000134A">
          <w:pPr>
            <w:pStyle w:val="LLMomentinKohta"/>
            <w:numPr>
              <w:ilvl w:val="0"/>
              <w:numId w:val="28"/>
            </w:numPr>
          </w:pPr>
          <w:r>
            <w:t>olyckor begränsas och kontrolleras för att följderna av dem ska kunna minimeras samt för att skador på människors hälsa, miljön och egendom ska kunna begränsas,</w:t>
          </w:r>
        </w:p>
        <w:p w:rsidR="0000134A" w:rsidRPr="0000134A" w:rsidRDefault="0000134A" w:rsidP="0000134A">
          <w:pPr>
            <w:pStyle w:val="Luettelokappale"/>
            <w:numPr>
              <w:ilvl w:val="0"/>
              <w:numId w:val="28"/>
            </w:numPr>
            <w:rPr>
              <w:rFonts w:eastAsia="Times New Roman"/>
              <w:szCs w:val="24"/>
            </w:rPr>
          </w:pPr>
          <w:r>
            <w:t>behövliga åtgärder vidtas för att människors hälsa och miljön ska kunna skyddas mot följderna av olyckor,</w:t>
          </w:r>
        </w:p>
        <w:p w:rsidR="0000134A" w:rsidRPr="0000134A" w:rsidRDefault="0000134A" w:rsidP="0000134A">
          <w:pPr>
            <w:pStyle w:val="Luettelokappale"/>
            <w:numPr>
              <w:ilvl w:val="0"/>
              <w:numId w:val="28"/>
            </w:numPr>
            <w:rPr>
              <w:rFonts w:eastAsia="Times New Roman"/>
              <w:szCs w:val="24"/>
            </w:rPr>
          </w:pPr>
          <w:r>
            <w:t>behövlig information förmedlas till ansvariga regionala myndigheter och vid behov till befolkningen och övriga företag och inrättningar i området,</w:t>
          </w:r>
        </w:p>
        <w:p w:rsidR="0000134A" w:rsidRDefault="0000134A" w:rsidP="0000134A">
          <w:pPr>
            <w:pStyle w:val="Luettelokappale"/>
            <w:numPr>
              <w:ilvl w:val="0"/>
              <w:numId w:val="28"/>
            </w:numPr>
            <w:rPr>
              <w:rFonts w:eastAsia="Times New Roman"/>
              <w:szCs w:val="24"/>
            </w:rPr>
          </w:pPr>
          <w:proofErr w:type="gramStart"/>
          <w:r>
            <w:t>förberedelser görs för att spåren efter en olycka ska kunna undanröjas och omgivningen saneras.</w:t>
          </w:r>
          <w:proofErr w:type="gramEnd"/>
        </w:p>
        <w:p w:rsidR="0000134A" w:rsidRDefault="0000134A" w:rsidP="0078170F">
          <w:pPr>
            <w:pStyle w:val="LLKappalejako"/>
          </w:pPr>
          <w:r>
            <w:t xml:space="preserve">När den interna räddningsplanen upprättas ska regionala aktörer höras och det regionala räddningsväsendets arrangemang beaktas. </w:t>
          </w:r>
        </w:p>
        <w:p w:rsidR="0000134A" w:rsidRDefault="0000134A" w:rsidP="0078170F">
          <w:pPr>
            <w:pStyle w:val="LLKappalejako"/>
          </w:pPr>
          <w:r>
            <w:lastRenderedPageBreak/>
            <w:t>Om en intern räddningsplan, en säkerhetsplan, en beredskapsplan eller någon annan motsvarande plan enligt någon annan tillämplig lag än Försvarsmaktens TFÄ-lag ska upprättas för en plats för tillfällig förvaring, behöver ingen separat intern räddningsplan upprättas, utan motsvarande innehåll kan sammanställas i den nämnda andra planen. Detta ska nämnas i planen.</w:t>
          </w:r>
        </w:p>
        <w:p w:rsidR="0047010F" w:rsidRDefault="0047010F" w:rsidP="0078170F">
          <w:pPr>
            <w:pStyle w:val="LLKappalejako"/>
          </w:pPr>
        </w:p>
        <w:p w:rsidR="0047010F" w:rsidRPr="009167E1" w:rsidRDefault="0047010F" w:rsidP="00BA71BD">
          <w:pPr>
            <w:pStyle w:val="LLPykala"/>
          </w:pPr>
          <w:r>
            <w:t>6 §</w:t>
          </w:r>
        </w:p>
        <w:p w:rsidR="0047010F" w:rsidRDefault="0047010F" w:rsidP="00057B14">
          <w:pPr>
            <w:pStyle w:val="LLPykalanOtsikko"/>
          </w:pPr>
          <w:r>
            <w:t xml:space="preserve">Innehåll i och översyn av den interna räddningsplanen </w:t>
          </w:r>
        </w:p>
        <w:p w:rsidR="0047010F" w:rsidRDefault="0047010F" w:rsidP="0078170F">
          <w:pPr>
            <w:pStyle w:val="LLKappalejako"/>
          </w:pPr>
          <w:r>
            <w:t xml:space="preserve">  Den interna räddningsplanen ska innehålla en beskrivning, utredning eller avgränsning av det område som den interna räddningsplanen gäller.</w:t>
          </w:r>
        </w:p>
        <w:p w:rsidR="0047010F" w:rsidRDefault="0047010F" w:rsidP="0078170F">
          <w:pPr>
            <w:pStyle w:val="LLKappalejako"/>
          </w:pPr>
          <w:r>
            <w:t>Den interna räddningsplanen ska innehålla en bedömning av de konsekvenser som olyckor kan orsaka utanför området samt information om de ämnen som förvaras inom området, om deras mängder och placering, och följande uppgifter:</w:t>
          </w:r>
        </w:p>
        <w:p w:rsidR="0047010F" w:rsidRPr="00BF43D1" w:rsidRDefault="0047010F" w:rsidP="0047010F">
          <w:pPr>
            <w:pStyle w:val="LLMomentinKohta"/>
            <w:numPr>
              <w:ilvl w:val="0"/>
              <w:numId w:val="29"/>
            </w:numPr>
          </w:pPr>
          <w:r>
            <w:t>namn på och befattning för de personer som har befogenhet att inleda räddningsinsatser och som ansvarar för de interna räddningsinsatserna i området, namn på och befattning för den person som ansvarar för kontakten med räddningsmyndigheterna,</w:t>
          </w:r>
        </w:p>
        <w:p w:rsidR="0047010F" w:rsidRPr="00BF43D1" w:rsidRDefault="0047010F" w:rsidP="0047010F">
          <w:pPr>
            <w:pStyle w:val="Luettelokappale"/>
            <w:numPr>
              <w:ilvl w:val="0"/>
              <w:numId w:val="29"/>
            </w:numPr>
            <w:rPr>
              <w:rFonts w:eastAsia="Times New Roman"/>
              <w:szCs w:val="24"/>
            </w:rPr>
          </w:pPr>
          <w:proofErr w:type="gramStart"/>
          <w:r>
            <w:t>för varje situation eller händelse som kan förutses och som kan spela en avgörande roll för uppkomsten av en storolycka en beskrivning av vilka åtgärder som ska vidtas för att kontrollera situationen eller händelsen och för att begränsa följderna av denna.</w:t>
          </w:r>
          <w:proofErr w:type="gramEnd"/>
          <w:r>
            <w:t xml:space="preserve"> Denna beskrivning ska omfatta säkerhetsutrustning och tillgängliga resurser,</w:t>
          </w:r>
        </w:p>
        <w:p w:rsidR="0047010F" w:rsidRPr="00BF43D1" w:rsidRDefault="0047010F" w:rsidP="0047010F">
          <w:pPr>
            <w:pStyle w:val="Luettelokappale"/>
            <w:numPr>
              <w:ilvl w:val="0"/>
              <w:numId w:val="29"/>
            </w:numPr>
            <w:rPr>
              <w:rFonts w:eastAsia="Times New Roman"/>
              <w:szCs w:val="24"/>
            </w:rPr>
          </w:pPr>
          <w:r>
            <w:t>åtgärder som syftar till att begränsa riskerna för de personer som befinner sig inom området, inklusive larmsystem och instruktioner som ska iakttas vid larm,</w:t>
          </w:r>
        </w:p>
        <w:p w:rsidR="0047010F" w:rsidRPr="00BF43D1" w:rsidRDefault="0047010F" w:rsidP="0047010F">
          <w:pPr>
            <w:pStyle w:val="Luettelokappale"/>
            <w:numPr>
              <w:ilvl w:val="0"/>
              <w:numId w:val="29"/>
            </w:numPr>
            <w:rPr>
              <w:rFonts w:eastAsia="Times New Roman"/>
              <w:szCs w:val="24"/>
            </w:rPr>
          </w:pPr>
          <w:r>
            <w:t>rutiner för att snabbt underrätta räddningsmyndigheterna om en inträffad olycka, hurdan information som ska lämnas omedelbart samt hur mer detaljerad information så snart den fås lämnas till de parter som behöver den,</w:t>
          </w:r>
        </w:p>
        <w:p w:rsidR="0047010F" w:rsidRPr="00BF43D1" w:rsidRDefault="0047010F" w:rsidP="0047010F">
          <w:pPr>
            <w:pStyle w:val="Luettelokappale"/>
            <w:numPr>
              <w:ilvl w:val="0"/>
              <w:numId w:val="29"/>
            </w:numPr>
            <w:rPr>
              <w:rFonts w:eastAsia="Times New Roman"/>
              <w:szCs w:val="24"/>
            </w:rPr>
          </w:pPr>
          <w:r>
            <w:t>på vilket sätt personalen utbildas i de uppgifter som den förväntas utföra och, vid behov, samordning av denna verksamhet med räddningsmyndighetens åtgärder, samt</w:t>
          </w:r>
        </w:p>
        <w:p w:rsidR="0047010F" w:rsidRPr="00BF43D1" w:rsidRDefault="0047010F" w:rsidP="0047010F">
          <w:pPr>
            <w:pStyle w:val="Luettelokappale"/>
            <w:numPr>
              <w:ilvl w:val="0"/>
              <w:numId w:val="29"/>
            </w:numPr>
            <w:rPr>
              <w:rFonts w:eastAsia="Times New Roman"/>
              <w:szCs w:val="24"/>
            </w:rPr>
          </w:pPr>
          <w:proofErr w:type="gramStart"/>
          <w:r>
            <w:t>åtgärder för att stödja räddningsinsatser utanför området.</w:t>
          </w:r>
          <w:proofErr w:type="gramEnd"/>
        </w:p>
        <w:p w:rsidR="0047010F" w:rsidRDefault="0047010F" w:rsidP="0078170F">
          <w:pPr>
            <w:pStyle w:val="LLKappalejako"/>
          </w:pPr>
          <w:r>
            <w:t xml:space="preserve">Den interna räddningsplanen för en plats för tillfällig förvaring där det finns risk för en storolycka ska innehålla detaljerade olycksbeskrivningar samt en bedömning av hur omfattande och svåra följderna av de beskrivna storolyckorna kan bli, såväl skriftligen som med hjälp av kartor. </w:t>
          </w:r>
        </w:p>
        <w:p w:rsidR="0047010F" w:rsidRDefault="0047010F" w:rsidP="000B5ED1">
          <w:pPr>
            <w:pStyle w:val="LLKappalejako"/>
          </w:pPr>
          <w:r>
            <w:t>Den som upprättar en intern räddningsplan ska se över den alltid när det behövs, dock minst vart femte år. Vid översynen ska planen uppdateras och korrigeras så att hänsyn tas till ändringar på platsen för tillfällig förvaring och i dess omgivning samt i arrangemangen inom räddningsväsendet, den ökande tekniska sakkunskapen samt den ökande kännedomen om åtgärder som ska vidtas för att avvärja olyckor.</w:t>
          </w:r>
        </w:p>
        <w:p w:rsidR="003B650A" w:rsidRDefault="003B650A" w:rsidP="000B5ED1">
          <w:pPr>
            <w:pStyle w:val="LLKappalejako"/>
          </w:pPr>
        </w:p>
        <w:p w:rsidR="003B650A" w:rsidRPr="009167E1" w:rsidRDefault="003B650A" w:rsidP="00BA71BD">
          <w:pPr>
            <w:pStyle w:val="LLPykala"/>
          </w:pPr>
          <w:r>
            <w:t>7 §</w:t>
          </w:r>
        </w:p>
        <w:p w:rsidR="003B650A" w:rsidRDefault="003B650A" w:rsidP="00057B14">
          <w:pPr>
            <w:pStyle w:val="LLPykalanOtsikko"/>
          </w:pPr>
          <w:r>
            <w:t>Säkerhetsutredning för örlogshamnar, örlogshamnområden och militära flygplatser</w:t>
          </w:r>
        </w:p>
        <w:p w:rsidR="003B650A" w:rsidRDefault="003B650A" w:rsidP="0078170F">
          <w:pPr>
            <w:pStyle w:val="LLMomentinJohdantoKappale"/>
          </w:pPr>
          <w:r>
            <w:t>Den säkerhetsutredning för örlogshamnar eller örlogshamnområden som avses i 38 § och för militära flygplatser som avses i 39 § i Försvarsmaktens TFÄ-lag ska visa</w:t>
          </w:r>
        </w:p>
        <w:p w:rsidR="003B650A" w:rsidRDefault="003B650A" w:rsidP="003B650A">
          <w:pPr>
            <w:pStyle w:val="LLMomentinKohta"/>
            <w:numPr>
              <w:ilvl w:val="0"/>
              <w:numId w:val="30"/>
            </w:numPr>
          </w:pPr>
          <w:r>
            <w:t>behövlig information för att genomföra verksamhetsprinciperna för organisationen och säkerhetsledningssystemet för hamninnehavaren och den som utför lasthanteringstjänster i örlogshamnen, örlogshamnområdet eller på den militära flygplatsen,</w:t>
          </w:r>
        </w:p>
        <w:p w:rsidR="003B650A" w:rsidRPr="003B650A" w:rsidRDefault="003B650A" w:rsidP="003B650A">
          <w:pPr>
            <w:pStyle w:val="Luettelokappale"/>
            <w:numPr>
              <w:ilvl w:val="0"/>
              <w:numId w:val="30"/>
            </w:numPr>
            <w:rPr>
              <w:rFonts w:eastAsia="Times New Roman"/>
              <w:szCs w:val="24"/>
            </w:rPr>
          </w:pPr>
          <w:r>
            <w:t>att de risker som transporten medför har identifierats inom örlogshamnen, örlogshamnområdet eller den militära flygplatsen och att behövliga åtgärder har vidtagits för att förebygga olyckor och begränsa konsekvenserna av olyckor för människor, miljön och egendom,</w:t>
          </w:r>
        </w:p>
        <w:p w:rsidR="003B650A" w:rsidRPr="003B650A" w:rsidRDefault="003B650A" w:rsidP="003B650A">
          <w:pPr>
            <w:pStyle w:val="Luettelokappale"/>
            <w:numPr>
              <w:ilvl w:val="0"/>
              <w:numId w:val="30"/>
            </w:numPr>
            <w:rPr>
              <w:rFonts w:eastAsia="Times New Roman"/>
              <w:szCs w:val="24"/>
            </w:rPr>
          </w:pPr>
          <w:r>
            <w:lastRenderedPageBreak/>
            <w:t>att de säkerhetskrav som föreskrivs i Försvarsmaktens TFÄ-lag och med stöd av den har beaktats,</w:t>
          </w:r>
        </w:p>
        <w:p w:rsidR="003B650A" w:rsidRPr="003B650A" w:rsidRDefault="003B650A" w:rsidP="003B650A">
          <w:pPr>
            <w:pStyle w:val="Luettelokappale"/>
            <w:numPr>
              <w:ilvl w:val="0"/>
              <w:numId w:val="30"/>
            </w:numPr>
            <w:rPr>
              <w:rFonts w:eastAsia="Times New Roman"/>
              <w:szCs w:val="24"/>
            </w:rPr>
          </w:pPr>
          <w:r>
            <w:t>att andra faror och eventuella sårbara objekt som finns inom örlogshamnen, örlogshamnområdet eller den militära flygplatsen och utanför dessa, såsom skolor, sjukhus och grundvattenområden, har beaktats,</w:t>
          </w:r>
        </w:p>
        <w:p w:rsidR="003B650A" w:rsidRPr="003B650A" w:rsidRDefault="003B650A" w:rsidP="003B650A">
          <w:pPr>
            <w:pStyle w:val="Luettelokappale"/>
            <w:numPr>
              <w:ilvl w:val="0"/>
              <w:numId w:val="30"/>
            </w:numPr>
            <w:rPr>
              <w:rFonts w:eastAsia="Times New Roman"/>
              <w:szCs w:val="24"/>
            </w:rPr>
          </w:pPr>
          <w:r>
            <w:t>att en intern räddningsplan har upprättats,</w:t>
          </w:r>
        </w:p>
        <w:p w:rsidR="003B650A" w:rsidRPr="003B650A" w:rsidRDefault="003B650A" w:rsidP="003B650A">
          <w:pPr>
            <w:pStyle w:val="Luettelokappale"/>
            <w:numPr>
              <w:ilvl w:val="0"/>
              <w:numId w:val="30"/>
            </w:numPr>
            <w:rPr>
              <w:rFonts w:eastAsia="Times New Roman"/>
              <w:szCs w:val="24"/>
            </w:rPr>
          </w:pPr>
          <w:r>
            <w:t>hur tillsynen över de transportenheter som fraktar farliga ämnen har ordnats inom örlogshamnen, örlogshamnområdet eller den militära flygplatsen,</w:t>
          </w:r>
        </w:p>
        <w:p w:rsidR="003B650A" w:rsidRPr="003B650A" w:rsidRDefault="003B650A" w:rsidP="003B650A">
          <w:pPr>
            <w:pStyle w:val="Luettelokappale"/>
            <w:numPr>
              <w:ilvl w:val="0"/>
              <w:numId w:val="30"/>
            </w:numPr>
            <w:rPr>
              <w:rFonts w:eastAsia="Times New Roman"/>
              <w:szCs w:val="24"/>
            </w:rPr>
          </w:pPr>
          <w:proofErr w:type="gramStart"/>
          <w:r>
            <w:t>verksamhetsprinciperna för säkerhetsledningssystemet.</w:t>
          </w:r>
          <w:proofErr w:type="gramEnd"/>
        </w:p>
        <w:p w:rsidR="003B650A" w:rsidRDefault="003B650A" w:rsidP="0078170F">
          <w:pPr>
            <w:pStyle w:val="LLKappalejako"/>
          </w:pPr>
          <w:r>
            <w:t>De säkerhetsledningssystem som avses i 38 och 39 § i Försvarsmaktens TFÄ-lag ska innehålla en beskrivning av den organisation, ledning och personal som deltar i hanteringen av olycksrisker hos hamninnehavaren och örlogshamninnehavaren, flygplatsoperatören och militärflygplatsoperatören samt hos verksamhetsutövarna och truppförbanden, av personalens uppgifter och ansvarsområden samt av ledningen av verksamheten i hamnen. Dessutom ska en tillräcklig överföring av information mellan och inom de olika organisationerna säkerställas.</w:t>
          </w:r>
        </w:p>
        <w:p w:rsidR="00847D5D" w:rsidRDefault="00847D5D" w:rsidP="0078170F">
          <w:pPr>
            <w:pStyle w:val="LLKappalejako"/>
          </w:pPr>
        </w:p>
        <w:p w:rsidR="00847D5D" w:rsidRDefault="00847D5D" w:rsidP="00974E8C">
          <w:pPr>
            <w:pStyle w:val="LLLuku"/>
          </w:pPr>
          <w:r>
            <w:t>3 kap.</w:t>
          </w:r>
        </w:p>
        <w:p w:rsidR="00847D5D" w:rsidRPr="006B525A" w:rsidRDefault="00847D5D" w:rsidP="00974E8C">
          <w:pPr>
            <w:pStyle w:val="LLLuvunOtsikko"/>
          </w:pPr>
          <w:r>
            <w:t xml:space="preserve">Samordning av försvarsmaktens säkerhetsrådgivares verksamhet med civila aktörer </w:t>
          </w:r>
        </w:p>
        <w:p w:rsidR="00847D5D" w:rsidRPr="009167E1" w:rsidRDefault="00847D5D" w:rsidP="00BA71BD">
          <w:pPr>
            <w:pStyle w:val="LLPykala"/>
          </w:pPr>
          <w:r>
            <w:t>8 §</w:t>
          </w:r>
        </w:p>
        <w:p w:rsidR="00847D5D" w:rsidRDefault="00847D5D" w:rsidP="00057B14">
          <w:pPr>
            <w:pStyle w:val="LLPykalanOtsikko"/>
          </w:pPr>
          <w:r>
            <w:t>Samordning av systemet med försvarsmaktens säkerhetsrådgivare och samarbetet med civila myndigheter</w:t>
          </w:r>
        </w:p>
        <w:p w:rsidR="00847D5D" w:rsidRDefault="00847D5D" w:rsidP="0078170F">
          <w:pPr>
            <w:pStyle w:val="LLKappalejako"/>
          </w:pPr>
          <w:r>
            <w:t>Huvudstabens tekniska granskningsavdelning ska tillsammans med de tillsynsmyndigheter som anges i lagen om transport av farliga ämnen (541/2023) samordna en säkerhetsrådgivarverksamhet där praxis och de föreskrifter som meddelats med stöd av lagen är kompatibla.</w:t>
          </w:r>
        </w:p>
        <w:p w:rsidR="00847D5D" w:rsidRDefault="00847D5D" w:rsidP="00847D5D">
          <w:pPr>
            <w:rPr>
              <w:lang w:eastAsia="fi-FI"/>
            </w:rPr>
          </w:pPr>
        </w:p>
        <w:p w:rsidR="00652DD2" w:rsidRDefault="00652DD2" w:rsidP="00974E8C">
          <w:pPr>
            <w:pStyle w:val="LLLuku"/>
          </w:pPr>
          <w:r>
            <w:t>4 kap.</w:t>
          </w:r>
        </w:p>
        <w:p w:rsidR="00652DD2" w:rsidRPr="006B525A" w:rsidRDefault="00652DD2" w:rsidP="00974E8C">
          <w:pPr>
            <w:pStyle w:val="LLLuvunOtsikko"/>
          </w:pPr>
          <w:r>
            <w:t>Behörighet för fordonsinspektörer som beviljar Försvarsmaktens TFÄ-körtillstånd samt specialutbildning för personer som beviljar Försvarsmaktens TFÄ-godkännanden och utför Försvarsmaktens TFÄ-besiktningar av fordon</w:t>
          </w:r>
        </w:p>
        <w:p w:rsidR="00652DD2" w:rsidRPr="009167E1" w:rsidRDefault="00652DD2" w:rsidP="00BA71BD">
          <w:pPr>
            <w:pStyle w:val="LLPykala"/>
          </w:pPr>
          <w:r>
            <w:t>9 §</w:t>
          </w:r>
        </w:p>
        <w:p w:rsidR="00652DD2" w:rsidRDefault="00652DD2" w:rsidP="00057B14">
          <w:pPr>
            <w:pStyle w:val="LLPykalanOtsikko"/>
          </w:pPr>
          <w:r>
            <w:t xml:space="preserve">Behörighet för fordonsinspektörer som beviljar Försvarsmaktens TFÄ-körtillstånd </w:t>
          </w:r>
        </w:p>
        <w:p w:rsidR="00652DD2" w:rsidRDefault="00652DD2" w:rsidP="0078170F">
          <w:pPr>
            <w:pStyle w:val="LLKappalejako"/>
          </w:pPr>
          <w:r>
            <w:t>Fordonsinspektören beviljar Försvarsmaktens körtillstånd för förare som transporterar farliga ämnen (Försvarsmaktens TFÄ-körtillstånd) och tar emot körprov och muntliga teoriprov som gäller dem.</w:t>
          </w:r>
        </w:p>
        <w:p w:rsidR="00652DD2" w:rsidRDefault="00652DD2" w:rsidP="0078170F">
          <w:pPr>
            <w:pStyle w:val="LLKappalejako"/>
          </w:pPr>
          <w:r>
            <w:t xml:space="preserve">Den som beviljar Försvarsmaktens TFÄ-körtillstånd ska ha giltig behörighet för fordonsinspektörer och minst samma behörighet som en i 55 § 3 mom. 3 punkten i Försvarsmaktens TFÄ-lag avsedd utbildningsgivare för Försvarsmaktens TFÄ-körtillstånd. </w:t>
          </w:r>
        </w:p>
        <w:p w:rsidR="000B6C77" w:rsidRDefault="000B6C77" w:rsidP="0078170F">
          <w:pPr>
            <w:pStyle w:val="LLKappalejako"/>
          </w:pPr>
        </w:p>
        <w:p w:rsidR="000B6C77" w:rsidRPr="009167E1" w:rsidRDefault="000B6C77" w:rsidP="00BA71BD">
          <w:pPr>
            <w:pStyle w:val="LLPykala"/>
          </w:pPr>
          <w:r>
            <w:t>10 §</w:t>
          </w:r>
        </w:p>
        <w:p w:rsidR="000B6C77" w:rsidRDefault="000B6C77" w:rsidP="00057B14">
          <w:pPr>
            <w:pStyle w:val="LLPykalanOtsikko"/>
          </w:pPr>
          <w:r>
            <w:t>Specialutbildning för personer som beviljar Försvarsmaktens TFÄ-godkännanden och utför Försvarsmaktens TFÄ-besiktningar av fordon</w:t>
          </w:r>
        </w:p>
        <w:p w:rsidR="000B6C77" w:rsidRDefault="000B6C77" w:rsidP="0078170F">
          <w:pPr>
            <w:pStyle w:val="LLKappalejako"/>
          </w:pPr>
          <w:r>
            <w:lastRenderedPageBreak/>
            <w:t>Utbildning för Försvarsmaktens TFÄ-godkännande och Försvarsmaktens TFÄ-besiktning ges på försvarsmaktens kurs i fordonsbesiktning enligt en utbildningsplan som godkänts av den som beviljar rätten att utföra kontroller av fordon. Minimilängden på utbildningen är i fråga om Försvarsmaktens TFÄ-godkännande och Försvarsmaktens TFÄ-besiktning 16 timmar.</w:t>
          </w:r>
        </w:p>
        <w:p w:rsidR="000B6C77" w:rsidRDefault="000B6C77" w:rsidP="0078170F">
          <w:pPr>
            <w:pStyle w:val="LLKappalejako"/>
          </w:pPr>
          <w:r>
            <w:t>Det utbildningsavsnitt som avses i 1 mom. ska ordnas separat i fråga om bandburna fordon.</w:t>
          </w:r>
        </w:p>
        <w:p w:rsidR="00BE7121" w:rsidRDefault="00BE7121" w:rsidP="0078170F">
          <w:pPr>
            <w:pStyle w:val="LLKappalejako"/>
          </w:pPr>
        </w:p>
        <w:p w:rsidR="00BE7121" w:rsidRPr="009167E1" w:rsidRDefault="00BE7121" w:rsidP="00BA71BD">
          <w:pPr>
            <w:pStyle w:val="LLPykala"/>
          </w:pPr>
          <w:r>
            <w:t>11 §</w:t>
          </w:r>
        </w:p>
        <w:p w:rsidR="00BE7121" w:rsidRDefault="00BE7121" w:rsidP="00057B14">
          <w:pPr>
            <w:pStyle w:val="LLPykalanOtsikko"/>
          </w:pPr>
          <w:r>
            <w:t>Giltighet i fråga om rätten att bevilja Försvarsmaktens TFÄ-godkännanden och utföra Försvarsmaktens TFÄ-besiktningar</w:t>
          </w:r>
        </w:p>
        <w:p w:rsidR="004353EC" w:rsidRDefault="004353EC" w:rsidP="0078170F">
          <w:pPr>
            <w:pStyle w:val="LLMomentinJohdantoKappale"/>
          </w:pPr>
          <w:r>
            <w:t>Rätten att bevilja Försvarsmaktens TFÄ-godkännanden och utföra Försvarsmaktens TFÄ-besiktningar ska återkallas, om</w:t>
          </w:r>
        </w:p>
        <w:p w:rsidR="004353EC" w:rsidRDefault="004353EC" w:rsidP="004353EC">
          <w:pPr>
            <w:pStyle w:val="LLMomentinKohta"/>
            <w:numPr>
              <w:ilvl w:val="0"/>
              <w:numId w:val="31"/>
            </w:numPr>
          </w:pPr>
          <w:r>
            <w:t>fordonsinspektören inte har deltagit i fortbildning enligt denna förordning, eller</w:t>
          </w:r>
        </w:p>
        <w:p w:rsidR="004353EC" w:rsidRPr="004353EC" w:rsidRDefault="004353EC" w:rsidP="004353EC">
          <w:pPr>
            <w:pStyle w:val="Luettelokappale"/>
            <w:numPr>
              <w:ilvl w:val="0"/>
              <w:numId w:val="31"/>
            </w:numPr>
            <w:rPr>
              <w:rFonts w:eastAsia="Times New Roman"/>
              <w:szCs w:val="24"/>
            </w:rPr>
          </w:pPr>
          <w:r>
            <w:t>fordonsinspektören inte har beviljat Försvarsmaktens TFÄ-godkännanden eller utfört Försvarsmaktens TFÄ-besiktningar under de senaste två åren.</w:t>
          </w:r>
        </w:p>
        <w:p w:rsidR="004353EC" w:rsidRDefault="004353EC" w:rsidP="0078170F">
          <w:pPr>
            <w:pStyle w:val="LLKappalejako"/>
          </w:pPr>
          <w:r>
            <w:t>Rätten att bevilja Försvarsmaktens TFÄ-godkännanden och utföra Försvarsmaktens TFÄ-besiktningar kan återställas, om inspektören före följande möjliga fortbildning visar att han eller hon behärskar de kunskaper och färdigheter som tas upp i den fortbildning som avses i 1 mom.</w:t>
          </w:r>
        </w:p>
        <w:p w:rsidR="00D04275" w:rsidRDefault="00D04275" w:rsidP="0078170F">
          <w:pPr>
            <w:pStyle w:val="LLKappalejako"/>
          </w:pPr>
        </w:p>
        <w:p w:rsidR="00D04275" w:rsidRPr="009167E1" w:rsidRDefault="00D04275" w:rsidP="00BA71BD">
          <w:pPr>
            <w:pStyle w:val="LLPykala"/>
          </w:pPr>
          <w:r>
            <w:t>12 §</w:t>
          </w:r>
        </w:p>
        <w:p w:rsidR="00D04275" w:rsidRDefault="00D04275" w:rsidP="00057B14">
          <w:pPr>
            <w:pStyle w:val="LLPykalanOtsikko"/>
          </w:pPr>
          <w:r>
            <w:t xml:space="preserve">Förutsättningar för antagning av fordonsinspektörer till specialutbildning för Försvarsmaktens TFÄ-godkännanden och Försvarsmaktens TFÄ-besiktningar  </w:t>
          </w:r>
        </w:p>
        <w:p w:rsidR="00D04275" w:rsidRDefault="00D04275" w:rsidP="0078170F">
          <w:pPr>
            <w:pStyle w:val="LLKappalejako"/>
          </w:pPr>
          <w:r>
            <w:t>Förutsättningar för antagning till specialutbildning för Försvarsmaktens TFÄ-godkännande och Försvarsmaktens TFÄ-besiktning är minst ett års erfarenhet av periodiska besiktningar inom Försvarsmakten och giltig behörighet för fordonsinspektörer.</w:t>
          </w:r>
        </w:p>
        <w:p w:rsidR="00D04275" w:rsidRDefault="00D04275" w:rsidP="0078170F">
          <w:pPr>
            <w:pStyle w:val="LLKappalejako"/>
          </w:pPr>
        </w:p>
        <w:p w:rsidR="00D04275" w:rsidRPr="009167E1" w:rsidRDefault="00D04275" w:rsidP="00BA71BD">
          <w:pPr>
            <w:pStyle w:val="LLPykala"/>
          </w:pPr>
          <w:r>
            <w:t>13 §</w:t>
          </w:r>
        </w:p>
        <w:p w:rsidR="00D04275" w:rsidRDefault="00D04275" w:rsidP="00057B14">
          <w:pPr>
            <w:pStyle w:val="LLPykalanOtsikko"/>
          </w:pPr>
          <w:r>
            <w:t>Fortbildning</w:t>
          </w:r>
        </w:p>
        <w:p w:rsidR="00D04275" w:rsidRDefault="00D04275" w:rsidP="0078170F">
          <w:pPr>
            <w:pStyle w:val="LLKappalejako"/>
          </w:pPr>
          <w:r>
            <w:t>I syfte att upprätthålla yrkesskickligheten i fråga om Försvarsmaktens TFÄ-godkännanden och Försvarsmaktens TFÄ-besiktningar hos fordonsinspektörerna ska den som beviljar rätten att bevilja Försvarsmaktens TFÄ-godkännanden och utföra Försvarsmaktens TFÄ-besiktningar årligen ordna fortbildning. Fortbildningen ska behandla aktuell lagstiftning, föreskrifter och anvisningar, ny teknik och arbetsmetoder som gäller fordon samt andra aktuella ämnen som gäller besiktning.</w:t>
          </w:r>
        </w:p>
        <w:p w:rsidR="00ED67DB" w:rsidRDefault="00ED67DB" w:rsidP="0078170F">
          <w:pPr>
            <w:pStyle w:val="LLKappalejako"/>
          </w:pPr>
        </w:p>
        <w:p w:rsidR="00ED67DB" w:rsidRPr="009167E1" w:rsidRDefault="00ED67DB" w:rsidP="00BA71BD">
          <w:pPr>
            <w:pStyle w:val="LLPykala"/>
          </w:pPr>
          <w:r>
            <w:t>14 §</w:t>
          </w:r>
        </w:p>
        <w:p w:rsidR="00ED67DB" w:rsidRDefault="00ED67DB" w:rsidP="00057B14">
          <w:pPr>
            <w:pStyle w:val="LLPykalanOtsikko"/>
          </w:pPr>
          <w:r>
            <w:t>Ersättande genom den allmänna utbildningen</w:t>
          </w:r>
        </w:p>
        <w:p w:rsidR="00ED67DB" w:rsidRDefault="00ED67DB" w:rsidP="0078170F">
          <w:pPr>
            <w:pStyle w:val="LLKappalejako"/>
          </w:pPr>
          <w:r>
            <w:t xml:space="preserve">Den specialutbildning för personer som beviljar TFÄ-godkännanden och utför TFÄ-besiktningar som avses i xx </w:t>
          </w:r>
          <w:proofErr w:type="gramStart"/>
          <w:r>
            <w:t>§/</w:t>
          </w:r>
          <w:proofErr w:type="gramEnd"/>
          <w:r>
            <w:t xml:space="preserve"> 7 c § 2 mom. i lagen om transport av farliga ämnen ersätter 10 timmar av den utbildning som avses i 10 § 1 mom. i denna förordning.</w:t>
          </w:r>
        </w:p>
        <w:p w:rsidR="00ED67DB" w:rsidRDefault="00ED67DB" w:rsidP="0078170F">
          <w:pPr>
            <w:pStyle w:val="LLKappalejako"/>
          </w:pPr>
        </w:p>
        <w:p w:rsidR="00ED67DB" w:rsidRDefault="00ED67DB" w:rsidP="00974E8C">
          <w:pPr>
            <w:pStyle w:val="LLLuku"/>
          </w:pPr>
          <w:r>
            <w:t>5 kap.</w:t>
          </w:r>
        </w:p>
        <w:p w:rsidR="00ED67DB" w:rsidRPr="006B525A" w:rsidRDefault="00ED67DB" w:rsidP="00974E8C">
          <w:pPr>
            <w:pStyle w:val="LLLuvunOtsikko"/>
          </w:pPr>
          <w:r>
            <w:t xml:space="preserve">Myndighetsuppgifter i samband med genomförandet av tillsyn och inspektioner </w:t>
          </w:r>
        </w:p>
        <w:p w:rsidR="00ED67DB" w:rsidRPr="009167E1" w:rsidRDefault="00ED67DB" w:rsidP="00BA71BD">
          <w:pPr>
            <w:pStyle w:val="LLPykala"/>
          </w:pPr>
          <w:r>
            <w:lastRenderedPageBreak/>
            <w:t>15 §</w:t>
          </w:r>
        </w:p>
        <w:p w:rsidR="00ED67DB" w:rsidRDefault="00ED67DB" w:rsidP="00057B14">
          <w:pPr>
            <w:pStyle w:val="LLPykalanOtsikko"/>
          </w:pPr>
          <w:r>
            <w:t>Myndighetssamarbete vid genomförandet av tillsyn och inspektioner</w:t>
          </w:r>
        </w:p>
        <w:p w:rsidR="00ED67DB" w:rsidRDefault="00ED67DB" w:rsidP="0078170F">
          <w:pPr>
            <w:pStyle w:val="LLMomentinJohdantoKappale"/>
          </w:pPr>
          <w:r>
            <w:t xml:space="preserve">Huvudstabens tekniska granskningsavdelning ska årligen ordna ett möte för myndighetssamarbete med de tillsynsmyndigheter som anges i lagen om transport av farliga ämnen. På mötet ska följande ärendehelheter behandlas: </w:t>
          </w:r>
        </w:p>
        <w:p w:rsidR="00ED67DB" w:rsidRDefault="00ED67DB" w:rsidP="009732F5">
          <w:pPr>
            <w:pStyle w:val="LLMomentinAlakohta"/>
          </w:pPr>
          <w:r>
            <w:t>1) vad som har upptäckts vid kontrollerna,</w:t>
          </w:r>
        </w:p>
        <w:p w:rsidR="00ED67DB" w:rsidRDefault="00ED67DB" w:rsidP="009732F5">
          <w:pPr>
            <w:pStyle w:val="LLMomentinAlakohta"/>
          </w:pPr>
          <w:r>
            <w:t>2) hurdana olyckor och tillbud som har inträffat, samt</w:t>
          </w:r>
        </w:p>
        <w:p w:rsidR="00ED67DB" w:rsidRDefault="00ED67DB" w:rsidP="009732F5">
          <w:pPr>
            <w:pStyle w:val="LLMomentinAlakohta"/>
          </w:pPr>
          <w:r>
            <w:t>3) hur samarbetet kan utvecklas.</w:t>
          </w:r>
        </w:p>
        <w:p w:rsidR="008A4BC5" w:rsidRDefault="008A4BC5" w:rsidP="0078170F">
          <w:pPr>
            <w:pStyle w:val="LLKappalejako"/>
          </w:pPr>
          <w:r>
            <w:t>Huvudstabens tekniska granskningsavdelning ska sända protokollet från mötet för myndighetssamarbete till försvarsministeriet.</w:t>
          </w:r>
        </w:p>
        <w:p w:rsidR="008A4BC5" w:rsidRDefault="008A4BC5" w:rsidP="0078170F">
          <w:pPr>
            <w:pStyle w:val="LLKappalejako"/>
          </w:pPr>
        </w:p>
        <w:p w:rsidR="008A4BC5" w:rsidRDefault="005E0268" w:rsidP="00974E8C">
          <w:pPr>
            <w:pStyle w:val="LLLuku"/>
          </w:pPr>
          <w:r>
            <w:t>6 kap.</w:t>
          </w:r>
        </w:p>
        <w:p w:rsidR="008A4BC5" w:rsidRPr="006B525A" w:rsidRDefault="005E0268" w:rsidP="00974E8C">
          <w:pPr>
            <w:pStyle w:val="LLLuvunOtsikko"/>
          </w:pPr>
          <w:r>
            <w:t>Erkännande av åtgärder och handlingar</w:t>
          </w:r>
        </w:p>
        <w:p w:rsidR="008A4BC5" w:rsidRPr="009167E1" w:rsidRDefault="005E0268" w:rsidP="00BA71BD">
          <w:pPr>
            <w:pStyle w:val="LLPykala"/>
          </w:pPr>
          <w:r>
            <w:t>16 §</w:t>
          </w:r>
        </w:p>
        <w:p w:rsidR="008A4BC5" w:rsidRDefault="005E0268" w:rsidP="00057B14">
          <w:pPr>
            <w:pStyle w:val="LLPykalanOtsikko"/>
          </w:pPr>
          <w:r>
            <w:t>Erkännande av klassificering av farliga ämnen</w:t>
          </w:r>
        </w:p>
        <w:p w:rsidR="005E0268" w:rsidRDefault="005E0268" w:rsidP="0078170F">
          <w:pPr>
            <w:pStyle w:val="LLMomentinJohdantoKappale"/>
          </w:pPr>
          <w:r>
            <w:t>Den behöriga myndigheten erkänner handlingar som på tillbörligt sätt beviljats av en behörig myndighet eller en av denna myndighet bemyndigad inrättning i fråga om klassificering av ett ämne eller fastställande av en klassificering, under förutsättning att handlingen har beviljats av en i följande bestämmelser avsedd behörig myndighet eller en av denna myndighet bemyndigad inrättning:</w:t>
          </w:r>
        </w:p>
        <w:p w:rsidR="005E0268" w:rsidRDefault="005E0268" w:rsidP="005E0268">
          <w:pPr>
            <w:pStyle w:val="LLMomentinKohta"/>
            <w:numPr>
              <w:ilvl w:val="0"/>
              <w:numId w:val="32"/>
            </w:numPr>
          </w:pPr>
          <w:r>
            <w:t>bestämmelserna i ADR-överenskommelsen,</w:t>
          </w:r>
        </w:p>
        <w:p w:rsidR="005E0268" w:rsidRPr="005E0268" w:rsidRDefault="005E0268" w:rsidP="005E0268">
          <w:pPr>
            <w:pStyle w:val="Luettelokappale"/>
            <w:numPr>
              <w:ilvl w:val="0"/>
              <w:numId w:val="32"/>
            </w:numPr>
            <w:rPr>
              <w:rFonts w:eastAsia="Times New Roman"/>
              <w:szCs w:val="24"/>
            </w:rPr>
          </w:pPr>
          <w:r>
            <w:t>ICAO-TI-bestämmelserna,</w:t>
          </w:r>
        </w:p>
        <w:p w:rsidR="005E0268" w:rsidRPr="005E0268" w:rsidRDefault="005E0268" w:rsidP="005E0268">
          <w:pPr>
            <w:pStyle w:val="Luettelokappale"/>
            <w:numPr>
              <w:ilvl w:val="0"/>
              <w:numId w:val="32"/>
            </w:numPr>
            <w:rPr>
              <w:rFonts w:eastAsia="Times New Roman"/>
              <w:szCs w:val="24"/>
            </w:rPr>
          </w:pPr>
          <w:r>
            <w:t>bestämmelserna i IMDG-koden,</w:t>
          </w:r>
        </w:p>
        <w:p w:rsidR="005E0268" w:rsidRPr="005E0268" w:rsidRDefault="005E0268" w:rsidP="005E0268">
          <w:pPr>
            <w:pStyle w:val="Luettelokappale"/>
            <w:numPr>
              <w:ilvl w:val="0"/>
              <w:numId w:val="32"/>
            </w:numPr>
            <w:rPr>
              <w:rFonts w:eastAsia="Times New Roman"/>
              <w:szCs w:val="24"/>
            </w:rPr>
          </w:pPr>
          <w:r>
            <w:t xml:space="preserve">de internationella militära standarderna enligt 5 § i Försvarsmaktens TFÄ-lag. </w:t>
          </w:r>
        </w:p>
        <w:p w:rsidR="005E0268" w:rsidRDefault="005E0268" w:rsidP="005E0268">
          <w:pPr>
            <w:pStyle w:val="LLMomentinKohta"/>
            <w:ind w:left="530" w:firstLine="0"/>
          </w:pPr>
        </w:p>
        <w:p w:rsidR="00535215" w:rsidRPr="009167E1" w:rsidRDefault="00535215" w:rsidP="00BA71BD">
          <w:pPr>
            <w:pStyle w:val="LLPykala"/>
          </w:pPr>
          <w:r>
            <w:t>17 §</w:t>
          </w:r>
        </w:p>
        <w:p w:rsidR="00535215" w:rsidRPr="00A4663A" w:rsidRDefault="00535215" w:rsidP="00057B14">
          <w:pPr>
            <w:pStyle w:val="LLPykalanOtsikko"/>
          </w:pPr>
          <w:r>
            <w:t>Ikraftträdande</w:t>
          </w:r>
        </w:p>
        <w:p w:rsidR="005B16E7" w:rsidRPr="005B16E7" w:rsidRDefault="00535215" w:rsidP="00313E4A">
          <w:pPr>
            <w:pStyle w:val="LLKappalejako"/>
          </w:pPr>
          <w:r>
            <w:t xml:space="preserve">Denna förordning träder i kraft </w:t>
          </w:r>
          <w:proofErr w:type="gramStart"/>
          <w:r>
            <w:t>den          202</w:t>
          </w:r>
          <w:proofErr w:type="gramEnd"/>
          <w:r>
            <w:t xml:space="preserve">  .</w:t>
          </w:r>
        </w:p>
        <w:p w:rsidR="001D5B51" w:rsidRDefault="001D5B51" w:rsidP="001D5B51">
          <w:pPr>
            <w:pStyle w:val="LLNormaali"/>
          </w:pPr>
        </w:p>
        <w:p w:rsidR="001D5B51" w:rsidRDefault="001D5B51" w:rsidP="00313E4A">
          <w:pPr>
            <w:pStyle w:val="LLNormaali"/>
            <w:jc w:val="center"/>
          </w:pPr>
          <w:proofErr w:type="gramStart"/>
          <w:r>
            <w:t>—</w:t>
          </w:r>
          <w:proofErr w:type="gramEnd"/>
          <w:r>
            <w:t>——</w:t>
          </w:r>
        </w:p>
        <w:p w:rsidR="001D5B51" w:rsidRDefault="0043402F" w:rsidP="001D5B51">
          <w:pPr>
            <w:pStyle w:val="LLNormaali"/>
          </w:pPr>
        </w:p>
      </w:sdtContent>
    </w:sdt>
    <w:p w:rsidR="001D5B51" w:rsidRDefault="001D5B51" w:rsidP="004F334C"/>
    <w:sdt>
      <w:sdtPr>
        <w:alias w:val="Datum"/>
        <w:tag w:val="CCPaivays"/>
        <w:id w:val="1988824703"/>
        <w:placeholder>
          <w:docPart w:val="6D122ACF3FE542D8B19C735141BFF821"/>
        </w:placeholder>
        <w15:color w:val="33CCCC"/>
        <w:text/>
      </w:sdtPr>
      <w:sdtEndPr/>
      <w:sdtContent>
        <w:p w:rsidR="001D5B51" w:rsidRDefault="001D5B51" w:rsidP="001D5B51">
          <w:pPr>
            <w:pStyle w:val="LLPaivays"/>
            <w:rPr>
              <w:rFonts w:eastAsia="Calibri"/>
              <w:szCs w:val="22"/>
            </w:rPr>
          </w:pPr>
          <w:r>
            <w:t xml:space="preserve">Helsingfors den xx </w:t>
          </w:r>
          <w:proofErr w:type="spellStart"/>
          <w:r>
            <w:t>xxxx</w:t>
          </w:r>
          <w:proofErr w:type="spellEnd"/>
          <w:r>
            <w:t xml:space="preserve"> 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ACE2E3C967F04C55AAB206C2C6DB6871"/>
        </w:placeholder>
        <w15:color w:val="00FFFF"/>
      </w:sdtPr>
      <w:sdtEndPr/>
      <w:sdtContent>
        <w:p w:rsidR="001D5B51" w:rsidRDefault="001D5B51" w:rsidP="001D5B51">
          <w:pPr>
            <w:pStyle w:val="LLAllekirjoitus"/>
            <w:rPr>
              <w:rFonts w:eastAsia="Calibri"/>
              <w:b w:val="0"/>
              <w:sz w:val="22"/>
              <w:szCs w:val="22"/>
            </w:rPr>
          </w:pPr>
          <w:proofErr w:type="gramStart"/>
          <w:r>
            <w:rPr>
              <w:b w:val="0"/>
              <w:sz w:val="22"/>
            </w:rPr>
            <w:t>…minister</w:t>
          </w:r>
          <w:proofErr w:type="gramEnd"/>
          <w:r>
            <w:rPr>
              <w:b w:val="0"/>
              <w:sz w:val="22"/>
            </w:rPr>
            <w:t xml:space="preserve"> Förnamn Efternamn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lastRenderedPageBreak/>
        <w:t>Titel Förnamn Efternamn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28" w:rsidRDefault="00775128">
      <w:r>
        <w:separator/>
      </w:r>
    </w:p>
  </w:endnote>
  <w:endnote w:type="continuationSeparator" w:id="0">
    <w:p w:rsidR="00775128" w:rsidRDefault="0077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3402F">
            <w:rPr>
              <w:rStyle w:val="Sivunumero"/>
              <w:noProof/>
              <w:sz w:val="22"/>
            </w:rPr>
            <w:t>7</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28" w:rsidRDefault="00775128">
      <w:r>
        <w:separator/>
      </w:r>
    </w:p>
  </w:footnote>
  <w:footnote w:type="continuationSeparator" w:id="0">
    <w:p w:rsidR="00775128" w:rsidRDefault="0077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E914F4"/>
    <w:multiLevelType w:val="hybridMultilevel"/>
    <w:tmpl w:val="67F829B0"/>
    <w:lvl w:ilvl="0" w:tplc="278A303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1846133"/>
    <w:multiLevelType w:val="hybridMultilevel"/>
    <w:tmpl w:val="5D981976"/>
    <w:lvl w:ilvl="0" w:tplc="E3ACBB8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FA7021"/>
    <w:multiLevelType w:val="hybridMultilevel"/>
    <w:tmpl w:val="338C04F6"/>
    <w:lvl w:ilvl="0" w:tplc="12326A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541366F"/>
    <w:multiLevelType w:val="hybridMultilevel"/>
    <w:tmpl w:val="87509D56"/>
    <w:lvl w:ilvl="0" w:tplc="7C625FE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4B757B5D"/>
    <w:multiLevelType w:val="hybridMultilevel"/>
    <w:tmpl w:val="B55AE456"/>
    <w:lvl w:ilvl="0" w:tplc="1F24F1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50730C1D"/>
    <w:multiLevelType w:val="hybridMultilevel"/>
    <w:tmpl w:val="FC643150"/>
    <w:lvl w:ilvl="0" w:tplc="A5369E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665176E4"/>
    <w:multiLevelType w:val="hybridMultilevel"/>
    <w:tmpl w:val="9BE29514"/>
    <w:lvl w:ilvl="0" w:tplc="85C41AF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4"/>
  </w:num>
  <w:num w:numId="13">
    <w:abstractNumId w:val="10"/>
    <w:lvlOverride w:ilvl="0">
      <w:startOverride w:val="1"/>
    </w:lvlOverride>
  </w:num>
  <w:num w:numId="14">
    <w:abstractNumId w:val="10"/>
    <w:lvlOverride w:ilvl="0">
      <w:startOverride w:val="1"/>
    </w:lvlOverride>
  </w:num>
  <w:num w:numId="15">
    <w:abstractNumId w:val="7"/>
  </w:num>
  <w:num w:numId="16">
    <w:abstractNumId w:val="7"/>
    <w:lvlOverride w:ilvl="0">
      <w:startOverride w:val="1"/>
    </w:lvlOverride>
  </w:num>
  <w:num w:numId="17">
    <w:abstractNumId w:val="10"/>
    <w:lvlOverride w:ilvl="0">
      <w:startOverride w:val="1"/>
    </w:lvlOverride>
  </w:num>
  <w:num w:numId="18">
    <w:abstractNumId w:val="8"/>
  </w:num>
  <w:num w:numId="19">
    <w:abstractNumId w:val="11"/>
  </w:num>
  <w:num w:numId="20">
    <w:abstractNumId w:val="19"/>
  </w:num>
  <w:num w:numId="21">
    <w:abstractNumId w:val="5"/>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7"/>
  </w:num>
  <w:num w:numId="23">
    <w:abstractNumId w:val="3"/>
  </w:num>
  <w:num w:numId="24">
    <w:abstractNumId w:val="20"/>
  </w:num>
  <w:num w:numId="25">
    <w:abstractNumId w:val="9"/>
  </w:num>
  <w:num w:numId="26">
    <w:abstractNumId w:val="13"/>
  </w:num>
  <w:num w:numId="27">
    <w:abstractNumId w:val="12"/>
  </w:num>
  <w:num w:numId="28">
    <w:abstractNumId w:val="4"/>
  </w:num>
  <w:num w:numId="29">
    <w:abstractNumId w:val="2"/>
  </w:num>
  <w:num w:numId="30">
    <w:abstractNumId w:val="6"/>
  </w:num>
  <w:num w:numId="31">
    <w:abstractNumId w:val="1"/>
  </w:num>
  <w:num w:numId="3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25"/>
    <w:rsid w:val="00000B13"/>
    <w:rsid w:val="00000D79"/>
    <w:rsid w:val="0000134A"/>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5ED1"/>
    <w:rsid w:val="000B6C77"/>
    <w:rsid w:val="000B6D79"/>
    <w:rsid w:val="000C13BA"/>
    <w:rsid w:val="000C15D4"/>
    <w:rsid w:val="000C1725"/>
    <w:rsid w:val="000C1BEB"/>
    <w:rsid w:val="000C2FDB"/>
    <w:rsid w:val="000C3A8E"/>
    <w:rsid w:val="000C4809"/>
    <w:rsid w:val="000C5020"/>
    <w:rsid w:val="000C5A1E"/>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E7796"/>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210"/>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01E1"/>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3E4A"/>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50A"/>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2F"/>
    <w:rsid w:val="004340A9"/>
    <w:rsid w:val="004341D8"/>
    <w:rsid w:val="004348C9"/>
    <w:rsid w:val="004353EC"/>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010F"/>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4F7E75"/>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215"/>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16E7"/>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268"/>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2DD2"/>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743"/>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128"/>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43A"/>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2425"/>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47D5D"/>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6BBB"/>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4BC5"/>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3D5A"/>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E7121"/>
    <w:rsid w:val="00BF1E83"/>
    <w:rsid w:val="00BF28A9"/>
    <w:rsid w:val="00BF29D9"/>
    <w:rsid w:val="00BF42DA"/>
    <w:rsid w:val="00BF43D1"/>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287"/>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275"/>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7DB"/>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52EACF"/>
  <w15:docId w15:val="{7BDC0F7A-5AA8-4C9F-8D42-3EF2A418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6679\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4E4C2FC4146FB9E7D44C2C31D75C0"/>
        <w:category>
          <w:name w:val="Yleiset"/>
          <w:gallery w:val="placeholder"/>
        </w:category>
        <w:types>
          <w:type w:val="bbPlcHdr"/>
        </w:types>
        <w:behaviors>
          <w:behavior w:val="content"/>
        </w:behaviors>
        <w:guid w:val="{31B9BD43-904D-4151-9767-759389B4EA70}"/>
      </w:docPartPr>
      <w:docPartBody>
        <w:p w:rsidR="00817C3C" w:rsidRDefault="003D24A8">
          <w:pPr>
            <w:pStyle w:val="98F4E4C2FC4146FB9E7D44C2C31D75C0"/>
          </w:pPr>
          <w:r w:rsidRPr="005D3E42">
            <w:rPr>
              <w:rStyle w:val="Paikkamerkkiteksti"/>
            </w:rPr>
            <w:t>Click or tap here to enter text.</w:t>
          </w:r>
        </w:p>
      </w:docPartBody>
    </w:docPart>
    <w:docPart>
      <w:docPartPr>
        <w:name w:val="6D122ACF3FE542D8B19C735141BFF821"/>
        <w:category>
          <w:name w:val="Yleiset"/>
          <w:gallery w:val="placeholder"/>
        </w:category>
        <w:types>
          <w:type w:val="bbPlcHdr"/>
        </w:types>
        <w:behaviors>
          <w:behavior w:val="content"/>
        </w:behaviors>
        <w:guid w:val="{60709F74-6965-4A8F-BD57-12EAF5F25DB6}"/>
      </w:docPartPr>
      <w:docPartBody>
        <w:p w:rsidR="00817C3C" w:rsidRDefault="003D24A8">
          <w:pPr>
            <w:pStyle w:val="6D122ACF3FE542D8B19C735141BFF821"/>
          </w:pPr>
          <w:r w:rsidRPr="005D3E42">
            <w:rPr>
              <w:rStyle w:val="Paikkamerkkiteksti"/>
            </w:rPr>
            <w:t>Click or tap here to enter text.</w:t>
          </w:r>
        </w:p>
      </w:docPartBody>
    </w:docPart>
    <w:docPart>
      <w:docPartPr>
        <w:name w:val="ACE2E3C967F04C55AAB206C2C6DB6871"/>
        <w:category>
          <w:name w:val="Yleiset"/>
          <w:gallery w:val="placeholder"/>
        </w:category>
        <w:types>
          <w:type w:val="bbPlcHdr"/>
        </w:types>
        <w:behaviors>
          <w:behavior w:val="content"/>
        </w:behaviors>
        <w:guid w:val="{60FBB605-4295-4439-866D-EC2404A2A465}"/>
      </w:docPartPr>
      <w:docPartBody>
        <w:p w:rsidR="00817C3C" w:rsidRDefault="003D24A8">
          <w:pPr>
            <w:pStyle w:val="ACE2E3C967F04C55AAB206C2C6DB687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A8"/>
    <w:rsid w:val="001C6D4B"/>
    <w:rsid w:val="003D24A8"/>
    <w:rsid w:val="005A68BB"/>
    <w:rsid w:val="00817C3C"/>
    <w:rsid w:val="00970A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8F4E4C2FC4146FB9E7D44C2C31D75C0">
    <w:name w:val="98F4E4C2FC4146FB9E7D44C2C31D75C0"/>
  </w:style>
  <w:style w:type="paragraph" w:customStyle="1" w:styleId="6D122ACF3FE542D8B19C735141BFF821">
    <w:name w:val="6D122ACF3FE542D8B19C735141BFF821"/>
  </w:style>
  <w:style w:type="paragraph" w:customStyle="1" w:styleId="ACE2E3C967F04C55AAB206C2C6DB6871">
    <w:name w:val="ACE2E3C967F04C55AAB206C2C6DB6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D5B02-C918-4B63-8C30-7B4C93E2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7</Pages>
  <Words>1981</Words>
  <Characters>12692</Characters>
  <Application>Microsoft Office Word</Application>
  <DocSecurity>0</DocSecurity>
  <Lines>105</Lines>
  <Paragraphs>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Ylikorpi Satu (PLM)</dc:creator>
  <cp:keywords/>
  <dc:description/>
  <cp:lastModifiedBy>Ylikorpi Satu (PLM)</cp:lastModifiedBy>
  <cp:revision>3</cp:revision>
  <cp:lastPrinted>2017-12-04T10:02:00Z</cp:lastPrinted>
  <dcterms:created xsi:type="dcterms:W3CDTF">2023-05-19T06:49:00Z</dcterms:created>
  <dcterms:modified xsi:type="dcterms:W3CDTF">2023-05-19T06:55:00Z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_MarkAsFinal">
    <vt:bool>true</vt:bool>
  </property>
</Properties>
</file>