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Författning"/>
        <w:tag w:val="CCSaados"/>
        <w:id w:val="42569056"/>
        <w:placeholder>
          <w:docPart w:val="DD985355DBC14A79B5BD70B58E8A5EB6"/>
        </w:placeholder>
        <w15:color w:val="00FFFF"/>
      </w:sdtPr>
      <w:sdtEndPr/>
      <w:sdtContent>
        <w:p w:rsidR="00D90A5B" w:rsidRDefault="00D90A5B">
          <w:pPr>
            <w:pStyle w:val="LLNormaali"/>
          </w:pPr>
        </w:p>
        <w:p w:rsidR="004F334C" w:rsidRDefault="00FE2A81" w:rsidP="004F334C">
          <w:pPr>
            <w:pStyle w:val="LLMinisterionAsetus"/>
          </w:pPr>
          <w:r>
            <w:t>Försvarsministeriets förordning</w:t>
          </w:r>
        </w:p>
        <w:p w:rsidR="008341AB" w:rsidRPr="009167E1" w:rsidRDefault="00FE2A81" w:rsidP="008341AB">
          <w:pPr>
            <w:pStyle w:val="LLSaadoksenNimi"/>
          </w:pPr>
          <w:r>
            <w:t xml:space="preserve">om transport av farliga ämnen inom Försvarsmakten och Gränsbevakningsväsendet </w:t>
          </w:r>
        </w:p>
        <w:p w:rsidR="008341AB" w:rsidRDefault="00FE2A81" w:rsidP="00FE2A81">
          <w:pPr>
            <w:pStyle w:val="LLJohtolauseKappaleet"/>
          </w:pPr>
          <w:r>
            <w:t>I enlighet med Försvarsministeriets beslut föreskrivs med stöd av 5 §, 16 § 5 mom. och 30 § 4 mom. i lagen om transport av farliga ämnen inom Försvarsmakten och Gränsbevakningsväsendet (xx/</w:t>
          </w:r>
          <w:proofErr w:type="spellStart"/>
          <w:r>
            <w:t>xxxx</w:t>
          </w:r>
          <w:proofErr w:type="spellEnd"/>
          <w:r>
            <w:t>):</w:t>
          </w:r>
        </w:p>
        <w:p w:rsidR="008341AB" w:rsidRDefault="008341AB" w:rsidP="008341AB">
          <w:pPr>
            <w:pStyle w:val="LLNormaali"/>
          </w:pPr>
        </w:p>
        <w:p w:rsidR="008341AB" w:rsidRDefault="00EF0645" w:rsidP="008341AB">
          <w:pPr>
            <w:pStyle w:val="LLPykala"/>
          </w:pPr>
          <w:r>
            <w:t>1 §</w:t>
          </w:r>
        </w:p>
        <w:p w:rsidR="00EF0645" w:rsidRPr="00EF0645" w:rsidRDefault="00EF0645" w:rsidP="00EF0645">
          <w:pPr>
            <w:pStyle w:val="LLPykalanOtsikko"/>
          </w:pPr>
          <w:r>
            <w:t xml:space="preserve">Tillämpning av internationella överenskommelser och internationella militära standarder på transporter </w:t>
          </w:r>
        </w:p>
        <w:p w:rsidR="008341AB" w:rsidRDefault="008341AB" w:rsidP="008341AB">
          <w:pPr>
            <w:pStyle w:val="LLNormaali"/>
          </w:pPr>
        </w:p>
        <w:p w:rsidR="008341AB" w:rsidRDefault="00EF0645" w:rsidP="008341AB">
          <w:pPr>
            <w:pStyle w:val="LLKappalejako"/>
          </w:pPr>
          <w:r>
            <w:t>Försvarsministeriet offentliggör en förteckning över de internationella militära standarder som anses uppfylla de säkerhetskrav som anges i lagen om transport av farliga ämnen inom Försvarsmakten och Gränsbevakningsväsendet. Dessa standarder är följande:</w:t>
          </w:r>
        </w:p>
        <w:p w:rsidR="00EF0645" w:rsidRDefault="00EF0645" w:rsidP="00592912">
          <w:pPr>
            <w:pStyle w:val="LLMomentinKohta"/>
          </w:pPr>
          <w:r>
            <w:t xml:space="preserve">1) STANAG 4441, AMovP-6 och SRD samt </w:t>
          </w:r>
        </w:p>
        <w:p w:rsidR="00EF0645" w:rsidRDefault="00EF0645" w:rsidP="00592912">
          <w:pPr>
            <w:pStyle w:val="LLMomentinKohta"/>
          </w:pPr>
          <w:r>
            <w:t xml:space="preserve">2) USA:s AFMAN (24–204, 13 </w:t>
          </w:r>
          <w:proofErr w:type="spellStart"/>
          <w:r>
            <w:t>July</w:t>
          </w:r>
          <w:proofErr w:type="spellEnd"/>
          <w:r>
            <w:t xml:space="preserve"> 2017).</w:t>
          </w:r>
        </w:p>
        <w:p w:rsidR="00442078" w:rsidRDefault="00442078" w:rsidP="00592912">
          <w:pPr>
            <w:pStyle w:val="LLMomentinKohta"/>
          </w:pPr>
        </w:p>
        <w:p w:rsidR="00442078" w:rsidRPr="009167E1" w:rsidRDefault="00442078" w:rsidP="00BA71BD">
          <w:pPr>
            <w:pStyle w:val="LLPykala"/>
          </w:pPr>
          <w:r>
            <w:t>1 a §</w:t>
          </w:r>
        </w:p>
        <w:p w:rsidR="00442078" w:rsidRPr="00A4663A" w:rsidRDefault="00442078" w:rsidP="00057B14">
          <w:pPr>
            <w:pStyle w:val="LLPykalanOtsikko"/>
          </w:pPr>
          <w:r>
            <w:t xml:space="preserve">Säkerhetskrav för kollin med explosiva varor som inte är fulla </w:t>
          </w:r>
        </w:p>
        <w:p w:rsidR="00442078" w:rsidRDefault="00442078" w:rsidP="0078170F">
          <w:pPr>
            <w:pStyle w:val="LLKappalejako"/>
          </w:pPr>
          <w:r>
            <w:t>Genom förordning av Försvarsministeriet föreskrivs det om avvikelser som gäller sammansättning, samemballering och samlastning av sådana kollin med explosiva varor som inte är fulla.</w:t>
          </w:r>
        </w:p>
        <w:p w:rsidR="009E4546" w:rsidRDefault="00442078" w:rsidP="0078170F">
          <w:pPr>
            <w:pStyle w:val="LLKappalejako"/>
          </w:pPr>
          <w:r>
            <w:t xml:space="preserve">Ett kolli med explosiva varor som inte är fullt får endast sammansättas i en sådan ytterförpackning som är avsedd för den explosiva varan i fråga. </w:t>
          </w:r>
        </w:p>
        <w:p w:rsidR="00442078" w:rsidRDefault="00442078" w:rsidP="0078170F">
          <w:pPr>
            <w:pStyle w:val="LLKappalejako"/>
          </w:pPr>
          <w:r>
            <w:t>Ett kolli som inte är fullt får innehålla endast sådana explosiva varor som har funnits i samma kolli eller som härrör från andra likadana kollin som innehåller explosiva varor med samma benämningar.</w:t>
          </w:r>
        </w:p>
        <w:p w:rsidR="00442078" w:rsidRDefault="00442078" w:rsidP="0078170F">
          <w:pPr>
            <w:pStyle w:val="LLKappalejako"/>
          </w:pPr>
          <w:r>
            <w:t>Ett kolli som inte är fullt måste förpackas på ett sätt som motsvarar det ursprungliga kollit. Om det inte är möjligt att förpacka ett kolli som inte är fullt på ett sätt som motsvarar det ursprungliga förpackningssättet, måste kollit sammansättas med typgodkända ytterförpackningar som är tillräckligt stadiga och av god kvalitet samt tillslutas på ett lika tillförlitligt sätt som det ursprungliga kollit. Den explosiva varan ska då finnas i sin innerförpackning eller mellanförpackning. Lösa explosiva varor får placeras i denna ytterförpackning endast med lastsäkring som lämpar sig för dem, såsom fackinredning eller i ett patronbälte.</w:t>
          </w:r>
        </w:p>
        <w:p w:rsidR="00442078" w:rsidRDefault="006E5799" w:rsidP="0078170F">
          <w:pPr>
            <w:pStyle w:val="LLKappalejako"/>
          </w:pPr>
          <w:r>
            <w:t>Om ett kolli som inte är fullt sätts samman i sin ursprungliga ytterförpackning, får den ursprungliga nettomängden av den explosiva varan (kg) och bruttovikten (kg) i kollit med explosiva varor när det var fullt inte överskridas. Om det kolli som inte är fullt sätts samman i en annan tom ytterförpackning får den tillåtna bruttovikten (kg) för ytterförpackningen inte överskridas. Mängden explosiva varor får inte överstiga den mängd explosiva varor som förpackats i det ursprungliga kollit eller den tillåtna bruttovikten i den nya ytterförpackningen.</w:t>
          </w:r>
        </w:p>
        <w:p w:rsidR="00CD04A6" w:rsidRDefault="00442078" w:rsidP="0078170F">
          <w:pPr>
            <w:pStyle w:val="LLKappalejako"/>
          </w:pPr>
          <w:r>
            <w:t>Förpackningsgruppen för ett kolli med explosiva varor som inte är fullt förblir densamma som för det ursprungliga kollit.</w:t>
          </w:r>
        </w:p>
        <w:p w:rsidR="00CD04A6" w:rsidRDefault="00CD04A6" w:rsidP="0078170F">
          <w:pPr>
            <w:pStyle w:val="LLKappalejako"/>
          </w:pPr>
        </w:p>
        <w:p w:rsidR="00CD04A6" w:rsidRPr="009167E1" w:rsidRDefault="00CD04A6" w:rsidP="00BA71BD">
          <w:pPr>
            <w:pStyle w:val="LLPykala"/>
          </w:pPr>
          <w:r>
            <w:lastRenderedPageBreak/>
            <w:t>2 §</w:t>
          </w:r>
        </w:p>
        <w:p w:rsidR="00CD04A6" w:rsidRDefault="00CD04A6" w:rsidP="00057B14">
          <w:pPr>
            <w:pStyle w:val="LLPykalanOtsikko"/>
          </w:pPr>
          <w:r>
            <w:t>Samlastning och lastseparering vid lufttransport</w:t>
          </w:r>
        </w:p>
        <w:p w:rsidR="00411C13" w:rsidRDefault="00411C13" w:rsidP="0078170F">
          <w:pPr>
            <w:pStyle w:val="LLKappalejako"/>
          </w:pPr>
          <w:r>
            <w:t>Vid lufttransport av farliga ämnen ska de krav på lastning och separering som anges i tabell ett iakttas.</w:t>
          </w:r>
        </w:p>
        <w:p w:rsidR="006772CD" w:rsidRDefault="006772CD" w:rsidP="0078170F">
          <w:pPr>
            <w:pStyle w:val="LLKappalejako"/>
          </w:pPr>
        </w:p>
        <w:p w:rsidR="006772CD" w:rsidRPr="009167E1" w:rsidRDefault="006772CD" w:rsidP="00BA71BD">
          <w:pPr>
            <w:pStyle w:val="LLPykala"/>
          </w:pPr>
          <w:r>
            <w:t>3 §</w:t>
          </w:r>
        </w:p>
        <w:p w:rsidR="006772CD" w:rsidRPr="00A4663A" w:rsidRDefault="006772CD" w:rsidP="00057B14">
          <w:pPr>
            <w:pStyle w:val="LLPykalanOtsikko"/>
          </w:pPr>
          <w:r>
            <w:t xml:space="preserve">Samlastning av förpackningar i riskgrupp 1 vid lufttransport </w:t>
          </w:r>
        </w:p>
        <w:p w:rsidR="00EF0645" w:rsidRDefault="006772CD" w:rsidP="004F45AA">
          <w:pPr>
            <w:pStyle w:val="LLKappalejako"/>
          </w:pPr>
          <w:r>
            <w:t xml:space="preserve">Vid samlastning av förpackningar i riskgrupp 1 ska de krav på samlastning och lastseparering som anges i tabell två iakttas. </w:t>
          </w:r>
        </w:p>
        <w:p w:rsidR="00EF0645" w:rsidRDefault="00EF0645" w:rsidP="004F45AA">
          <w:pPr>
            <w:pStyle w:val="LLKappalejako"/>
            <w:ind w:firstLine="0"/>
          </w:pPr>
        </w:p>
        <w:p w:rsidR="008341AB" w:rsidRPr="009167E1" w:rsidRDefault="008341AB" w:rsidP="008341AB">
          <w:pPr>
            <w:pStyle w:val="LLNormaali"/>
            <w:jc w:val="center"/>
          </w:pPr>
          <w:proofErr w:type="gramStart"/>
          <w:r>
            <w:t>—</w:t>
          </w:r>
          <w:proofErr w:type="gramEnd"/>
          <w:r>
            <w:t>——</w:t>
          </w:r>
        </w:p>
        <w:p w:rsidR="008341AB" w:rsidRDefault="008341AB" w:rsidP="008341AB">
          <w:pPr>
            <w:pStyle w:val="LLVoimaantulokappale"/>
          </w:pPr>
          <w:r>
            <w:t xml:space="preserve">Denna förordning träder i kraft </w:t>
          </w:r>
          <w:proofErr w:type="gramStart"/>
          <w:r>
            <w:t>den       20</w:t>
          </w:r>
          <w:proofErr w:type="gramEnd"/>
          <w:r>
            <w:t xml:space="preserve">  .</w:t>
          </w:r>
        </w:p>
        <w:p w:rsidR="008341AB" w:rsidRDefault="00E869B8" w:rsidP="008341AB">
          <w:pPr>
            <w:pStyle w:val="LLNormaali"/>
          </w:pPr>
        </w:p>
      </w:sdtContent>
    </w:sdt>
    <w:p w:rsidR="00D90A5B" w:rsidRDefault="00D90A5B">
      <w:pPr>
        <w:pStyle w:val="LLNormaali"/>
      </w:pPr>
    </w:p>
    <w:sdt>
      <w:sdtPr>
        <w:alias w:val="Datum"/>
        <w:tag w:val="CCPaivays"/>
        <w:id w:val="2059428280"/>
        <w:placeholder>
          <w:docPart w:val="0EC2ABEBDE5B484EA175C200E83D7E12"/>
        </w:placeholder>
        <w15:color w:val="33CCCC"/>
        <w:text/>
      </w:sdtPr>
      <w:sdtEndPr/>
      <w:sdtContent>
        <w:p w:rsidR="008341AB" w:rsidRDefault="008341AB" w:rsidP="008341AB">
          <w:pPr>
            <w:pStyle w:val="LLPaivays"/>
            <w:rPr>
              <w:rFonts w:eastAsia="Calibri"/>
              <w:szCs w:val="22"/>
            </w:rPr>
          </w:pPr>
          <w:r>
            <w:t xml:space="preserve">Helsingfors </w:t>
          </w:r>
          <w:proofErr w:type="gramStart"/>
          <w:r>
            <w:t>den      20</w:t>
          </w:r>
          <w:proofErr w:type="gramEnd"/>
          <w:r>
            <w:t xml:space="preserve">  .</w:t>
          </w:r>
        </w:p>
      </w:sdtContent>
    </w:sdt>
    <w:p w:rsidR="0081267C" w:rsidRDefault="0081267C">
      <w:pPr>
        <w:pStyle w:val="LLNormaali"/>
      </w:pPr>
    </w:p>
    <w:p w:rsidR="0081267C" w:rsidRDefault="0081267C">
      <w:pPr>
        <w:pStyle w:val="LLNormaali"/>
      </w:pPr>
    </w:p>
    <w:p w:rsidR="0081267C" w:rsidRDefault="0081267C">
      <w:pPr>
        <w:pStyle w:val="LLNormaali"/>
      </w:pPr>
    </w:p>
    <w:p w:rsidR="0081267C" w:rsidRDefault="0081267C">
      <w:pPr>
        <w:pStyle w:val="LLNormaali"/>
      </w:pPr>
    </w:p>
    <w:sdt>
      <w:sdtPr>
        <w:alias w:val="Undertecknarens ställning"/>
        <w:tag w:val="CCAllekirjoitus"/>
        <w:id w:val="834419858"/>
        <w:placeholder>
          <w:docPart w:val="81BC43F8F2CC4F56B62163B10F80372F"/>
        </w:placeholder>
        <w15:color w:val="00FFFF"/>
      </w:sdtPr>
      <w:sdtEndPr/>
      <w:sdtContent>
        <w:p w:rsidR="008341AB" w:rsidRDefault="008341AB" w:rsidP="008341AB">
          <w:pPr>
            <w:pStyle w:val="LLAllekirjoitus"/>
            <w:rPr>
              <w:rFonts w:eastAsia="Calibri"/>
              <w:b w:val="0"/>
              <w:sz w:val="22"/>
              <w:szCs w:val="22"/>
            </w:rPr>
          </w:pPr>
          <w:proofErr w:type="gramStart"/>
          <w:r>
            <w:rPr>
              <w:b w:val="0"/>
              <w:sz w:val="22"/>
            </w:rPr>
            <w:t>…minister</w:t>
          </w:r>
          <w:proofErr w:type="gramEnd"/>
          <w:r>
            <w:rPr>
              <w:b w:val="0"/>
              <w:sz w:val="22"/>
            </w:rPr>
            <w:t xml:space="preserve"> Förnamn Efternamn</w:t>
          </w:r>
        </w:p>
      </w:sdtContent>
    </w:sdt>
    <w:p w:rsidR="008341AB" w:rsidRPr="00385A06" w:rsidRDefault="008341AB" w:rsidP="008341AB">
      <w:pPr>
        <w:pStyle w:val="LLNormaali"/>
      </w:pPr>
    </w:p>
    <w:p w:rsidR="008341AB" w:rsidRPr="00385A06" w:rsidRDefault="008341AB" w:rsidP="008341AB">
      <w:pPr>
        <w:pStyle w:val="LLNormaali"/>
      </w:pPr>
    </w:p>
    <w:p w:rsidR="008341AB" w:rsidRPr="00385A06" w:rsidRDefault="008341AB" w:rsidP="008341AB">
      <w:pPr>
        <w:pStyle w:val="LLNormaali"/>
      </w:pPr>
    </w:p>
    <w:p w:rsidR="008341AB" w:rsidRPr="00385A06" w:rsidRDefault="008341AB" w:rsidP="008341AB">
      <w:pPr>
        <w:pStyle w:val="LLNormaali"/>
      </w:pPr>
    </w:p>
    <w:p w:rsidR="008341AB" w:rsidRDefault="008341AB" w:rsidP="008341AB">
      <w:pPr>
        <w:pStyle w:val="LLVarmennus"/>
      </w:pPr>
      <w:r>
        <w:t>Titel Förnamn Efternamn</w:t>
      </w:r>
    </w:p>
    <w:p w:rsidR="005C6D58" w:rsidRDefault="005C6D58">
      <w:pPr>
        <w:pStyle w:val="LLNormaali"/>
      </w:pPr>
    </w:p>
    <w:sectPr w:rsidR="005C6D58">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3AF" w:rsidRDefault="003153AF">
      <w:r>
        <w:separator/>
      </w:r>
    </w:p>
  </w:endnote>
  <w:endnote w:type="continuationSeparator" w:id="0">
    <w:p w:rsidR="003153AF" w:rsidRDefault="0031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E869B8">
            <w:rPr>
              <w:rStyle w:val="Sivunumero"/>
              <w:noProof/>
              <w:sz w:val="22"/>
            </w:rPr>
            <w:t>2</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3AF" w:rsidRDefault="003153AF">
      <w:r>
        <w:separator/>
      </w:r>
    </w:p>
  </w:footnote>
  <w:footnote w:type="continuationSeparator" w:id="0">
    <w:p w:rsidR="003153AF" w:rsidRDefault="0031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BB"/>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3AF"/>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C13"/>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2B3A"/>
    <w:rsid w:val="004340A9"/>
    <w:rsid w:val="004341D8"/>
    <w:rsid w:val="004348C9"/>
    <w:rsid w:val="004357BA"/>
    <w:rsid w:val="00436A88"/>
    <w:rsid w:val="00436DE1"/>
    <w:rsid w:val="00437F5E"/>
    <w:rsid w:val="00440C37"/>
    <w:rsid w:val="004417F1"/>
    <w:rsid w:val="00442078"/>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AA"/>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311F"/>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2CD"/>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5799"/>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2C7C"/>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46"/>
    <w:rsid w:val="009E455B"/>
    <w:rsid w:val="009E481E"/>
    <w:rsid w:val="009E4F6F"/>
    <w:rsid w:val="009E519A"/>
    <w:rsid w:val="009E5515"/>
    <w:rsid w:val="009E5F6A"/>
    <w:rsid w:val="009E765A"/>
    <w:rsid w:val="009F0511"/>
    <w:rsid w:val="009F18AE"/>
    <w:rsid w:val="009F263A"/>
    <w:rsid w:val="009F3A7E"/>
    <w:rsid w:val="009F4241"/>
    <w:rsid w:val="009F4FBB"/>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1ECD"/>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C5D5A"/>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4A6"/>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869B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64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2A81"/>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3E8596"/>
  <w15:docId w15:val="{A6D0C3E7-A2AA-435E-8241-D35EAF64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36679\AppData\Roaming\Microsoft\Mallit\Mi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985355DBC14A79B5BD70B58E8A5EB6"/>
        <w:category>
          <w:name w:val="Yleiset"/>
          <w:gallery w:val="placeholder"/>
        </w:category>
        <w:types>
          <w:type w:val="bbPlcHdr"/>
        </w:types>
        <w:behaviors>
          <w:behavior w:val="content"/>
        </w:behaviors>
        <w:guid w:val="{215F7600-503E-4B84-8E51-3235583DF114}"/>
      </w:docPartPr>
      <w:docPartBody>
        <w:p w:rsidR="0088255C" w:rsidRDefault="00180F85">
          <w:pPr>
            <w:pStyle w:val="DD985355DBC14A79B5BD70B58E8A5EB6"/>
          </w:pPr>
          <w:r w:rsidRPr="005D3E42">
            <w:rPr>
              <w:rStyle w:val="Paikkamerkkiteksti"/>
            </w:rPr>
            <w:t>Click or tap here to enter text.</w:t>
          </w:r>
        </w:p>
      </w:docPartBody>
    </w:docPart>
    <w:docPart>
      <w:docPartPr>
        <w:name w:val="0EC2ABEBDE5B484EA175C200E83D7E12"/>
        <w:category>
          <w:name w:val="Yleiset"/>
          <w:gallery w:val="placeholder"/>
        </w:category>
        <w:types>
          <w:type w:val="bbPlcHdr"/>
        </w:types>
        <w:behaviors>
          <w:behavior w:val="content"/>
        </w:behaviors>
        <w:guid w:val="{E1AC7E06-A290-4943-805C-56C51B75729F}"/>
      </w:docPartPr>
      <w:docPartBody>
        <w:p w:rsidR="0088255C" w:rsidRDefault="00180F85">
          <w:pPr>
            <w:pStyle w:val="0EC2ABEBDE5B484EA175C200E83D7E12"/>
          </w:pPr>
          <w:r w:rsidRPr="005D3E42">
            <w:rPr>
              <w:rStyle w:val="Paikkamerkkiteksti"/>
            </w:rPr>
            <w:t>Click or tap here to enter text.</w:t>
          </w:r>
        </w:p>
      </w:docPartBody>
    </w:docPart>
    <w:docPart>
      <w:docPartPr>
        <w:name w:val="81BC43F8F2CC4F56B62163B10F80372F"/>
        <w:category>
          <w:name w:val="Yleiset"/>
          <w:gallery w:val="placeholder"/>
        </w:category>
        <w:types>
          <w:type w:val="bbPlcHdr"/>
        </w:types>
        <w:behaviors>
          <w:behavior w:val="content"/>
        </w:behaviors>
        <w:guid w:val="{91084769-45C5-476E-80BE-C5DB81ACA063}"/>
      </w:docPartPr>
      <w:docPartBody>
        <w:p w:rsidR="0088255C" w:rsidRDefault="00180F85">
          <w:pPr>
            <w:pStyle w:val="81BC43F8F2CC4F56B62163B10F80372F"/>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85"/>
    <w:rsid w:val="00180F85"/>
    <w:rsid w:val="00723561"/>
    <w:rsid w:val="008825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DD985355DBC14A79B5BD70B58E8A5EB6">
    <w:name w:val="DD985355DBC14A79B5BD70B58E8A5EB6"/>
  </w:style>
  <w:style w:type="paragraph" w:customStyle="1" w:styleId="0EC2ABEBDE5B484EA175C200E83D7E12">
    <w:name w:val="0EC2ABEBDE5B484EA175C200E83D7E12"/>
  </w:style>
  <w:style w:type="paragraph" w:customStyle="1" w:styleId="81BC43F8F2CC4F56B62163B10F80372F">
    <w:name w:val="81BC43F8F2CC4F56B62163B10F803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673B0-7919-42F7-9ED2-581A1810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Min_asetus.dotx</Template>
  <TotalTime>0</TotalTime>
  <Pages>2</Pages>
  <Words>461</Words>
  <Characters>2710</Characters>
  <Application>Microsoft Office Word</Application>
  <DocSecurity>0</DocSecurity>
  <Lines>22</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Ministeriön asetus</vt:lpstr>
      <vt:lpstr>1</vt:lpstr>
    </vt:vector>
  </TitlesOfParts>
  <Company>VM</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Ministeriön asetus</dc:title>
  <dc:subject/>
  <dc:creator>Ylikorpi Satu (PLM)</dc:creator>
  <cp:keywords/>
  <dc:description/>
  <cp:lastModifiedBy>Ylikorpi Satu (PLM)</cp:lastModifiedBy>
  <cp:revision>3</cp:revision>
  <cp:lastPrinted>2017-12-04T10:02:00Z</cp:lastPrinted>
  <dcterms:created xsi:type="dcterms:W3CDTF">2023-05-19T06:51:00Z</dcterms:created>
  <dcterms:modified xsi:type="dcterms:W3CDTF">2023-05-19T06:55:00Z</dcterms:modified>
  <cp:contentStatus>Valmis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Min_asetus</vt:lpwstr>
  </property>
  <property fmtid="{D5CDD505-2E9C-101B-9397-08002B2CF9AE}" pid="4" name="_MarkAsFinal">
    <vt:bool>true</vt:bool>
  </property>
</Properties>
</file>