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Pr="00940745" w:rsidRDefault="00940745" w:rsidP="00940745">
      <w:pPr>
        <w:pStyle w:val="LLEsityksennimi"/>
        <w:rPr>
          <w:lang w:val="sv-SE"/>
        </w:rPr>
      </w:pPr>
      <w:r w:rsidRPr="00940745">
        <w:rPr>
          <w:lang w:val="sv-SE"/>
        </w:rPr>
        <w:t>Regeringens proposition till riksdagen</w:t>
      </w:r>
      <w:r w:rsidR="0073174F">
        <w:rPr>
          <w:lang w:val="sv-SE"/>
        </w:rPr>
        <w:t xml:space="preserve"> </w:t>
      </w:r>
      <w:r w:rsidR="0073174F" w:rsidRPr="0073174F">
        <w:rPr>
          <w:lang w:val="sv-SE"/>
        </w:rPr>
        <w:t>med förslag till lag om ändring av 5 kap. 8 § i sjukförsäkringslagen</w:t>
      </w:r>
    </w:p>
    <w:bookmarkStart w:id="0" w:name="_Toc143767892" w:displacedByCustomXml="next"/>
    <w:bookmarkStart w:id="1" w:name="_Toc143767762" w:displacedByCustomXml="next"/>
    <w:bookmarkStart w:id="2" w:name="_Toc34941913" w:displacedByCustomXml="next"/>
    <w:sdt>
      <w:sdtPr>
        <w:alias w:val="Otsikko"/>
        <w:tag w:val="CCOtsikko"/>
        <w:id w:val="-717274869"/>
        <w:lock w:val="sdtLocked"/>
        <w:placeholder>
          <w:docPart w:val="588C7F86A97249B69CB83D256B804A87"/>
        </w:placeholder>
        <w15:color w:val="00CCFF"/>
      </w:sdtPr>
      <w:sdtEndPr/>
      <w:sdtContent>
        <w:p w:rsidR="005A0584" w:rsidRPr="00940745" w:rsidRDefault="00940745" w:rsidP="005A0584">
          <w:pPr>
            <w:pStyle w:val="LLPasiallinensislt"/>
            <w:rPr>
              <w:lang w:val="sv-SE"/>
            </w:rPr>
          </w:pPr>
          <w:r w:rsidRPr="00940745">
            <w:rPr>
              <w:lang w:val="sv-SE"/>
            </w:rPr>
            <w:t>Propositionens huvudsakliga innehåll</w:t>
          </w:r>
        </w:p>
      </w:sdtContent>
    </w:sdt>
    <w:bookmarkEnd w:id="0" w:displacedByCustomXml="prev"/>
    <w:bookmarkEnd w:id="1" w:displacedByCustomXml="prev"/>
    <w:bookmarkEnd w:id="2" w:displacedByCustomXml="prev"/>
    <w:sdt>
      <w:sdtPr>
        <w:alias w:val="Pääasiallinen sisältö"/>
        <w:tag w:val="CCPaaasiallinensisalto"/>
        <w:id w:val="773754789"/>
        <w:lock w:val="sdtLocked"/>
        <w:placeholder>
          <w:docPart w:val="2A664DA6B661408BAD3B2E573A9D8C99"/>
        </w:placeholder>
        <w15:color w:val="00CCFF"/>
      </w:sdtPr>
      <w:sdtEndPr/>
      <w:sdtContent>
        <w:p w:rsidR="0073174F" w:rsidRPr="0073174F" w:rsidRDefault="0073174F" w:rsidP="0073174F">
          <w:pPr>
            <w:pStyle w:val="LLPerustelujenkappalejako"/>
            <w:rPr>
              <w:lang w:val="sv-SE"/>
            </w:rPr>
          </w:pPr>
          <w:r w:rsidRPr="0073174F">
            <w:rPr>
              <w:lang w:val="sv-SE"/>
            </w:rPr>
            <w:t xml:space="preserve">I denna proposition föreslås det att sjukförsäkringslagen ändras. Det föreslås att det görs en permanent ändring i nivån på årssjälvrisken för läkemedelskostnader inom systemet för läkemedelsersättning från ingången av 2024. Syftet med propositionen är att undvika en betydande höjning av beloppet av årssjälvrisken efter den temporära frysningen av nivån på årssjälvrisken 2023 och på så sätt förbättra situationen för dem som använder mycket läkemedel. Dessutom föreslås det att bestämmelsen om justering av beloppet av årssjälvrisken förtydligas. </w:t>
          </w:r>
        </w:p>
        <w:p w:rsidR="0073174F" w:rsidRPr="0073174F" w:rsidRDefault="0073174F" w:rsidP="0073174F">
          <w:pPr>
            <w:pStyle w:val="LLPerustelujenkappalejako"/>
            <w:rPr>
              <w:lang w:val="sv-SE"/>
            </w:rPr>
          </w:pPr>
          <w:r w:rsidRPr="0073174F">
            <w:rPr>
              <w:lang w:val="sv-SE"/>
            </w:rPr>
            <w:t xml:space="preserve">Propositionen hänför sig till budgetpropositionen för 2024 och avses bli behandlad i samband med den. </w:t>
          </w:r>
        </w:p>
        <w:p w:rsidR="005A0584" w:rsidRPr="00234499" w:rsidRDefault="0073174F" w:rsidP="0073174F">
          <w:pPr>
            <w:pStyle w:val="LLPerustelujenkappalejako"/>
            <w:rPr>
              <w:lang w:val="sv-SE"/>
            </w:rPr>
          </w:pPr>
          <w:r w:rsidRPr="0073174F">
            <w:rPr>
              <w:lang w:val="sv-SE"/>
            </w:rPr>
            <w:t>Lagen avses träda i kraft den 1 januari 2024.</w:t>
          </w:r>
        </w:p>
      </w:sdtContent>
    </w:sdt>
    <w:p w:rsidR="005A0584" w:rsidRPr="00234499" w:rsidRDefault="0076114C" w:rsidP="00612C71">
      <w:pPr>
        <w:pStyle w:val="LLNormaali"/>
        <w:jc w:val="center"/>
        <w:rPr>
          <w:lang w:val="sv-SE"/>
        </w:rPr>
      </w:pPr>
      <w:proofErr w:type="gramStart"/>
      <w:r w:rsidRPr="00234499">
        <w:rPr>
          <w:lang w:val="sv-SE"/>
        </w:rPr>
        <w:t>—</w:t>
      </w:r>
      <w:proofErr w:type="gramEnd"/>
      <w:r w:rsidRPr="00234499">
        <w:rPr>
          <w:lang w:val="sv-SE"/>
        </w:rPr>
        <w:t>————</w:t>
      </w:r>
      <w:r w:rsidR="005A0584" w:rsidRPr="00234499">
        <w:rPr>
          <w:lang w:val="sv-SE"/>
        </w:rPr>
        <w:br w:type="page"/>
      </w:r>
    </w:p>
    <w:p w:rsidR="00490E10" w:rsidRPr="00234499" w:rsidRDefault="00490E10" w:rsidP="00612C71">
      <w:pPr>
        <w:pStyle w:val="LLSisllys"/>
        <w:rPr>
          <w:lang w:val="sv-SE"/>
        </w:rPr>
      </w:pPr>
      <w:r w:rsidRPr="00234499">
        <w:rPr>
          <w:lang w:val="sv-SE"/>
        </w:rPr>
        <w:lastRenderedPageBreak/>
        <w:t>INNEH</w:t>
      </w:r>
      <w:r>
        <w:rPr>
          <w:lang w:val="sv-SE"/>
        </w:rPr>
        <w:t>Å</w:t>
      </w:r>
      <w:r w:rsidRPr="00234499">
        <w:rPr>
          <w:lang w:val="sv-SE"/>
        </w:rPr>
        <w:t>LL</w:t>
      </w:r>
    </w:p>
    <w:p w:rsidR="00490E10" w:rsidRDefault="00490E10">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43767892" w:history="1">
        <w:r w:rsidRPr="00671245">
          <w:rPr>
            <w:rStyle w:val="Hyperlinkki"/>
            <w:noProof/>
            <w:lang w:val="sv-SE"/>
          </w:rPr>
          <w:t>Propositionens huvudsakliga innehåll</w:t>
        </w:r>
        <w:r>
          <w:rPr>
            <w:noProof/>
            <w:webHidden/>
          </w:rPr>
          <w:tab/>
        </w:r>
        <w:r>
          <w:rPr>
            <w:noProof/>
            <w:webHidden/>
          </w:rPr>
          <w:fldChar w:fldCharType="begin"/>
        </w:r>
        <w:r>
          <w:rPr>
            <w:noProof/>
            <w:webHidden/>
          </w:rPr>
          <w:instrText xml:space="preserve"> PAGEREF _Toc143767892 \h </w:instrText>
        </w:r>
        <w:r>
          <w:rPr>
            <w:noProof/>
            <w:webHidden/>
          </w:rPr>
        </w:r>
        <w:r>
          <w:rPr>
            <w:noProof/>
            <w:webHidden/>
          </w:rPr>
          <w:fldChar w:fldCharType="separate"/>
        </w:r>
        <w:r>
          <w:rPr>
            <w:noProof/>
            <w:webHidden/>
          </w:rPr>
          <w:t>1</w:t>
        </w:r>
        <w:r>
          <w:rPr>
            <w:noProof/>
            <w:webHidden/>
          </w:rPr>
          <w:fldChar w:fldCharType="end"/>
        </w:r>
      </w:hyperlink>
    </w:p>
    <w:p w:rsidR="00490E10" w:rsidRDefault="000F1374">
      <w:pPr>
        <w:pStyle w:val="Sisluet1"/>
        <w:rPr>
          <w:rFonts w:asciiTheme="minorHAnsi" w:eastAsiaTheme="minorEastAsia" w:hAnsiTheme="minorHAnsi" w:cstheme="minorBidi"/>
          <w:bCs w:val="0"/>
          <w:caps w:val="0"/>
          <w:noProof/>
          <w:szCs w:val="22"/>
        </w:rPr>
      </w:pPr>
      <w:hyperlink w:anchor="_Toc143767893" w:history="1">
        <w:r w:rsidR="00490E10" w:rsidRPr="00671245">
          <w:rPr>
            <w:rStyle w:val="Hyperlinkki"/>
            <w:noProof/>
            <w:lang w:val="sv-SE"/>
          </w:rPr>
          <w:t>MOTIVERING</w:t>
        </w:r>
        <w:r w:rsidR="00490E10">
          <w:rPr>
            <w:noProof/>
            <w:webHidden/>
          </w:rPr>
          <w:tab/>
        </w:r>
        <w:r w:rsidR="00490E10">
          <w:rPr>
            <w:noProof/>
            <w:webHidden/>
          </w:rPr>
          <w:fldChar w:fldCharType="begin"/>
        </w:r>
        <w:r w:rsidR="00490E10">
          <w:rPr>
            <w:noProof/>
            <w:webHidden/>
          </w:rPr>
          <w:instrText xml:space="preserve"> PAGEREF _Toc143767893 \h </w:instrText>
        </w:r>
        <w:r w:rsidR="00490E10">
          <w:rPr>
            <w:noProof/>
            <w:webHidden/>
          </w:rPr>
        </w:r>
        <w:r w:rsidR="00490E10">
          <w:rPr>
            <w:noProof/>
            <w:webHidden/>
          </w:rPr>
          <w:fldChar w:fldCharType="separate"/>
        </w:r>
        <w:r w:rsidR="00490E10">
          <w:rPr>
            <w:noProof/>
            <w:webHidden/>
          </w:rPr>
          <w:t>3</w:t>
        </w:r>
        <w:r w:rsidR="00490E10">
          <w:rPr>
            <w:noProof/>
            <w:webHidden/>
          </w:rPr>
          <w:fldChar w:fldCharType="end"/>
        </w:r>
      </w:hyperlink>
    </w:p>
    <w:p w:rsidR="00490E10" w:rsidRDefault="000F1374">
      <w:pPr>
        <w:pStyle w:val="Sisluet2"/>
        <w:rPr>
          <w:rFonts w:asciiTheme="minorHAnsi" w:eastAsiaTheme="minorEastAsia" w:hAnsiTheme="minorHAnsi" w:cstheme="minorBidi"/>
          <w:szCs w:val="22"/>
        </w:rPr>
      </w:pPr>
      <w:hyperlink w:anchor="_Toc143767894" w:history="1">
        <w:r w:rsidR="00490E10" w:rsidRPr="00671245">
          <w:rPr>
            <w:rStyle w:val="Hyperlinkki"/>
            <w:lang w:val="sv-SE"/>
          </w:rPr>
          <w:t>1 Bakgrund och beredning</w:t>
        </w:r>
        <w:r w:rsidR="00490E10">
          <w:rPr>
            <w:webHidden/>
          </w:rPr>
          <w:tab/>
        </w:r>
        <w:r w:rsidR="00490E10">
          <w:rPr>
            <w:webHidden/>
          </w:rPr>
          <w:fldChar w:fldCharType="begin"/>
        </w:r>
        <w:r w:rsidR="00490E10">
          <w:rPr>
            <w:webHidden/>
          </w:rPr>
          <w:instrText xml:space="preserve"> PAGEREF _Toc143767894 \h </w:instrText>
        </w:r>
        <w:r w:rsidR="00490E10">
          <w:rPr>
            <w:webHidden/>
          </w:rPr>
        </w:r>
        <w:r w:rsidR="00490E10">
          <w:rPr>
            <w:webHidden/>
          </w:rPr>
          <w:fldChar w:fldCharType="separate"/>
        </w:r>
        <w:r w:rsidR="00490E10">
          <w:rPr>
            <w:webHidden/>
          </w:rPr>
          <w:t>3</w:t>
        </w:r>
        <w:r w:rsidR="00490E10">
          <w:rPr>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895" w:history="1">
        <w:r w:rsidR="00490E10" w:rsidRPr="00671245">
          <w:rPr>
            <w:rStyle w:val="Hyperlinkki"/>
            <w:noProof/>
            <w:lang w:val="sv-SE"/>
          </w:rPr>
          <w:t>1.1 Bakgrund</w:t>
        </w:r>
        <w:r w:rsidR="00490E10">
          <w:rPr>
            <w:noProof/>
            <w:webHidden/>
          </w:rPr>
          <w:tab/>
        </w:r>
        <w:r w:rsidR="00490E10">
          <w:rPr>
            <w:noProof/>
            <w:webHidden/>
          </w:rPr>
          <w:fldChar w:fldCharType="begin"/>
        </w:r>
        <w:r w:rsidR="00490E10">
          <w:rPr>
            <w:noProof/>
            <w:webHidden/>
          </w:rPr>
          <w:instrText xml:space="preserve"> PAGEREF _Toc143767895 \h </w:instrText>
        </w:r>
        <w:r w:rsidR="00490E10">
          <w:rPr>
            <w:noProof/>
            <w:webHidden/>
          </w:rPr>
        </w:r>
        <w:r w:rsidR="00490E10">
          <w:rPr>
            <w:noProof/>
            <w:webHidden/>
          </w:rPr>
          <w:fldChar w:fldCharType="separate"/>
        </w:r>
        <w:r w:rsidR="00490E10">
          <w:rPr>
            <w:noProof/>
            <w:webHidden/>
          </w:rPr>
          <w:t>3</w:t>
        </w:r>
        <w:r w:rsidR="00490E10">
          <w:rPr>
            <w:noProof/>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896" w:history="1">
        <w:r w:rsidR="00490E10" w:rsidRPr="00671245">
          <w:rPr>
            <w:rStyle w:val="Hyperlinkki"/>
            <w:noProof/>
            <w:lang w:val="sv-SE"/>
          </w:rPr>
          <w:t>1.2 Beredning</w:t>
        </w:r>
        <w:r w:rsidR="00490E10">
          <w:rPr>
            <w:noProof/>
            <w:webHidden/>
          </w:rPr>
          <w:tab/>
        </w:r>
        <w:r w:rsidR="00490E10">
          <w:rPr>
            <w:noProof/>
            <w:webHidden/>
          </w:rPr>
          <w:fldChar w:fldCharType="begin"/>
        </w:r>
        <w:r w:rsidR="00490E10">
          <w:rPr>
            <w:noProof/>
            <w:webHidden/>
          </w:rPr>
          <w:instrText xml:space="preserve"> PAGEREF _Toc143767896 \h </w:instrText>
        </w:r>
        <w:r w:rsidR="00490E10">
          <w:rPr>
            <w:noProof/>
            <w:webHidden/>
          </w:rPr>
        </w:r>
        <w:r w:rsidR="00490E10">
          <w:rPr>
            <w:noProof/>
            <w:webHidden/>
          </w:rPr>
          <w:fldChar w:fldCharType="separate"/>
        </w:r>
        <w:r w:rsidR="00490E10">
          <w:rPr>
            <w:noProof/>
            <w:webHidden/>
          </w:rPr>
          <w:t>3</w:t>
        </w:r>
        <w:r w:rsidR="00490E10">
          <w:rPr>
            <w:noProof/>
            <w:webHidden/>
          </w:rPr>
          <w:fldChar w:fldCharType="end"/>
        </w:r>
      </w:hyperlink>
    </w:p>
    <w:p w:rsidR="00490E10" w:rsidRDefault="000F1374">
      <w:pPr>
        <w:pStyle w:val="Sisluet2"/>
        <w:rPr>
          <w:rFonts w:asciiTheme="minorHAnsi" w:eastAsiaTheme="minorEastAsia" w:hAnsiTheme="minorHAnsi" w:cstheme="minorBidi"/>
          <w:szCs w:val="22"/>
        </w:rPr>
      </w:pPr>
      <w:hyperlink w:anchor="_Toc143767897" w:history="1">
        <w:r w:rsidR="00490E10" w:rsidRPr="00671245">
          <w:rPr>
            <w:rStyle w:val="Hyperlinkki"/>
            <w:lang w:val="sv-SE"/>
          </w:rPr>
          <w:t>2 Nuläge och bedömning av nuläget</w:t>
        </w:r>
        <w:r w:rsidR="00490E10">
          <w:rPr>
            <w:webHidden/>
          </w:rPr>
          <w:tab/>
        </w:r>
        <w:r w:rsidR="00490E10">
          <w:rPr>
            <w:webHidden/>
          </w:rPr>
          <w:fldChar w:fldCharType="begin"/>
        </w:r>
        <w:r w:rsidR="00490E10">
          <w:rPr>
            <w:webHidden/>
          </w:rPr>
          <w:instrText xml:space="preserve"> PAGEREF _Toc143767897 \h </w:instrText>
        </w:r>
        <w:r w:rsidR="00490E10">
          <w:rPr>
            <w:webHidden/>
          </w:rPr>
        </w:r>
        <w:r w:rsidR="00490E10">
          <w:rPr>
            <w:webHidden/>
          </w:rPr>
          <w:fldChar w:fldCharType="separate"/>
        </w:r>
        <w:r w:rsidR="00490E10">
          <w:rPr>
            <w:webHidden/>
          </w:rPr>
          <w:t>3</w:t>
        </w:r>
        <w:r w:rsidR="00490E10">
          <w:rPr>
            <w:webHidden/>
          </w:rPr>
          <w:fldChar w:fldCharType="end"/>
        </w:r>
      </w:hyperlink>
    </w:p>
    <w:p w:rsidR="00490E10" w:rsidRDefault="000F1374">
      <w:pPr>
        <w:pStyle w:val="Sisluet2"/>
        <w:rPr>
          <w:rFonts w:asciiTheme="minorHAnsi" w:eastAsiaTheme="minorEastAsia" w:hAnsiTheme="minorHAnsi" w:cstheme="minorBidi"/>
          <w:szCs w:val="22"/>
        </w:rPr>
      </w:pPr>
      <w:hyperlink w:anchor="_Toc143767898" w:history="1">
        <w:r w:rsidR="00490E10" w:rsidRPr="00671245">
          <w:rPr>
            <w:rStyle w:val="Hyperlinkki"/>
            <w:lang w:val="sv-SE"/>
          </w:rPr>
          <w:t>3 Målsättning</w:t>
        </w:r>
        <w:r w:rsidR="00490E10">
          <w:rPr>
            <w:webHidden/>
          </w:rPr>
          <w:tab/>
        </w:r>
        <w:r w:rsidR="00490E10">
          <w:rPr>
            <w:webHidden/>
          </w:rPr>
          <w:fldChar w:fldCharType="begin"/>
        </w:r>
        <w:r w:rsidR="00490E10">
          <w:rPr>
            <w:webHidden/>
          </w:rPr>
          <w:instrText xml:space="preserve"> PAGEREF _Toc143767898 \h </w:instrText>
        </w:r>
        <w:r w:rsidR="00490E10">
          <w:rPr>
            <w:webHidden/>
          </w:rPr>
        </w:r>
        <w:r w:rsidR="00490E10">
          <w:rPr>
            <w:webHidden/>
          </w:rPr>
          <w:fldChar w:fldCharType="separate"/>
        </w:r>
        <w:r w:rsidR="00490E10">
          <w:rPr>
            <w:webHidden/>
          </w:rPr>
          <w:t>4</w:t>
        </w:r>
        <w:r w:rsidR="00490E10">
          <w:rPr>
            <w:webHidden/>
          </w:rPr>
          <w:fldChar w:fldCharType="end"/>
        </w:r>
      </w:hyperlink>
    </w:p>
    <w:p w:rsidR="00490E10" w:rsidRDefault="000F1374">
      <w:pPr>
        <w:pStyle w:val="Sisluet2"/>
        <w:rPr>
          <w:rFonts w:asciiTheme="minorHAnsi" w:eastAsiaTheme="minorEastAsia" w:hAnsiTheme="minorHAnsi" w:cstheme="minorBidi"/>
          <w:szCs w:val="22"/>
        </w:rPr>
      </w:pPr>
      <w:hyperlink w:anchor="_Toc143767899" w:history="1">
        <w:r w:rsidR="00490E10" w:rsidRPr="00671245">
          <w:rPr>
            <w:rStyle w:val="Hyperlinkki"/>
            <w:lang w:val="sv-SE"/>
          </w:rPr>
          <w:t>4 Förslagen och deras konsekvenser</w:t>
        </w:r>
        <w:r w:rsidR="00490E10">
          <w:rPr>
            <w:webHidden/>
          </w:rPr>
          <w:tab/>
        </w:r>
        <w:r w:rsidR="00490E10">
          <w:rPr>
            <w:webHidden/>
          </w:rPr>
          <w:fldChar w:fldCharType="begin"/>
        </w:r>
        <w:r w:rsidR="00490E10">
          <w:rPr>
            <w:webHidden/>
          </w:rPr>
          <w:instrText xml:space="preserve"> PAGEREF _Toc143767899 \h </w:instrText>
        </w:r>
        <w:r w:rsidR="00490E10">
          <w:rPr>
            <w:webHidden/>
          </w:rPr>
        </w:r>
        <w:r w:rsidR="00490E10">
          <w:rPr>
            <w:webHidden/>
          </w:rPr>
          <w:fldChar w:fldCharType="separate"/>
        </w:r>
        <w:r w:rsidR="00490E10">
          <w:rPr>
            <w:webHidden/>
          </w:rPr>
          <w:t>4</w:t>
        </w:r>
        <w:r w:rsidR="00490E10">
          <w:rPr>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900" w:history="1">
        <w:r w:rsidR="00490E10" w:rsidRPr="00671245">
          <w:rPr>
            <w:rStyle w:val="Hyperlinkki"/>
            <w:noProof/>
            <w:lang w:val="sv-SE"/>
          </w:rPr>
          <w:t>4.1 De viktigaste förslagen</w:t>
        </w:r>
        <w:r w:rsidR="00490E10">
          <w:rPr>
            <w:noProof/>
            <w:webHidden/>
          </w:rPr>
          <w:tab/>
        </w:r>
        <w:r w:rsidR="00490E10">
          <w:rPr>
            <w:noProof/>
            <w:webHidden/>
          </w:rPr>
          <w:fldChar w:fldCharType="begin"/>
        </w:r>
        <w:r w:rsidR="00490E10">
          <w:rPr>
            <w:noProof/>
            <w:webHidden/>
          </w:rPr>
          <w:instrText xml:space="preserve"> PAGEREF _Toc143767900 \h </w:instrText>
        </w:r>
        <w:r w:rsidR="00490E10">
          <w:rPr>
            <w:noProof/>
            <w:webHidden/>
          </w:rPr>
        </w:r>
        <w:r w:rsidR="00490E10">
          <w:rPr>
            <w:noProof/>
            <w:webHidden/>
          </w:rPr>
          <w:fldChar w:fldCharType="separate"/>
        </w:r>
        <w:r w:rsidR="00490E10">
          <w:rPr>
            <w:noProof/>
            <w:webHidden/>
          </w:rPr>
          <w:t>4</w:t>
        </w:r>
        <w:r w:rsidR="00490E10">
          <w:rPr>
            <w:noProof/>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901" w:history="1">
        <w:r w:rsidR="00490E10" w:rsidRPr="00671245">
          <w:rPr>
            <w:rStyle w:val="Hyperlinkki"/>
            <w:noProof/>
            <w:lang w:val="sv-SE"/>
          </w:rPr>
          <w:t>4.2 De huvudsakliga konsekvenserna</w:t>
        </w:r>
        <w:r w:rsidR="00490E10">
          <w:rPr>
            <w:noProof/>
            <w:webHidden/>
          </w:rPr>
          <w:tab/>
        </w:r>
        <w:r w:rsidR="00490E10">
          <w:rPr>
            <w:noProof/>
            <w:webHidden/>
          </w:rPr>
          <w:fldChar w:fldCharType="begin"/>
        </w:r>
        <w:r w:rsidR="00490E10">
          <w:rPr>
            <w:noProof/>
            <w:webHidden/>
          </w:rPr>
          <w:instrText xml:space="preserve"> PAGEREF _Toc143767901 \h </w:instrText>
        </w:r>
        <w:r w:rsidR="00490E10">
          <w:rPr>
            <w:noProof/>
            <w:webHidden/>
          </w:rPr>
        </w:r>
        <w:r w:rsidR="00490E10">
          <w:rPr>
            <w:noProof/>
            <w:webHidden/>
          </w:rPr>
          <w:fldChar w:fldCharType="separate"/>
        </w:r>
        <w:r w:rsidR="00490E10">
          <w:rPr>
            <w:noProof/>
            <w:webHidden/>
          </w:rPr>
          <w:t>5</w:t>
        </w:r>
        <w:r w:rsidR="00490E10">
          <w:rPr>
            <w:noProof/>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902" w:history="1">
        <w:r w:rsidR="00490E10" w:rsidRPr="00671245">
          <w:rPr>
            <w:rStyle w:val="Hyperlinkki"/>
            <w:noProof/>
            <w:lang w:val="sv-SE"/>
          </w:rPr>
          <w:t>4.2.1 Ekonomiska konsekvenser</w:t>
        </w:r>
        <w:r w:rsidR="00490E10">
          <w:rPr>
            <w:noProof/>
            <w:webHidden/>
          </w:rPr>
          <w:tab/>
        </w:r>
        <w:r w:rsidR="00490E10">
          <w:rPr>
            <w:noProof/>
            <w:webHidden/>
          </w:rPr>
          <w:fldChar w:fldCharType="begin"/>
        </w:r>
        <w:r w:rsidR="00490E10">
          <w:rPr>
            <w:noProof/>
            <w:webHidden/>
          </w:rPr>
          <w:instrText xml:space="preserve"> PAGEREF _Toc143767902 \h </w:instrText>
        </w:r>
        <w:r w:rsidR="00490E10">
          <w:rPr>
            <w:noProof/>
            <w:webHidden/>
          </w:rPr>
        </w:r>
        <w:r w:rsidR="00490E10">
          <w:rPr>
            <w:noProof/>
            <w:webHidden/>
          </w:rPr>
          <w:fldChar w:fldCharType="separate"/>
        </w:r>
        <w:r w:rsidR="00490E10">
          <w:rPr>
            <w:noProof/>
            <w:webHidden/>
          </w:rPr>
          <w:t>5</w:t>
        </w:r>
        <w:r w:rsidR="00490E10">
          <w:rPr>
            <w:noProof/>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903" w:history="1">
        <w:r w:rsidR="00490E10" w:rsidRPr="00671245">
          <w:rPr>
            <w:rStyle w:val="Hyperlinkki"/>
            <w:noProof/>
            <w:lang w:val="sv-SE"/>
          </w:rPr>
          <w:t>4.2.2 Konsekvenser för hushållen</w:t>
        </w:r>
        <w:r w:rsidR="00490E10">
          <w:rPr>
            <w:noProof/>
            <w:webHidden/>
          </w:rPr>
          <w:tab/>
        </w:r>
        <w:r w:rsidR="00490E10">
          <w:rPr>
            <w:noProof/>
            <w:webHidden/>
          </w:rPr>
          <w:fldChar w:fldCharType="begin"/>
        </w:r>
        <w:r w:rsidR="00490E10">
          <w:rPr>
            <w:noProof/>
            <w:webHidden/>
          </w:rPr>
          <w:instrText xml:space="preserve"> PAGEREF _Toc143767903 \h </w:instrText>
        </w:r>
        <w:r w:rsidR="00490E10">
          <w:rPr>
            <w:noProof/>
            <w:webHidden/>
          </w:rPr>
        </w:r>
        <w:r w:rsidR="00490E10">
          <w:rPr>
            <w:noProof/>
            <w:webHidden/>
          </w:rPr>
          <w:fldChar w:fldCharType="separate"/>
        </w:r>
        <w:r w:rsidR="00490E10">
          <w:rPr>
            <w:noProof/>
            <w:webHidden/>
          </w:rPr>
          <w:t>5</w:t>
        </w:r>
        <w:r w:rsidR="00490E10">
          <w:rPr>
            <w:noProof/>
            <w:webHidden/>
          </w:rPr>
          <w:fldChar w:fldCharType="end"/>
        </w:r>
      </w:hyperlink>
    </w:p>
    <w:p w:rsidR="00490E10" w:rsidRDefault="000F1374">
      <w:pPr>
        <w:pStyle w:val="Sisluet2"/>
        <w:rPr>
          <w:rFonts w:asciiTheme="minorHAnsi" w:eastAsiaTheme="minorEastAsia" w:hAnsiTheme="minorHAnsi" w:cstheme="minorBidi"/>
          <w:szCs w:val="22"/>
        </w:rPr>
      </w:pPr>
      <w:hyperlink w:anchor="_Toc143767904" w:history="1">
        <w:r w:rsidR="00490E10" w:rsidRPr="00671245">
          <w:rPr>
            <w:rStyle w:val="Hyperlinkki"/>
            <w:lang w:val="sv-SE"/>
          </w:rPr>
          <w:t>5 Remissvar</w:t>
        </w:r>
        <w:r w:rsidR="00490E10">
          <w:rPr>
            <w:webHidden/>
          </w:rPr>
          <w:tab/>
        </w:r>
        <w:r w:rsidR="00490E10">
          <w:rPr>
            <w:webHidden/>
          </w:rPr>
          <w:fldChar w:fldCharType="begin"/>
        </w:r>
        <w:r w:rsidR="00490E10">
          <w:rPr>
            <w:webHidden/>
          </w:rPr>
          <w:instrText xml:space="preserve"> PAGEREF _Toc143767904 \h </w:instrText>
        </w:r>
        <w:r w:rsidR="00490E10">
          <w:rPr>
            <w:webHidden/>
          </w:rPr>
        </w:r>
        <w:r w:rsidR="00490E10">
          <w:rPr>
            <w:webHidden/>
          </w:rPr>
          <w:fldChar w:fldCharType="separate"/>
        </w:r>
        <w:r w:rsidR="00490E10">
          <w:rPr>
            <w:webHidden/>
          </w:rPr>
          <w:t>6</w:t>
        </w:r>
        <w:r w:rsidR="00490E10">
          <w:rPr>
            <w:webHidden/>
          </w:rPr>
          <w:fldChar w:fldCharType="end"/>
        </w:r>
      </w:hyperlink>
    </w:p>
    <w:p w:rsidR="00490E10" w:rsidRDefault="000F1374">
      <w:pPr>
        <w:pStyle w:val="Sisluet2"/>
        <w:rPr>
          <w:rFonts w:asciiTheme="minorHAnsi" w:eastAsiaTheme="minorEastAsia" w:hAnsiTheme="minorHAnsi" w:cstheme="minorBidi"/>
          <w:szCs w:val="22"/>
        </w:rPr>
      </w:pPr>
      <w:hyperlink w:anchor="_Toc143767905" w:history="1">
        <w:r w:rsidR="00490E10" w:rsidRPr="00671245">
          <w:rPr>
            <w:rStyle w:val="Hyperlinkki"/>
            <w:lang w:val="sv-SE"/>
          </w:rPr>
          <w:t>6 Specialmotivering</w:t>
        </w:r>
        <w:r w:rsidR="00490E10">
          <w:rPr>
            <w:webHidden/>
          </w:rPr>
          <w:tab/>
        </w:r>
        <w:r w:rsidR="00490E10">
          <w:rPr>
            <w:webHidden/>
          </w:rPr>
          <w:fldChar w:fldCharType="begin"/>
        </w:r>
        <w:r w:rsidR="00490E10">
          <w:rPr>
            <w:webHidden/>
          </w:rPr>
          <w:instrText xml:space="preserve"> PAGEREF _Toc143767905 \h </w:instrText>
        </w:r>
        <w:r w:rsidR="00490E10">
          <w:rPr>
            <w:webHidden/>
          </w:rPr>
        </w:r>
        <w:r w:rsidR="00490E10">
          <w:rPr>
            <w:webHidden/>
          </w:rPr>
          <w:fldChar w:fldCharType="separate"/>
        </w:r>
        <w:r w:rsidR="00490E10">
          <w:rPr>
            <w:webHidden/>
          </w:rPr>
          <w:t>6</w:t>
        </w:r>
        <w:r w:rsidR="00490E10">
          <w:rPr>
            <w:webHidden/>
          </w:rPr>
          <w:fldChar w:fldCharType="end"/>
        </w:r>
      </w:hyperlink>
    </w:p>
    <w:p w:rsidR="00490E10" w:rsidRDefault="000F1374">
      <w:pPr>
        <w:pStyle w:val="Sisluet2"/>
        <w:rPr>
          <w:rFonts w:asciiTheme="minorHAnsi" w:eastAsiaTheme="minorEastAsia" w:hAnsiTheme="minorHAnsi" w:cstheme="minorBidi"/>
          <w:szCs w:val="22"/>
        </w:rPr>
      </w:pPr>
      <w:hyperlink w:anchor="_Toc143767906" w:history="1">
        <w:r w:rsidR="00490E10" w:rsidRPr="00671245">
          <w:rPr>
            <w:rStyle w:val="Hyperlinkki"/>
            <w:lang w:val="sv-SE"/>
          </w:rPr>
          <w:t>7 Ikraftträdande</w:t>
        </w:r>
        <w:r w:rsidR="00490E10">
          <w:rPr>
            <w:webHidden/>
          </w:rPr>
          <w:tab/>
        </w:r>
        <w:r w:rsidR="00490E10">
          <w:rPr>
            <w:webHidden/>
          </w:rPr>
          <w:fldChar w:fldCharType="begin"/>
        </w:r>
        <w:r w:rsidR="00490E10">
          <w:rPr>
            <w:webHidden/>
          </w:rPr>
          <w:instrText xml:space="preserve"> PAGEREF _Toc143767906 \h </w:instrText>
        </w:r>
        <w:r w:rsidR="00490E10">
          <w:rPr>
            <w:webHidden/>
          </w:rPr>
        </w:r>
        <w:r w:rsidR="00490E10">
          <w:rPr>
            <w:webHidden/>
          </w:rPr>
          <w:fldChar w:fldCharType="separate"/>
        </w:r>
        <w:r w:rsidR="00490E10">
          <w:rPr>
            <w:webHidden/>
          </w:rPr>
          <w:t>6</w:t>
        </w:r>
        <w:r w:rsidR="00490E10">
          <w:rPr>
            <w:webHidden/>
          </w:rPr>
          <w:fldChar w:fldCharType="end"/>
        </w:r>
      </w:hyperlink>
    </w:p>
    <w:p w:rsidR="00490E10" w:rsidRDefault="000F1374">
      <w:pPr>
        <w:pStyle w:val="Sisluet2"/>
        <w:rPr>
          <w:rFonts w:asciiTheme="minorHAnsi" w:eastAsiaTheme="minorEastAsia" w:hAnsiTheme="minorHAnsi" w:cstheme="minorBidi"/>
          <w:szCs w:val="22"/>
        </w:rPr>
      </w:pPr>
      <w:hyperlink w:anchor="_Toc143767907" w:history="1">
        <w:r w:rsidR="00490E10" w:rsidRPr="00671245">
          <w:rPr>
            <w:rStyle w:val="Hyperlinkki"/>
            <w:lang w:val="sv-SE"/>
          </w:rPr>
          <w:t>8 Samband med andra propositioner</w:t>
        </w:r>
        <w:r w:rsidR="00490E10">
          <w:rPr>
            <w:webHidden/>
          </w:rPr>
          <w:tab/>
        </w:r>
        <w:r w:rsidR="00490E10">
          <w:rPr>
            <w:webHidden/>
          </w:rPr>
          <w:fldChar w:fldCharType="begin"/>
        </w:r>
        <w:r w:rsidR="00490E10">
          <w:rPr>
            <w:webHidden/>
          </w:rPr>
          <w:instrText xml:space="preserve"> PAGEREF _Toc143767907 \h </w:instrText>
        </w:r>
        <w:r w:rsidR="00490E10">
          <w:rPr>
            <w:webHidden/>
          </w:rPr>
        </w:r>
        <w:r w:rsidR="00490E10">
          <w:rPr>
            <w:webHidden/>
          </w:rPr>
          <w:fldChar w:fldCharType="separate"/>
        </w:r>
        <w:r w:rsidR="00490E10">
          <w:rPr>
            <w:webHidden/>
          </w:rPr>
          <w:t>6</w:t>
        </w:r>
        <w:r w:rsidR="00490E10">
          <w:rPr>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908" w:history="1">
        <w:r w:rsidR="00490E10" w:rsidRPr="00671245">
          <w:rPr>
            <w:rStyle w:val="Hyperlinkki"/>
            <w:noProof/>
            <w:lang w:val="sv-SE"/>
          </w:rPr>
          <w:t>8.1 Förhållande till budgetpropositionen</w:t>
        </w:r>
        <w:r w:rsidR="00490E10">
          <w:rPr>
            <w:noProof/>
            <w:webHidden/>
          </w:rPr>
          <w:tab/>
        </w:r>
        <w:r w:rsidR="00490E10">
          <w:rPr>
            <w:noProof/>
            <w:webHidden/>
          </w:rPr>
          <w:fldChar w:fldCharType="begin"/>
        </w:r>
        <w:r w:rsidR="00490E10">
          <w:rPr>
            <w:noProof/>
            <w:webHidden/>
          </w:rPr>
          <w:instrText xml:space="preserve"> PAGEREF _Toc143767908 \h </w:instrText>
        </w:r>
        <w:r w:rsidR="00490E10">
          <w:rPr>
            <w:noProof/>
            <w:webHidden/>
          </w:rPr>
        </w:r>
        <w:r w:rsidR="00490E10">
          <w:rPr>
            <w:noProof/>
            <w:webHidden/>
          </w:rPr>
          <w:fldChar w:fldCharType="separate"/>
        </w:r>
        <w:r w:rsidR="00490E10">
          <w:rPr>
            <w:noProof/>
            <w:webHidden/>
          </w:rPr>
          <w:t>6</w:t>
        </w:r>
        <w:r w:rsidR="00490E10">
          <w:rPr>
            <w:noProof/>
            <w:webHidden/>
          </w:rPr>
          <w:fldChar w:fldCharType="end"/>
        </w:r>
      </w:hyperlink>
    </w:p>
    <w:p w:rsidR="00490E10" w:rsidRDefault="000F1374">
      <w:pPr>
        <w:pStyle w:val="Sisluet2"/>
        <w:rPr>
          <w:rFonts w:asciiTheme="minorHAnsi" w:eastAsiaTheme="minorEastAsia" w:hAnsiTheme="minorHAnsi" w:cstheme="minorBidi"/>
          <w:szCs w:val="22"/>
        </w:rPr>
      </w:pPr>
      <w:hyperlink w:anchor="_Toc143767909" w:history="1">
        <w:r w:rsidR="00490E10" w:rsidRPr="00671245">
          <w:rPr>
            <w:rStyle w:val="Hyperlinkki"/>
            <w:lang w:val="sv-SE"/>
          </w:rPr>
          <w:t>9 Förhållande till grundlagen samt lagstiftningsordning</w:t>
        </w:r>
        <w:r w:rsidR="00490E10">
          <w:rPr>
            <w:webHidden/>
          </w:rPr>
          <w:tab/>
        </w:r>
        <w:r w:rsidR="00490E10">
          <w:rPr>
            <w:webHidden/>
          </w:rPr>
          <w:fldChar w:fldCharType="begin"/>
        </w:r>
        <w:r w:rsidR="00490E10">
          <w:rPr>
            <w:webHidden/>
          </w:rPr>
          <w:instrText xml:space="preserve"> PAGEREF _Toc143767909 \h </w:instrText>
        </w:r>
        <w:r w:rsidR="00490E10">
          <w:rPr>
            <w:webHidden/>
          </w:rPr>
        </w:r>
        <w:r w:rsidR="00490E10">
          <w:rPr>
            <w:webHidden/>
          </w:rPr>
          <w:fldChar w:fldCharType="separate"/>
        </w:r>
        <w:r w:rsidR="00490E10">
          <w:rPr>
            <w:webHidden/>
          </w:rPr>
          <w:t>6</w:t>
        </w:r>
        <w:r w:rsidR="00490E10">
          <w:rPr>
            <w:webHidden/>
          </w:rPr>
          <w:fldChar w:fldCharType="end"/>
        </w:r>
      </w:hyperlink>
    </w:p>
    <w:p w:rsidR="00490E10" w:rsidRDefault="000F1374">
      <w:pPr>
        <w:pStyle w:val="Sisluet1"/>
        <w:rPr>
          <w:rFonts w:asciiTheme="minorHAnsi" w:eastAsiaTheme="minorEastAsia" w:hAnsiTheme="minorHAnsi" w:cstheme="minorBidi"/>
          <w:bCs w:val="0"/>
          <w:caps w:val="0"/>
          <w:noProof/>
          <w:szCs w:val="22"/>
        </w:rPr>
      </w:pPr>
      <w:hyperlink w:anchor="_Toc143767910" w:history="1">
        <w:r w:rsidR="00490E10" w:rsidRPr="00671245">
          <w:rPr>
            <w:rStyle w:val="Hyperlinkki"/>
            <w:noProof/>
            <w:lang w:val="sv-SE"/>
          </w:rPr>
          <w:t>Lagförslag</w:t>
        </w:r>
        <w:r w:rsidR="00490E10">
          <w:rPr>
            <w:noProof/>
            <w:webHidden/>
          </w:rPr>
          <w:tab/>
        </w:r>
        <w:r w:rsidR="00490E10">
          <w:rPr>
            <w:noProof/>
            <w:webHidden/>
          </w:rPr>
          <w:fldChar w:fldCharType="begin"/>
        </w:r>
        <w:r w:rsidR="00490E10">
          <w:rPr>
            <w:noProof/>
            <w:webHidden/>
          </w:rPr>
          <w:instrText xml:space="preserve"> PAGEREF _Toc143767910 \h </w:instrText>
        </w:r>
        <w:r w:rsidR="00490E10">
          <w:rPr>
            <w:noProof/>
            <w:webHidden/>
          </w:rPr>
        </w:r>
        <w:r w:rsidR="00490E10">
          <w:rPr>
            <w:noProof/>
            <w:webHidden/>
          </w:rPr>
          <w:fldChar w:fldCharType="separate"/>
        </w:r>
        <w:r w:rsidR="00490E10">
          <w:rPr>
            <w:noProof/>
            <w:webHidden/>
          </w:rPr>
          <w:t>8</w:t>
        </w:r>
        <w:r w:rsidR="00490E10">
          <w:rPr>
            <w:noProof/>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911" w:history="1">
        <w:r w:rsidR="00490E10">
          <w:rPr>
            <w:rStyle w:val="Hyperlinkki"/>
            <w:noProof/>
            <w:lang w:val="sv-SE"/>
          </w:rPr>
          <w:t>Lag o</w:t>
        </w:r>
        <w:r w:rsidR="00490E10" w:rsidRPr="00671245">
          <w:rPr>
            <w:rStyle w:val="Hyperlinkki"/>
            <w:noProof/>
            <w:lang w:val="sv-SE"/>
          </w:rPr>
          <w:t>m ändring av 5 kap. 8 § i sjukförsäkringslagen</w:t>
        </w:r>
        <w:r w:rsidR="00490E10">
          <w:rPr>
            <w:noProof/>
            <w:webHidden/>
          </w:rPr>
          <w:tab/>
        </w:r>
        <w:r w:rsidR="00490E10">
          <w:rPr>
            <w:noProof/>
            <w:webHidden/>
          </w:rPr>
          <w:fldChar w:fldCharType="begin"/>
        </w:r>
        <w:r w:rsidR="00490E10">
          <w:rPr>
            <w:noProof/>
            <w:webHidden/>
          </w:rPr>
          <w:instrText xml:space="preserve"> PAGEREF _Toc143767911 \h </w:instrText>
        </w:r>
        <w:r w:rsidR="00490E10">
          <w:rPr>
            <w:noProof/>
            <w:webHidden/>
          </w:rPr>
        </w:r>
        <w:r w:rsidR="00490E10">
          <w:rPr>
            <w:noProof/>
            <w:webHidden/>
          </w:rPr>
          <w:fldChar w:fldCharType="separate"/>
        </w:r>
        <w:r w:rsidR="00490E10">
          <w:rPr>
            <w:noProof/>
            <w:webHidden/>
          </w:rPr>
          <w:t>8</w:t>
        </w:r>
        <w:r w:rsidR="00490E10">
          <w:rPr>
            <w:noProof/>
            <w:webHidden/>
          </w:rPr>
          <w:fldChar w:fldCharType="end"/>
        </w:r>
      </w:hyperlink>
    </w:p>
    <w:p w:rsidR="00490E10" w:rsidRDefault="000F1374">
      <w:pPr>
        <w:pStyle w:val="Sisluet1"/>
        <w:rPr>
          <w:rFonts w:asciiTheme="minorHAnsi" w:eastAsiaTheme="minorEastAsia" w:hAnsiTheme="minorHAnsi" w:cstheme="minorBidi"/>
          <w:bCs w:val="0"/>
          <w:caps w:val="0"/>
          <w:noProof/>
          <w:szCs w:val="22"/>
        </w:rPr>
      </w:pPr>
      <w:hyperlink w:anchor="_Toc143767912" w:history="1">
        <w:r w:rsidR="00490E10" w:rsidRPr="00671245">
          <w:rPr>
            <w:rStyle w:val="Hyperlinkki"/>
            <w:noProof/>
            <w:lang w:val="sv-SE"/>
          </w:rPr>
          <w:t>Bilaga</w:t>
        </w:r>
        <w:r w:rsidR="00490E10">
          <w:rPr>
            <w:noProof/>
            <w:webHidden/>
          </w:rPr>
          <w:tab/>
        </w:r>
        <w:r w:rsidR="00490E10">
          <w:rPr>
            <w:noProof/>
            <w:webHidden/>
          </w:rPr>
          <w:fldChar w:fldCharType="begin"/>
        </w:r>
        <w:r w:rsidR="00490E10">
          <w:rPr>
            <w:noProof/>
            <w:webHidden/>
          </w:rPr>
          <w:instrText xml:space="preserve"> PAGEREF _Toc143767912 \h </w:instrText>
        </w:r>
        <w:r w:rsidR="00490E10">
          <w:rPr>
            <w:noProof/>
            <w:webHidden/>
          </w:rPr>
        </w:r>
        <w:r w:rsidR="00490E10">
          <w:rPr>
            <w:noProof/>
            <w:webHidden/>
          </w:rPr>
          <w:fldChar w:fldCharType="separate"/>
        </w:r>
        <w:r w:rsidR="00490E10">
          <w:rPr>
            <w:noProof/>
            <w:webHidden/>
          </w:rPr>
          <w:t>9</w:t>
        </w:r>
        <w:r w:rsidR="00490E10">
          <w:rPr>
            <w:noProof/>
            <w:webHidden/>
          </w:rPr>
          <w:fldChar w:fldCharType="end"/>
        </w:r>
      </w:hyperlink>
    </w:p>
    <w:p w:rsidR="00490E10" w:rsidRDefault="000F1374">
      <w:pPr>
        <w:pStyle w:val="Sisluet1"/>
        <w:rPr>
          <w:rFonts w:asciiTheme="minorHAnsi" w:eastAsiaTheme="minorEastAsia" w:hAnsiTheme="minorHAnsi" w:cstheme="minorBidi"/>
          <w:bCs w:val="0"/>
          <w:caps w:val="0"/>
          <w:noProof/>
          <w:szCs w:val="22"/>
        </w:rPr>
      </w:pPr>
      <w:hyperlink w:anchor="_Toc143767913" w:history="1">
        <w:r w:rsidR="00490E10" w:rsidRPr="00671245">
          <w:rPr>
            <w:rStyle w:val="Hyperlinkki"/>
            <w:noProof/>
            <w:lang w:val="en-US"/>
          </w:rPr>
          <w:t>Parallelltext</w:t>
        </w:r>
        <w:r w:rsidR="00490E10">
          <w:rPr>
            <w:noProof/>
            <w:webHidden/>
          </w:rPr>
          <w:tab/>
        </w:r>
        <w:r w:rsidR="00490E10">
          <w:rPr>
            <w:noProof/>
            <w:webHidden/>
          </w:rPr>
          <w:fldChar w:fldCharType="begin"/>
        </w:r>
        <w:r w:rsidR="00490E10">
          <w:rPr>
            <w:noProof/>
            <w:webHidden/>
          </w:rPr>
          <w:instrText xml:space="preserve"> PAGEREF _Toc143767913 \h </w:instrText>
        </w:r>
        <w:r w:rsidR="00490E10">
          <w:rPr>
            <w:noProof/>
            <w:webHidden/>
          </w:rPr>
        </w:r>
        <w:r w:rsidR="00490E10">
          <w:rPr>
            <w:noProof/>
            <w:webHidden/>
          </w:rPr>
          <w:fldChar w:fldCharType="separate"/>
        </w:r>
        <w:r w:rsidR="00490E10">
          <w:rPr>
            <w:noProof/>
            <w:webHidden/>
          </w:rPr>
          <w:t>9</w:t>
        </w:r>
        <w:r w:rsidR="00490E10">
          <w:rPr>
            <w:noProof/>
            <w:webHidden/>
          </w:rPr>
          <w:fldChar w:fldCharType="end"/>
        </w:r>
      </w:hyperlink>
    </w:p>
    <w:p w:rsidR="00490E10" w:rsidRDefault="000F1374">
      <w:pPr>
        <w:pStyle w:val="Sisluet3"/>
        <w:rPr>
          <w:rFonts w:asciiTheme="minorHAnsi" w:eastAsiaTheme="minorEastAsia" w:hAnsiTheme="minorHAnsi" w:cstheme="minorBidi"/>
          <w:noProof/>
          <w:szCs w:val="22"/>
        </w:rPr>
      </w:pPr>
      <w:hyperlink w:anchor="_Toc143767914" w:history="1">
        <w:r w:rsidR="00490E10">
          <w:rPr>
            <w:rStyle w:val="Hyperlinkki"/>
            <w:noProof/>
            <w:lang w:val="sv-SE"/>
          </w:rPr>
          <w:t>Lag o</w:t>
        </w:r>
        <w:r w:rsidR="00490E10" w:rsidRPr="00671245">
          <w:rPr>
            <w:rStyle w:val="Hyperlinkki"/>
            <w:noProof/>
            <w:lang w:val="sv-SE"/>
          </w:rPr>
          <w:t>m ändring av 5 kap. 8 § i sjukförsäkringslagen</w:t>
        </w:r>
        <w:r w:rsidR="00490E10">
          <w:rPr>
            <w:noProof/>
            <w:webHidden/>
          </w:rPr>
          <w:tab/>
        </w:r>
        <w:r w:rsidR="00490E10">
          <w:rPr>
            <w:noProof/>
            <w:webHidden/>
          </w:rPr>
          <w:fldChar w:fldCharType="begin"/>
        </w:r>
        <w:r w:rsidR="00490E10">
          <w:rPr>
            <w:noProof/>
            <w:webHidden/>
          </w:rPr>
          <w:instrText xml:space="preserve"> PAGEREF _Toc143767914 \h </w:instrText>
        </w:r>
        <w:r w:rsidR="00490E10">
          <w:rPr>
            <w:noProof/>
            <w:webHidden/>
          </w:rPr>
        </w:r>
        <w:r w:rsidR="00490E10">
          <w:rPr>
            <w:noProof/>
            <w:webHidden/>
          </w:rPr>
          <w:fldChar w:fldCharType="separate"/>
        </w:r>
        <w:r w:rsidR="00490E10">
          <w:rPr>
            <w:noProof/>
            <w:webHidden/>
          </w:rPr>
          <w:t>9</w:t>
        </w:r>
        <w:r w:rsidR="00490E10">
          <w:rPr>
            <w:noProof/>
            <w:webHidden/>
          </w:rPr>
          <w:fldChar w:fldCharType="end"/>
        </w:r>
      </w:hyperlink>
    </w:p>
    <w:p w:rsidR="00A17195" w:rsidRPr="00A17195" w:rsidRDefault="00490E10" w:rsidP="00A17195">
      <w:r>
        <w:rPr>
          <w:rFonts w:eastAsia="Times New Roman"/>
          <w:bCs/>
          <w:caps/>
          <w:szCs w:val="20"/>
          <w:lang w:eastAsia="fi-FI"/>
        </w:rPr>
        <w:fldChar w:fldCharType="end"/>
      </w:r>
    </w:p>
    <w:p w:rsidR="006E6F46" w:rsidRDefault="005A0584" w:rsidP="00EB0A9A">
      <w:pPr>
        <w:pStyle w:val="LLNormaali"/>
      </w:pPr>
      <w:r>
        <w:br w:type="page"/>
      </w:r>
    </w:p>
    <w:bookmarkStart w:id="3" w:name="_Toc34941914" w:displacedByCustomXml="next"/>
    <w:bookmarkStart w:id="4" w:name="_Toc143767763" w:displacedByCustomXml="next"/>
    <w:bookmarkStart w:id="5" w:name="_Toc143767893" w:displacedByCustomXml="next"/>
    <w:sdt>
      <w:sdtPr>
        <w:rPr>
          <w:rFonts w:eastAsia="Calibri"/>
          <w:b w:val="0"/>
          <w:caps w:val="0"/>
          <w:sz w:val="22"/>
          <w:szCs w:val="22"/>
          <w:lang w:eastAsia="en-US"/>
        </w:rPr>
        <w:alias w:val="Perustelut"/>
        <w:tag w:val="CCPerustelut"/>
        <w:id w:val="2058971695"/>
        <w:lock w:val="sdtLocked"/>
        <w:placeholder>
          <w:docPart w:val="C124069C065F4C4C8A82D862F380CEF9"/>
        </w:placeholder>
        <w15:color w:val="33CCCC"/>
      </w:sdtPr>
      <w:sdtEndPr>
        <w:rPr>
          <w:rFonts w:eastAsia="Times New Roman"/>
          <w:szCs w:val="24"/>
          <w:lang w:eastAsia="fi-FI"/>
        </w:rPr>
      </w:sdtEndPr>
      <w:sdtContent>
        <w:p w:rsidR="008414FE" w:rsidRPr="00FC143A" w:rsidRDefault="00940745" w:rsidP="008414FE">
          <w:pPr>
            <w:pStyle w:val="LLperustelut"/>
            <w:rPr>
              <w:lang w:val="sv-SE"/>
            </w:rPr>
          </w:pPr>
          <w:r w:rsidRPr="00FC143A">
            <w:rPr>
              <w:lang w:val="sv-SE"/>
            </w:rPr>
            <w:t>MOTIVERING</w:t>
          </w:r>
          <w:bookmarkEnd w:id="5"/>
          <w:bookmarkEnd w:id="4"/>
          <w:bookmarkEnd w:id="3"/>
        </w:p>
        <w:p w:rsidR="004020E4" w:rsidRPr="004020E4" w:rsidRDefault="00FC143A" w:rsidP="004020E4">
          <w:pPr>
            <w:pStyle w:val="LLP1Otsikkotaso"/>
            <w:rPr>
              <w:lang w:val="sv-SE"/>
            </w:rPr>
          </w:pPr>
          <w:bookmarkStart w:id="6" w:name="_Toc34941915"/>
          <w:bookmarkStart w:id="7" w:name="_Toc143767764"/>
          <w:bookmarkStart w:id="8" w:name="_Toc143767894"/>
          <w:r w:rsidRPr="00FC143A">
            <w:rPr>
              <w:lang w:val="sv-SE"/>
            </w:rPr>
            <w:t>Bakgrund och beredning</w:t>
          </w:r>
          <w:bookmarkEnd w:id="6"/>
          <w:bookmarkEnd w:id="7"/>
          <w:bookmarkEnd w:id="8"/>
        </w:p>
        <w:p w:rsidR="0073174F" w:rsidRPr="0073174F" w:rsidRDefault="0073174F" w:rsidP="0073174F">
          <w:pPr>
            <w:pStyle w:val="LLP2Otsikkotaso"/>
            <w:rPr>
              <w:lang w:val="sv-SE"/>
            </w:rPr>
          </w:pPr>
          <w:bookmarkStart w:id="9" w:name="_Toc143767765"/>
          <w:bookmarkStart w:id="10" w:name="_Toc143767895"/>
          <w:r w:rsidRPr="0073174F">
            <w:rPr>
              <w:lang w:val="sv-SE"/>
            </w:rPr>
            <w:t>Bakgrund</w:t>
          </w:r>
          <w:bookmarkEnd w:id="9"/>
          <w:bookmarkEnd w:id="10"/>
        </w:p>
        <w:p w:rsidR="0073174F" w:rsidRPr="0073174F" w:rsidRDefault="0073174F" w:rsidP="0073174F">
          <w:pPr>
            <w:pStyle w:val="LLPerustelujenkappalejako"/>
            <w:rPr>
              <w:lang w:val="sv-SE"/>
            </w:rPr>
          </w:pPr>
          <w:r w:rsidRPr="0073174F">
            <w:rPr>
              <w:lang w:val="sv-SE"/>
            </w:rPr>
            <w:t xml:space="preserve">Årssjälvrisken i systemet för läkemedelsersättning enligt sjukförsäkringslagen har temporärt frysts 2023 till 2022 års nivå. Den temporära ändringen upphör att gälla vid utgången av 2023. Beredningen av regeringspropositionen har inletts i syfte att utreda årssjälvrisken för 2024. Enligt den gällande permanenta lagstiftningen om justering av årssjälvrisken ska det för 2024 efter den temporära frysningen göras två års indexhöjningar av beloppet av årssjälvrisken. </w:t>
          </w:r>
        </w:p>
        <w:p w:rsidR="0073174F" w:rsidRPr="0073174F" w:rsidRDefault="0073174F" w:rsidP="0073174F">
          <w:pPr>
            <w:pStyle w:val="LLPerustelujenkappalejako"/>
            <w:rPr>
              <w:lang w:val="sv-SE"/>
            </w:rPr>
          </w:pPr>
          <w:r w:rsidRPr="0073174F">
            <w:rPr>
              <w:lang w:val="sv-SE"/>
            </w:rPr>
            <w:t xml:space="preserve">Regeringens proposition hänför sig också till skrivningen i regeringsprogrammet för statsminister Petteri </w:t>
          </w:r>
          <w:proofErr w:type="spellStart"/>
          <w:r w:rsidRPr="0073174F">
            <w:rPr>
              <w:lang w:val="sv-SE"/>
            </w:rPr>
            <w:t>Orpos</w:t>
          </w:r>
          <w:proofErr w:type="spellEnd"/>
          <w:r w:rsidRPr="0073174F">
            <w:rPr>
              <w:lang w:val="sv-SE"/>
            </w:rPr>
            <w:t xml:space="preserve"> regering, enligt vilken frysning av alla indexhöjningar i anknytning till FPL/KPI (exkl. utkomststöd, pensioner, fronttillägg, </w:t>
          </w:r>
          <w:proofErr w:type="spellStart"/>
          <w:r w:rsidRPr="0073174F">
            <w:rPr>
              <w:lang w:val="sv-SE"/>
            </w:rPr>
            <w:t>handikappförmåner</w:t>
          </w:r>
          <w:proofErr w:type="spellEnd"/>
          <w:r w:rsidRPr="0073174F">
            <w:rPr>
              <w:lang w:val="sv-SE"/>
            </w:rPr>
            <w:t xml:space="preserve">, tilläggsersättning för läkemedel) för valperioden genomförs. </w:t>
          </w:r>
        </w:p>
        <w:p w:rsidR="0073174F" w:rsidRPr="0073174F" w:rsidRDefault="0073174F" w:rsidP="0073174F">
          <w:pPr>
            <w:pStyle w:val="LLP2Otsikkotaso"/>
            <w:rPr>
              <w:lang w:val="sv-SE"/>
            </w:rPr>
          </w:pPr>
          <w:bookmarkStart w:id="11" w:name="_Toc143767766"/>
          <w:bookmarkStart w:id="12" w:name="_Toc143767896"/>
          <w:r w:rsidRPr="0073174F">
            <w:rPr>
              <w:lang w:val="sv-SE"/>
            </w:rPr>
            <w:t>Beredning</w:t>
          </w:r>
          <w:bookmarkEnd w:id="11"/>
          <w:bookmarkEnd w:id="12"/>
        </w:p>
        <w:p w:rsidR="0073174F" w:rsidRPr="0073174F" w:rsidRDefault="0073174F" w:rsidP="0073174F">
          <w:pPr>
            <w:pStyle w:val="LLPerustelujenkappalejako"/>
            <w:rPr>
              <w:lang w:val="sv-SE"/>
            </w:rPr>
          </w:pPr>
          <w:r w:rsidRPr="0073174F">
            <w:rPr>
              <w:lang w:val="sv-SE"/>
            </w:rPr>
            <w:t xml:space="preserve">Propositionen har beretts vid social- och hälsovårdsministeriet. Även Folkpensionsanstalten har deltagit i beredningen. </w:t>
          </w:r>
        </w:p>
        <w:p w:rsidR="0073174F" w:rsidRPr="0073174F" w:rsidRDefault="0073174F" w:rsidP="0073174F">
          <w:pPr>
            <w:pStyle w:val="LLPerustelujenkappalejako"/>
            <w:rPr>
              <w:lang w:val="sv-SE"/>
            </w:rPr>
          </w:pPr>
          <w:r w:rsidRPr="0073174F">
            <w:rPr>
              <w:lang w:val="sv-SE"/>
            </w:rPr>
            <w:t>Utkastet till regeringens propositio</w:t>
          </w:r>
          <w:r w:rsidR="00490E10">
            <w:rPr>
              <w:lang w:val="sv-SE"/>
            </w:rPr>
            <w:t>n var på remiss under tiden xxx</w:t>
          </w:r>
          <w:proofErr w:type="gramStart"/>
          <w:r w:rsidR="00490E10">
            <w:rPr>
              <w:lang w:val="sv-SE"/>
            </w:rPr>
            <w:t>—</w:t>
          </w:r>
          <w:proofErr w:type="gramEnd"/>
          <w:r w:rsidRPr="0073174F">
            <w:rPr>
              <w:lang w:val="sv-SE"/>
            </w:rPr>
            <w:t>xxx 2023. Utlåtande lämnades av sammanlagt xx instanser.</w:t>
          </w:r>
        </w:p>
        <w:p w:rsidR="0073174F" w:rsidRPr="0073174F" w:rsidRDefault="0073174F" w:rsidP="0073174F">
          <w:pPr>
            <w:pStyle w:val="LLP1Otsikkotaso"/>
            <w:rPr>
              <w:lang w:val="sv-SE"/>
            </w:rPr>
          </w:pPr>
          <w:bookmarkStart w:id="13" w:name="_Toc143767767"/>
          <w:bookmarkStart w:id="14" w:name="_Toc143767897"/>
          <w:r w:rsidRPr="0073174F">
            <w:rPr>
              <w:lang w:val="sv-SE"/>
            </w:rPr>
            <w:t>Nuläge och bedömning av nuläget</w:t>
          </w:r>
          <w:bookmarkEnd w:id="13"/>
          <w:bookmarkEnd w:id="14"/>
        </w:p>
        <w:p w:rsidR="0073174F" w:rsidRPr="0073174F" w:rsidRDefault="0073174F" w:rsidP="0073174F">
          <w:pPr>
            <w:pStyle w:val="LLPerustelujenkappalejako"/>
            <w:rPr>
              <w:lang w:val="sv-SE"/>
            </w:rPr>
          </w:pPr>
          <w:r w:rsidRPr="0073174F">
            <w:rPr>
              <w:lang w:val="sv-SE"/>
            </w:rPr>
            <w:t>Läkemedelsersättningarna är en del av den lagstadgade sjukförsäkringen. Systemet för läkemedelsersättning ska trygga att medborgarna till skäliga kostnader får de läkemedel som behövs vid behandling av sjukdom.</w:t>
          </w:r>
        </w:p>
        <w:p w:rsidR="0073174F" w:rsidRPr="0073174F" w:rsidRDefault="0073174F" w:rsidP="0073174F">
          <w:pPr>
            <w:pStyle w:val="LLPerustelujenkappalejako"/>
            <w:rPr>
              <w:lang w:val="sv-SE"/>
            </w:rPr>
          </w:pPr>
          <w:r w:rsidRPr="0073174F">
            <w:rPr>
              <w:lang w:val="sv-SE"/>
            </w:rPr>
            <w:t xml:space="preserve">I 5 kap. i sjukförsäkringslagen föreskrivs det om läkemedelsersättningar. Med stöd av sjukförsäkringslagen får en försäkrad ersättning för läkemedel som en läkare, tandläkare eller en sjukskötare med begränsad eller tidsbegränsad förskrivningsrätt har förskrivit för behandlingen av en sjukdom samt för kliniska näringspreparat som förskrivits av en läkare och för </w:t>
          </w:r>
          <w:proofErr w:type="spellStart"/>
          <w:r w:rsidRPr="0073174F">
            <w:rPr>
              <w:lang w:val="sv-SE"/>
            </w:rPr>
            <w:t>salvbaser</w:t>
          </w:r>
          <w:proofErr w:type="spellEnd"/>
          <w:r w:rsidRPr="0073174F">
            <w:rPr>
              <w:lang w:val="sv-SE"/>
            </w:rPr>
            <w:t xml:space="preserve"> som förskrivits av en läkare eller av en sjukskötare med begränsad förskrivningsrätt. Förutsättningen för ersättning är att läkemedelspreparatet är ett receptbelagt preparat enligt läkemedelslagen (395/1987) eller ett med recept förskrivet i 5 kap. 1 § 2 mom. i sjukförsäkringslagen avsett egenvårdsläkemedel som säljs utan recept. </w:t>
          </w:r>
        </w:p>
        <w:p w:rsidR="0073174F" w:rsidRPr="0073174F" w:rsidRDefault="0073174F" w:rsidP="0073174F">
          <w:pPr>
            <w:pStyle w:val="LLPerustelujenkappalejako"/>
            <w:rPr>
              <w:lang w:val="sv-SE"/>
            </w:rPr>
          </w:pPr>
          <w:r w:rsidRPr="0073174F">
            <w:rPr>
              <w:lang w:val="sv-SE"/>
            </w:rPr>
            <w:t xml:space="preserve">För ett läkemedel betalas som ersättning en fast procentandel av läkemedlets pris eller referenspris efter det att taket för initialsjälvrisken har nåtts. Grundersättningens belopp är 40 procent av de kostnader som utgör grund för ersättningen för läkemedel, kliniska näringspreparat och </w:t>
          </w:r>
          <w:proofErr w:type="spellStart"/>
          <w:r w:rsidRPr="0073174F">
            <w:rPr>
              <w:lang w:val="sv-SE"/>
            </w:rPr>
            <w:t>salvbaser</w:t>
          </w:r>
          <w:proofErr w:type="spellEnd"/>
          <w:r w:rsidRPr="0073174F">
            <w:rPr>
              <w:lang w:val="sv-SE"/>
            </w:rPr>
            <w:t xml:space="preserve"> som godkänts att omfattas av grundersättning efter det att initialsjälvrisken har nåtts. Den lägre specialersättningen är 65 procent av de kostnader som utgör grund för ersättningen för läkemedel och kliniska näringspreparat i den lägre specialersättningsklassen, och den högre specialersättningen är 100 procent av det belopp som överstiger den läkemedelsspecifika självrisken på 4,50 euro av de kostnader som utgör grund för ersättningen för läkemedel i den högre specialersättningsklassen efter det att initialsjälvrisken har nåtts. För läkemedel i den lägre specialersättningsklassen förutsätts det att det är fråga om nödvändiga läkemedel som behövs vid behandling av svåra och långvariga sjukdomar. För läkemedel i den högre specialersättningsklassen förutsätts det att det är fråga om nödvändiga läkemedel med ersättande eller korrigerande verkan som används vid behandlingen av svåra och långvariga sjukdomar. </w:t>
          </w:r>
        </w:p>
        <w:p w:rsidR="0073174F" w:rsidRPr="0073174F" w:rsidRDefault="0073174F" w:rsidP="0073174F">
          <w:pPr>
            <w:pStyle w:val="LLPerustelujenkappalejako"/>
            <w:rPr>
              <w:lang w:val="sv-SE"/>
            </w:rPr>
          </w:pPr>
          <w:r w:rsidRPr="0073174F">
            <w:rPr>
              <w:lang w:val="sv-SE"/>
            </w:rPr>
            <w:t xml:space="preserve">I 5 kap. 8 § i sjukförsäkringslagen föreskrivs det om en årlig självriskandel och rätten till tilläggsersättning. I 1 mom. föreskrivs det att om det sammanlagda beloppet av initialsjälvrisken och de icke ersatta kostnader som utgör grund för ersättningen och som den försäkrade under ett och samma kalenderår har haft för sådana läkemedel, kliniska näringspreparat och </w:t>
          </w:r>
          <w:proofErr w:type="spellStart"/>
          <w:r w:rsidRPr="0073174F">
            <w:rPr>
              <w:lang w:val="sv-SE"/>
            </w:rPr>
            <w:t>salvbaser</w:t>
          </w:r>
          <w:proofErr w:type="spellEnd"/>
          <w:r w:rsidRPr="0073174F">
            <w:rPr>
              <w:lang w:val="sv-SE"/>
            </w:rPr>
            <w:t xml:space="preserve"> som ersätts den försäkrade enligt 5 kap. i sjukförsäkringslagen överstiger 576,60 euro (</w:t>
          </w:r>
          <w:r w:rsidRPr="00490E10">
            <w:rPr>
              <w:i/>
              <w:lang w:val="sv-SE"/>
            </w:rPr>
            <w:t>årssjälvrisk</w:t>
          </w:r>
          <w:r w:rsidRPr="0073174F">
            <w:rPr>
              <w:lang w:val="sv-SE"/>
            </w:rPr>
            <w:t xml:space="preserve">), har den försäkrade </w:t>
          </w:r>
          <w:proofErr w:type="gramStart"/>
          <w:r w:rsidRPr="0073174F">
            <w:rPr>
              <w:lang w:val="sv-SE"/>
            </w:rPr>
            <w:t>rätt</w:t>
          </w:r>
          <w:proofErr w:type="gramEnd"/>
          <w:r w:rsidRPr="0073174F">
            <w:rPr>
              <w:lang w:val="sv-SE"/>
            </w:rPr>
            <w:t xml:space="preserve"> till en tilläggsersättning för det överstigande beloppet. Tilläggsersättningen är 100 procent av det belopp som överstiger den läkemedelsspecifika självrisken på 2,50 euro. Enligt 2 mom. är beloppet av årssjälvrisken bundet vid levnadskostnadsindexet så att beloppet ändras samtidigt och i samma förhållande som folkpensionerna ändras med stöd av lagen om folkpensionsindex (456/2001). </w:t>
          </w:r>
        </w:p>
        <w:p w:rsidR="0073174F" w:rsidRPr="0073174F" w:rsidRDefault="0073174F" w:rsidP="0073174F">
          <w:pPr>
            <w:pStyle w:val="LLPerustelujenkappalejako"/>
            <w:rPr>
              <w:lang w:val="sv-SE"/>
            </w:rPr>
          </w:pPr>
          <w:r w:rsidRPr="0073174F">
            <w:rPr>
              <w:lang w:val="sv-SE"/>
            </w:rPr>
            <w:t>År 2023 är årssjälvrisken 592,16 euro. År 2023 gjordes det undantagsvis ingen indexhöjning av årssjälvrisken som en del av åtgärderna för att stödja medborgarnas köpkraft, och årssjälvrisken frystes till 2022 års nivå. Därför fogades det till 5 kap. 8 § i sjukförsäkringslagen genom lag 1230/2022 ett nytt temp</w:t>
          </w:r>
          <w:r w:rsidR="00073296">
            <w:rPr>
              <w:lang w:val="sv-SE"/>
            </w:rPr>
            <w:t>orärt 3 mom. som är i kraft 1.1</w:t>
          </w:r>
          <w:proofErr w:type="gramStart"/>
          <w:r w:rsidR="00073296">
            <w:rPr>
              <w:lang w:val="sv-SE"/>
            </w:rPr>
            <w:t>—</w:t>
          </w:r>
          <w:proofErr w:type="gramEnd"/>
          <w:r w:rsidRPr="0073174F">
            <w:rPr>
              <w:lang w:val="sv-SE"/>
            </w:rPr>
            <w:t xml:space="preserve">31.12.2023. Enligt det är med avvikelse från vad som föreskrivs i 1 och 2 mom. beloppet av årssjälvrisken 592,16 euro år 2023. </w:t>
          </w:r>
        </w:p>
        <w:p w:rsidR="0073174F" w:rsidRPr="0073174F" w:rsidRDefault="0073174F" w:rsidP="0073174F">
          <w:pPr>
            <w:pStyle w:val="LLPerustelujenkappalejako"/>
            <w:rPr>
              <w:lang w:val="sv-SE"/>
            </w:rPr>
          </w:pPr>
          <w:r w:rsidRPr="0073174F">
            <w:rPr>
              <w:lang w:val="sv-SE"/>
            </w:rPr>
            <w:t xml:space="preserve">När giltighetstiden för den temporära ändringen löper ut återgår man vid fastställandet av årssjälvrisken 2024 till tillämpningen av den permanenta lagstiftningen. Vid tillämpningen av permanent gällande 1 och 2 mom. i 8 § i sjukförsäkringslagen ska man vid fastställandet av årssjälvrisken för 2024 återgå till nivån för läkemedelstaket enligt 1 mom., vilken ska justeras i enlighet med både år 2023 och 2024 års förändring i folkpensionsindexet. Förändringen i folkpensionsindexet var 7,8 procent för 2023 och 12,8 procent sammanlagt beräknat för 2023 och 2024 utan nivåändring. Det kan inte anses motiverat att göra en indexhöjning för två år på en gång. Situationen kan underlättas så att det från ingången av 2024 görs en permanent ändring i nivån på årssjälvrisken, varvid den ändring i enlighet med indexet som inte gjordes vid ingången av 2023 (ca 7,8 procent) slopas permanent. Då jämförs indexförändringen vid ingången av 2024 med nivån 2023 och inte med nivån 2022. </w:t>
          </w:r>
        </w:p>
        <w:p w:rsidR="0073174F" w:rsidRPr="0073174F" w:rsidRDefault="0073174F" w:rsidP="0073174F">
          <w:pPr>
            <w:pStyle w:val="LLP1Otsikkotaso"/>
            <w:rPr>
              <w:lang w:val="sv-SE"/>
            </w:rPr>
          </w:pPr>
          <w:bookmarkStart w:id="15" w:name="_Toc143767768"/>
          <w:bookmarkStart w:id="16" w:name="_Toc143767898"/>
          <w:r w:rsidRPr="0073174F">
            <w:rPr>
              <w:lang w:val="sv-SE"/>
            </w:rPr>
            <w:t>Målsättning</w:t>
          </w:r>
          <w:bookmarkEnd w:id="15"/>
          <w:bookmarkEnd w:id="16"/>
        </w:p>
        <w:p w:rsidR="0073174F" w:rsidRPr="0073174F" w:rsidRDefault="0073174F" w:rsidP="0073174F">
          <w:pPr>
            <w:pStyle w:val="LLPerustelujenkappalejako"/>
            <w:rPr>
              <w:lang w:val="sv-SE"/>
            </w:rPr>
          </w:pPr>
          <w:r w:rsidRPr="0073174F">
            <w:rPr>
              <w:lang w:val="sv-SE"/>
            </w:rPr>
            <w:t>Syftet med propositionen är att undvika att beloppet av årssjälvrisken höjs genom två indexhöjningar 2024 efter den temporära frysningen av nivån på årssjälvrisken 2023 och på så sätt förbättra situationen för dem som använder mycket läkemedel.</w:t>
          </w:r>
        </w:p>
        <w:p w:rsidR="0073174F" w:rsidRPr="0073174F" w:rsidRDefault="0073174F" w:rsidP="0073174F">
          <w:pPr>
            <w:pStyle w:val="LLP1Otsikkotaso"/>
            <w:rPr>
              <w:lang w:val="sv-SE"/>
            </w:rPr>
          </w:pPr>
          <w:bookmarkStart w:id="17" w:name="_Toc143767769"/>
          <w:bookmarkStart w:id="18" w:name="_Toc143767899"/>
          <w:r w:rsidRPr="0073174F">
            <w:rPr>
              <w:lang w:val="sv-SE"/>
            </w:rPr>
            <w:t>Förslagen och deras konsekvenser</w:t>
          </w:r>
          <w:bookmarkEnd w:id="17"/>
          <w:bookmarkEnd w:id="18"/>
        </w:p>
        <w:p w:rsidR="0073174F" w:rsidRPr="0073174F" w:rsidRDefault="0073174F" w:rsidP="0073174F">
          <w:pPr>
            <w:pStyle w:val="LLP2Otsikkotaso"/>
            <w:rPr>
              <w:lang w:val="sv-SE"/>
            </w:rPr>
          </w:pPr>
          <w:bookmarkStart w:id="19" w:name="_Toc143767770"/>
          <w:bookmarkStart w:id="20" w:name="_Toc143767900"/>
          <w:r w:rsidRPr="0073174F">
            <w:rPr>
              <w:lang w:val="sv-SE"/>
            </w:rPr>
            <w:t>De viktigaste förslagen</w:t>
          </w:r>
          <w:bookmarkEnd w:id="19"/>
          <w:bookmarkEnd w:id="20"/>
        </w:p>
        <w:p w:rsidR="0073174F" w:rsidRPr="0073174F" w:rsidRDefault="0073174F" w:rsidP="0073174F">
          <w:pPr>
            <w:pStyle w:val="LLPerustelujenkappalejako"/>
            <w:rPr>
              <w:lang w:val="sv-SE"/>
            </w:rPr>
          </w:pPr>
          <w:r w:rsidRPr="0073174F">
            <w:rPr>
              <w:lang w:val="sv-SE"/>
            </w:rPr>
            <w:t>I propositionen föreslås det att indexjusteringen av årssjälvrisken för 2023 slopas permanent och att det därför görs en permanent ändring i nivån på årssjälvrisken från ingången av 2024. Det föreslås att beloppet av årssjälvrisken enligt 5 kap. 8 § 1 mom. i sjukförsäkringslagen, vilket motsvarar nivån 2014, fastställs till 534,75 euro från ingången av 2024. I och med nivåändringen sänks årssjälvrisken således med ca 48 euro 2024. Då beaktas i indexjusteringen för 2024 endast förändringen i folkpensionsindex från 2023 till 2024. Utan ändringen skulle årssjälvrisken stiga till 667,87 euro 2024. I fråga om den läkemedelsspecifika självrisken (2,50 euro) för läkemedelsköp som berättigar till tilläggsersättning föreslås inga ändringar.</w:t>
          </w:r>
        </w:p>
        <w:p w:rsidR="0073174F" w:rsidRPr="0073174F" w:rsidRDefault="0073174F" w:rsidP="0073174F">
          <w:pPr>
            <w:pStyle w:val="LLP2Otsikkotaso"/>
            <w:rPr>
              <w:lang w:val="sv-SE"/>
            </w:rPr>
          </w:pPr>
          <w:bookmarkStart w:id="21" w:name="_Toc143767771"/>
          <w:bookmarkStart w:id="22" w:name="_Toc143767901"/>
          <w:r w:rsidRPr="0073174F">
            <w:rPr>
              <w:lang w:val="sv-SE"/>
            </w:rPr>
            <w:t>De huvudsakliga konsekvenserna</w:t>
          </w:r>
          <w:bookmarkEnd w:id="21"/>
          <w:bookmarkEnd w:id="22"/>
        </w:p>
        <w:p w:rsidR="0073174F" w:rsidRPr="0073174F" w:rsidRDefault="0073174F" w:rsidP="0073174F">
          <w:pPr>
            <w:pStyle w:val="LLP3Otsikkotaso"/>
            <w:rPr>
              <w:lang w:val="sv-SE"/>
            </w:rPr>
          </w:pPr>
          <w:bookmarkStart w:id="23" w:name="_Toc143767772"/>
          <w:bookmarkStart w:id="24" w:name="_Toc143767902"/>
          <w:r w:rsidRPr="0073174F">
            <w:rPr>
              <w:lang w:val="sv-SE"/>
            </w:rPr>
            <w:t>Ekonomiska konsekvenser</w:t>
          </w:r>
          <w:bookmarkEnd w:id="23"/>
          <w:bookmarkEnd w:id="24"/>
        </w:p>
        <w:p w:rsidR="0073174F" w:rsidRPr="0073174F" w:rsidRDefault="0073174F" w:rsidP="0073174F">
          <w:pPr>
            <w:pStyle w:val="LLPerustelujenkappalejako"/>
            <w:rPr>
              <w:lang w:val="sv-SE"/>
            </w:rPr>
          </w:pPr>
          <w:r w:rsidRPr="0073174F">
            <w:rPr>
              <w:lang w:val="sv-SE"/>
            </w:rPr>
            <w:t>Läkemedelsersättningarna finansieras ur sjukförsäkringens sjukvårdsförsäkring. Sjukvårdsförsäkringen finansieras med intäkterna av de försäkrades, dvs. löntagarnas, företagarnas och förmånstagarnas, sjukvårdspremie samt med statens andel. De försäkrades finansieringsandel är 33 procent och statens finansieringsandel 67 procent av finansieringen av sjukvårdsförsäkringen.</w:t>
          </w:r>
        </w:p>
        <w:p w:rsidR="0073174F" w:rsidRPr="0073174F" w:rsidRDefault="0073174F" w:rsidP="0073174F">
          <w:pPr>
            <w:pStyle w:val="LLPerustelujenkappalejako"/>
            <w:rPr>
              <w:lang w:val="sv-SE"/>
            </w:rPr>
          </w:pPr>
          <w:r w:rsidRPr="0073174F">
            <w:rPr>
              <w:lang w:val="sv-SE"/>
            </w:rPr>
            <w:t>Sänkningen av årssjälvrisken för läkemedelskostnader höjer sjukförsäkringens utgifter för ersättning både direkt och via effekter på beteendet. Med direkta effekter avses den merkostnad som orsakas av att sjukförsäkringen efter att självriskandelen har överskridits ersätter en större del av kostnaderna för läkemedlet, varvid patientens självrisk minskar i motsvarande grad. Effekter på beteendet avser den merkostnad som orsakas av att patienten efter att självriskandelen har överskridits kan öka sin läkemedelsförbrukning, till exempel genom att köpa fler läkemedel eller köpa mer på en gång. De direkta effekterna av sänkningen av självriskandelen beräknas uppgå till 11 miljoner euro och beteendeeffekterna till 6 miljoner euro. Således ökar sänkningen av den årliga självriskandelen för läkemedel utgifterna för sjukförsäkringens sjukvårdsförsäkring med sammanlagt 17 miljoner euro, varav statens andel är 11 miljoner euro. Ändringen har endast ringa konsekvenser för de försäkrades sjukvårdspremie.</w:t>
          </w:r>
        </w:p>
        <w:p w:rsidR="0073174F" w:rsidRPr="0073174F" w:rsidRDefault="0073174F" w:rsidP="0073174F">
          <w:pPr>
            <w:pStyle w:val="LLP3Otsikkotaso"/>
            <w:rPr>
              <w:lang w:val="sv-SE"/>
            </w:rPr>
          </w:pPr>
          <w:bookmarkStart w:id="25" w:name="_Toc143767773"/>
          <w:bookmarkStart w:id="26" w:name="_Toc143767903"/>
          <w:r w:rsidRPr="0073174F">
            <w:rPr>
              <w:lang w:val="sv-SE"/>
            </w:rPr>
            <w:t>Konsekvenser för hushållen</w:t>
          </w:r>
          <w:bookmarkEnd w:id="25"/>
          <w:bookmarkEnd w:id="26"/>
        </w:p>
        <w:p w:rsidR="0073174F" w:rsidRPr="0073174F" w:rsidRDefault="0073174F" w:rsidP="0073174F">
          <w:pPr>
            <w:pStyle w:val="LLPerustelujenkappalejako"/>
            <w:rPr>
              <w:lang w:val="sv-SE"/>
            </w:rPr>
          </w:pPr>
          <w:r w:rsidRPr="0073174F">
            <w:rPr>
              <w:lang w:val="sv-SE"/>
            </w:rPr>
            <w:t>Till följd av den föreslagna ändringen kommer en lägre årlig självriskandel att berättiga till tilläggsersättning.</w:t>
          </w:r>
        </w:p>
        <w:p w:rsidR="0073174F" w:rsidRPr="0073174F" w:rsidRDefault="0073174F" w:rsidP="0073174F">
          <w:pPr>
            <w:pStyle w:val="LLPerustelujenkappalejako"/>
            <w:rPr>
              <w:lang w:val="sv-SE"/>
            </w:rPr>
          </w:pPr>
          <w:r w:rsidRPr="0073174F">
            <w:rPr>
              <w:lang w:val="sv-SE"/>
            </w:rPr>
            <w:t xml:space="preserve">Reformen minskar läkemedelskostnaderna för de försäkrade som använder mycket läkemedel eller enstaka dyra läkemedel från och med 2024. </w:t>
          </w:r>
        </w:p>
        <w:p w:rsidR="0073174F" w:rsidRPr="0073174F" w:rsidRDefault="0073174F" w:rsidP="0073174F">
          <w:pPr>
            <w:pStyle w:val="LLPerustelujenkappalejako"/>
            <w:rPr>
              <w:lang w:val="sv-SE"/>
            </w:rPr>
          </w:pPr>
          <w:r w:rsidRPr="0073174F">
            <w:rPr>
              <w:lang w:val="sv-SE"/>
            </w:rPr>
            <w:t>Enligt Folkpensionsanstaltens simulering ökar sänkningen av läkemedelstaket antalet personer som överskrider läkemedelstaket med 12 procent, dvs. med 28 800 personer. Den genomsnittliga självrisken för alla som använder läkemedel som ska ersättas sjunker från 176 euro till 173</w:t>
          </w:r>
          <w:r w:rsidR="00073296">
            <w:rPr>
              <w:lang w:val="sv-SE"/>
            </w:rPr>
            <w:t> </w:t>
          </w:r>
          <w:r w:rsidRPr="0073174F">
            <w:rPr>
              <w:lang w:val="sv-SE"/>
            </w:rPr>
            <w:t>euro.</w:t>
          </w:r>
        </w:p>
        <w:p w:rsidR="0073174F" w:rsidRPr="0073174F" w:rsidRDefault="0073174F" w:rsidP="0073174F">
          <w:pPr>
            <w:pStyle w:val="LLPerustelujenkappalejako"/>
            <w:rPr>
              <w:lang w:val="sv-SE"/>
            </w:rPr>
          </w:pPr>
          <w:r w:rsidRPr="0073174F">
            <w:rPr>
              <w:lang w:val="sv-SE"/>
            </w:rPr>
            <w:t>Ändringen gynnar de försäkrade som med stöd av den gällande lagstiftningen betalar mer än det föreslagna nya läkemedelstaket, dvs. mer än 619,39 euro per år. Läkemedelstaket sänks med 48,48 euro, vilket innebär att också självrisken sjunker med högst 48,48 euro. Enligt simuleringen gynnas 7 procent av alla som fått läkemedelsersättning, dvs. 262 000 personer, av ändringen.</w:t>
          </w:r>
        </w:p>
        <w:p w:rsidR="0073174F" w:rsidRPr="0073174F" w:rsidRDefault="0073174F" w:rsidP="0073174F">
          <w:pPr>
            <w:pStyle w:val="LLPerustelujenkappalejako"/>
            <w:rPr>
              <w:lang w:val="sv-SE"/>
            </w:rPr>
          </w:pPr>
          <w:r w:rsidRPr="0073174F">
            <w:rPr>
              <w:lang w:val="sv-SE"/>
            </w:rPr>
            <w:t>Höga läkemedelskostnader är vanligare i äldre åldersgrupper än i yngre åldersgrupper. Därför är det främst pensionärer som gynnas av ändringen. Den genomsnittliga årssjälvrisken för alla som fyllt 75 år är efter ändringen enligt simuleringar ca 306 euro, vilket är ca 6 euro mindre än i en situation enligt den gällande lagstiftningen. På motsvarande sätt är den genomsnittliga årssjälvrisken för alla 64–74-åringar efter ändringen ca 228 euro, vilket är ca 4 euro mindre än i en situation enligt den gällande lagstiftningen. I de yngre åldersgrupperna gynnar ändringen särskilt personer med låga inkomster, i de äldre åldersgrupperna är de som gynnas av ändringen mer jämnt fördelade på alla inkomstgrupper.</w:t>
          </w:r>
        </w:p>
        <w:p w:rsidR="0073174F" w:rsidRPr="0073174F" w:rsidRDefault="0073174F" w:rsidP="0073174F">
          <w:pPr>
            <w:pStyle w:val="LLP1Otsikkotaso"/>
            <w:rPr>
              <w:lang w:val="sv-SE"/>
            </w:rPr>
          </w:pPr>
          <w:bookmarkStart w:id="27" w:name="_Toc143767774"/>
          <w:bookmarkStart w:id="28" w:name="_Toc143767904"/>
          <w:r w:rsidRPr="0073174F">
            <w:rPr>
              <w:lang w:val="sv-SE"/>
            </w:rPr>
            <w:t>Remissvar</w:t>
          </w:r>
          <w:bookmarkEnd w:id="27"/>
          <w:bookmarkEnd w:id="28"/>
        </w:p>
        <w:p w:rsidR="0073174F" w:rsidRPr="0073174F" w:rsidRDefault="0073174F" w:rsidP="0073174F">
          <w:pPr>
            <w:pStyle w:val="LLPerustelujenkappalejako"/>
            <w:rPr>
              <w:lang w:val="sv-SE"/>
            </w:rPr>
          </w:pPr>
          <w:r w:rsidRPr="0073174F">
            <w:rPr>
              <w:lang w:val="sv-SE"/>
            </w:rPr>
            <w:t xml:space="preserve">Utkastet till proposition var på remiss på webbplatsen </w:t>
          </w:r>
          <w:r w:rsidR="00073296">
            <w:rPr>
              <w:lang w:val="sv-SE"/>
            </w:rPr>
            <w:t>Utlåtande.fi under perioden x.9</w:t>
          </w:r>
          <w:proofErr w:type="gramStart"/>
          <w:r w:rsidR="00073296">
            <w:rPr>
              <w:lang w:val="sv-SE"/>
            </w:rPr>
            <w:t>—</w:t>
          </w:r>
          <w:proofErr w:type="gramEnd"/>
          <w:r w:rsidRPr="0073174F">
            <w:rPr>
              <w:lang w:val="sv-SE"/>
            </w:rPr>
            <w:t>x.9.2023.  Det kom in sammanlagt xx utlåtanden. Utlåtanden lämnades av följande remissinstanser:</w:t>
          </w:r>
        </w:p>
        <w:p w:rsidR="0073174F" w:rsidRPr="0073174F" w:rsidRDefault="0073174F" w:rsidP="0073174F">
          <w:pPr>
            <w:pStyle w:val="LLP1Otsikkotaso"/>
            <w:rPr>
              <w:lang w:val="sv-SE"/>
            </w:rPr>
          </w:pPr>
          <w:bookmarkStart w:id="29" w:name="_Toc143767775"/>
          <w:bookmarkStart w:id="30" w:name="_Toc143767905"/>
          <w:r w:rsidRPr="0073174F">
            <w:rPr>
              <w:lang w:val="sv-SE"/>
            </w:rPr>
            <w:t>Specialmotivering</w:t>
          </w:r>
          <w:bookmarkEnd w:id="29"/>
          <w:bookmarkEnd w:id="30"/>
        </w:p>
        <w:p w:rsidR="0073174F" w:rsidRPr="0073174F" w:rsidRDefault="0073174F" w:rsidP="0073174F">
          <w:pPr>
            <w:pStyle w:val="LLPerustelujenkappalejako"/>
            <w:rPr>
              <w:lang w:val="sv-SE"/>
            </w:rPr>
          </w:pPr>
          <w:r w:rsidRPr="0073174F">
            <w:rPr>
              <w:b/>
              <w:lang w:val="sv-SE"/>
            </w:rPr>
            <w:t>8 §.</w:t>
          </w:r>
          <w:r w:rsidRPr="0073174F">
            <w:rPr>
              <w:lang w:val="sv-SE"/>
            </w:rPr>
            <w:t xml:space="preserve"> </w:t>
          </w:r>
          <w:r w:rsidRPr="0073174F">
            <w:rPr>
              <w:i/>
              <w:lang w:val="sv-SE"/>
            </w:rPr>
            <w:t>Årssjälvrisk och rätt till tilläggsersättning.</w:t>
          </w:r>
          <w:r w:rsidRPr="0073174F">
            <w:rPr>
              <w:lang w:val="sv-SE"/>
            </w:rPr>
            <w:t xml:space="preserve"> I paragrafen föreskrivs det om årssjälvrisken för läkemedel och den försäkrades rätt till tilläggsersättning när årssjälvrisken har överskridits. </w:t>
          </w:r>
        </w:p>
        <w:p w:rsidR="0073174F" w:rsidRPr="0073174F" w:rsidRDefault="0073174F" w:rsidP="0073174F">
          <w:pPr>
            <w:pStyle w:val="LLPerustelujenkappalejako"/>
            <w:rPr>
              <w:lang w:val="sv-SE"/>
            </w:rPr>
          </w:pPr>
          <w:r w:rsidRPr="0073174F">
            <w:rPr>
              <w:lang w:val="sv-SE"/>
            </w:rPr>
            <w:t>Enligt gällande 1 mom. är årssjälvrisken 576,60 euro och enligt gällande 2 mom. justeras den årligen så att den motsvarar förändringen i folkpensionsindex. Det föreslås att årssjälvrisken enligt 1 mom. sänks med ca 41 euro till 534,75 euro. Nivån i lagen motsvarar fortfarande 2014. Då beaktas i indexjusteringen för 2024 endast förändringen i folkpensionsindex från 2023 till 2024. Enligt finansministeriets antagande i mars är indexförändringen för denna tid ca 4,6 procent och årssjälvrisken 619,39 euro 2024. Utan ändringen skulle årssjälvrisken enligt finansministeriets prognos ha varit 667,87 euro (+12,8 procent). Ingen ändring föreslås i den läkemedelsspecifika självrisken för tilläggsersättning.</w:t>
          </w:r>
        </w:p>
        <w:p w:rsidR="0073174F" w:rsidRPr="0073174F" w:rsidRDefault="0073174F" w:rsidP="0073174F">
          <w:pPr>
            <w:pStyle w:val="LLPerustelujenkappalejako"/>
            <w:rPr>
              <w:lang w:val="sv-SE"/>
            </w:rPr>
          </w:pPr>
          <w:r w:rsidRPr="0073174F">
            <w:rPr>
              <w:lang w:val="sv-SE"/>
            </w:rPr>
            <w:t>Det föreslås att 2 mom. preciseras så att det också framgår att nivån enligt 1 mom. har angetts enligt 2014 års nivå på folkpensionsindex. I 2 mom. föreslås bestämmelser om att beloppet av årssjälvrisken enligt 1 mom. binds till förändringar i prisnivån på det sätt som föreskrivs i lagen om folkpensionsindex (456/2001), och beloppet motsvarar det poängtal för folkpensionsindexet som avses i lagen om folkpensionsindex och enligt vilket storleken av de folkpensioner som betalades ut i januari 2014 har räknats ut.</w:t>
          </w:r>
        </w:p>
        <w:p w:rsidR="0073174F" w:rsidRPr="0073174F" w:rsidRDefault="0073174F" w:rsidP="0073174F">
          <w:pPr>
            <w:pStyle w:val="LLP1Otsikkotaso"/>
            <w:rPr>
              <w:lang w:val="sv-SE"/>
            </w:rPr>
          </w:pPr>
          <w:bookmarkStart w:id="31" w:name="_Toc143767776"/>
          <w:bookmarkStart w:id="32" w:name="_Toc143767906"/>
          <w:r w:rsidRPr="0073174F">
            <w:rPr>
              <w:lang w:val="sv-SE"/>
            </w:rPr>
            <w:t>Ikraftträdande</w:t>
          </w:r>
          <w:bookmarkEnd w:id="31"/>
          <w:bookmarkEnd w:id="32"/>
        </w:p>
        <w:p w:rsidR="0073174F" w:rsidRPr="0073174F" w:rsidRDefault="0073174F" w:rsidP="0073174F">
          <w:pPr>
            <w:pStyle w:val="LLPerustelujenkappalejako"/>
            <w:rPr>
              <w:lang w:val="sv-SE"/>
            </w:rPr>
          </w:pPr>
          <w:r w:rsidRPr="0073174F">
            <w:rPr>
              <w:lang w:val="sv-SE"/>
            </w:rPr>
            <w:t>Lagen avses träda i kraft den 1 januari 2024.</w:t>
          </w:r>
        </w:p>
        <w:p w:rsidR="0073174F" w:rsidRPr="0073174F" w:rsidRDefault="0073174F" w:rsidP="0073174F">
          <w:pPr>
            <w:pStyle w:val="LLP1Otsikkotaso"/>
            <w:rPr>
              <w:lang w:val="sv-SE"/>
            </w:rPr>
          </w:pPr>
          <w:bookmarkStart w:id="33" w:name="_Toc143767777"/>
          <w:bookmarkStart w:id="34" w:name="_Toc143767907"/>
          <w:r w:rsidRPr="0073174F">
            <w:rPr>
              <w:lang w:val="sv-SE"/>
            </w:rPr>
            <w:t>Samband med andra propositioner</w:t>
          </w:r>
          <w:bookmarkEnd w:id="33"/>
          <w:bookmarkEnd w:id="34"/>
        </w:p>
        <w:p w:rsidR="0073174F" w:rsidRPr="0073174F" w:rsidRDefault="0073174F" w:rsidP="0073174F">
          <w:pPr>
            <w:pStyle w:val="LLP2Otsikkotaso"/>
            <w:rPr>
              <w:lang w:val="sv-SE"/>
            </w:rPr>
          </w:pPr>
          <w:bookmarkStart w:id="35" w:name="_Toc143767778"/>
          <w:bookmarkStart w:id="36" w:name="_Toc143767908"/>
          <w:r w:rsidRPr="0073174F">
            <w:rPr>
              <w:lang w:val="sv-SE"/>
            </w:rPr>
            <w:t>Förhållande till budgetpropositionen</w:t>
          </w:r>
          <w:bookmarkEnd w:id="35"/>
          <w:bookmarkEnd w:id="36"/>
        </w:p>
        <w:p w:rsidR="0073174F" w:rsidRPr="0073174F" w:rsidRDefault="0073174F" w:rsidP="0073174F">
          <w:pPr>
            <w:pStyle w:val="LLPerustelujenkappalejako"/>
            <w:rPr>
              <w:lang w:val="sv-SE"/>
            </w:rPr>
          </w:pPr>
          <w:r w:rsidRPr="0073174F">
            <w:rPr>
              <w:lang w:val="sv-SE"/>
            </w:rPr>
            <w:t>Propositionen hänför sig till budgetpropositionen för 2024 och avses bli behandlad i samband med den.</w:t>
          </w:r>
        </w:p>
        <w:p w:rsidR="0073174F" w:rsidRPr="0073174F" w:rsidRDefault="0073174F" w:rsidP="0073174F">
          <w:pPr>
            <w:pStyle w:val="LLP1Otsikkotaso"/>
            <w:rPr>
              <w:lang w:val="sv-SE"/>
            </w:rPr>
          </w:pPr>
          <w:bookmarkStart w:id="37" w:name="_Toc143767779"/>
          <w:bookmarkStart w:id="38" w:name="_Toc143767909"/>
          <w:r w:rsidRPr="0073174F">
            <w:rPr>
              <w:lang w:val="sv-SE"/>
            </w:rPr>
            <w:t>Förhållande till grundlagen samt lagstiftningsordning</w:t>
          </w:r>
          <w:bookmarkEnd w:id="37"/>
          <w:bookmarkEnd w:id="38"/>
        </w:p>
        <w:p w:rsidR="0073174F" w:rsidRPr="0073174F" w:rsidRDefault="0073174F" w:rsidP="0073174F">
          <w:pPr>
            <w:pStyle w:val="LLPerustelujenkappalejako"/>
            <w:rPr>
              <w:lang w:val="sv-SE"/>
            </w:rPr>
          </w:pPr>
          <w:r w:rsidRPr="0073174F">
            <w:rPr>
              <w:lang w:val="sv-SE"/>
            </w:rPr>
            <w:t>Enligt 19 § 3 mom. i grundlagen ska det allmänna tillförsäkra var och en tillräckliga social-, hälsovårds- och sjukvårdstjänster samt främja befolkningens hälsa. Bestämmelsen förutsätter att det allmänna tryggar tillgången till tjänster. I 22 § i grundlagen förpliktas det allmänna att se till att de grundläggande fri- och rättigheterna tillgodoses i praktiken. Med det allmänna avses här både staten och kommunerna.</w:t>
          </w:r>
        </w:p>
        <w:p w:rsidR="0073174F" w:rsidRPr="0073174F" w:rsidRDefault="0073174F" w:rsidP="0073174F">
          <w:pPr>
            <w:pStyle w:val="LLPerustelujenkappalejako"/>
            <w:rPr>
              <w:lang w:val="sv-SE"/>
            </w:rPr>
          </w:pPr>
          <w:r w:rsidRPr="0073174F">
            <w:rPr>
              <w:lang w:val="sv-SE"/>
            </w:rPr>
            <w:t xml:space="preserve">Sjukförsäkringslagen uppfyller för sin del det krav på tillräckliga social-, hälsovårds- och sjukvårdstjänster som föreskrivs i 19 § 3 mom. i grundlagen. Syftet med det system för läkemedelsersättning som bygger på sjukförsäkringslagen är att säkerställa att de som är bosatta i Finland till skäliga kostnader får de öppenvårdsläkemedel som behövs vid behandling av sjukdom. Genom de ändringar som föreslås i propositionen ändras inte sjukförsäkringens syften och ersättningsprinciper. Förslaget förbättrar situationen för dem som använder mycket läkemedel och betalar mest för dem. </w:t>
          </w:r>
        </w:p>
        <w:p w:rsidR="008414FE" w:rsidRPr="00FC143A" w:rsidRDefault="0073174F" w:rsidP="0073174F">
          <w:pPr>
            <w:pStyle w:val="LLPerustelujenkappalejako"/>
            <w:rPr>
              <w:lang w:val="sv-SE"/>
            </w:rPr>
          </w:pPr>
          <w:r w:rsidRPr="0073174F">
            <w:rPr>
              <w:lang w:val="sv-SE"/>
            </w:rPr>
            <w:t>På de grunder som anges ovan kan lagförslaget behandlas i vanlig lagstiftningsordning.</w:t>
          </w:r>
        </w:p>
      </w:sdtContent>
    </w:sdt>
    <w:p w:rsidR="004A648F" w:rsidRPr="00FC143A" w:rsidRDefault="004A648F" w:rsidP="004A648F">
      <w:pPr>
        <w:pStyle w:val="LLNormaali"/>
        <w:rPr>
          <w:lang w:val="sv-SE"/>
        </w:rPr>
      </w:pPr>
    </w:p>
    <w:p w:rsidR="00013966" w:rsidRPr="009F073B" w:rsidRDefault="00013966" w:rsidP="009F073B">
      <w:pPr>
        <w:pStyle w:val="LLPonsi"/>
        <w:rPr>
          <w:i/>
          <w:lang w:val="sv-SE"/>
        </w:rPr>
      </w:pPr>
      <w:r w:rsidRPr="009F073B">
        <w:rPr>
          <w:i/>
          <w:lang w:val="sv-SE"/>
        </w:rPr>
        <w:t>Kläm</w:t>
      </w:r>
    </w:p>
    <w:p w:rsidR="00370114" w:rsidRPr="00940745" w:rsidRDefault="00940745" w:rsidP="009C4545">
      <w:pPr>
        <w:pStyle w:val="LLPonsi"/>
        <w:rPr>
          <w:lang w:val="sv-SE"/>
        </w:rPr>
      </w:pPr>
      <w:r w:rsidRPr="00940745">
        <w:rPr>
          <w:lang w:val="sv-SE"/>
        </w:rPr>
        <w:t>Med stöd av vad som anförts ovan föreläggs riksdagen följande lagförslag:</w:t>
      </w:r>
    </w:p>
    <w:p w:rsidR="004A648F" w:rsidRPr="00940745" w:rsidRDefault="004A648F" w:rsidP="00370114">
      <w:pPr>
        <w:pStyle w:val="LLNormaali"/>
        <w:rPr>
          <w:lang w:val="sv-SE"/>
        </w:rPr>
      </w:pPr>
    </w:p>
    <w:p w:rsidR="00393B53" w:rsidRPr="00940745" w:rsidRDefault="00EA5FF7" w:rsidP="00370114">
      <w:pPr>
        <w:pStyle w:val="LLNormaali"/>
        <w:rPr>
          <w:lang w:val="sv-SE"/>
        </w:rPr>
      </w:pPr>
      <w:r w:rsidRPr="00940745">
        <w:rPr>
          <w:lang w:val="sv-SE"/>
        </w:rPr>
        <w:br w:type="page"/>
      </w:r>
    </w:p>
    <w:bookmarkStart w:id="39" w:name="_Toc143767910" w:displacedByCustomXml="next"/>
    <w:bookmarkStart w:id="40" w:name="_Toc143767780" w:displacedByCustomXml="next"/>
    <w:bookmarkStart w:id="41" w:name="_Toc34941935" w:displacedByCustomXml="next"/>
    <w:sdt>
      <w:sdtPr>
        <w:alias w:val="Lakiehdotukset"/>
        <w:tag w:val="CCLakiehdotukset"/>
        <w:id w:val="963541248"/>
        <w:placeholder>
          <w:docPart w:val="588C7F86A97249B69CB83D256B804A87"/>
        </w:placeholder>
        <w15:color w:val="00FFFF"/>
      </w:sdtPr>
      <w:sdtEndPr/>
      <w:sdtContent>
        <w:p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39" w:displacedByCustomXml="prev"/>
    <w:bookmarkEnd w:id="40" w:displacedByCustomXml="prev"/>
    <w:bookmarkEnd w:id="41" w:displacedByCustomXml="prev"/>
    <w:sdt>
      <w:sdtPr>
        <w:alias w:val="Lakiehdotus"/>
        <w:tag w:val="CCLakiehdotus"/>
        <w:id w:val="1695884352"/>
        <w:placeholder>
          <w:docPart w:val="B16B0E93C9394486B64986918A5A88E2"/>
        </w:placeholder>
        <w15:color w:val="00FFFF"/>
      </w:sdtPr>
      <w:sdtEndPr/>
      <w:sdtContent>
        <w:p w:rsidR="009167E1" w:rsidRPr="00C05DCD" w:rsidRDefault="009167E1" w:rsidP="00C13B96">
          <w:pPr>
            <w:pStyle w:val="LLNormaali"/>
            <w:rPr>
              <w:lang w:val="sv-SE"/>
            </w:rPr>
          </w:pPr>
        </w:p>
        <w:p w:rsidR="009167E1" w:rsidRPr="00F55843" w:rsidRDefault="00F55843" w:rsidP="009732F5">
          <w:pPr>
            <w:pStyle w:val="LLLaki"/>
            <w:rPr>
              <w:lang w:val="sv-SE"/>
            </w:rPr>
          </w:pPr>
          <w:r w:rsidRPr="00F55843">
            <w:rPr>
              <w:lang w:val="sv-SE"/>
            </w:rPr>
            <w:t>Lag</w:t>
          </w:r>
        </w:p>
        <w:p w:rsidR="009167E1" w:rsidRPr="00F55843" w:rsidRDefault="0073174F" w:rsidP="0082264A">
          <w:pPr>
            <w:pStyle w:val="LLSaadoksenNimi"/>
            <w:rPr>
              <w:lang w:val="sv-SE"/>
            </w:rPr>
          </w:pPr>
          <w:bookmarkStart w:id="42" w:name="_Toc143767781"/>
          <w:bookmarkStart w:id="43" w:name="_Toc143767911"/>
          <w:r w:rsidRPr="0073174F">
            <w:rPr>
              <w:lang w:val="sv-SE"/>
            </w:rPr>
            <w:t>om ändring av 5 kap. 8 § i sjukförsäkringslagen</w:t>
          </w:r>
          <w:bookmarkEnd w:id="42"/>
          <w:bookmarkEnd w:id="43"/>
        </w:p>
        <w:p w:rsidR="001E45B7" w:rsidRPr="001E45B7" w:rsidRDefault="001E45B7" w:rsidP="001E45B7">
          <w:pPr>
            <w:pStyle w:val="LLJohtolauseKappaleet"/>
            <w:rPr>
              <w:lang w:val="sv-SE"/>
            </w:rPr>
          </w:pPr>
          <w:r w:rsidRPr="001E45B7">
            <w:rPr>
              <w:lang w:val="sv-SE"/>
            </w:rPr>
            <w:t>I enlighet med riksdagens beslut</w:t>
          </w:r>
        </w:p>
        <w:p w:rsidR="001E45B7" w:rsidRPr="001E45B7" w:rsidRDefault="001E45B7" w:rsidP="001E45B7">
          <w:pPr>
            <w:pStyle w:val="LLJohtolauseKappaleet"/>
            <w:rPr>
              <w:lang w:val="sv-SE"/>
            </w:rPr>
          </w:pPr>
          <w:r w:rsidRPr="001E45B7">
            <w:rPr>
              <w:i/>
              <w:lang w:val="sv-SE"/>
            </w:rPr>
            <w:t>ändras</w:t>
          </w:r>
          <w:r w:rsidRPr="001E45B7">
            <w:rPr>
              <w:lang w:val="sv-SE"/>
            </w:rPr>
            <w:t xml:space="preserve"> i sjukförsäkri</w:t>
          </w:r>
          <w:r w:rsidR="000F1374">
            <w:rPr>
              <w:lang w:val="sv-SE"/>
            </w:rPr>
            <w:t xml:space="preserve">ngslagen (1224/2004) 5 kap. 8 </w:t>
          </w:r>
          <w:r w:rsidRPr="001E45B7">
            <w:rPr>
              <w:lang w:val="sv-SE"/>
            </w:rPr>
            <w:t>§, sådan den lyder i lagarna 252/2015 och 1319/2018, som följer:</w:t>
          </w:r>
        </w:p>
        <w:p w:rsidR="001E45B7" w:rsidRPr="001E45B7" w:rsidRDefault="001E45B7" w:rsidP="001E45B7">
          <w:pPr>
            <w:pStyle w:val="LLNormaali"/>
            <w:rPr>
              <w:lang w:val="sv-SE"/>
            </w:rPr>
          </w:pPr>
        </w:p>
        <w:p w:rsidR="001E45B7" w:rsidRPr="001E45B7" w:rsidRDefault="001E45B7" w:rsidP="001E45B7">
          <w:pPr>
            <w:pStyle w:val="LLLuku"/>
            <w:rPr>
              <w:lang w:val="sv-SE"/>
            </w:rPr>
          </w:pPr>
          <w:r w:rsidRPr="001E45B7">
            <w:rPr>
              <w:lang w:val="sv-SE"/>
            </w:rPr>
            <w:t>5 kap.</w:t>
          </w:r>
        </w:p>
        <w:p w:rsidR="001E45B7" w:rsidRPr="001E45B7" w:rsidRDefault="001E45B7" w:rsidP="001E45B7">
          <w:pPr>
            <w:pStyle w:val="LLLuvunOtsikko"/>
            <w:rPr>
              <w:lang w:val="sv-SE"/>
            </w:rPr>
          </w:pPr>
          <w:r w:rsidRPr="001E45B7">
            <w:rPr>
              <w:lang w:val="sv-SE"/>
            </w:rPr>
            <w:t>Läkemedelsersättningar</w:t>
          </w:r>
        </w:p>
        <w:p w:rsidR="001E45B7" w:rsidRPr="001E45B7" w:rsidRDefault="001E45B7" w:rsidP="001E45B7">
          <w:pPr>
            <w:pStyle w:val="LLPykala"/>
            <w:rPr>
              <w:lang w:val="sv-SE"/>
            </w:rPr>
          </w:pPr>
          <w:r w:rsidRPr="001E45B7">
            <w:rPr>
              <w:lang w:val="sv-SE"/>
            </w:rPr>
            <w:t>8 §</w:t>
          </w:r>
        </w:p>
        <w:p w:rsidR="001E45B7" w:rsidRPr="001E45B7" w:rsidRDefault="001E45B7" w:rsidP="001E45B7">
          <w:pPr>
            <w:pStyle w:val="LLPykalanOtsikko"/>
            <w:rPr>
              <w:lang w:val="sv-SE"/>
            </w:rPr>
          </w:pPr>
          <w:r w:rsidRPr="001E45B7">
            <w:rPr>
              <w:lang w:val="sv-SE"/>
            </w:rPr>
            <w:t>Årssjälvrisk och rätt till tilläggsersättning</w:t>
          </w:r>
        </w:p>
        <w:p w:rsidR="001E45B7" w:rsidRPr="001E45B7" w:rsidRDefault="001E45B7" w:rsidP="001E45B7">
          <w:pPr>
            <w:pStyle w:val="LLKappalejako"/>
            <w:rPr>
              <w:lang w:val="sv-SE"/>
            </w:rPr>
          </w:pPr>
          <w:r w:rsidRPr="001E45B7">
            <w:rPr>
              <w:lang w:val="sv-SE"/>
            </w:rPr>
            <w:t xml:space="preserve">Om det sammanlagda beloppet av initialsjälvrisken och de icke ersatta kostnader som utgör grund för ersättningen och som den försäkrade under ett och samma kalenderår har haft för sådana läkemedel, kliniska näringspreparat och </w:t>
          </w:r>
          <w:proofErr w:type="spellStart"/>
          <w:r w:rsidRPr="001E45B7">
            <w:rPr>
              <w:lang w:val="sv-SE"/>
            </w:rPr>
            <w:t>salvbaser</w:t>
          </w:r>
          <w:proofErr w:type="spellEnd"/>
          <w:r w:rsidRPr="001E45B7">
            <w:rPr>
              <w:lang w:val="sv-SE"/>
            </w:rPr>
            <w:t xml:space="preserve"> som ersätts den försäkrade enligt detta kapitel överstiger 534,75 euro (</w:t>
          </w:r>
          <w:r w:rsidRPr="00472592">
            <w:rPr>
              <w:i/>
              <w:lang w:val="sv-SE"/>
            </w:rPr>
            <w:t>årssjälvrisk</w:t>
          </w:r>
          <w:r w:rsidRPr="001E45B7">
            <w:rPr>
              <w:lang w:val="sv-SE"/>
            </w:rPr>
            <w:t xml:space="preserve">), har den försäkrade </w:t>
          </w:r>
          <w:proofErr w:type="gramStart"/>
          <w:r w:rsidRPr="001E45B7">
            <w:rPr>
              <w:lang w:val="sv-SE"/>
            </w:rPr>
            <w:t>rätt</w:t>
          </w:r>
          <w:proofErr w:type="gramEnd"/>
          <w:r w:rsidRPr="001E45B7">
            <w:rPr>
              <w:lang w:val="sv-SE"/>
            </w:rPr>
            <w:t xml:space="preserve"> till en tilläggsersättning för det överstigande beloppet. Tilläggsersättningen är 100 procent av det belopp som överstiger den läkemedelsspecifika självrisken på 2,50 euro. </w:t>
          </w:r>
        </w:p>
        <w:p w:rsidR="001E45B7" w:rsidRPr="001E45B7" w:rsidRDefault="001E45B7" w:rsidP="001E45B7">
          <w:pPr>
            <w:pStyle w:val="LLKappalejako"/>
            <w:rPr>
              <w:lang w:val="sv-SE"/>
            </w:rPr>
          </w:pPr>
          <w:r w:rsidRPr="001E45B7">
            <w:rPr>
              <w:lang w:val="sv-SE"/>
            </w:rPr>
            <w:t>Beloppet av årssjälvrisken enligt 1 mom. binds till förändringar i prisnivån på det sätt som föreskrivs i lagen om folkpensionsindex (456/2001), och beloppet motsvarar det poängtal för folkpensionsindexet som avses i lagen om folkpensionsindex och enligt vilket storleken av de folkpensioner som betalades ut i januari 2014 har räknats ut.</w:t>
          </w:r>
        </w:p>
        <w:p w:rsidR="001E45B7" w:rsidRPr="001E45B7" w:rsidRDefault="001E45B7" w:rsidP="001E45B7">
          <w:pPr>
            <w:pStyle w:val="LLNormaali"/>
            <w:rPr>
              <w:lang w:val="sv-SE"/>
            </w:rPr>
          </w:pPr>
          <w:proofErr w:type="gramStart"/>
          <w:r w:rsidRPr="001E45B7">
            <w:rPr>
              <w:lang w:val="sv-SE"/>
            </w:rPr>
            <w:t>—</w:t>
          </w:r>
          <w:proofErr w:type="gramEnd"/>
          <w:r w:rsidRPr="001E45B7">
            <w:rPr>
              <w:lang w:val="sv-SE"/>
            </w:rPr>
            <w:t xml:space="preserve"> — — — — — — — — — — — — — — — — — — — — — — — — — — — — —</w:t>
          </w:r>
        </w:p>
        <w:p w:rsidR="001E45B7" w:rsidRPr="001E45B7" w:rsidRDefault="001E45B7" w:rsidP="0000497A">
          <w:pPr>
            <w:pStyle w:val="LLNormaali"/>
            <w:jc w:val="center"/>
            <w:rPr>
              <w:lang w:val="sv-SE"/>
            </w:rPr>
          </w:pPr>
          <w:proofErr w:type="gramStart"/>
          <w:r w:rsidRPr="001E45B7">
            <w:rPr>
              <w:lang w:val="sv-SE"/>
            </w:rPr>
            <w:t>—</w:t>
          </w:r>
          <w:proofErr w:type="gramEnd"/>
          <w:r w:rsidRPr="001E45B7">
            <w:rPr>
              <w:lang w:val="sv-SE"/>
            </w:rPr>
            <w:t>——</w:t>
          </w:r>
        </w:p>
        <w:p w:rsidR="0073174F" w:rsidRPr="001E45B7" w:rsidRDefault="001E45B7" w:rsidP="001E45B7">
          <w:pPr>
            <w:pStyle w:val="LLVoimaantulokappale"/>
            <w:rPr>
              <w:lang w:val="sv-SE"/>
            </w:rPr>
          </w:pPr>
          <w:r w:rsidRPr="001E45B7">
            <w:rPr>
              <w:lang w:val="sv-SE"/>
            </w:rPr>
            <w:t>Denna lag träder i kraft den 1 januari 2024.</w:t>
          </w:r>
        </w:p>
        <w:p w:rsidR="004A648F" w:rsidRDefault="00BA71BD" w:rsidP="00BA71BD">
          <w:pPr>
            <w:pStyle w:val="LLNormaali"/>
            <w:jc w:val="center"/>
          </w:pPr>
          <w:r>
            <w:t>—————</w:t>
          </w:r>
        </w:p>
        <w:p w:rsidR="00BF4087" w:rsidRDefault="000F1374" w:rsidP="00BF4087">
          <w:pPr>
            <w:pStyle w:val="LLNormaali"/>
          </w:pPr>
        </w:p>
      </w:sdtContent>
    </w:sdt>
    <w:p w:rsidR="00137260" w:rsidRPr="000D7B48" w:rsidRDefault="00137260" w:rsidP="00BC74A6">
      <w:pPr>
        <w:pStyle w:val="LLNormaali"/>
      </w:pPr>
    </w:p>
    <w:sdt>
      <w:sdtPr>
        <w:rPr>
          <w:lang w:val="sv-SE"/>
        </w:rPr>
        <w:alias w:val="Päiväys"/>
        <w:tag w:val="CCPaivays"/>
        <w:id w:val="-857742363"/>
        <w:lock w:val="sdtLocked"/>
        <w:placeholder>
          <w:docPart w:val="588C7F86A97249B69CB83D256B804A87"/>
        </w:placeholder>
        <w15:color w:val="33CCCC"/>
        <w:text/>
      </w:sdtPr>
      <w:sdtEndPr/>
      <w:sdtContent>
        <w:p w:rsidR="005F6E65" w:rsidRPr="00F55843" w:rsidRDefault="001E45B7" w:rsidP="005F6E65">
          <w:pPr>
            <w:pStyle w:val="LLPaivays"/>
            <w:rPr>
              <w:lang w:val="sv-SE"/>
            </w:rPr>
          </w:pPr>
          <w:r>
            <w:rPr>
              <w:lang w:val="sv-SE"/>
            </w:rPr>
            <w:t xml:space="preserve">Helsingfors </w:t>
          </w:r>
          <w:proofErr w:type="gramStart"/>
          <w:r>
            <w:rPr>
              <w:lang w:val="sv-SE"/>
            </w:rPr>
            <w:t>den                   2023</w:t>
          </w:r>
          <w:proofErr w:type="gramEnd"/>
        </w:p>
      </w:sdtContent>
    </w:sdt>
    <w:p w:rsidR="005F6E65" w:rsidRPr="00F55843" w:rsidRDefault="005F6E65" w:rsidP="00267E16">
      <w:pPr>
        <w:pStyle w:val="LLNormaali"/>
        <w:rPr>
          <w:lang w:val="sv-SE"/>
        </w:rPr>
      </w:pPr>
    </w:p>
    <w:sdt>
      <w:sdtPr>
        <w:alias w:val="Allekirjoittajan asema"/>
        <w:tag w:val="CCAllekirjoitus"/>
        <w:id w:val="1565067034"/>
        <w:lock w:val="sdtLocked"/>
        <w:placeholder>
          <w:docPart w:val="588C7F86A97249B69CB83D256B804A87"/>
        </w:placeholder>
        <w15:color w:val="00FFFF"/>
      </w:sdtPr>
      <w:sdtEndPr/>
      <w:sdtContent>
        <w:p w:rsidR="005F6E65" w:rsidRPr="007B2B39" w:rsidRDefault="00F55843" w:rsidP="005F6E65">
          <w:pPr>
            <w:pStyle w:val="LLAllekirjoitus"/>
            <w:rPr>
              <w:lang w:val="sv-SE"/>
            </w:rPr>
          </w:pPr>
          <w:r w:rsidRPr="007B2B39">
            <w:rPr>
              <w:lang w:val="sv-SE"/>
            </w:rPr>
            <w:t>Statsminister</w:t>
          </w:r>
        </w:p>
      </w:sdtContent>
    </w:sdt>
    <w:p w:rsidR="005F6E65" w:rsidRPr="00F55843" w:rsidRDefault="001E45B7" w:rsidP="00385A06">
      <w:pPr>
        <w:pStyle w:val="LLNimenselvennys"/>
        <w:rPr>
          <w:lang w:val="sv-SE"/>
        </w:rPr>
      </w:pPr>
      <w:r>
        <w:rPr>
          <w:lang w:val="sv-SE"/>
        </w:rPr>
        <w:t xml:space="preserve">Petteri </w:t>
      </w:r>
      <w:proofErr w:type="spellStart"/>
      <w:r>
        <w:rPr>
          <w:lang w:val="sv-SE"/>
        </w:rPr>
        <w:t>Orpo</w:t>
      </w:r>
      <w:proofErr w:type="spellEnd"/>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490E10" w:rsidP="00490E10">
      <w:pPr>
        <w:pStyle w:val="LLVarmennus"/>
        <w:rPr>
          <w:lang w:val="sv-SE"/>
        </w:rPr>
      </w:pPr>
      <w:r w:rsidRPr="00490E10">
        <w:rPr>
          <w:lang w:val="sv-SE"/>
        </w:rPr>
        <w:t>Minister för social trygghet</w:t>
      </w:r>
      <w:r>
        <w:rPr>
          <w:lang w:val="sv-SE"/>
        </w:rPr>
        <w:t xml:space="preserve"> </w:t>
      </w:r>
      <w:r w:rsidRPr="00490E10">
        <w:rPr>
          <w:lang w:val="sv-SE"/>
        </w:rPr>
        <w:t>Sanni Grahn-Laasonen</w:t>
      </w:r>
    </w:p>
    <w:p w:rsidR="004B1827" w:rsidRPr="00F55843" w:rsidRDefault="000A334A" w:rsidP="003920F1">
      <w:pPr>
        <w:pStyle w:val="LLNormaali"/>
        <w:rPr>
          <w:lang w:val="sv-SE"/>
        </w:rPr>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F55843">
        <w:rPr>
          <w:lang w:val="sv-SE"/>
        </w:rPr>
        <w:br w:type="page"/>
      </w:r>
    </w:p>
    <w:bookmarkStart w:id="44" w:name="_Toc143767912" w:displacedByCustomXml="next"/>
    <w:bookmarkStart w:id="45" w:name="_Toc143767782" w:displacedByCustomXml="next"/>
    <w:bookmarkStart w:id="46" w:name="_Toc34941937" w:displacedByCustomXml="next"/>
    <w:sdt>
      <w:sdtPr>
        <w:rPr>
          <w:lang w:val="sv-SE"/>
        </w:rPr>
        <w:alias w:val="Liitteet"/>
        <w:tag w:val="CCLiitteet"/>
        <w:id w:val="-100575990"/>
        <w:placeholder>
          <w:docPart w:val="F098DCA0DA054A04A570F7B1074D00DF"/>
        </w:placeholder>
        <w15:color w:val="33CCCC"/>
        <w:comboBox>
          <w:listItem w:value="Valitse kohde."/>
          <w:listItem w:displayText="Bilaga" w:value="Bilaga"/>
          <w:listItem w:displayText="Bilagor" w:value="Bilagor"/>
        </w:comboBox>
      </w:sdtPr>
      <w:sdtEndPr/>
      <w:sdtContent>
        <w:p w:rsidR="000A334A" w:rsidRPr="0073174F" w:rsidRDefault="00490E10" w:rsidP="004B1827">
          <w:pPr>
            <w:pStyle w:val="LLLiite"/>
            <w:rPr>
              <w:lang w:val="sv-SE"/>
            </w:rPr>
          </w:pPr>
          <w:r>
            <w:rPr>
              <w:lang w:val="sv-SE"/>
            </w:rPr>
            <w:t>Bilaga</w:t>
          </w:r>
        </w:p>
      </w:sdtContent>
    </w:sdt>
    <w:bookmarkEnd w:id="44" w:displacedByCustomXml="prev"/>
    <w:bookmarkEnd w:id="45" w:displacedByCustomXml="prev"/>
    <w:bookmarkEnd w:id="46" w:displacedByCustomXml="prev"/>
    <w:bookmarkStart w:id="47" w:name="_Toc143767913" w:displacedByCustomXml="next"/>
    <w:bookmarkStart w:id="48" w:name="_Toc143767783" w:displacedByCustomXml="next"/>
    <w:bookmarkStart w:id="49" w:name="_Toc34941938" w:displacedByCustomXml="next"/>
    <w:sdt>
      <w:sdtPr>
        <w:rPr>
          <w:lang w:val="en-US"/>
        </w:rPr>
        <w:alias w:val="Rinnakkaistekstit"/>
        <w:tag w:val="CCRinnakkaistekstit"/>
        <w:id w:val="351308721"/>
        <w:placeholder>
          <w:docPart w:val="DA70B4C7479D4EACB67E79665DE4546C"/>
        </w:placeholder>
        <w15:color w:val="00FFFF"/>
        <w:comboBox>
          <w:listItem w:displayText="Parallelltext" w:value="Parallelltext"/>
          <w:listItem w:displayText="Parallelltexter" w:value="Parallelltexter"/>
        </w:comboBox>
      </w:sdtPr>
      <w:sdtEndPr/>
      <w:sdtContent>
        <w:p w:rsidR="00B34684" w:rsidRPr="00017DF5" w:rsidRDefault="00490E10" w:rsidP="00B34684">
          <w:pPr>
            <w:pStyle w:val="LLRinnakkaistekstit"/>
            <w:rPr>
              <w:lang w:val="en-US"/>
            </w:rPr>
          </w:pPr>
          <w:proofErr w:type="spellStart"/>
          <w:r>
            <w:rPr>
              <w:lang w:val="en-US"/>
            </w:rPr>
            <w:t>Parallelltext</w:t>
          </w:r>
          <w:proofErr w:type="spellEnd"/>
        </w:p>
      </w:sdtContent>
    </w:sdt>
    <w:bookmarkEnd w:id="47" w:displacedByCustomXml="prev"/>
    <w:bookmarkEnd w:id="48" w:displacedByCustomXml="prev"/>
    <w:bookmarkEnd w:id="49" w:displacedByCustomXml="prev"/>
    <w:p w:rsidR="00B34684" w:rsidRPr="00017DF5" w:rsidRDefault="00B34684" w:rsidP="00B34684">
      <w:pPr>
        <w:pStyle w:val="LLNormaali"/>
        <w:rPr>
          <w:lang w:val="en-US" w:eastAsia="fi-FI"/>
        </w:rPr>
      </w:pPr>
    </w:p>
    <w:sdt>
      <w:sdtPr>
        <w:rPr>
          <w:lang w:val="sv-SE"/>
        </w:rPr>
        <w:alias w:val="Rinnakkaisteksti"/>
        <w:tag w:val="CCRinnakkaisteksti"/>
        <w:id w:val="699436702"/>
        <w:placeholder>
          <w:docPart w:val="588C7F86A97249B69CB83D256B804A87"/>
        </w:placeholder>
        <w15:color w:val="33CCCC"/>
      </w:sdtPr>
      <w:sdtEndPr/>
      <w:sdtContent>
        <w:p w:rsidR="008A3DB3" w:rsidRPr="004903C3" w:rsidRDefault="008A3DB3" w:rsidP="00B34684">
          <w:pPr>
            <w:pStyle w:val="LLNormaali"/>
            <w:rPr>
              <w:rFonts w:eastAsia="Times New Roman"/>
              <w:szCs w:val="24"/>
              <w:lang w:val="sv-SE" w:eastAsia="fi-FI"/>
            </w:rPr>
          </w:pPr>
        </w:p>
        <w:p w:rsidR="00490E10" w:rsidRPr="00490E10" w:rsidRDefault="00490E10" w:rsidP="00490E10">
          <w:pPr>
            <w:pStyle w:val="LLLaki"/>
            <w:rPr>
              <w:lang w:val="sv-SE"/>
            </w:rPr>
          </w:pPr>
          <w:r w:rsidRPr="00490E10">
            <w:rPr>
              <w:lang w:val="sv-SE"/>
            </w:rPr>
            <w:t>Lag</w:t>
          </w:r>
        </w:p>
        <w:p w:rsidR="00490E10" w:rsidRPr="00490E10" w:rsidRDefault="00490E10" w:rsidP="00490E10">
          <w:pPr>
            <w:pStyle w:val="LLSaadoksenNimi"/>
            <w:rPr>
              <w:lang w:val="sv-SE"/>
            </w:rPr>
          </w:pPr>
          <w:bookmarkStart w:id="50" w:name="_Toc143767914"/>
          <w:r w:rsidRPr="00490E10">
            <w:rPr>
              <w:lang w:val="sv-SE"/>
            </w:rPr>
            <w:t>om ändring av 5 kap. 8 § i sjukförsäkringslagen</w:t>
          </w:r>
          <w:bookmarkEnd w:id="50"/>
        </w:p>
        <w:p w:rsidR="00490E10" w:rsidRPr="00490E10" w:rsidRDefault="00490E10" w:rsidP="00490E10">
          <w:pPr>
            <w:pStyle w:val="LLJohtolauseKappaleet"/>
            <w:rPr>
              <w:lang w:val="sv-SE"/>
            </w:rPr>
          </w:pPr>
          <w:r w:rsidRPr="00490E10">
            <w:rPr>
              <w:lang w:val="sv-SE"/>
            </w:rPr>
            <w:t>I enlighet med riksdagens beslut</w:t>
          </w:r>
        </w:p>
        <w:p w:rsidR="00490E10" w:rsidRPr="00490E10" w:rsidRDefault="00490E10" w:rsidP="00490E10">
          <w:pPr>
            <w:pStyle w:val="LLJohtolauseKappaleet"/>
            <w:rPr>
              <w:lang w:val="sv-SE"/>
            </w:rPr>
          </w:pPr>
          <w:r w:rsidRPr="00490E10">
            <w:rPr>
              <w:i/>
              <w:lang w:val="sv-SE"/>
            </w:rPr>
            <w:t>ändras</w:t>
          </w:r>
          <w:r w:rsidRPr="00490E10">
            <w:rPr>
              <w:lang w:val="sv-SE"/>
            </w:rPr>
            <w:t xml:space="preserve"> i sjukförsäkri</w:t>
          </w:r>
          <w:r w:rsidR="000F1374">
            <w:rPr>
              <w:lang w:val="sv-SE"/>
            </w:rPr>
            <w:t xml:space="preserve">ngslagen (1224/2004) 5 kap. 8 </w:t>
          </w:r>
          <w:r w:rsidRPr="00490E10">
            <w:rPr>
              <w:lang w:val="sv-SE"/>
            </w:rPr>
            <w:t>§, sådan den lyder i lagarna 252/2015 och 1319/2018, som följer:</w:t>
          </w:r>
        </w:p>
        <w:p w:rsidR="00490E10" w:rsidRPr="00490E10" w:rsidRDefault="00490E10" w:rsidP="00490E10">
          <w:pPr>
            <w:spacing w:line="220" w:lineRule="exact"/>
            <w:rPr>
              <w:lang w:val="sv-SE"/>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rsidTr="00B14DA5">
            <w:trPr>
              <w:tblHeader/>
            </w:trPr>
            <w:tc>
              <w:tcPr>
                <w:tcW w:w="4243" w:type="dxa"/>
                <w:shd w:val="clear" w:color="auto" w:fill="auto"/>
              </w:tcPr>
              <w:p w:rsidR="008A3DB3" w:rsidRDefault="004903C3" w:rsidP="007F7AA0">
                <w:pPr>
                  <w:spacing w:line="220" w:lineRule="exact"/>
                  <w:rPr>
                    <w:i/>
                    <w:lang w:val="sv-SE" w:eastAsia="fi-FI"/>
                  </w:rPr>
                </w:pPr>
                <w:r w:rsidRPr="004903C3">
                  <w:rPr>
                    <w:i/>
                    <w:lang w:val="sv-SE" w:eastAsia="fi-FI"/>
                  </w:rPr>
                  <w:t>Gällande lydelse</w:t>
                </w:r>
              </w:p>
              <w:p w:rsidR="00490E10" w:rsidRPr="004903C3" w:rsidRDefault="00490E10" w:rsidP="007F7AA0">
                <w:pPr>
                  <w:spacing w:line="220" w:lineRule="exact"/>
                  <w:rPr>
                    <w:rFonts w:eastAsia="Times New Roman"/>
                    <w:i/>
                    <w:szCs w:val="24"/>
                    <w:lang w:val="sv-SE" w:eastAsia="fi-FI"/>
                  </w:rPr>
                </w:pPr>
              </w:p>
            </w:tc>
            <w:tc>
              <w:tcPr>
                <w:tcW w:w="4243" w:type="dxa"/>
                <w:shd w:val="clear" w:color="auto" w:fill="auto"/>
              </w:tcPr>
              <w:p w:rsidR="008A3DB3" w:rsidRDefault="00600C5E" w:rsidP="007F7AA0">
                <w:pPr>
                  <w:rPr>
                    <w:i/>
                    <w:lang w:val="sv-SE" w:eastAsia="fi-FI"/>
                  </w:rPr>
                </w:pPr>
                <w:r w:rsidRPr="004903C3">
                  <w:rPr>
                    <w:i/>
                    <w:lang w:val="sv-SE" w:eastAsia="fi-FI"/>
                  </w:rPr>
                  <w:t xml:space="preserve">Föreslagen lydelse </w:t>
                </w:r>
              </w:p>
              <w:p w:rsidR="00490E10" w:rsidRPr="004903C3" w:rsidRDefault="00490E10" w:rsidP="007F7AA0">
                <w:pPr>
                  <w:rPr>
                    <w:lang w:val="sv-SE" w:eastAsia="fi-FI"/>
                  </w:rPr>
                </w:pPr>
              </w:p>
            </w:tc>
          </w:tr>
          <w:tr w:rsidR="00B14DA5" w:rsidRPr="000F1374" w:rsidTr="00B14DA5">
            <w:tblPrEx>
              <w:tblLook w:val="05E0" w:firstRow="1" w:lastRow="1" w:firstColumn="1" w:lastColumn="1" w:noHBand="0" w:noVBand="1"/>
            </w:tblPrEx>
            <w:trPr>
              <w:trHeight w:val="900"/>
            </w:trPr>
            <w:tc>
              <w:tcPr>
                <w:tcW w:w="4243" w:type="dxa"/>
                <w:shd w:val="clear" w:color="auto" w:fill="auto"/>
              </w:tcPr>
              <w:p w:rsidR="0002069D" w:rsidRPr="00490E10" w:rsidRDefault="0002069D" w:rsidP="0002069D">
                <w:pPr>
                  <w:pStyle w:val="LLLuku"/>
                  <w:rPr>
                    <w:lang w:val="sv-SE"/>
                  </w:rPr>
                </w:pPr>
                <w:r w:rsidRPr="00490E10">
                  <w:rPr>
                    <w:lang w:val="sv-SE"/>
                  </w:rPr>
                  <w:t>5 kap.</w:t>
                </w:r>
              </w:p>
              <w:p w:rsidR="0002069D" w:rsidRPr="00490E10" w:rsidRDefault="0002069D" w:rsidP="0002069D">
                <w:pPr>
                  <w:pStyle w:val="LLLuvunOtsikko"/>
                  <w:rPr>
                    <w:lang w:val="sv-SE"/>
                  </w:rPr>
                </w:pPr>
                <w:r w:rsidRPr="00490E10">
                  <w:rPr>
                    <w:lang w:val="sv-SE"/>
                  </w:rPr>
                  <w:t>Läkemedelsersättningar</w:t>
                </w:r>
              </w:p>
              <w:p w:rsidR="0002069D" w:rsidRPr="00490E10" w:rsidRDefault="0002069D" w:rsidP="0002069D">
                <w:pPr>
                  <w:pStyle w:val="LLPykala"/>
                  <w:rPr>
                    <w:lang w:val="sv-SE"/>
                  </w:rPr>
                </w:pPr>
                <w:r w:rsidRPr="00490E10">
                  <w:rPr>
                    <w:lang w:val="sv-SE"/>
                  </w:rPr>
                  <w:t>8 §</w:t>
                </w:r>
              </w:p>
              <w:p w:rsidR="0002069D" w:rsidRPr="00490E10" w:rsidRDefault="0002069D" w:rsidP="0002069D">
                <w:pPr>
                  <w:pStyle w:val="LLPykalanOtsikko"/>
                  <w:rPr>
                    <w:lang w:val="sv-SE"/>
                  </w:rPr>
                </w:pPr>
                <w:r w:rsidRPr="00490E10">
                  <w:rPr>
                    <w:lang w:val="sv-SE"/>
                  </w:rPr>
                  <w:t>Årssjälvrisk och rätt till tilläggsersättning</w:t>
                </w:r>
              </w:p>
              <w:p w:rsidR="00B14DA5" w:rsidRDefault="0002069D" w:rsidP="0002069D">
                <w:pPr>
                  <w:pStyle w:val="LLKappalejako"/>
                  <w:rPr>
                    <w:lang w:val="sv-SE"/>
                  </w:rPr>
                </w:pPr>
                <w:r w:rsidRPr="0002069D">
                  <w:rPr>
                    <w:lang w:val="sv-SE"/>
                  </w:rPr>
                  <w:t xml:space="preserve">Om det sammanlagda beloppet av initialsjälvrisken och de icke ersatta kostnader som utgör grund för ersättningen och som den försäkrade under ett och samma kalenderår har haft för sådana läkemedel, kliniska näringspreparat och </w:t>
                </w:r>
                <w:proofErr w:type="spellStart"/>
                <w:r w:rsidRPr="0002069D">
                  <w:rPr>
                    <w:lang w:val="sv-SE"/>
                  </w:rPr>
                  <w:t>salvbaser</w:t>
                </w:r>
                <w:proofErr w:type="spellEnd"/>
                <w:r w:rsidRPr="0002069D">
                  <w:rPr>
                    <w:lang w:val="sv-SE"/>
                  </w:rPr>
                  <w:t xml:space="preserve"> som ersätts den försäkrade enligt detta kapitel överstiger 576,60 euro (</w:t>
                </w:r>
                <w:r w:rsidRPr="0002069D">
                  <w:rPr>
                    <w:i/>
                    <w:lang w:val="sv-SE"/>
                  </w:rPr>
                  <w:t>årssjälvrisk</w:t>
                </w:r>
                <w:r w:rsidRPr="0002069D">
                  <w:rPr>
                    <w:lang w:val="sv-SE"/>
                  </w:rPr>
                  <w:t xml:space="preserve">), har den försäkrade </w:t>
                </w:r>
                <w:proofErr w:type="gramStart"/>
                <w:r w:rsidRPr="0002069D">
                  <w:rPr>
                    <w:lang w:val="sv-SE"/>
                  </w:rPr>
                  <w:t>rätt</w:t>
                </w:r>
                <w:proofErr w:type="gramEnd"/>
                <w:r w:rsidRPr="0002069D">
                  <w:rPr>
                    <w:lang w:val="sv-SE"/>
                  </w:rPr>
                  <w:t xml:space="preserve"> till en tilläggsersättning för det överstigande beloppet. Tilläggsersättningen är 100 procent av det belopp som överstiger den läkemedelsspecifika självrisken på 2,50 euro.</w:t>
                </w:r>
              </w:p>
              <w:p w:rsidR="0002069D" w:rsidRDefault="0002069D" w:rsidP="0002069D">
                <w:pPr>
                  <w:pStyle w:val="LLKappalejako"/>
                  <w:rPr>
                    <w:lang w:val="sv-SE"/>
                  </w:rPr>
                </w:pPr>
                <w:r w:rsidRPr="0002069D">
                  <w:rPr>
                    <w:lang w:val="sv-SE"/>
                  </w:rPr>
                  <w:t>Beloppet av årssjälvrisken är bundet vid</w:t>
                </w:r>
                <w:r>
                  <w:rPr>
                    <w:lang w:val="sv-SE"/>
                  </w:rPr>
                  <w:t xml:space="preserve"> </w:t>
                </w:r>
                <w:r w:rsidRPr="0002069D">
                  <w:rPr>
                    <w:lang w:val="sv-SE"/>
                  </w:rPr>
                  <w:t>levnadskostnadsindexet så att beloppet ändras samtidigt och i samma förhållande som</w:t>
                </w:r>
                <w:r>
                  <w:rPr>
                    <w:lang w:val="sv-SE"/>
                  </w:rPr>
                  <w:t xml:space="preserve"> </w:t>
                </w:r>
                <w:r w:rsidRPr="0002069D">
                  <w:rPr>
                    <w:lang w:val="sv-SE"/>
                  </w:rPr>
                  <w:t>folkpensionerna ändras med stöd av lagen om</w:t>
                </w:r>
                <w:r>
                  <w:rPr>
                    <w:lang w:val="sv-SE"/>
                  </w:rPr>
                  <w:t xml:space="preserve"> </w:t>
                </w:r>
                <w:r w:rsidRPr="0002069D">
                  <w:rPr>
                    <w:lang w:val="sv-SE"/>
                  </w:rPr>
                  <w:t>folkpensionsindex (456/2001).</w:t>
                </w:r>
              </w:p>
              <w:p w:rsidR="0002069D" w:rsidRPr="004903C3" w:rsidRDefault="0002069D" w:rsidP="0002069D">
                <w:pPr>
                  <w:pStyle w:val="LLNormaali"/>
                  <w:rPr>
                    <w:lang w:val="sv-SE"/>
                  </w:rPr>
                </w:pPr>
              </w:p>
            </w:tc>
            <w:tc>
              <w:tcPr>
                <w:tcW w:w="4243" w:type="dxa"/>
                <w:shd w:val="clear" w:color="auto" w:fill="auto"/>
              </w:tcPr>
              <w:p w:rsidR="00490E10" w:rsidRPr="00490E10" w:rsidRDefault="00490E10" w:rsidP="00073296">
                <w:pPr>
                  <w:pStyle w:val="LLLuku"/>
                  <w:rPr>
                    <w:lang w:val="sv-SE"/>
                  </w:rPr>
                </w:pPr>
                <w:r w:rsidRPr="00490E10">
                  <w:rPr>
                    <w:lang w:val="sv-SE"/>
                  </w:rPr>
                  <w:t>5 kap.</w:t>
                </w:r>
              </w:p>
              <w:p w:rsidR="00490E10" w:rsidRPr="00490E10" w:rsidRDefault="00490E10" w:rsidP="00073296">
                <w:pPr>
                  <w:pStyle w:val="LLLuvunOtsikko"/>
                  <w:rPr>
                    <w:lang w:val="sv-SE"/>
                  </w:rPr>
                </w:pPr>
                <w:r w:rsidRPr="00490E10">
                  <w:rPr>
                    <w:lang w:val="sv-SE"/>
                  </w:rPr>
                  <w:t>Läkemedelsersättningar</w:t>
                </w:r>
              </w:p>
              <w:p w:rsidR="00490E10" w:rsidRPr="00490E10" w:rsidRDefault="00490E10" w:rsidP="00073296">
                <w:pPr>
                  <w:pStyle w:val="LLPykala"/>
                  <w:rPr>
                    <w:lang w:val="sv-SE"/>
                  </w:rPr>
                </w:pPr>
                <w:r w:rsidRPr="00490E10">
                  <w:rPr>
                    <w:lang w:val="sv-SE"/>
                  </w:rPr>
                  <w:t>8 §</w:t>
                </w:r>
              </w:p>
              <w:p w:rsidR="00490E10" w:rsidRPr="00490E10" w:rsidRDefault="00490E10" w:rsidP="00073296">
                <w:pPr>
                  <w:pStyle w:val="LLPykalanOtsikko"/>
                  <w:rPr>
                    <w:lang w:val="sv-SE"/>
                  </w:rPr>
                </w:pPr>
                <w:r w:rsidRPr="00490E10">
                  <w:rPr>
                    <w:lang w:val="sv-SE"/>
                  </w:rPr>
                  <w:t>Årssjälvrisk och rätt till tilläggsersättning</w:t>
                </w:r>
              </w:p>
              <w:p w:rsidR="00490E10" w:rsidRPr="00490E10" w:rsidRDefault="00490E10" w:rsidP="00073296">
                <w:pPr>
                  <w:pStyle w:val="LLKappalejako"/>
                  <w:rPr>
                    <w:lang w:val="sv-SE"/>
                  </w:rPr>
                </w:pPr>
                <w:r w:rsidRPr="00490E10">
                  <w:rPr>
                    <w:lang w:val="sv-SE"/>
                  </w:rPr>
                  <w:t xml:space="preserve">Om det sammanlagda beloppet av initialsjälvrisken och de icke ersatta kostnader som utgör grund för ersättningen och som den försäkrade under ett och samma kalenderår har haft för sådana läkemedel, kliniska näringspreparat och </w:t>
                </w:r>
                <w:proofErr w:type="spellStart"/>
                <w:r w:rsidRPr="00490E10">
                  <w:rPr>
                    <w:lang w:val="sv-SE"/>
                  </w:rPr>
                  <w:t>salvbaser</w:t>
                </w:r>
                <w:proofErr w:type="spellEnd"/>
                <w:r w:rsidRPr="00490E10">
                  <w:rPr>
                    <w:lang w:val="sv-SE"/>
                  </w:rPr>
                  <w:t xml:space="preserve"> som ersätts den försäkrade enligt detta kapitel överstiger </w:t>
                </w:r>
                <w:r w:rsidRPr="00EC748A">
                  <w:rPr>
                    <w:i/>
                    <w:lang w:val="sv-SE"/>
                  </w:rPr>
                  <w:t>534,75</w:t>
                </w:r>
                <w:r w:rsidRPr="00490E10">
                  <w:rPr>
                    <w:lang w:val="sv-SE"/>
                  </w:rPr>
                  <w:t xml:space="preserve"> euro (</w:t>
                </w:r>
                <w:r w:rsidRPr="00490E10">
                  <w:rPr>
                    <w:i/>
                    <w:lang w:val="sv-SE"/>
                  </w:rPr>
                  <w:t>årssjälvrisk</w:t>
                </w:r>
                <w:r w:rsidRPr="00490E10">
                  <w:rPr>
                    <w:lang w:val="sv-SE"/>
                  </w:rPr>
                  <w:t xml:space="preserve">), har den försäkrade </w:t>
                </w:r>
                <w:proofErr w:type="gramStart"/>
                <w:r w:rsidRPr="00490E10">
                  <w:rPr>
                    <w:lang w:val="sv-SE"/>
                  </w:rPr>
                  <w:t>rätt</w:t>
                </w:r>
                <w:proofErr w:type="gramEnd"/>
                <w:r w:rsidRPr="00490E10">
                  <w:rPr>
                    <w:lang w:val="sv-SE"/>
                  </w:rPr>
                  <w:t xml:space="preserve"> till en tilläggsersättning för det överstigande beloppet. Tilläggsersättningen är 100 procent av det belopp som överstiger den läkemedelsspecifika självrisken på 2,50 euro. </w:t>
                </w:r>
              </w:p>
              <w:p w:rsidR="00490E10" w:rsidRDefault="00490E10" w:rsidP="00073296">
                <w:pPr>
                  <w:pStyle w:val="LLKappalejako"/>
                  <w:rPr>
                    <w:i/>
                    <w:lang w:val="sv-SE"/>
                  </w:rPr>
                </w:pPr>
                <w:r w:rsidRPr="00073296">
                  <w:rPr>
                    <w:i/>
                    <w:lang w:val="sv-SE"/>
                  </w:rPr>
                  <w:t>Beloppet av årssjälvrisken enligt 1 mom. binds till förändringar i prisnivån på det sätt som föreskrivs i lagen om folkpensionsindex (456/2001), och beloppet motsvarar det poängtal för folkpensionsindexet som avses i lagen om folkpensionsindex och enligt vilket storleken av de folkpensioner som betalades ut i januari 2014 har räknats ut.</w:t>
                </w:r>
              </w:p>
              <w:p w:rsidR="000F1374" w:rsidRDefault="000F1374" w:rsidP="003F1C96">
                <w:pPr>
                  <w:pStyle w:val="LLNormaali"/>
                </w:pPr>
                <w:r w:rsidRPr="000A334A">
                  <w:rPr>
                    <w:lang w:eastAsia="fi-FI"/>
                  </w:rPr>
                  <w:t>— — — — — — — — — — — — — —</w:t>
                </w:r>
              </w:p>
              <w:p w:rsidR="00490E10" w:rsidRPr="00490E10" w:rsidRDefault="00490E10" w:rsidP="00490E10">
                <w:pPr>
                  <w:spacing w:line="220" w:lineRule="exact"/>
                  <w:jc w:val="center"/>
                  <w:rPr>
                    <w:lang w:val="sv-SE"/>
                  </w:rPr>
                </w:pPr>
                <w:bookmarkStart w:id="51" w:name="_GoBack"/>
                <w:bookmarkEnd w:id="51"/>
                <w:proofErr w:type="gramStart"/>
                <w:r w:rsidRPr="00490E10">
                  <w:rPr>
                    <w:lang w:val="sv-SE"/>
                  </w:rPr>
                  <w:t>—</w:t>
                </w:r>
                <w:proofErr w:type="gramEnd"/>
                <w:r w:rsidRPr="00490E10">
                  <w:rPr>
                    <w:lang w:val="sv-SE"/>
                  </w:rPr>
                  <w:t>——</w:t>
                </w:r>
              </w:p>
              <w:p w:rsidR="00490E10" w:rsidRPr="00073296" w:rsidRDefault="00490E10" w:rsidP="00073296">
                <w:pPr>
                  <w:pStyle w:val="LLVoimaantulokappale"/>
                  <w:rPr>
                    <w:i/>
                    <w:lang w:val="sv-SE"/>
                  </w:rPr>
                </w:pPr>
                <w:r w:rsidRPr="00073296">
                  <w:rPr>
                    <w:i/>
                    <w:lang w:val="sv-SE"/>
                  </w:rPr>
                  <w:t>Denna lag träder i kraft den 1 januari 2024.</w:t>
                </w:r>
              </w:p>
              <w:p w:rsidR="00B14DA5" w:rsidRPr="00B14DA5" w:rsidRDefault="00B14DA5" w:rsidP="00490E10">
                <w:pPr>
                  <w:pStyle w:val="LLPykala"/>
                  <w:jc w:val="left"/>
                  <w:rPr>
                    <w:lang w:val="sv-SE"/>
                  </w:rPr>
                </w:pPr>
              </w:p>
            </w:tc>
          </w:tr>
        </w:tbl>
        <w:p w:rsidR="00794627" w:rsidRDefault="000F1374" w:rsidP="00794627">
          <w:pPr>
            <w:pStyle w:val="LLNormaali"/>
            <w:rPr>
              <w:lang w:val="sv-SE"/>
            </w:rPr>
          </w:pPr>
        </w:p>
      </w:sdtContent>
    </w:sdt>
    <w:sectPr w:rsidR="00794627"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74F" w:rsidRDefault="0073174F">
      <w:r>
        <w:separator/>
      </w:r>
    </w:p>
  </w:endnote>
  <w:endnote w:type="continuationSeparator" w:id="0">
    <w:p w:rsidR="0073174F" w:rsidRDefault="0073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F1374">
            <w:rPr>
              <w:rStyle w:val="Sivunumero"/>
              <w:noProof/>
              <w:sz w:val="22"/>
            </w:rPr>
            <w:t>9</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74F" w:rsidRDefault="0073174F">
      <w:r>
        <w:separator/>
      </w:r>
    </w:p>
  </w:footnote>
  <w:footnote w:type="continuationSeparator" w:id="0">
    <w:p w:rsidR="0073174F" w:rsidRDefault="0073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42" w:rsidRDefault="00CB0A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4F"/>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69D"/>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296"/>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374"/>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45B7"/>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2592"/>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0E10"/>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E1"/>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174F"/>
    <w:rsid w:val="00734053"/>
    <w:rsid w:val="007341C4"/>
    <w:rsid w:val="00736DB4"/>
    <w:rsid w:val="0073710B"/>
    <w:rsid w:val="007374FE"/>
    <w:rsid w:val="0074053D"/>
    <w:rsid w:val="00740F02"/>
    <w:rsid w:val="00741C40"/>
    <w:rsid w:val="00744738"/>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18DA"/>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51EB"/>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8A"/>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26D405"/>
  <w15:docId w15:val="{574BFDDA-EE0B-419E-85D6-15D5169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90E10"/>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outlineLvl w:val="4"/>
    </w:pPr>
    <w:rPr>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86\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C7F86A97249B69CB83D256B804A87"/>
        <w:category>
          <w:name w:val="Yleiset"/>
          <w:gallery w:val="placeholder"/>
        </w:category>
        <w:types>
          <w:type w:val="bbPlcHdr"/>
        </w:types>
        <w:behaviors>
          <w:behavior w:val="content"/>
        </w:behaviors>
        <w:guid w:val="{23269321-9455-4510-ADFC-FEEAC518D944}"/>
      </w:docPartPr>
      <w:docPartBody>
        <w:p w:rsidR="007526A0" w:rsidRDefault="007526A0">
          <w:pPr>
            <w:pStyle w:val="588C7F86A97249B69CB83D256B804A87"/>
          </w:pPr>
          <w:r w:rsidRPr="005D3E42">
            <w:rPr>
              <w:rStyle w:val="Paikkamerkkiteksti"/>
            </w:rPr>
            <w:t>Click or tap here to enter text.</w:t>
          </w:r>
        </w:p>
      </w:docPartBody>
    </w:docPart>
    <w:docPart>
      <w:docPartPr>
        <w:name w:val="2A664DA6B661408BAD3B2E573A9D8C99"/>
        <w:category>
          <w:name w:val="Yleiset"/>
          <w:gallery w:val="placeholder"/>
        </w:category>
        <w:types>
          <w:type w:val="bbPlcHdr"/>
        </w:types>
        <w:behaviors>
          <w:behavior w:val="content"/>
        </w:behaviors>
        <w:guid w:val="{3AF07F43-2950-4FE4-9295-4B36DF0998DE}"/>
      </w:docPartPr>
      <w:docPartBody>
        <w:p w:rsidR="007526A0" w:rsidRDefault="007526A0">
          <w:pPr>
            <w:pStyle w:val="2A664DA6B661408BAD3B2E573A9D8C99"/>
          </w:pPr>
          <w:r w:rsidRPr="005D3E42">
            <w:rPr>
              <w:rStyle w:val="Paikkamerkkiteksti"/>
            </w:rPr>
            <w:t>Click or tap here to enter text.</w:t>
          </w:r>
        </w:p>
      </w:docPartBody>
    </w:docPart>
    <w:docPart>
      <w:docPartPr>
        <w:name w:val="C124069C065F4C4C8A82D862F380CEF9"/>
        <w:category>
          <w:name w:val="Yleiset"/>
          <w:gallery w:val="placeholder"/>
        </w:category>
        <w:types>
          <w:type w:val="bbPlcHdr"/>
        </w:types>
        <w:behaviors>
          <w:behavior w:val="content"/>
        </w:behaviors>
        <w:guid w:val="{5A425E53-F79F-4278-86BE-27E0D54777D6}"/>
      </w:docPartPr>
      <w:docPartBody>
        <w:p w:rsidR="007526A0" w:rsidRDefault="007526A0">
          <w:pPr>
            <w:pStyle w:val="C124069C065F4C4C8A82D862F380CEF9"/>
          </w:pPr>
          <w:r w:rsidRPr="002B458A">
            <w:rPr>
              <w:rStyle w:val="Paikkamerkkiteksti"/>
            </w:rPr>
            <w:t>Kirjoita tekstiä napsauttamalla tai napauttamalla tätä.</w:t>
          </w:r>
        </w:p>
      </w:docPartBody>
    </w:docPart>
    <w:docPart>
      <w:docPartPr>
        <w:name w:val="B16B0E93C9394486B64986918A5A88E2"/>
        <w:category>
          <w:name w:val="Yleiset"/>
          <w:gallery w:val="placeholder"/>
        </w:category>
        <w:types>
          <w:type w:val="bbPlcHdr"/>
        </w:types>
        <w:behaviors>
          <w:behavior w:val="content"/>
        </w:behaviors>
        <w:guid w:val="{654B1123-6165-48AC-83B4-C0596535D474}"/>
      </w:docPartPr>
      <w:docPartBody>
        <w:p w:rsidR="007526A0" w:rsidRDefault="007526A0">
          <w:pPr>
            <w:pStyle w:val="B16B0E93C9394486B64986918A5A88E2"/>
          </w:pPr>
          <w:r w:rsidRPr="005D3E42">
            <w:rPr>
              <w:rStyle w:val="Paikkamerkkiteksti"/>
            </w:rPr>
            <w:t>Click or tap here to enter text.</w:t>
          </w:r>
        </w:p>
      </w:docPartBody>
    </w:docPart>
    <w:docPart>
      <w:docPartPr>
        <w:name w:val="F098DCA0DA054A04A570F7B1074D00DF"/>
        <w:category>
          <w:name w:val="Yleiset"/>
          <w:gallery w:val="placeholder"/>
        </w:category>
        <w:types>
          <w:type w:val="bbPlcHdr"/>
        </w:types>
        <w:behaviors>
          <w:behavior w:val="content"/>
        </w:behaviors>
        <w:guid w:val="{78FBF651-F071-4376-8602-DF70B9A8B3E3}"/>
      </w:docPartPr>
      <w:docPartBody>
        <w:p w:rsidR="007526A0" w:rsidRDefault="007526A0">
          <w:pPr>
            <w:pStyle w:val="F098DCA0DA054A04A570F7B1074D00DF"/>
          </w:pPr>
          <w:r w:rsidRPr="00CC518A">
            <w:rPr>
              <w:rStyle w:val="Paikkamerkkiteksti"/>
            </w:rPr>
            <w:t>Valitse kohde.</w:t>
          </w:r>
        </w:p>
      </w:docPartBody>
    </w:docPart>
    <w:docPart>
      <w:docPartPr>
        <w:name w:val="DA70B4C7479D4EACB67E79665DE4546C"/>
        <w:category>
          <w:name w:val="Yleiset"/>
          <w:gallery w:val="placeholder"/>
        </w:category>
        <w:types>
          <w:type w:val="bbPlcHdr"/>
        </w:types>
        <w:behaviors>
          <w:behavior w:val="content"/>
        </w:behaviors>
        <w:guid w:val="{A69F8FD9-FE4D-46FA-9A4B-AE363AAEB87B}"/>
      </w:docPartPr>
      <w:docPartBody>
        <w:p w:rsidR="007526A0" w:rsidRDefault="007526A0">
          <w:pPr>
            <w:pStyle w:val="DA70B4C7479D4EACB67E79665DE4546C"/>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A0"/>
    <w:rsid w:val="007526A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88C7F86A97249B69CB83D256B804A87">
    <w:name w:val="588C7F86A97249B69CB83D256B804A87"/>
  </w:style>
  <w:style w:type="paragraph" w:customStyle="1" w:styleId="2A664DA6B661408BAD3B2E573A9D8C99">
    <w:name w:val="2A664DA6B661408BAD3B2E573A9D8C99"/>
  </w:style>
  <w:style w:type="paragraph" w:customStyle="1" w:styleId="C124069C065F4C4C8A82D862F380CEF9">
    <w:name w:val="C124069C065F4C4C8A82D862F380CEF9"/>
  </w:style>
  <w:style w:type="paragraph" w:customStyle="1" w:styleId="B16B0E93C9394486B64986918A5A88E2">
    <w:name w:val="B16B0E93C9394486B64986918A5A88E2"/>
  </w:style>
  <w:style w:type="paragraph" w:customStyle="1" w:styleId="F098DCA0DA054A04A570F7B1074D00DF">
    <w:name w:val="F098DCA0DA054A04A570F7B1074D00DF"/>
  </w:style>
  <w:style w:type="paragraph" w:customStyle="1" w:styleId="DA70B4C7479D4EACB67E79665DE4546C">
    <w:name w:val="DA70B4C7479D4EACB67E79665DE454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E70A9-D1B7-4B78-B04B-619CEDCC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52</TotalTime>
  <Pages>9</Pages>
  <Words>2496</Words>
  <Characters>17071</Characters>
  <Application>Microsoft Office Word</Application>
  <DocSecurity>0</DocSecurity>
  <Lines>142</Lines>
  <Paragraphs>39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vt:lpstr>
      <vt:lpstr>1</vt:lpstr>
    </vt:vector>
  </TitlesOfParts>
  <Company>VM</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dc:title>
  <dc:subject/>
  <dc:creator>Marjamäki Tarja (STM)</dc:creator>
  <cp:keywords/>
  <dc:description/>
  <cp:lastModifiedBy>Marjamäki Tarja (STM)</cp:lastModifiedBy>
  <cp:revision>3</cp:revision>
  <cp:lastPrinted>2017-12-04T10:02:00Z</cp:lastPrinted>
  <dcterms:created xsi:type="dcterms:W3CDTF">2023-08-24T07:25:00Z</dcterms:created>
  <dcterms:modified xsi:type="dcterms:W3CDTF">2023-08-24T13:15:00Z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