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480"/>
      </w:tblGrid>
      <w:tr w:rsidR="00FF6DA4" w14:paraId="2D55814D" w14:textId="77777777">
        <w:trPr>
          <w:trHeight w:val="93"/>
        </w:trPr>
        <w:tc>
          <w:tcPr>
            <w:tcW w:w="3643" w:type="dxa"/>
            <w:gridSpan w:val="2"/>
            <w:hideMark/>
          </w:tcPr>
          <w:p w14:paraId="734B5DAC" w14:textId="77777777" w:rsidR="00FF6DA4" w:rsidRDefault="00CC3BF4">
            <w:pPr>
              <w:pStyle w:val="bdokumentintiedot"/>
            </w:pPr>
            <w:r>
              <w:rPr>
                <w:b/>
                <w:bCs/>
              </w:rPr>
              <w:t>Promemoria</w:t>
            </w:r>
          </w:p>
        </w:tc>
      </w:tr>
      <w:tr w:rsidR="00FF6DA4" w14:paraId="3434CD00" w14:textId="77777777">
        <w:trPr>
          <w:trHeight w:val="94"/>
        </w:trPr>
        <w:tc>
          <w:tcPr>
            <w:tcW w:w="1163" w:type="dxa"/>
          </w:tcPr>
          <w:p w14:paraId="444E3D84" w14:textId="77777777" w:rsidR="00FF6DA4" w:rsidRDefault="00CC3BF4">
            <w:pPr>
              <w:pStyle w:val="bdokumentintiedot"/>
              <w:rPr>
                <w:b/>
                <w:bCs/>
              </w:rPr>
            </w:pPr>
            <w:r>
              <w:rPr>
                <w:b/>
                <w:bCs/>
              </w:rPr>
              <w:t>Ärendenummer:</w:t>
            </w:r>
          </w:p>
        </w:tc>
        <w:tc>
          <w:tcPr>
            <w:tcW w:w="2480" w:type="dxa"/>
            <w:hideMark/>
          </w:tcPr>
          <w:p w14:paraId="089AC2EE" w14:textId="353DD495" w:rsidR="00FF6DA4" w:rsidRDefault="00CC3BF4">
            <w:pPr>
              <w:pStyle w:val="bdokumentintiedot"/>
            </w:pPr>
            <w:r>
              <w:t>VN/24973/2023</w:t>
            </w:r>
          </w:p>
        </w:tc>
      </w:tr>
      <w:tr w:rsidR="00FF6DA4" w14:paraId="7D3335AE" w14:textId="77777777">
        <w:trPr>
          <w:trHeight w:val="91"/>
        </w:trPr>
        <w:tc>
          <w:tcPr>
            <w:tcW w:w="1163" w:type="dxa"/>
          </w:tcPr>
          <w:p w14:paraId="68A936BD" w14:textId="77777777" w:rsidR="00FF6DA4" w:rsidRDefault="00CC3BF4">
            <w:pPr>
              <w:pStyle w:val="bdokumentintiedot"/>
              <w:rPr>
                <w:b/>
                <w:bCs/>
              </w:rPr>
            </w:pPr>
            <w:r>
              <w:rPr>
                <w:b/>
                <w:bCs/>
              </w:rPr>
              <w:t>Datum:</w:t>
            </w:r>
          </w:p>
        </w:tc>
        <w:tc>
          <w:tcPr>
            <w:tcW w:w="2480" w:type="dxa"/>
            <w:hideMark/>
          </w:tcPr>
          <w:p w14:paraId="3EA5E446" w14:textId="029A07CE" w:rsidR="00FF6DA4" w:rsidRDefault="00CC3BF4">
            <w:pPr>
              <w:pStyle w:val="bdokumentintiedot"/>
            </w:pPr>
            <w:r>
              <w:t>Den 12 september 2023</w:t>
            </w:r>
          </w:p>
        </w:tc>
      </w:tr>
    </w:tbl>
    <w:p w14:paraId="309F55C3" w14:textId="4D9B7300" w:rsidR="00FF6DA4" w:rsidRDefault="00CC3BF4">
      <w:pPr>
        <w:pStyle w:val="Otsikko2"/>
        <w:rPr>
          <w:sz w:val="36"/>
        </w:rPr>
      </w:pPr>
      <w:r>
        <w:rPr>
          <w:sz w:val="36"/>
        </w:rPr>
        <w:t>GODKÄNNANDE AV ÄNDRINGARNA AV MARPOL-KONVENT</w:t>
      </w:r>
      <w:r w:rsidR="00E92CB4">
        <w:rPr>
          <w:sz w:val="36"/>
        </w:rPr>
        <w:t>IONEN GENOM RESOLUTIONERNA MEPC</w:t>
      </w:r>
      <w:r>
        <w:rPr>
          <w:sz w:val="36"/>
        </w:rPr>
        <w:t>.359(79) OCH MEPC.362(79)</w:t>
      </w:r>
    </w:p>
    <w:p w14:paraId="6BA9F5ED" w14:textId="62BD2A32" w:rsidR="00FF6DA4" w:rsidRDefault="00CC3BF4">
      <w:pPr>
        <w:pStyle w:val="Otsikko3"/>
      </w:pPr>
      <w:r>
        <w:t>Resolutioner som föreläggs för godkännande</w:t>
      </w:r>
    </w:p>
    <w:p w14:paraId="0CE9143E" w14:textId="0A18E410" w:rsidR="00FF6DA4" w:rsidRDefault="00CC3BF4">
      <w:pPr>
        <w:pStyle w:val="Leipteksti"/>
        <w:jc w:val="both"/>
      </w:pPr>
      <w:r>
        <w:t xml:space="preserve">Inom Internationella sjöfartsorganisationen (IMO, International </w:t>
      </w:r>
      <w:proofErr w:type="spellStart"/>
      <w:r>
        <w:t>Maritime</w:t>
      </w:r>
      <w:proofErr w:type="spellEnd"/>
      <w:r>
        <w:t xml:space="preserve"> </w:t>
      </w:r>
      <w:proofErr w:type="spellStart"/>
      <w:r>
        <w:t>Organization</w:t>
      </w:r>
      <w:proofErr w:type="spellEnd"/>
      <w:r>
        <w:t>) ingicks 1973 en internationell konvention till förhindrande av förorening från fartyg och 1978 års protokoll till konventionen (nedan MARPOL-konventionen). Finland anslöt sig till konventionen den 20 september 1983 (</w:t>
      </w:r>
      <w:proofErr w:type="spellStart"/>
      <w:r>
        <w:t>FördrS</w:t>
      </w:r>
      <w:proofErr w:type="spellEnd"/>
      <w:r>
        <w:t xml:space="preserve"> 51/1983). Konventionen har ändrats flera gånger genom beslut av IMO:s kommitté för skydd av den marina miljön (nedan MEPC-kommittén).</w:t>
      </w:r>
    </w:p>
    <w:p w14:paraId="566B314C" w14:textId="13EBE734" w:rsidR="00FF6DA4" w:rsidRDefault="00E92CB4">
      <w:pPr>
        <w:pStyle w:val="Leipteksti"/>
        <w:jc w:val="both"/>
      </w:pPr>
      <w:r>
        <w:t>Vid sitt 79:</w:t>
      </w:r>
      <w:r w:rsidR="00CC3BF4">
        <w:t>e möte den 16 december 2022 antog MEPC-kommittén fyra resolutioner genom vilka det görs juridiskt bindande ändringar i MARPOL-konventionen. För republikens presidents godkännande föreslås nu de ändringar i bilagorna I, II, IV och VI till MARPOL-konventionen som gjorde</w:t>
      </w:r>
      <w:r>
        <w:t>s genom resolutionerna MEPC</w:t>
      </w:r>
      <w:r w:rsidR="00CC3BF4">
        <w:t>.359(79) och MEPC.362(79). Den viktigaste ändringen som gjorts genom de nämnda resolutionerna är att tillåta regionala mottagningsarrangemang i arktiska hamnar i enlighet med bilagorna I, II, IV och VI till MARPOL-konventionen.</w:t>
      </w:r>
    </w:p>
    <w:p w14:paraId="04A735A3" w14:textId="69E875F6" w:rsidR="00FF6DA4" w:rsidRDefault="00CC3BF4">
      <w:pPr>
        <w:pStyle w:val="Leipteksti"/>
        <w:jc w:val="both"/>
      </w:pPr>
      <w:r>
        <w:t>De ändringar i bilaga V till MARPOL-konventionen som gjordes genom resolution MEPC .360(79), som antogs vid samma sammanträde, hör delvis till området för lagstiftningen, och därför föreläggs resolutionen riksdagen för godkännande. Genom resolutionen gjordes motsvarande ändringar i bilaga V till MARPOL-konventionen som nu föreslås för republikens presidents godkännande i fråga om bilagorna I, II, IV och VI, men på grund av de andra ändringar i resolutionen som hör till området för lagstiftningen behandlas den nationellt i en annan</w:t>
      </w:r>
      <w:r w:rsidR="00E92CB4">
        <w:t xml:space="preserve"> process. Genom resolution MEPC</w:t>
      </w:r>
      <w:r>
        <w:t>.361(79) gjordes i sin tur endast sådana ändringar i bilagorna till MARPOL-konventionen som hör till unionens exklusiva befogenhet, så de ändringar som gjorts genom resolutionen presenteras som ett separat ärende för statsrådet för godkännande.</w:t>
      </w:r>
    </w:p>
    <w:p w14:paraId="6F1559C9" w14:textId="58263312" w:rsidR="00FF6DA4" w:rsidRDefault="00E92CB4">
      <w:pPr>
        <w:pStyle w:val="Otsikko4"/>
      </w:pPr>
      <w:r>
        <w:t>Resolution MEPC</w:t>
      </w:r>
      <w:r w:rsidR="00CC3BF4">
        <w:t>.359(79)</w:t>
      </w:r>
    </w:p>
    <w:p w14:paraId="5F0C3CC6" w14:textId="6432E338" w:rsidR="00FF6DA4" w:rsidRDefault="00E92CB4">
      <w:pPr>
        <w:pStyle w:val="Leipteksti"/>
        <w:jc w:val="both"/>
      </w:pPr>
      <w:r>
        <w:t>Genom resolution MEPC</w:t>
      </w:r>
      <w:r w:rsidR="00CC3BF4">
        <w:t xml:space="preserve">.359(79) ändras regel 38 i bilaga I till MARPOL-konventionen, regel 18 i bilaga II och regel 12 i bilaga IV till MARPOL-konventionen så att hamnar i arktiska havsområden i fortsättningen kan omfattas av de skyldigheter som gäller mottagningsarrangemang i hamnar genom regionala mottagningsarrangemang. Således kan de arktiska staterna genom regionala arrangemang uppfylla kraven på mottagande av oljigt avfall, avfall som innehåller rester av skadliga ämnen samt toalettavfall från fartyg till hamn i fråga om sina hamnar i den arktiska regionen, och alla hamnar behöver inte erbjuda de arrangemang som bilagorna till MARPOL-konventionen förutsätter. En motsvarande möjlighet har redan tidigare varit tillåten för små </w:t>
      </w:r>
      <w:proofErr w:type="spellStart"/>
      <w:r w:rsidR="00CC3BF4">
        <w:t>östater</w:t>
      </w:r>
      <w:proofErr w:type="spellEnd"/>
      <w:r w:rsidR="00CC3BF4">
        <w:t xml:space="preserve"> under utveckling. Genom samma resolution ändras dessutom tillägget till bilaga II till bilaga I, där förlagan till det internationella oljeföroreningscertifikatet (IOPP-certifikatet) B. Genom ändringen uppdateras rubriken för kapitel 5 i förlagan med en hänvisning till alla bestämmelser i bilaga I till MARPOL-konventionen som kapitlet gäller. Ändringen är mycket teknisk.</w:t>
      </w:r>
    </w:p>
    <w:p w14:paraId="53EAEA7A" w14:textId="39B9137D" w:rsidR="00FF6DA4" w:rsidRDefault="00CC3BF4">
      <w:pPr>
        <w:pStyle w:val="Otsikko4"/>
      </w:pPr>
      <w:r>
        <w:lastRenderedPageBreak/>
        <w:t>Resolution MEPC.362(79)</w:t>
      </w:r>
    </w:p>
    <w:p w14:paraId="1F6E7CC0" w14:textId="412CF8C1" w:rsidR="00FF6DA4" w:rsidRDefault="00CC3BF4">
      <w:pPr>
        <w:pStyle w:val="Leipteksti"/>
      </w:pPr>
      <w:r>
        <w:t>Genom resolution MEPC.362(79) ändras regel 17 i bilaga VI till MARPOL-konventionen om luftföroreningar från fartyg så att hamnar i arktiska havsområden i fortsättningen kan omfattas av de skyldigheter som gäller mottagningsarrangemang i hamnar genom regionala mottagningsarrangemang. Samtidigt ändras tillägg V om de uppgifter som ska ingå i leveranssedeln för bränsle i bilaga VI till konventionen och tillägg IX om de uppgifter som ska lämnas till IMO:s bränsleförbrukningsdatabas. Genom ändringarna beaktas de informationsbehov som följer av kraven i 1974 års internationella konvention om säkerheten för människoliv till sjöss (SOLAS) och införandet av uppgifter om fartygs kolintensitet i IMO:s databas över fartygs bränsleförbrukning.</w:t>
      </w:r>
    </w:p>
    <w:p w14:paraId="1A3A5429" w14:textId="2BABCCE4" w:rsidR="00FF6DA4" w:rsidRDefault="00CC3BF4">
      <w:pPr>
        <w:pStyle w:val="Otsikko3"/>
      </w:pPr>
      <w:r>
        <w:t>Samband mellan ändringarna och den nationella lagstiftningen och EU-lagstiftningen</w:t>
      </w:r>
    </w:p>
    <w:p w14:paraId="737D169F" w14:textId="25378B63" w:rsidR="00FF6DA4" w:rsidRDefault="00CC3BF4">
      <w:pPr>
        <w:pStyle w:val="Leipteksti"/>
        <w:jc w:val="both"/>
      </w:pPr>
      <w:r>
        <w:t>MARPOL-konventionen har i Finland genomförts genom miljöskyddslagen för sjöfarten (1672/2009) och statsrådets förordning om miljöskydd för sjöfarten (76/2010).</w:t>
      </w:r>
    </w:p>
    <w:p w14:paraId="13A8C8FB" w14:textId="6D00E7F4" w:rsidR="00FF6DA4" w:rsidRDefault="00CC3BF4">
      <w:pPr>
        <w:pStyle w:val="Leipteksti"/>
        <w:jc w:val="both"/>
      </w:pPr>
      <w:r>
        <w:t>I och med Europaparlamentets och rådets direktiv (EU) 2019/883 om mottagningsanordningar i hamn för avlämning av fartygsgenererat avfall, om ändring av direktiv 2010/65/EU och om upphävande av direktiv 2000/59/EG (det s.k. fartygsavfallsdirektivet) hör kraven på avfallshantering i hamnar till Europeiska unionens exklusiva befogenhet. Fartygsavfallsdirektivet innehåller bestämmelser bl.a. om mottagningsanordningar i hamnar och om hamnarnas planer för avfallshantering. Fartygsavfallsdirektivet har genomförts nationellt genom bestämmelserna i 9 kap. i miljöskyddslagen för sjöfarten och 7 kap. i statsrådets förordning om miljöskydd för sjöfarten.</w:t>
      </w:r>
    </w:p>
    <w:p w14:paraId="2D93D9DC" w14:textId="1EF9A8BF" w:rsidR="00FF6DA4" w:rsidRDefault="00CC3BF4">
      <w:pPr>
        <w:pStyle w:val="Leipteksti"/>
        <w:jc w:val="both"/>
      </w:pPr>
      <w:r>
        <w:t>Bestämmelser om IOPP-certifikat som krävs av fartyg med stöd av bilaga I till MARPOL-konventionen finns i 2 kap. 7 § i miljöskyddslagen för sjöfarten. Enligt 2 mom. beviljar Transport- och kommunikationsverket eller ett erkänt klassificeringssällskap på skriftlig ansökan ett finskt fartygs IOPP-certifikat i enlighet med formuläret i bilaga I till MARPOL-konventionen. Europeiska unionen har inte utfärdat några bestämmelser om IOPP-certifikat, så den ändring som nu föreslås bli godkänd hör i enlighet med artikel 4.2 g i fördraget om Europeiska unionens funktionssätt till unionens och medlemsstaternas delade befogenhet.</w:t>
      </w:r>
    </w:p>
    <w:p w14:paraId="50ED6552" w14:textId="27D3F011" w:rsidR="00FF6DA4" w:rsidRDefault="00CC3BF4">
      <w:pPr>
        <w:pStyle w:val="Leipteksti"/>
        <w:jc w:val="both"/>
      </w:pPr>
      <w:r>
        <w:t xml:space="preserve">Bestämmelser om överlåtelsebevis för bränsle finns i 7 kap. 9 § i miljöskyddslagen för sjöfarten, enligt vilken ett fartyg i internationell fart vars bruttodräktighet är minst 400 ska ha ett av bränsleleverantören utfärdat överlåtelsebevis för bränsle enligt bilaga VI till MARPOL-konventionen, till vilket har fogats ett bränsleprov. Det tillägg som nu gjorts kompletterar de tidigare uppgifter om bränslet som bränsleleverantören lämnat i överlåtelsebeviset med uppgifter om bränsleflampunkten. Europeiska unionen har inte utfärdat några bestämmelser om överlåtelsebevis för bränsle, så den bestämmelse i </w:t>
      </w:r>
      <w:r w:rsidR="00E92CB4">
        <w:t>MARPOL-</w:t>
      </w:r>
      <w:r>
        <w:t>konventionen som gäller det hör till unionens och dess medlemsstaters delade behörighet.</w:t>
      </w:r>
    </w:p>
    <w:p w14:paraId="3326111B" w14:textId="7327B0E2" w:rsidR="00FF6DA4" w:rsidRDefault="00CC3BF4">
      <w:pPr>
        <w:pStyle w:val="Leipteksti"/>
        <w:jc w:val="both"/>
      </w:pPr>
      <w:r>
        <w:t xml:space="preserve">Bestämmelser om systemet för insamling av uppgifter om fartygs bränsleförbrukning finns i 7 a kap. 2 och 2 b § i miljöskyddslagen för sjöfarten. Enligt de nämnda bestämmelserna ska ett fartyg med en bruttodräktighet </w:t>
      </w:r>
      <w:r>
        <w:lastRenderedPageBreak/>
        <w:t xml:space="preserve">på minst 5 000 samla in de uppgifter som ska lämnas till databasen över fartygs bränsleförbrukning från och med kalenderåret 2019 och på begäran förse Transport- och kommunikationsverket eller ett erkänt klassificeringssällskap med de specificerade uppgifter som ligger till grund för de uppgifter som ska lämnas till databasen över fartygs bränsleförbrukning och i vissa situationer hålla dem tillgängliga. Transport- och kommunikationsverket eller ett erkänt klassificeringssällskap sänder verifierade uppgifter till Internationella sjöfartsorganisationens databas över fartygs bränsleförbrukning. Det tillägg som nu gjorts kompletterar de uppgifter som tidigare rapporterats med uppgifter om de bestämmelser om koldioxidintensitet (driftsbestämmelse om koldioxidintensitet CII och energieffektivitetsbestämmelse EEXI för befintliga fartyg) som trädde i kraft den 1 november 2022, fartygets </w:t>
      </w:r>
      <w:proofErr w:type="spellStart"/>
      <w:r>
        <w:t>leveransår</w:t>
      </w:r>
      <w:proofErr w:type="spellEnd"/>
      <w:r>
        <w:t xml:space="preserve"> och huvudmotorernas och hjälpmotorernas effekt. Europeiska unionen har inte utfärdat några bestämmelser om IMO:s system för insamling av uppgifter, så den bestämmelse i </w:t>
      </w:r>
      <w:r w:rsidR="00E92CB4">
        <w:t>MARPOL-</w:t>
      </w:r>
      <w:r>
        <w:t>konventionen som gäller systemet hör till unionens och dess medlemsstaters delade behörighet.</w:t>
      </w:r>
    </w:p>
    <w:p w14:paraId="04157AE8" w14:textId="151BEE98" w:rsidR="00FF6DA4" w:rsidRDefault="00CC3BF4">
      <w:pPr>
        <w:pStyle w:val="Otsikko3"/>
      </w:pPr>
      <w:r>
        <w:t>Konsekvenser</w:t>
      </w:r>
    </w:p>
    <w:p w14:paraId="3354E76B" w14:textId="77777777" w:rsidR="00FF6DA4" w:rsidRDefault="00CC3BF4">
      <w:pPr>
        <w:pStyle w:val="Leipteksti"/>
        <w:jc w:val="both"/>
      </w:pPr>
      <w:r>
        <w:t>De ändringar som gäller regionala mottagningsarrangemang i den arktiska regionen lindrar staternas skyldighet att ordna mottagning i sina hamnar i den arktiska regionen. På motsvarande sätt kommer det i framtiden eventuellt inte att finnas mottagningsanordningar eller mottagningsarrangemang för alla typer av avfall i alla hamnar, vilket kan förutsätta noggrannare prognostisering och planering av fartyg som trafikerar den arktiska regionen. Konsekvenserna bedöms dock vara små med beaktande av trafikvolymen och trafikens karaktär i området. Finska fartyg trafikerar mycket sällan i arktiska farvatten.</w:t>
      </w:r>
    </w:p>
    <w:p w14:paraId="7EBCB0A1" w14:textId="08F366B4" w:rsidR="00FF6DA4" w:rsidRDefault="00CC3BF4">
      <w:pPr>
        <w:pStyle w:val="Leipteksti"/>
        <w:jc w:val="both"/>
      </w:pPr>
      <w:r>
        <w:t xml:space="preserve">IOPP-certifikat som beviljas fartyg med stöd av bilaga I till MARPOL-konventionen ska i fortsättningen utfärdas i enlighet med den nya mall som </w:t>
      </w:r>
      <w:r w:rsidR="00E92CB4">
        <w:t>utfärdats genom resolution MEPC</w:t>
      </w:r>
      <w:r>
        <w:t>.359(79). Ändringen är teknisk och har mycket små konsekvenser.</w:t>
      </w:r>
    </w:p>
    <w:p w14:paraId="77AB0686" w14:textId="45724E86" w:rsidR="00FF6DA4" w:rsidRDefault="00CC3BF4">
      <w:pPr>
        <w:pStyle w:val="Leipteksti"/>
        <w:jc w:val="both"/>
      </w:pPr>
      <w:r>
        <w:t>När det gäller flampunkten för</w:t>
      </w:r>
      <w:r w:rsidR="00E92CB4">
        <w:t xml:space="preserve"> bränsle medför resolution MEPC</w:t>
      </w:r>
      <w:r>
        <w:t>.362(79) inga nya skyldigheter för fartyget eller förvaltningen. Bränsleleverantören ska fastställa och ange bränsleflampunkten i enlighet med kraven. När det gäller nya uppgifter som ska rapporteras till systemet för insamling av uppgifter om fartygs bränsleförbrukning gäller resolutionen skyldigheten att rapportera uppgifter som fastställts på basis av kända eller andra föreskrifter och medför således inte något betydande extra arbete för fartygen. Det extra arbete som lämnandet av nya uppgifter till datainsamlingssystemet medför för förvaltningen är mycket litet, särskilt med beaktande av att de kontrollörer som förvaltningen bemyndigat i regel sköter lämnandet av uppgifterna i fråga till datainsamlingssystemet.</w:t>
      </w:r>
    </w:p>
    <w:p w14:paraId="0F1C7D53" w14:textId="6B10B8E5" w:rsidR="00FF6DA4" w:rsidRDefault="00CC3BF4">
      <w:pPr>
        <w:pStyle w:val="Otsikko3"/>
      </w:pPr>
      <w:r>
        <w:t>Beredning av ärendet</w:t>
      </w:r>
    </w:p>
    <w:p w14:paraId="2C364AE7" w14:textId="005193AC" w:rsidR="00FF6DA4" w:rsidRDefault="00CC3BF4">
      <w:pPr>
        <w:pStyle w:val="Leipteksti"/>
        <w:jc w:val="both"/>
      </w:pPr>
      <w:r>
        <w:t>Resolutionerna har antagits</w:t>
      </w:r>
      <w:r w:rsidR="00E92CB4">
        <w:t xml:space="preserve"> av IMO vid MEPC-kommitténs 79:</w:t>
      </w:r>
      <w:r>
        <w:t>e möte den 16 december 2022. I den nationella samordningen av kommitténs möten har myndigheterna och intressentgrupperna inom sjöfartssektorn hörts.</w:t>
      </w:r>
    </w:p>
    <w:p w14:paraId="06929DB9" w14:textId="2D72E7E0" w:rsidR="00FF6DA4" w:rsidRDefault="00CC3BF4">
      <w:pPr>
        <w:pStyle w:val="Leipteksti"/>
        <w:jc w:val="both"/>
        <w:rPr>
          <w:rFonts w:cs="Arial"/>
        </w:rPr>
      </w:pPr>
      <w:r>
        <w:t xml:space="preserve">[Berörda parter har hörts om ändringarna innan de godkändes nationellt. </w:t>
      </w:r>
      <w:r>
        <w:rPr>
          <w:rFonts w:cs="Arial"/>
        </w:rPr>
        <w:t>Remissinstanserna …]</w:t>
      </w:r>
    </w:p>
    <w:p w14:paraId="71D85F5D" w14:textId="74F25726" w:rsidR="00FF6DA4" w:rsidRDefault="00CC3BF4">
      <w:pPr>
        <w:pStyle w:val="Otsikko3"/>
      </w:pPr>
      <w:r>
        <w:lastRenderedPageBreak/>
        <w:t>Godkännandeförfarande och internationellt ikraftträdande</w:t>
      </w:r>
    </w:p>
    <w:p w14:paraId="00221817" w14:textId="4659A542" w:rsidR="00FF6DA4" w:rsidRDefault="00CC3BF4">
      <w:pPr>
        <w:pStyle w:val="Leipteksti"/>
        <w:jc w:val="both"/>
      </w:pPr>
      <w:r>
        <w:t>De ändringar i tillägg II till bilaga I till MARPOL-konventionen som gjorts genom</w:t>
      </w:r>
      <w:r w:rsidR="00E92CB4">
        <w:t xml:space="preserve"> resolution MEPC</w:t>
      </w:r>
      <w:r>
        <w:t>.359(79) och i tilläggen V och IX till bilaga VI till MARPOL-konventionen s</w:t>
      </w:r>
      <w:r w:rsidR="00E92CB4">
        <w:t>om gjorts genom resolution MEPC</w:t>
      </w:r>
      <w:r>
        <w:t>.362(79) och som anses godkända den 1 november 2023 med iakttagande av det s.k. förfarandet för tyst godkännande enligt MARPOL-konventionen, om inte minst en tredjedel av de avtalsslutande parterna eller de avtalsslutande parter vars sammanlagda tonnage motsvarar mer än 50 procent av världshandelsflottans sammanlagda tonnage har motsatt sig ändringarna före det. Om ändringarna anses ha blivit godkända, träder de i kraft den 1 maj 2024.</w:t>
      </w:r>
    </w:p>
    <w:p w14:paraId="39A30DF4" w14:textId="5689C7B8" w:rsidR="00FF6DA4" w:rsidRDefault="00CC3BF4">
      <w:pPr>
        <w:pStyle w:val="Otsikko3"/>
      </w:pPr>
      <w:r>
        <w:t>Nationellt godkännande, sättande i kraft och offentliggörande av ändringar</w:t>
      </w:r>
    </w:p>
    <w:p w14:paraId="1607094A" w14:textId="6CEA83AD" w:rsidR="00FF6DA4" w:rsidRDefault="00CC3BF4">
      <w:pPr>
        <w:pStyle w:val="Leipteksti"/>
        <w:jc w:val="both"/>
      </w:pPr>
      <w:r>
        <w:t>Eftersom resolutionerna innehåller bestämmelser som hör till såväl EU:s exklusiva befogenhet som till EU:s och medlemsstaternas delade befogenhet, men unionen inte kan vara part i MARPOL-konventionen, jämställs bestämmelserna nationellt med blandade avtal i fråga om vilka beslutet om godkännande av ändringar i avtalen fattas av republikens president. Behörighetsgrunden är då 93 § 1 mom. i grundlagen.</w:t>
      </w:r>
    </w:p>
    <w:p w14:paraId="447981D2" w14:textId="1F49151E" w:rsidR="00FF6DA4" w:rsidRDefault="00CC3BF4">
      <w:pPr>
        <w:pStyle w:val="Leipteksti"/>
        <w:jc w:val="both"/>
      </w:pPr>
      <w:r>
        <w:t>Avsikten är att ändringarna ska sättas i kraft nationellt genom förordning av statsrådet.</w:t>
      </w:r>
    </w:p>
    <w:p w14:paraId="029DB639" w14:textId="168B135A" w:rsidR="00FF6DA4" w:rsidRDefault="00CC3BF4">
      <w:pPr>
        <w:pStyle w:val="Leipteksti"/>
        <w:jc w:val="both"/>
      </w:pPr>
      <w:r>
        <w:t>De ändringar som föreslås ovan är av teknisk natur och av liten allmän betydelse. Ändringarna hör inte till området för lagstiftningen och de kräver inte heller i övrigt riksdagens samtycke. På grund av att ändringarna är ringa behöver de i enlighet med 9 § i lagen om Finlands författningssamling (188/2000) inte publiceras i Finlands författningssamlings fördragsserie, utan Transport- och kommunikationsverket ska lämna uppgifter om dem på finska och svenska. Dessutom publiceras ändringarnas engelskspråkiga texter på Transport- och kommunikationsverkets webbplats på adressen www.traficom.fi.</w:t>
      </w:r>
    </w:p>
    <w:p w14:paraId="1757C2C8" w14:textId="3F487541" w:rsidR="00FF6DA4" w:rsidRDefault="00CC3BF4">
      <w:pPr>
        <w:pStyle w:val="Otsikko3"/>
      </w:pPr>
      <w:r>
        <w:t>Presentation</w:t>
      </w:r>
    </w:p>
    <w:p w14:paraId="51CB10C6" w14:textId="0F71A64A" w:rsidR="00FF6DA4" w:rsidRDefault="00CC3BF4">
      <w:pPr>
        <w:pStyle w:val="Leipteksti"/>
        <w:jc w:val="both"/>
      </w:pPr>
      <w:r>
        <w:t>Med stöd av vad som anförts ovan föreslås det att republikens president godkänner de ändringar som genom resolution MEPC.359(79) gjorts i bilagorna I, II och IV till 1978 års protokoll till 1973 års internationella konvention till förhindrande av förorening från fartyg och de ändringar som genom resolution MEPC</w:t>
      </w:r>
      <w:bookmarkStart w:id="0" w:name="_GoBack"/>
      <w:bookmarkEnd w:id="0"/>
      <w:r>
        <w:t>.362(79) gjorts i bilaga VI till konventionen.</w:t>
      </w:r>
    </w:p>
    <w:p w14:paraId="1CD81E58" w14:textId="77777777" w:rsidR="00FF6DA4" w:rsidRDefault="00CC3BF4">
      <w:pPr>
        <w:pStyle w:val="Otsikko3"/>
      </w:pPr>
      <w:r>
        <w:t>Föredragande</w:t>
      </w:r>
    </w:p>
    <w:p w14:paraId="685B750F" w14:textId="6F8A791C" w:rsidR="00FF6DA4" w:rsidRDefault="00CC3BF4">
      <w:pPr>
        <w:pStyle w:val="Leipteksti"/>
        <w:jc w:val="both"/>
      </w:pPr>
      <w:r>
        <w:t>Laura Sarlin, konsultativ tjänsteman, kommunikationsministeriet</w:t>
      </w:r>
    </w:p>
    <w:sectPr w:rsidR="00FF6DA4">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3D1" w16cex:dateUtc="2023-09-05T13:20:00Z"/>
  <w16cex:commentExtensible w16cex:durableId="28A1CFD1" w16cex:dateUtc="2023-09-05T13:03:00Z"/>
  <w16cex:commentExtensible w16cex:durableId="28A1D4A5" w16cex:dateUtc="2023-09-05T13:24:00Z"/>
  <w16cex:commentExtensible w16cex:durableId="28A324AA" w16cex:dateUtc="2023-09-06T13:17:00Z"/>
  <w16cex:commentExtensible w16cex:durableId="28A3218A" w16cex:dateUtc="2023-09-06T13:04:00Z"/>
  <w16cex:commentExtensible w16cex:durableId="28A320BD" w16cex:dateUtc="2023-09-06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63CC7" w16cid:durableId="28A1C76F"/>
  <w16cid:commentId w16cid:paraId="24A19266" w16cid:durableId="28A32040"/>
  <w16cid:commentId w16cid:paraId="4ED4CA5E" w16cid:durableId="28A1D3D1"/>
  <w16cid:commentId w16cid:paraId="2D9016CB" w16cid:durableId="28A1CFD1"/>
  <w16cid:commentId w16cid:paraId="1BB8D544" w16cid:durableId="28A1C772"/>
  <w16cid:commentId w16cid:paraId="0FE3443E" w16cid:durableId="28A32044"/>
  <w16cid:commentId w16cid:paraId="15C0D367" w16cid:durableId="28A1C773"/>
  <w16cid:commentId w16cid:paraId="40895184" w16cid:durableId="28A1D4A5"/>
  <w16cid:commentId w16cid:paraId="0EE07445" w16cid:durableId="28A324AA"/>
  <w16cid:commentId w16cid:paraId="6EBA93CA" w16cid:durableId="28A32047"/>
  <w16cid:commentId w16cid:paraId="7D9D0077" w16cid:durableId="28A3218A"/>
  <w16cid:commentId w16cid:paraId="5DCA9684" w16cid:durableId="28A32048"/>
  <w16cid:commentId w16cid:paraId="5041847C" w16cid:durableId="28A32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9FE7" w14:textId="77777777" w:rsidR="00FF6DA4" w:rsidRDefault="00CC3BF4">
      <w:r>
        <w:separator/>
      </w:r>
    </w:p>
    <w:p w14:paraId="68774ACA" w14:textId="77777777" w:rsidR="00FF6DA4" w:rsidRDefault="00FF6DA4"/>
    <w:p w14:paraId="437D1A79" w14:textId="77777777" w:rsidR="00FF6DA4" w:rsidRDefault="00FF6DA4"/>
    <w:p w14:paraId="316D6DCC" w14:textId="77777777" w:rsidR="00FF6DA4" w:rsidRDefault="00FF6DA4"/>
    <w:p w14:paraId="4E19FCC8" w14:textId="77777777" w:rsidR="00FF6DA4" w:rsidRDefault="00FF6DA4"/>
  </w:endnote>
  <w:endnote w:type="continuationSeparator" w:id="0">
    <w:p w14:paraId="5A3BC095" w14:textId="77777777" w:rsidR="00FF6DA4" w:rsidRDefault="00CC3BF4">
      <w:r>
        <w:continuationSeparator/>
      </w:r>
    </w:p>
    <w:p w14:paraId="4158063F" w14:textId="77777777" w:rsidR="00FF6DA4" w:rsidRDefault="00FF6DA4"/>
    <w:p w14:paraId="68F46ADD" w14:textId="77777777" w:rsidR="00FF6DA4" w:rsidRDefault="00FF6DA4"/>
    <w:p w14:paraId="03B4812C" w14:textId="77777777" w:rsidR="00FF6DA4" w:rsidRDefault="00FF6DA4"/>
    <w:p w14:paraId="3ECC2324" w14:textId="77777777" w:rsidR="00FF6DA4" w:rsidRDefault="00FF6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FF6DA4" w:rsidRDefault="00FF6DA4">
    <w:pPr>
      <w:pStyle w:val="Alatunniste"/>
      <w:tabs>
        <w:tab w:val="left" w:pos="2694"/>
      </w:tabs>
    </w:pPr>
  </w:p>
  <w:p w14:paraId="0CB80F40" w14:textId="77777777" w:rsidR="00FF6DA4" w:rsidRDefault="00FF6DA4">
    <w:pPr>
      <w:pStyle w:val="Alatunniste"/>
      <w:tabs>
        <w:tab w:val="left" w:pos="2694"/>
      </w:tabs>
    </w:pPr>
  </w:p>
  <w:p w14:paraId="0C2DB603" w14:textId="77777777" w:rsidR="00FF6DA4" w:rsidRDefault="00FF6DA4">
    <w:pPr>
      <w:pStyle w:val="Alatunniste"/>
      <w:tabs>
        <w:tab w:val="left" w:pos="2694"/>
      </w:tabs>
    </w:pPr>
  </w:p>
  <w:p w14:paraId="50AC4790" w14:textId="77777777" w:rsidR="00FF6DA4" w:rsidRDefault="00FF6DA4">
    <w:pPr>
      <w:pStyle w:val="Alatunniste"/>
      <w:tabs>
        <w:tab w:val="left" w:pos="2410"/>
        <w:tab w:val="left" w:pos="2694"/>
      </w:tabs>
    </w:pPr>
  </w:p>
  <w:p w14:paraId="7C423B2C" w14:textId="77777777" w:rsidR="00FF6DA4" w:rsidRDefault="00FF6DA4">
    <w:pPr>
      <w:pStyle w:val="Alatunniste"/>
      <w:tabs>
        <w:tab w:val="left" w:pos="2410"/>
        <w:tab w:val="left" w:pos="2694"/>
      </w:tabs>
    </w:pPr>
  </w:p>
  <w:p w14:paraId="13E4FB5A" w14:textId="77777777" w:rsidR="00FF6DA4" w:rsidRDefault="00FF6DA4">
    <w:pPr>
      <w:pStyle w:val="Alatunniste"/>
      <w:tabs>
        <w:tab w:val="left" w:pos="2410"/>
        <w:tab w:val="left" w:pos="2694"/>
      </w:tabs>
    </w:pPr>
  </w:p>
  <w:p w14:paraId="528B629E" w14:textId="77777777" w:rsidR="00FF6DA4" w:rsidRDefault="00FF6DA4">
    <w:pPr>
      <w:pStyle w:val="Alatunniste"/>
      <w:tabs>
        <w:tab w:val="left" w:pos="2410"/>
        <w:tab w:val="left" w:pos="2694"/>
      </w:tabs>
    </w:pPr>
  </w:p>
  <w:p w14:paraId="485326B5" w14:textId="77777777" w:rsidR="00FF6DA4" w:rsidRDefault="00FF6DA4">
    <w:pPr>
      <w:pStyle w:val="Alatunniste"/>
      <w:tabs>
        <w:tab w:val="left" w:pos="2127"/>
        <w:tab w:val="left" w:pos="2410"/>
        <w:tab w:val="left" w:pos="2694"/>
      </w:tabs>
    </w:pPr>
  </w:p>
  <w:p w14:paraId="3900C964" w14:textId="77777777" w:rsidR="00FF6DA4" w:rsidRDefault="00FF6DA4">
    <w:pPr>
      <w:pStyle w:val="Alatunniste"/>
      <w:tabs>
        <w:tab w:val="left" w:pos="2127"/>
        <w:tab w:val="left" w:pos="2410"/>
        <w:tab w:val="left" w:pos="2694"/>
      </w:tabs>
    </w:pPr>
  </w:p>
  <w:p w14:paraId="6E3AE0C9" w14:textId="77777777" w:rsidR="00FF6DA4" w:rsidRDefault="00FF6DA4">
    <w:pPr>
      <w:pStyle w:val="Alatunniste"/>
      <w:tabs>
        <w:tab w:val="left" w:pos="1843"/>
        <w:tab w:val="left" w:pos="2127"/>
        <w:tab w:val="left" w:pos="2410"/>
        <w:tab w:val="left" w:pos="2694"/>
      </w:tabs>
    </w:pPr>
  </w:p>
  <w:p w14:paraId="63CE6897" w14:textId="77777777" w:rsidR="00FF6DA4" w:rsidRDefault="00FF6DA4">
    <w:pPr>
      <w:pStyle w:val="Alatunniste"/>
      <w:tabs>
        <w:tab w:val="left" w:pos="1843"/>
        <w:tab w:val="left" w:pos="2127"/>
        <w:tab w:val="left" w:pos="2410"/>
        <w:tab w:val="left" w:pos="2694"/>
      </w:tabs>
    </w:pPr>
  </w:p>
  <w:p w14:paraId="008F6684" w14:textId="77777777" w:rsidR="00FF6DA4" w:rsidRDefault="00FF6DA4">
    <w:pPr>
      <w:pStyle w:val="Alatunniste"/>
      <w:tabs>
        <w:tab w:val="left" w:pos="1560"/>
        <w:tab w:val="left" w:pos="1843"/>
        <w:tab w:val="left" w:pos="2127"/>
        <w:tab w:val="left" w:pos="2410"/>
        <w:tab w:val="left" w:pos="2694"/>
      </w:tabs>
    </w:pPr>
  </w:p>
  <w:p w14:paraId="185C7A85" w14:textId="77777777" w:rsidR="00FF6DA4" w:rsidRDefault="00FF6DA4">
    <w:pPr>
      <w:pStyle w:val="Alatunniste"/>
      <w:tabs>
        <w:tab w:val="left" w:pos="1560"/>
        <w:tab w:val="left" w:pos="1843"/>
        <w:tab w:val="left" w:pos="2127"/>
        <w:tab w:val="left" w:pos="2410"/>
        <w:tab w:val="left" w:pos="2694"/>
      </w:tabs>
    </w:pPr>
  </w:p>
  <w:p w14:paraId="2ED50C5F" w14:textId="77777777" w:rsidR="00FF6DA4" w:rsidRDefault="00FF6DA4">
    <w:pPr>
      <w:pStyle w:val="Alatunniste"/>
      <w:tabs>
        <w:tab w:val="left" w:pos="1560"/>
        <w:tab w:val="left" w:pos="1843"/>
        <w:tab w:val="left" w:pos="2127"/>
        <w:tab w:val="left" w:pos="2410"/>
        <w:tab w:val="left" w:pos="2694"/>
      </w:tabs>
    </w:pPr>
  </w:p>
  <w:p w14:paraId="3E486580" w14:textId="77777777" w:rsidR="00FF6DA4" w:rsidRDefault="00FF6DA4">
    <w:pPr>
      <w:pStyle w:val="Alatunniste"/>
      <w:tabs>
        <w:tab w:val="left" w:pos="1560"/>
        <w:tab w:val="left" w:pos="1843"/>
        <w:tab w:val="left" w:pos="2127"/>
        <w:tab w:val="left" w:pos="2410"/>
        <w:tab w:val="left" w:pos="2694"/>
      </w:tabs>
    </w:pPr>
  </w:p>
  <w:p w14:paraId="7A6ABE8B" w14:textId="77777777" w:rsidR="00FF6DA4" w:rsidRDefault="00FF6DA4">
    <w:pPr>
      <w:pStyle w:val="Alatunniste"/>
      <w:tabs>
        <w:tab w:val="left" w:pos="1560"/>
        <w:tab w:val="left" w:pos="1843"/>
        <w:tab w:val="left" w:pos="2127"/>
        <w:tab w:val="left" w:pos="2410"/>
        <w:tab w:val="left" w:pos="2694"/>
      </w:tabs>
    </w:pPr>
  </w:p>
  <w:p w14:paraId="6C1CD753" w14:textId="77777777" w:rsidR="00FF6DA4" w:rsidRDefault="00FF6DA4">
    <w:pPr>
      <w:pStyle w:val="Alatunniste"/>
      <w:tabs>
        <w:tab w:val="left" w:pos="1560"/>
        <w:tab w:val="left" w:pos="1843"/>
        <w:tab w:val="left" w:pos="2127"/>
        <w:tab w:val="left" w:pos="2410"/>
        <w:tab w:val="left" w:pos="2694"/>
      </w:tabs>
    </w:pPr>
  </w:p>
  <w:p w14:paraId="297D7CAC" w14:textId="77777777" w:rsidR="00FF6DA4" w:rsidRDefault="00FF6DA4">
    <w:pPr>
      <w:pStyle w:val="Alatunniste"/>
      <w:tabs>
        <w:tab w:val="left" w:pos="1560"/>
        <w:tab w:val="left" w:pos="1843"/>
        <w:tab w:val="left" w:pos="2127"/>
        <w:tab w:val="left" w:pos="2410"/>
        <w:tab w:val="left" w:pos="2694"/>
      </w:tabs>
    </w:pPr>
  </w:p>
  <w:p w14:paraId="4E248D27" w14:textId="77777777" w:rsidR="00FF6DA4" w:rsidRDefault="00FF6DA4">
    <w:pPr>
      <w:pStyle w:val="Alatunniste"/>
      <w:tabs>
        <w:tab w:val="left" w:pos="1560"/>
        <w:tab w:val="left" w:pos="1843"/>
        <w:tab w:val="left" w:pos="2127"/>
        <w:tab w:val="left" w:pos="2410"/>
        <w:tab w:val="left" w:pos="2694"/>
      </w:tabs>
    </w:pPr>
  </w:p>
  <w:p w14:paraId="6B47F39F" w14:textId="77777777" w:rsidR="00FF6DA4" w:rsidRDefault="00FF6DA4"/>
  <w:p w14:paraId="425A0E87" w14:textId="77777777" w:rsidR="00FF6DA4" w:rsidRDefault="00FF6DA4"/>
  <w:p w14:paraId="13EC1CF3" w14:textId="77777777" w:rsidR="00FF6DA4" w:rsidRDefault="00FF6DA4"/>
  <w:p w14:paraId="641F49D3" w14:textId="77777777" w:rsidR="00FF6DA4" w:rsidRDefault="00FF6DA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FF6DA4" w14:paraId="7727CC3F" w14:textId="77777777">
      <w:tc>
        <w:tcPr>
          <w:tcW w:w="2641" w:type="dxa"/>
          <w:tcBorders>
            <w:left w:val="single" w:sz="4" w:space="0" w:color="BFBFBF" w:themeColor="background1" w:themeShade="BF"/>
            <w:right w:val="single" w:sz="4" w:space="0" w:color="BFBFBF" w:themeColor="background1" w:themeShade="BF"/>
          </w:tcBorders>
        </w:tcPr>
        <w:p w14:paraId="461E5C4D" w14:textId="77777777" w:rsidR="00FF6DA4" w:rsidRDefault="00CC3BF4">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FF6DA4" w:rsidRDefault="00CC3BF4">
          <w:pPr>
            <w:pStyle w:val="Alatunniste"/>
          </w:pPr>
          <w:r>
            <w:t xml:space="preserve">PB 23, 00023 </w:t>
          </w:r>
          <w:proofErr w:type="spellStart"/>
          <w:r>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FF6DA4" w:rsidRDefault="00CC3BF4">
          <w:pPr>
            <w:pStyle w:val="Alatunniste"/>
          </w:pPr>
          <w:r>
            <w:t>vn.fi</w:t>
          </w:r>
        </w:p>
      </w:tc>
      <w:tc>
        <w:tcPr>
          <w:tcW w:w="1698" w:type="dxa"/>
          <w:tcBorders>
            <w:left w:val="single" w:sz="4" w:space="0" w:color="BFBFBF" w:themeColor="background1" w:themeShade="BF"/>
          </w:tcBorders>
        </w:tcPr>
        <w:p w14:paraId="73113B96" w14:textId="77777777" w:rsidR="00FF6DA4" w:rsidRDefault="00CC3BF4">
          <w:pPr>
            <w:pStyle w:val="Alatunniste"/>
          </w:pPr>
          <w:proofErr w:type="spellStart"/>
          <w:r>
            <w:t>tfn</w:t>
          </w:r>
          <w:proofErr w:type="spellEnd"/>
          <w:r>
            <w:t xml:space="preserve"> 0295 16001</w:t>
          </w:r>
        </w:p>
      </w:tc>
    </w:tr>
    <w:tr w:rsidR="00FF6DA4" w14:paraId="717B4F80" w14:textId="77777777">
      <w:tc>
        <w:tcPr>
          <w:tcW w:w="2641" w:type="dxa"/>
          <w:tcBorders>
            <w:left w:val="single" w:sz="4" w:space="0" w:color="BFBFBF" w:themeColor="background1" w:themeShade="BF"/>
            <w:right w:val="single" w:sz="4" w:space="0" w:color="BFBFBF" w:themeColor="background1" w:themeShade="BF"/>
          </w:tcBorders>
        </w:tcPr>
        <w:p w14:paraId="4CD3764F" w14:textId="77777777" w:rsidR="00FF6DA4" w:rsidRDefault="00CC3BF4">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FF6DA4" w:rsidRDefault="00CC3BF4">
          <w:pPr>
            <w:pStyle w:val="Alatunniste"/>
          </w:pPr>
          <w:r>
            <w:t xml:space="preserve">PB 23, 00023 </w:t>
          </w:r>
          <w:proofErr w:type="spellStart"/>
          <w:r>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FF6DA4" w:rsidRDefault="00CC3BF4">
          <w:pPr>
            <w:pStyle w:val="Alatunniste"/>
          </w:pPr>
          <w:r>
            <w:t>vn.fi/</w:t>
          </w:r>
          <w:proofErr w:type="spellStart"/>
          <w:r>
            <w:t>sv</w:t>
          </w:r>
          <w:proofErr w:type="spellEnd"/>
        </w:p>
      </w:tc>
      <w:tc>
        <w:tcPr>
          <w:tcW w:w="1698" w:type="dxa"/>
          <w:tcBorders>
            <w:left w:val="single" w:sz="4" w:space="0" w:color="BFBFBF" w:themeColor="background1" w:themeShade="BF"/>
          </w:tcBorders>
        </w:tcPr>
        <w:p w14:paraId="7E25214C" w14:textId="77777777" w:rsidR="00FF6DA4" w:rsidRDefault="00CC3BF4">
          <w:pPr>
            <w:pStyle w:val="Alatunniste"/>
          </w:pPr>
          <w:proofErr w:type="spellStart"/>
          <w:r>
            <w:t>Tfn</w:t>
          </w:r>
          <w:proofErr w:type="spellEnd"/>
          <w:r>
            <w:t xml:space="preserve"> 0295 16001</w:t>
          </w:r>
        </w:p>
      </w:tc>
    </w:tr>
  </w:tbl>
  <w:p w14:paraId="22A5DB1C" w14:textId="678DADB2" w:rsidR="00FF6DA4" w:rsidRDefault="00CC3BF4">
    <w:pPr>
      <w:pStyle w:val="bAlatunnistenumero"/>
    </w:pPr>
    <w:r>
      <w:fldChar w:fldCharType="begin"/>
    </w:r>
    <w:r>
      <w:instrText xml:space="preserve"> PAGE  \* Arabic  \* MERGEFORMAT </w:instrText>
    </w:r>
    <w:r>
      <w:fldChar w:fldCharType="separate"/>
    </w:r>
    <w:r w:rsidR="00E92CB4">
      <w:rPr>
        <w:noProof/>
      </w:rPr>
      <w:t>4</w:t>
    </w:r>
    <w:r>
      <w:fldChar w:fldCharType="end"/>
    </w:r>
    <w:r>
      <w:t>(</w:t>
    </w:r>
    <w:fldSimple w:instr=" NUMPAGES   \* MERGEFORMAT ">
      <w:r w:rsidR="00E92CB4">
        <w:rPr>
          <w:noProof/>
        </w:rPr>
        <w:t>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A1EC" w14:textId="77777777" w:rsidR="00FF6DA4" w:rsidRDefault="00CC3BF4">
      <w:r>
        <w:separator/>
      </w:r>
    </w:p>
  </w:footnote>
  <w:footnote w:type="continuationSeparator" w:id="0">
    <w:p w14:paraId="6A5714B9" w14:textId="77777777" w:rsidR="00FF6DA4" w:rsidRDefault="00CC3BF4">
      <w:r>
        <w:continuationSeparator/>
      </w:r>
    </w:p>
  </w:footnote>
  <w:footnote w:type="continuationNotice" w:id="1">
    <w:p w14:paraId="357859BC" w14:textId="77777777" w:rsidR="00FF6DA4" w:rsidRDefault="00FF6DA4">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FF6DA4" w:rsidRDefault="00FF6DA4">
    <w:pPr>
      <w:pStyle w:val="Yltunniste"/>
    </w:pPr>
  </w:p>
  <w:p w14:paraId="780BA014" w14:textId="77777777" w:rsidR="00FF6DA4" w:rsidRDefault="00FF6DA4"/>
  <w:p w14:paraId="71090C49" w14:textId="77777777" w:rsidR="00FF6DA4" w:rsidRDefault="00FF6DA4"/>
  <w:p w14:paraId="03293174" w14:textId="77777777" w:rsidR="00FF6DA4" w:rsidRDefault="00FF6DA4"/>
  <w:p w14:paraId="5E5AD607" w14:textId="77777777" w:rsidR="00FF6DA4" w:rsidRDefault="00FF6D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FF6DA4" w:rsidRDefault="00CC3BF4">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Figu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srådets identifikation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defaultTabStop w:val="720"/>
  <w:hyphenationZone w:val="425"/>
  <w:noPunctuationKerning/>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31C2"/>
    <w:rsid w:val="00017999"/>
    <w:rsid w:val="00017F5F"/>
    <w:rsid w:val="00021A68"/>
    <w:rsid w:val="00022A47"/>
    <w:rsid w:val="00022CEC"/>
    <w:rsid w:val="000255FA"/>
    <w:rsid w:val="00025AFA"/>
    <w:rsid w:val="0002621D"/>
    <w:rsid w:val="00026B23"/>
    <w:rsid w:val="00027E4E"/>
    <w:rsid w:val="00030756"/>
    <w:rsid w:val="000312D3"/>
    <w:rsid w:val="00050ECD"/>
    <w:rsid w:val="000531C5"/>
    <w:rsid w:val="000544A2"/>
    <w:rsid w:val="00071F7F"/>
    <w:rsid w:val="00072F8F"/>
    <w:rsid w:val="00080F2A"/>
    <w:rsid w:val="000867B0"/>
    <w:rsid w:val="00090A49"/>
    <w:rsid w:val="00092782"/>
    <w:rsid w:val="00092C9C"/>
    <w:rsid w:val="00094418"/>
    <w:rsid w:val="000A0594"/>
    <w:rsid w:val="000A0CE3"/>
    <w:rsid w:val="000A3E44"/>
    <w:rsid w:val="000A4319"/>
    <w:rsid w:val="000A4B7A"/>
    <w:rsid w:val="000C7F3D"/>
    <w:rsid w:val="000D3CB8"/>
    <w:rsid w:val="000E56B9"/>
    <w:rsid w:val="000F3034"/>
    <w:rsid w:val="0010163B"/>
    <w:rsid w:val="00101C78"/>
    <w:rsid w:val="00101DC0"/>
    <w:rsid w:val="00102E70"/>
    <w:rsid w:val="0011067C"/>
    <w:rsid w:val="00113B5B"/>
    <w:rsid w:val="00115874"/>
    <w:rsid w:val="00116B14"/>
    <w:rsid w:val="001170AB"/>
    <w:rsid w:val="00131CF5"/>
    <w:rsid w:val="00137672"/>
    <w:rsid w:val="00140BD8"/>
    <w:rsid w:val="00143901"/>
    <w:rsid w:val="0014733A"/>
    <w:rsid w:val="00150B65"/>
    <w:rsid w:val="00153349"/>
    <w:rsid w:val="00156F48"/>
    <w:rsid w:val="001637FB"/>
    <w:rsid w:val="001646B8"/>
    <w:rsid w:val="00165912"/>
    <w:rsid w:val="00165B94"/>
    <w:rsid w:val="00166611"/>
    <w:rsid w:val="00171895"/>
    <w:rsid w:val="001718CF"/>
    <w:rsid w:val="0017291F"/>
    <w:rsid w:val="001846F1"/>
    <w:rsid w:val="001865D3"/>
    <w:rsid w:val="0018672E"/>
    <w:rsid w:val="001A04B9"/>
    <w:rsid w:val="001A477D"/>
    <w:rsid w:val="001A4932"/>
    <w:rsid w:val="001A54BA"/>
    <w:rsid w:val="001A5F89"/>
    <w:rsid w:val="001A6320"/>
    <w:rsid w:val="001A757F"/>
    <w:rsid w:val="001B01E9"/>
    <w:rsid w:val="001B3274"/>
    <w:rsid w:val="001B7478"/>
    <w:rsid w:val="001D1D1A"/>
    <w:rsid w:val="001D66CB"/>
    <w:rsid w:val="001D7CCF"/>
    <w:rsid w:val="001E3AD2"/>
    <w:rsid w:val="00200821"/>
    <w:rsid w:val="0020401A"/>
    <w:rsid w:val="0020613C"/>
    <w:rsid w:val="002071A8"/>
    <w:rsid w:val="00211AE5"/>
    <w:rsid w:val="0021267F"/>
    <w:rsid w:val="00215490"/>
    <w:rsid w:val="00217567"/>
    <w:rsid w:val="00222DDC"/>
    <w:rsid w:val="00232475"/>
    <w:rsid w:val="0023315D"/>
    <w:rsid w:val="002376D8"/>
    <w:rsid w:val="0023779B"/>
    <w:rsid w:val="00247637"/>
    <w:rsid w:val="00252B16"/>
    <w:rsid w:val="00252C83"/>
    <w:rsid w:val="00253E47"/>
    <w:rsid w:val="00261F58"/>
    <w:rsid w:val="00262B0D"/>
    <w:rsid w:val="0026582B"/>
    <w:rsid w:val="002725DA"/>
    <w:rsid w:val="00274980"/>
    <w:rsid w:val="002818A9"/>
    <w:rsid w:val="00283ABC"/>
    <w:rsid w:val="00283FDA"/>
    <w:rsid w:val="002A5353"/>
    <w:rsid w:val="002B05EB"/>
    <w:rsid w:val="002B2E3F"/>
    <w:rsid w:val="002B499B"/>
    <w:rsid w:val="002C0532"/>
    <w:rsid w:val="002C2D30"/>
    <w:rsid w:val="002C4932"/>
    <w:rsid w:val="002D0125"/>
    <w:rsid w:val="002D152C"/>
    <w:rsid w:val="002D4674"/>
    <w:rsid w:val="002D491C"/>
    <w:rsid w:val="00304524"/>
    <w:rsid w:val="00304AA8"/>
    <w:rsid w:val="00306121"/>
    <w:rsid w:val="003066DA"/>
    <w:rsid w:val="003074E8"/>
    <w:rsid w:val="00313B0A"/>
    <w:rsid w:val="00314D38"/>
    <w:rsid w:val="003161C1"/>
    <w:rsid w:val="00327996"/>
    <w:rsid w:val="0033627F"/>
    <w:rsid w:val="0033665D"/>
    <w:rsid w:val="003433A6"/>
    <w:rsid w:val="003515D0"/>
    <w:rsid w:val="00352C14"/>
    <w:rsid w:val="00357310"/>
    <w:rsid w:val="00357F38"/>
    <w:rsid w:val="003602A1"/>
    <w:rsid w:val="00364A03"/>
    <w:rsid w:val="00364E6B"/>
    <w:rsid w:val="0036542F"/>
    <w:rsid w:val="00383901"/>
    <w:rsid w:val="00383EB0"/>
    <w:rsid w:val="00391612"/>
    <w:rsid w:val="003971B7"/>
    <w:rsid w:val="003A05E0"/>
    <w:rsid w:val="003A72A3"/>
    <w:rsid w:val="003B16EA"/>
    <w:rsid w:val="003C2D44"/>
    <w:rsid w:val="003C397C"/>
    <w:rsid w:val="003C3B11"/>
    <w:rsid w:val="003C4A80"/>
    <w:rsid w:val="003C7D7A"/>
    <w:rsid w:val="003D6DB6"/>
    <w:rsid w:val="003D7B94"/>
    <w:rsid w:val="003E45DB"/>
    <w:rsid w:val="003E7367"/>
    <w:rsid w:val="003F3455"/>
    <w:rsid w:val="00400CAC"/>
    <w:rsid w:val="00403B1F"/>
    <w:rsid w:val="00404A56"/>
    <w:rsid w:val="00406C8E"/>
    <w:rsid w:val="00407895"/>
    <w:rsid w:val="00420FAF"/>
    <w:rsid w:val="00421A90"/>
    <w:rsid w:val="00421BA6"/>
    <w:rsid w:val="00425A0D"/>
    <w:rsid w:val="00426FF5"/>
    <w:rsid w:val="00433657"/>
    <w:rsid w:val="00435928"/>
    <w:rsid w:val="00441B41"/>
    <w:rsid w:val="00443DF8"/>
    <w:rsid w:val="00447FCA"/>
    <w:rsid w:val="00454519"/>
    <w:rsid w:val="00456DA0"/>
    <w:rsid w:val="00462424"/>
    <w:rsid w:val="00467E08"/>
    <w:rsid w:val="00471B8D"/>
    <w:rsid w:val="0047401A"/>
    <w:rsid w:val="0047503D"/>
    <w:rsid w:val="00476E98"/>
    <w:rsid w:val="00483C25"/>
    <w:rsid w:val="00492613"/>
    <w:rsid w:val="00495564"/>
    <w:rsid w:val="004A6643"/>
    <w:rsid w:val="004C15BB"/>
    <w:rsid w:val="004D2082"/>
    <w:rsid w:val="004E0A47"/>
    <w:rsid w:val="004E0ED1"/>
    <w:rsid w:val="004E220A"/>
    <w:rsid w:val="004E3BA4"/>
    <w:rsid w:val="004E6EAB"/>
    <w:rsid w:val="004F0215"/>
    <w:rsid w:val="004F2948"/>
    <w:rsid w:val="004F5ADD"/>
    <w:rsid w:val="004F7709"/>
    <w:rsid w:val="00514A2A"/>
    <w:rsid w:val="00514CC5"/>
    <w:rsid w:val="00516230"/>
    <w:rsid w:val="005205C3"/>
    <w:rsid w:val="00522D41"/>
    <w:rsid w:val="00536A94"/>
    <w:rsid w:val="00537918"/>
    <w:rsid w:val="0055333E"/>
    <w:rsid w:val="00557701"/>
    <w:rsid w:val="005959E4"/>
    <w:rsid w:val="00597589"/>
    <w:rsid w:val="005A7CB5"/>
    <w:rsid w:val="005B5EC2"/>
    <w:rsid w:val="005C1601"/>
    <w:rsid w:val="005F2BCE"/>
    <w:rsid w:val="005F3F95"/>
    <w:rsid w:val="006002A4"/>
    <w:rsid w:val="00600B04"/>
    <w:rsid w:val="00602A38"/>
    <w:rsid w:val="00602C33"/>
    <w:rsid w:val="00603554"/>
    <w:rsid w:val="00605080"/>
    <w:rsid w:val="0061091F"/>
    <w:rsid w:val="00611E67"/>
    <w:rsid w:val="006233E1"/>
    <w:rsid w:val="00644E40"/>
    <w:rsid w:val="00655733"/>
    <w:rsid w:val="00661C14"/>
    <w:rsid w:val="00671145"/>
    <w:rsid w:val="0067403D"/>
    <w:rsid w:val="006760A1"/>
    <w:rsid w:val="00676D08"/>
    <w:rsid w:val="00685494"/>
    <w:rsid w:val="006957CB"/>
    <w:rsid w:val="006A1423"/>
    <w:rsid w:val="006A3354"/>
    <w:rsid w:val="006A4E32"/>
    <w:rsid w:val="006B2A28"/>
    <w:rsid w:val="006B4297"/>
    <w:rsid w:val="006B553B"/>
    <w:rsid w:val="006B71B3"/>
    <w:rsid w:val="006D1550"/>
    <w:rsid w:val="006D173E"/>
    <w:rsid w:val="006D36AC"/>
    <w:rsid w:val="006D593E"/>
    <w:rsid w:val="006E1C0A"/>
    <w:rsid w:val="006E1C2A"/>
    <w:rsid w:val="006E5F42"/>
    <w:rsid w:val="006E757B"/>
    <w:rsid w:val="006E78AF"/>
    <w:rsid w:val="006F2822"/>
    <w:rsid w:val="006F4A2E"/>
    <w:rsid w:val="007124BA"/>
    <w:rsid w:val="0071419B"/>
    <w:rsid w:val="00715AB6"/>
    <w:rsid w:val="0071767C"/>
    <w:rsid w:val="007241D3"/>
    <w:rsid w:val="00724406"/>
    <w:rsid w:val="0072548A"/>
    <w:rsid w:val="00730DBA"/>
    <w:rsid w:val="0073536B"/>
    <w:rsid w:val="00751655"/>
    <w:rsid w:val="007579B4"/>
    <w:rsid w:val="00757DCD"/>
    <w:rsid w:val="007612F2"/>
    <w:rsid w:val="00762B5E"/>
    <w:rsid w:val="00765683"/>
    <w:rsid w:val="0076664B"/>
    <w:rsid w:val="00774F97"/>
    <w:rsid w:val="00777BFD"/>
    <w:rsid w:val="00784A5D"/>
    <w:rsid w:val="007A0C1C"/>
    <w:rsid w:val="007A0D9E"/>
    <w:rsid w:val="007A3DAB"/>
    <w:rsid w:val="007A44A2"/>
    <w:rsid w:val="007A5107"/>
    <w:rsid w:val="007A6196"/>
    <w:rsid w:val="007B0B40"/>
    <w:rsid w:val="007B2419"/>
    <w:rsid w:val="007B5802"/>
    <w:rsid w:val="007B5CAB"/>
    <w:rsid w:val="007B6B59"/>
    <w:rsid w:val="007B717B"/>
    <w:rsid w:val="007C42CE"/>
    <w:rsid w:val="007C56D3"/>
    <w:rsid w:val="007C6135"/>
    <w:rsid w:val="007D228F"/>
    <w:rsid w:val="007D3982"/>
    <w:rsid w:val="007D54F7"/>
    <w:rsid w:val="007E50D4"/>
    <w:rsid w:val="007E7E74"/>
    <w:rsid w:val="007F1262"/>
    <w:rsid w:val="007F5F69"/>
    <w:rsid w:val="00806DF4"/>
    <w:rsid w:val="00807509"/>
    <w:rsid w:val="008078BB"/>
    <w:rsid w:val="008116BE"/>
    <w:rsid w:val="00813D5D"/>
    <w:rsid w:val="008148E7"/>
    <w:rsid w:val="00816342"/>
    <w:rsid w:val="00821B1F"/>
    <w:rsid w:val="00822E8C"/>
    <w:rsid w:val="008273EA"/>
    <w:rsid w:val="008304AE"/>
    <w:rsid w:val="00833AC7"/>
    <w:rsid w:val="00833FD1"/>
    <w:rsid w:val="0084228E"/>
    <w:rsid w:val="00843679"/>
    <w:rsid w:val="00845A94"/>
    <w:rsid w:val="00850AA1"/>
    <w:rsid w:val="008513B9"/>
    <w:rsid w:val="0085394F"/>
    <w:rsid w:val="008654CF"/>
    <w:rsid w:val="00875583"/>
    <w:rsid w:val="00877F01"/>
    <w:rsid w:val="008908A8"/>
    <w:rsid w:val="00891547"/>
    <w:rsid w:val="00893A17"/>
    <w:rsid w:val="00893AD3"/>
    <w:rsid w:val="008A077D"/>
    <w:rsid w:val="008A13D9"/>
    <w:rsid w:val="008A3801"/>
    <w:rsid w:val="008A4EFF"/>
    <w:rsid w:val="008A5C01"/>
    <w:rsid w:val="008B2D60"/>
    <w:rsid w:val="008C32DB"/>
    <w:rsid w:val="008C4F01"/>
    <w:rsid w:val="008C6C5E"/>
    <w:rsid w:val="008C74ED"/>
    <w:rsid w:val="008D1856"/>
    <w:rsid w:val="008D7794"/>
    <w:rsid w:val="008E44A5"/>
    <w:rsid w:val="00901051"/>
    <w:rsid w:val="0090141A"/>
    <w:rsid w:val="00910FF2"/>
    <w:rsid w:val="00911816"/>
    <w:rsid w:val="009119F0"/>
    <w:rsid w:val="00914AAC"/>
    <w:rsid w:val="00915421"/>
    <w:rsid w:val="0091596A"/>
    <w:rsid w:val="0092675D"/>
    <w:rsid w:val="00933A6C"/>
    <w:rsid w:val="00940057"/>
    <w:rsid w:val="00941702"/>
    <w:rsid w:val="009452FC"/>
    <w:rsid w:val="00946BAC"/>
    <w:rsid w:val="0094706C"/>
    <w:rsid w:val="00951A5A"/>
    <w:rsid w:val="009628A8"/>
    <w:rsid w:val="00971957"/>
    <w:rsid w:val="00972843"/>
    <w:rsid w:val="00975FEC"/>
    <w:rsid w:val="00976096"/>
    <w:rsid w:val="00982D94"/>
    <w:rsid w:val="00992C0B"/>
    <w:rsid w:val="0099770A"/>
    <w:rsid w:val="00997A97"/>
    <w:rsid w:val="009A2169"/>
    <w:rsid w:val="009A3011"/>
    <w:rsid w:val="009A3699"/>
    <w:rsid w:val="009A490F"/>
    <w:rsid w:val="009A746F"/>
    <w:rsid w:val="009B1DD8"/>
    <w:rsid w:val="009C2C7F"/>
    <w:rsid w:val="009C5601"/>
    <w:rsid w:val="009C6A08"/>
    <w:rsid w:val="009D2B48"/>
    <w:rsid w:val="009D678A"/>
    <w:rsid w:val="009D7162"/>
    <w:rsid w:val="009E3054"/>
    <w:rsid w:val="009E40EB"/>
    <w:rsid w:val="009E6ACD"/>
    <w:rsid w:val="009F4C9D"/>
    <w:rsid w:val="009F5D77"/>
    <w:rsid w:val="00A005E5"/>
    <w:rsid w:val="00A07D14"/>
    <w:rsid w:val="00A140B3"/>
    <w:rsid w:val="00A20BDA"/>
    <w:rsid w:val="00A31E09"/>
    <w:rsid w:val="00A3425A"/>
    <w:rsid w:val="00A37F96"/>
    <w:rsid w:val="00A410EC"/>
    <w:rsid w:val="00A464DF"/>
    <w:rsid w:val="00A47442"/>
    <w:rsid w:val="00A47446"/>
    <w:rsid w:val="00A509A8"/>
    <w:rsid w:val="00A54E97"/>
    <w:rsid w:val="00A570DE"/>
    <w:rsid w:val="00A61837"/>
    <w:rsid w:val="00A63CCF"/>
    <w:rsid w:val="00A72C46"/>
    <w:rsid w:val="00A74B53"/>
    <w:rsid w:val="00A75B31"/>
    <w:rsid w:val="00A77AD3"/>
    <w:rsid w:val="00A818DC"/>
    <w:rsid w:val="00A93027"/>
    <w:rsid w:val="00A94B48"/>
    <w:rsid w:val="00AB1060"/>
    <w:rsid w:val="00AC387A"/>
    <w:rsid w:val="00AC3F2B"/>
    <w:rsid w:val="00AD6CF0"/>
    <w:rsid w:val="00AD7AE2"/>
    <w:rsid w:val="00AE56E8"/>
    <w:rsid w:val="00AE6082"/>
    <w:rsid w:val="00AE6131"/>
    <w:rsid w:val="00AF21A7"/>
    <w:rsid w:val="00B056FB"/>
    <w:rsid w:val="00B11F74"/>
    <w:rsid w:val="00B12108"/>
    <w:rsid w:val="00B1527B"/>
    <w:rsid w:val="00B159F1"/>
    <w:rsid w:val="00B21183"/>
    <w:rsid w:val="00B31BA4"/>
    <w:rsid w:val="00B511F3"/>
    <w:rsid w:val="00B53CFD"/>
    <w:rsid w:val="00B55573"/>
    <w:rsid w:val="00B647AB"/>
    <w:rsid w:val="00B64BAB"/>
    <w:rsid w:val="00B717AA"/>
    <w:rsid w:val="00B76E13"/>
    <w:rsid w:val="00B7708E"/>
    <w:rsid w:val="00B80584"/>
    <w:rsid w:val="00B8151D"/>
    <w:rsid w:val="00B82F70"/>
    <w:rsid w:val="00B83532"/>
    <w:rsid w:val="00B85CDF"/>
    <w:rsid w:val="00B863CD"/>
    <w:rsid w:val="00B8690B"/>
    <w:rsid w:val="00B8691C"/>
    <w:rsid w:val="00B86D4F"/>
    <w:rsid w:val="00B8731A"/>
    <w:rsid w:val="00B87DBD"/>
    <w:rsid w:val="00B919DE"/>
    <w:rsid w:val="00B959B8"/>
    <w:rsid w:val="00B97D1B"/>
    <w:rsid w:val="00BA4953"/>
    <w:rsid w:val="00BB1C53"/>
    <w:rsid w:val="00BC787A"/>
    <w:rsid w:val="00BD7E24"/>
    <w:rsid w:val="00BE736D"/>
    <w:rsid w:val="00BF2D41"/>
    <w:rsid w:val="00BF4452"/>
    <w:rsid w:val="00BF5055"/>
    <w:rsid w:val="00C04BA2"/>
    <w:rsid w:val="00C14B10"/>
    <w:rsid w:val="00C2088D"/>
    <w:rsid w:val="00C215FC"/>
    <w:rsid w:val="00C22E4B"/>
    <w:rsid w:val="00C24757"/>
    <w:rsid w:val="00C312B9"/>
    <w:rsid w:val="00C35073"/>
    <w:rsid w:val="00C36626"/>
    <w:rsid w:val="00C44FB3"/>
    <w:rsid w:val="00C458C6"/>
    <w:rsid w:val="00C460B2"/>
    <w:rsid w:val="00C548AE"/>
    <w:rsid w:val="00C62B44"/>
    <w:rsid w:val="00C63F33"/>
    <w:rsid w:val="00C662D2"/>
    <w:rsid w:val="00C81635"/>
    <w:rsid w:val="00C86DEC"/>
    <w:rsid w:val="00C918B9"/>
    <w:rsid w:val="00CA3BE0"/>
    <w:rsid w:val="00CA7733"/>
    <w:rsid w:val="00CC0090"/>
    <w:rsid w:val="00CC0DA2"/>
    <w:rsid w:val="00CC1E66"/>
    <w:rsid w:val="00CC3BF4"/>
    <w:rsid w:val="00CD3B88"/>
    <w:rsid w:val="00CD6E0A"/>
    <w:rsid w:val="00CE0E1E"/>
    <w:rsid w:val="00CE3F4D"/>
    <w:rsid w:val="00CE51BB"/>
    <w:rsid w:val="00CF0785"/>
    <w:rsid w:val="00CF1127"/>
    <w:rsid w:val="00CF4942"/>
    <w:rsid w:val="00CF71E9"/>
    <w:rsid w:val="00D00CB6"/>
    <w:rsid w:val="00D04BEC"/>
    <w:rsid w:val="00D0680F"/>
    <w:rsid w:val="00D157A5"/>
    <w:rsid w:val="00D15A11"/>
    <w:rsid w:val="00D313CB"/>
    <w:rsid w:val="00D32DD2"/>
    <w:rsid w:val="00D36443"/>
    <w:rsid w:val="00D37756"/>
    <w:rsid w:val="00D600F9"/>
    <w:rsid w:val="00D60C5D"/>
    <w:rsid w:val="00D6786E"/>
    <w:rsid w:val="00D73CF7"/>
    <w:rsid w:val="00D8248F"/>
    <w:rsid w:val="00D872CE"/>
    <w:rsid w:val="00D945A8"/>
    <w:rsid w:val="00D957E4"/>
    <w:rsid w:val="00DA0213"/>
    <w:rsid w:val="00DA3F78"/>
    <w:rsid w:val="00DA4142"/>
    <w:rsid w:val="00DA5D56"/>
    <w:rsid w:val="00DB21F4"/>
    <w:rsid w:val="00DB3F57"/>
    <w:rsid w:val="00DB54D9"/>
    <w:rsid w:val="00DB5B2E"/>
    <w:rsid w:val="00DB7A13"/>
    <w:rsid w:val="00DC37E3"/>
    <w:rsid w:val="00DD7965"/>
    <w:rsid w:val="00DE400F"/>
    <w:rsid w:val="00DE657E"/>
    <w:rsid w:val="00DF138C"/>
    <w:rsid w:val="00DF1A58"/>
    <w:rsid w:val="00DF4AF8"/>
    <w:rsid w:val="00E01218"/>
    <w:rsid w:val="00E10A89"/>
    <w:rsid w:val="00E32633"/>
    <w:rsid w:val="00E32F8C"/>
    <w:rsid w:val="00E336EB"/>
    <w:rsid w:val="00E34E3D"/>
    <w:rsid w:val="00E3552E"/>
    <w:rsid w:val="00E40C04"/>
    <w:rsid w:val="00E443C4"/>
    <w:rsid w:val="00E50491"/>
    <w:rsid w:val="00E50DD7"/>
    <w:rsid w:val="00E52B44"/>
    <w:rsid w:val="00E53A3D"/>
    <w:rsid w:val="00E5401E"/>
    <w:rsid w:val="00E554DA"/>
    <w:rsid w:val="00E61398"/>
    <w:rsid w:val="00E61A7D"/>
    <w:rsid w:val="00E61ED1"/>
    <w:rsid w:val="00E66EC6"/>
    <w:rsid w:val="00E67702"/>
    <w:rsid w:val="00E708E1"/>
    <w:rsid w:val="00E713FA"/>
    <w:rsid w:val="00E80D13"/>
    <w:rsid w:val="00E8392D"/>
    <w:rsid w:val="00E87D89"/>
    <w:rsid w:val="00E92CB4"/>
    <w:rsid w:val="00EA2E58"/>
    <w:rsid w:val="00EC0732"/>
    <w:rsid w:val="00EC3C88"/>
    <w:rsid w:val="00EC4B35"/>
    <w:rsid w:val="00EC624F"/>
    <w:rsid w:val="00ED073F"/>
    <w:rsid w:val="00ED18CD"/>
    <w:rsid w:val="00ED56C5"/>
    <w:rsid w:val="00EE3BB6"/>
    <w:rsid w:val="00EE4152"/>
    <w:rsid w:val="00EE4302"/>
    <w:rsid w:val="00EE6117"/>
    <w:rsid w:val="00EF3045"/>
    <w:rsid w:val="00EF367B"/>
    <w:rsid w:val="00F00CDE"/>
    <w:rsid w:val="00F056E5"/>
    <w:rsid w:val="00F0746C"/>
    <w:rsid w:val="00F075BA"/>
    <w:rsid w:val="00F1589E"/>
    <w:rsid w:val="00F16186"/>
    <w:rsid w:val="00F21377"/>
    <w:rsid w:val="00F31517"/>
    <w:rsid w:val="00F36C35"/>
    <w:rsid w:val="00F42646"/>
    <w:rsid w:val="00F43328"/>
    <w:rsid w:val="00F442A4"/>
    <w:rsid w:val="00F50A7E"/>
    <w:rsid w:val="00F50B7F"/>
    <w:rsid w:val="00F562F4"/>
    <w:rsid w:val="00F6698C"/>
    <w:rsid w:val="00F74100"/>
    <w:rsid w:val="00F7450A"/>
    <w:rsid w:val="00F77DC8"/>
    <w:rsid w:val="00F814A2"/>
    <w:rsid w:val="00F81599"/>
    <w:rsid w:val="00F9201E"/>
    <w:rsid w:val="00F93163"/>
    <w:rsid w:val="00F96CD9"/>
    <w:rsid w:val="00F97E18"/>
    <w:rsid w:val="00FA0D98"/>
    <w:rsid w:val="00FB0E6B"/>
    <w:rsid w:val="00FB652F"/>
    <w:rsid w:val="00FC559D"/>
    <w:rsid w:val="00FD548D"/>
    <w:rsid w:val="00FE3FA2"/>
    <w:rsid w:val="00FE77D4"/>
    <w:rsid w:val="00FF4FDE"/>
    <w:rsid w:val="00FF5D38"/>
    <w:rsid w:val="00FF6DA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sv"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sv"/>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sv"/>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sv"/>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sv"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sv"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sv"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sv"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sv"/>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sv"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sv"/>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78">
      <w:bodyDiv w:val="1"/>
      <w:marLeft w:val="0"/>
      <w:marRight w:val="0"/>
      <w:marTop w:val="0"/>
      <w:marBottom w:val="0"/>
      <w:divBdr>
        <w:top w:val="none" w:sz="0" w:space="0" w:color="auto"/>
        <w:left w:val="none" w:sz="0" w:space="0" w:color="auto"/>
        <w:bottom w:val="none" w:sz="0" w:space="0" w:color="auto"/>
        <w:right w:val="none" w:sz="0" w:space="0" w:color="auto"/>
      </w:divBdr>
    </w:div>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0793143">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507214063">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44828FDC-347F-4183-8810-C68C6506FB19}">
  <ds:schemaRef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B5EB29-18A8-40D5-9235-AE1C86DE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1578</Words>
  <Characters>10231</Characters>
  <Application>Microsoft Office Word</Application>
  <DocSecurity>0</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(km)</dc:creator>
  <cp:keywords/>
  <dc:description>Statsrådet _x000d_
 PB 23, 00023 Statsrådet_x000d_
 vn.fi_x000d_
 p 0295 16001_x000d_
 _ x 000d _
 STATSRÅDET_x000d_
 PB 23, _ x 000d _
 00023 Statsrådet_x000d_
 vn.fi/sv_x000d_
 Tfn 0295 16001</dc:description>
  <cp:lastModifiedBy>Laura Sarlin (LVM)</cp:lastModifiedBy>
  <cp:revision>3</cp:revision>
  <dcterms:created xsi:type="dcterms:W3CDTF">2023-09-14T11:55:00Z</dcterms:created>
  <dcterms:modified xsi:type="dcterms:W3CDTF">2023-09-14T12:16:00Z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