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E34F" w14:textId="52549EC7" w:rsidR="0069158A" w:rsidRPr="0069158A" w:rsidRDefault="00A36598" w:rsidP="00FE411C">
      <w:pPr>
        <w:pStyle w:val="Heading1"/>
      </w:pPr>
      <w:r>
        <w:t>Televisio- ja radiotoimintaan tarkoitettujen taajuuksien käyttö</w:t>
      </w:r>
    </w:p>
    <w:p w14:paraId="659314CE" w14:textId="77777777" w:rsidR="000E7EE4" w:rsidRPr="000E7EE4" w:rsidRDefault="00A36598" w:rsidP="00180DD1">
      <w:pPr>
        <w:pStyle w:val="Heading2"/>
      </w:pPr>
      <w:r w:rsidRPr="00F522EB">
        <w:t xml:space="preserve">Määräyksen tausta ja </w:t>
      </w:r>
      <w:r w:rsidR="0069158A" w:rsidRPr="00F522EB">
        <w:t>säädösperusta</w:t>
      </w:r>
    </w:p>
    <w:p w14:paraId="681A0A42" w14:textId="5F4171A3" w:rsidR="00FE411C" w:rsidRDefault="00A36598" w:rsidP="00FE411C">
      <w:pPr>
        <w:pStyle w:val="List"/>
        <w:numPr>
          <w:ilvl w:val="0"/>
          <w:numId w:val="0"/>
        </w:numPr>
        <w:jc w:val="both"/>
      </w:pPr>
      <w:r w:rsidRPr="00FE411C">
        <w:t xml:space="preserve">Sähköisen viestinnän palveluista annetun lain (917/2014) 96 §:n 1 momentin </w:t>
      </w:r>
      <w:r>
        <w:t>mukaan</w:t>
      </w:r>
      <w:r w:rsidRPr="00FE411C">
        <w:t xml:space="preserve"> Liikenne- ja viestintäviraston määräyksellä määrätään radiotaajuuksien käytöstä eri käyttötarkoituksiin ottaen huomioon radiotaajuuksien käyttöä koskevat kansainväliset määräykset ja suositukset sekä 95 §:n 1 momentin nojalla annettu valtioneuvoston asetu</w:t>
      </w:r>
      <w:r w:rsidRPr="00FE411C">
        <w:t>s. Määräyksessä on oltava tiedot taajuusalueen käyttötarkoituksesta ja tärkeimmistä radio-ominaisuuksista, jotka taajuusaluetta käyttävän radiolaitteen on täytettävä.</w:t>
      </w:r>
    </w:p>
    <w:p w14:paraId="6CB164E9" w14:textId="6C7931A8" w:rsidR="00FE411C" w:rsidRDefault="00FE411C" w:rsidP="00FE411C">
      <w:pPr>
        <w:pStyle w:val="List"/>
        <w:numPr>
          <w:ilvl w:val="0"/>
          <w:numId w:val="0"/>
        </w:numPr>
        <w:jc w:val="both"/>
      </w:pPr>
    </w:p>
    <w:p w14:paraId="2D8F9127" w14:textId="3CC43BAB" w:rsidR="003D14A5" w:rsidRPr="003D14A5" w:rsidRDefault="00A36598" w:rsidP="00FE411C">
      <w:pPr>
        <w:pStyle w:val="List"/>
        <w:numPr>
          <w:ilvl w:val="0"/>
          <w:numId w:val="0"/>
        </w:numPr>
        <w:jc w:val="both"/>
      </w:pPr>
      <w:r w:rsidRPr="00FE411C">
        <w:t xml:space="preserve">Määräyksellä kumotaan Liikenne- ja viestintäviraston </w:t>
      </w:r>
      <w:r>
        <w:t>20. kesäkuuta 2022</w:t>
      </w:r>
      <w:r w:rsidRPr="00FE411C">
        <w:t xml:space="preserve"> antama määräys 7</w:t>
      </w:r>
      <w:r w:rsidRPr="00FE411C">
        <w:t xml:space="preserve">0 </w:t>
      </w:r>
      <w:r>
        <w:t>K</w:t>
      </w:r>
      <w:r w:rsidRPr="00FE411C">
        <w:t>/202</w:t>
      </w:r>
      <w:r>
        <w:t>2</w:t>
      </w:r>
      <w:r w:rsidRPr="00FE411C">
        <w:t xml:space="preserve"> M. Määräyksen sisältöön tehdään taajuuksissa tapahtuneiden muutosten johdosta tarvittavat päivitykset.</w:t>
      </w:r>
      <w:r>
        <w:t xml:space="preserve"> </w:t>
      </w:r>
      <w:r w:rsidRPr="003D14A5">
        <w:t xml:space="preserve"> </w:t>
      </w:r>
    </w:p>
    <w:p w14:paraId="77C05E1B" w14:textId="77777777" w:rsidR="00577AD3" w:rsidRPr="00577AD3" w:rsidRDefault="00A36598" w:rsidP="00F522EB">
      <w:pPr>
        <w:pStyle w:val="Heading2"/>
      </w:pPr>
      <w:r w:rsidRPr="00577AD3">
        <w:t>Määräyksen tavoite</w:t>
      </w:r>
    </w:p>
    <w:p w14:paraId="6F22BBA3" w14:textId="4F4EB8F9" w:rsidR="00FE411C" w:rsidRDefault="00A36598" w:rsidP="00FE411C">
      <w:pPr>
        <w:pStyle w:val="BodyText"/>
        <w:ind w:left="0"/>
      </w:pPr>
      <w:r>
        <w:t>Tässä määräyksessä tarkennetaan sähköisen viestinnän palveluista annetun lain (917/2014) 95 §:n 1 momentin nojalla annettua</w:t>
      </w:r>
      <w:r>
        <w:t xml:space="preserve"> valtioneuvoston asetusta taajuuksien käytöstä ja taajuussuunnitelmasta </w:t>
      </w:r>
      <w:r w:rsidRPr="00162D84">
        <w:t>(1264/2014).</w:t>
      </w:r>
    </w:p>
    <w:p w14:paraId="68DE68AF" w14:textId="54101F7D" w:rsidR="0069158A" w:rsidRDefault="00A36598" w:rsidP="00F522EB">
      <w:pPr>
        <w:pStyle w:val="Heading2"/>
      </w:pPr>
      <w:r>
        <w:t>Mää</w:t>
      </w:r>
      <w:r w:rsidR="00B60BD7">
        <w:t xml:space="preserve">räyksen </w:t>
      </w:r>
      <w:r>
        <w:t>valmistelu</w:t>
      </w:r>
    </w:p>
    <w:p w14:paraId="0994CFF0" w14:textId="4719F6D1" w:rsidR="00FE411C" w:rsidRDefault="00A36598" w:rsidP="00FE411C">
      <w:pPr>
        <w:pStyle w:val="BodyText"/>
        <w:ind w:left="0"/>
      </w:pPr>
      <w:r>
        <w:t>Määräys on valmisteltu Liikenne- ja viestintävirastossa.</w:t>
      </w:r>
    </w:p>
    <w:p w14:paraId="4A1E9501" w14:textId="6B180CAB" w:rsidR="00FE411C" w:rsidRPr="00FE411C" w:rsidRDefault="00A36598" w:rsidP="00FE411C">
      <w:pPr>
        <w:pStyle w:val="BodyText"/>
        <w:ind w:left="0"/>
      </w:pPr>
      <w:r>
        <w:t xml:space="preserve">Määräysluonnoksesta on pyydetty sidosryhmiltä lausuntoja. </w:t>
      </w:r>
      <w:r w:rsidRPr="00FE411C">
        <w:rPr>
          <w:highlight w:val="yellow"/>
        </w:rPr>
        <w:t>Lausuntoaika oli xx.xx.2023 - xx.x</w:t>
      </w:r>
      <w:r w:rsidRPr="00FE411C">
        <w:rPr>
          <w:highlight w:val="yellow"/>
        </w:rPr>
        <w:t>x.202</w:t>
      </w:r>
      <w:r w:rsidR="001A1821">
        <w:rPr>
          <w:highlight w:val="yellow"/>
        </w:rPr>
        <w:t>4</w:t>
      </w:r>
      <w:r w:rsidRPr="00FE411C">
        <w:rPr>
          <w:highlight w:val="yellow"/>
        </w:rPr>
        <w:t>. Lausunnon antoivat…</w:t>
      </w:r>
    </w:p>
    <w:p w14:paraId="25B0EF6B" w14:textId="44728CCA" w:rsidR="00577AD3" w:rsidRDefault="00A36598" w:rsidP="00F522EB">
      <w:pPr>
        <w:pStyle w:val="Heading2"/>
      </w:pPr>
      <w:r>
        <w:t xml:space="preserve">Lausuntopalaute </w:t>
      </w:r>
    </w:p>
    <w:p w14:paraId="095CC897" w14:textId="4787FA15" w:rsidR="00D305F6" w:rsidRPr="00577AD3" w:rsidRDefault="00A36598" w:rsidP="00FE411C">
      <w:pPr>
        <w:pStyle w:val="List"/>
        <w:numPr>
          <w:ilvl w:val="0"/>
          <w:numId w:val="0"/>
        </w:numPr>
      </w:pPr>
      <w:r w:rsidRPr="00FE411C">
        <w:rPr>
          <w:highlight w:val="yellow"/>
        </w:rPr>
        <w:t>XXX</w:t>
      </w:r>
    </w:p>
    <w:p w14:paraId="581E5DC8" w14:textId="77777777" w:rsidR="0069158A" w:rsidRPr="00250C28" w:rsidRDefault="00A36598" w:rsidP="00F522EB">
      <w:pPr>
        <w:pStyle w:val="Heading2"/>
      </w:pPr>
      <w:r>
        <w:t>Muutokset ja a</w:t>
      </w:r>
      <w:r w:rsidRPr="0002383F">
        <w:t>rvio määräyksen vaikutuksista</w:t>
      </w:r>
    </w:p>
    <w:p w14:paraId="4865C6C1" w14:textId="77777777" w:rsidR="00D305F6" w:rsidRDefault="00A36598" w:rsidP="00FE411C">
      <w:pPr>
        <w:pStyle w:val="List"/>
        <w:numPr>
          <w:ilvl w:val="0"/>
          <w:numId w:val="0"/>
        </w:numPr>
      </w:pPr>
      <w:r>
        <w:t>Määräykseen on päivitetty määräyksen edellisen version jälkeen järjestetyn täydennyskierroksen mukaiset uudet taajuuskokonaisuudet (TK 23, TK 24, TK 25, Lahti 3, K</w:t>
      </w:r>
      <w:r>
        <w:t>aakkois-Suomi 1 ja Oulu 1) sekä toimiluvanvaraisen radiotoiminnan käytettävissä olevat vapaat taajuudet.</w:t>
      </w:r>
    </w:p>
    <w:p w14:paraId="5F8A8224" w14:textId="77777777" w:rsidR="00D305F6" w:rsidRDefault="00D305F6" w:rsidP="00FE411C">
      <w:pPr>
        <w:pStyle w:val="List"/>
        <w:numPr>
          <w:ilvl w:val="0"/>
          <w:numId w:val="0"/>
        </w:numPr>
      </w:pPr>
    </w:p>
    <w:p w14:paraId="29283091" w14:textId="27D6F93A" w:rsidR="0038688F" w:rsidRDefault="00A36598" w:rsidP="00D30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Määräyksessä osoitetaan myös Yleisradion radiotoiminnassaan käyttämät taajuudet. </w:t>
      </w:r>
      <w:r w:rsidRPr="00472D82">
        <w:rPr>
          <w:rFonts w:eastAsia="Times New Roman" w:cs="Times New Roman"/>
          <w:szCs w:val="24"/>
        </w:rPr>
        <w:t xml:space="preserve">Yleisradion hallintoneuvosto on 7.2.2023 </w:t>
      </w:r>
      <w:r w:rsidR="009A4362">
        <w:rPr>
          <w:rFonts w:eastAsia="Times New Roman" w:cs="Times New Roman"/>
          <w:szCs w:val="24"/>
        </w:rPr>
        <w:t xml:space="preserve">tekemällään päätöksellä </w:t>
      </w:r>
      <w:r w:rsidRPr="00472D82">
        <w:rPr>
          <w:rFonts w:eastAsia="Times New Roman" w:cs="Times New Roman"/>
          <w:szCs w:val="24"/>
        </w:rPr>
        <w:t>päättänyt luopua Yle Puheen tällä hetkellä käytössä olevista FM-taajuuksista</w:t>
      </w:r>
      <w:r>
        <w:rPr>
          <w:rFonts w:eastAsia="Times New Roman" w:cs="Times New Roman"/>
          <w:szCs w:val="24"/>
        </w:rPr>
        <w:t>.</w:t>
      </w:r>
      <w:r w:rsidR="00EE3114">
        <w:rPr>
          <w:rFonts w:eastAsia="Times New Roman" w:cs="Times New Roman"/>
          <w:szCs w:val="24"/>
        </w:rPr>
        <w:t xml:space="preserve"> Kyseiset taajuudet on poistettu määräyksessä Yleisradiolle osoitetuista taajuuksista</w:t>
      </w:r>
      <w:r>
        <w:rPr>
          <w:rFonts w:eastAsia="Times New Roman" w:cs="Times New Roman"/>
          <w:szCs w:val="24"/>
        </w:rPr>
        <w:t xml:space="preserve"> </w:t>
      </w:r>
      <w:r w:rsidR="00EE3114">
        <w:rPr>
          <w:rFonts w:eastAsia="Times New Roman" w:cs="Times New Roman"/>
          <w:szCs w:val="24"/>
        </w:rPr>
        <w:t xml:space="preserve">lukuun ottamatta taajuuksia, jotka on siirretty Yleisradion muiden </w:t>
      </w:r>
      <w:r>
        <w:rPr>
          <w:rFonts w:eastAsia="Times New Roman" w:cs="Times New Roman"/>
          <w:szCs w:val="24"/>
        </w:rPr>
        <w:t>radioverkkojen käyttöön.</w:t>
      </w:r>
    </w:p>
    <w:p w14:paraId="61A97006" w14:textId="77777777" w:rsidR="0038688F" w:rsidRDefault="0038688F" w:rsidP="00D305F6">
      <w:pPr>
        <w:spacing w:after="0" w:line="240" w:lineRule="auto"/>
        <w:rPr>
          <w:rFonts w:eastAsia="Times New Roman" w:cs="Times New Roman"/>
          <w:szCs w:val="24"/>
        </w:rPr>
      </w:pPr>
    </w:p>
    <w:p w14:paraId="63380A0A" w14:textId="05DBF096" w:rsidR="00D305F6" w:rsidRPr="00D305F6" w:rsidRDefault="00A36598" w:rsidP="00D30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Määräyksessä osoitetaan luopumisen seurauksena vapaiksi jäävät taajuudet toimiluvanvaraiseen käyttöön.</w:t>
      </w:r>
      <w:r w:rsidR="0038688F">
        <w:rPr>
          <w:rFonts w:eastAsia="Times New Roman" w:cs="Times New Roman"/>
          <w:szCs w:val="24"/>
        </w:rPr>
        <w:t xml:space="preserve"> Osasta Yle Puheelta vapautuvista taajuuksista on muodostettu uusi valtakunnallinen taajuuskokonaisuus TK 26. Muut Yle Puheen taajuudet osoitetaan toimiluvanvaraiseen käyttöön yksittäisinä taajuuksina.</w:t>
      </w:r>
    </w:p>
    <w:p w14:paraId="4FBEA22B" w14:textId="24F5F250" w:rsidR="00D305F6" w:rsidRDefault="00D305F6" w:rsidP="00FE411C">
      <w:pPr>
        <w:pStyle w:val="List"/>
        <w:numPr>
          <w:ilvl w:val="0"/>
          <w:numId w:val="0"/>
        </w:numPr>
      </w:pPr>
    </w:p>
    <w:p w14:paraId="0A5DBB36" w14:textId="4D0F993E" w:rsidR="009A4362" w:rsidRDefault="00A36598" w:rsidP="00FE411C">
      <w:pPr>
        <w:pStyle w:val="List"/>
        <w:numPr>
          <w:ilvl w:val="0"/>
          <w:numId w:val="0"/>
        </w:numPr>
      </w:pPr>
      <w:r>
        <w:t>Määräykseen on päivitetty</w:t>
      </w:r>
      <w:r w:rsidR="0038688F">
        <w:t xml:space="preserve"> myös muut toimiluvanvaraisen radiotoiminnan käytettävissä olevat vapaat taajuudet tämänhetkisen tilanteen mukaisesti.</w:t>
      </w:r>
      <w:r>
        <w:t xml:space="preserve"> Taajuudet ovat joko jääneet vapaiksi aiemmilta radion ohjelmist</w:t>
      </w:r>
      <w:r>
        <w:t>otoimilupien hakukierroksilta tai ne ovat vapautuneet ohjelmistotoimilupien haltijoiden luovuttua niistä viimeisimmän toimilupakierroksen jälkeen Liikenne- ja viestintävirastolle tehdyllä ilmoituksella.</w:t>
      </w:r>
    </w:p>
    <w:p w14:paraId="6A76D070" w14:textId="6B274E9F" w:rsidR="00227E10" w:rsidRDefault="00227E10" w:rsidP="00FE411C">
      <w:pPr>
        <w:pStyle w:val="List"/>
        <w:numPr>
          <w:ilvl w:val="0"/>
          <w:numId w:val="0"/>
        </w:numPr>
      </w:pPr>
    </w:p>
    <w:p w14:paraId="634D1D8D" w14:textId="7EFB1086" w:rsidR="009A4362" w:rsidRDefault="00A36598" w:rsidP="00FE411C">
      <w:pPr>
        <w:pStyle w:val="List"/>
        <w:numPr>
          <w:ilvl w:val="0"/>
          <w:numId w:val="0"/>
        </w:numPr>
      </w:pPr>
      <w:r>
        <w:lastRenderedPageBreak/>
        <w:t>Koordinointi on kesken kolmen yksittäisen toimiluvan</w:t>
      </w:r>
      <w:r>
        <w:t>varaiseen käyttöön osoitettavan taajuuden osalta, minkä vuoksi kyseiset taajuudet ovat ehdollisia koordinoinnin valmistumiseen asti.</w:t>
      </w:r>
    </w:p>
    <w:p w14:paraId="60BCB690" w14:textId="268DD905" w:rsidR="00D305F6" w:rsidRDefault="00D305F6" w:rsidP="00FE411C">
      <w:pPr>
        <w:pStyle w:val="List"/>
        <w:numPr>
          <w:ilvl w:val="0"/>
          <w:numId w:val="0"/>
        </w:numPr>
      </w:pPr>
    </w:p>
    <w:p w14:paraId="595B34F6" w14:textId="49A6BF57" w:rsidR="00D305F6" w:rsidRDefault="00A36598" w:rsidP="00D305F6">
      <w:pPr>
        <w:pStyle w:val="List"/>
        <w:numPr>
          <w:ilvl w:val="0"/>
          <w:numId w:val="0"/>
        </w:numPr>
      </w:pPr>
      <w:r>
        <w:t>Nyt voimaan tuleva määräys 70 L on määräyksen 13. versio.</w:t>
      </w:r>
    </w:p>
    <w:p w14:paraId="2ACB6E82" w14:textId="4632E3F1" w:rsidR="00D305F6" w:rsidRDefault="00D305F6" w:rsidP="00FE411C">
      <w:pPr>
        <w:pStyle w:val="List"/>
        <w:numPr>
          <w:ilvl w:val="0"/>
          <w:numId w:val="0"/>
        </w:numPr>
      </w:pPr>
    </w:p>
    <w:p w14:paraId="4ECCD079" w14:textId="77777777" w:rsidR="00D305F6" w:rsidRPr="00162D84" w:rsidRDefault="00A36598" w:rsidP="00D305F6">
      <w:pPr>
        <w:pStyle w:val="List"/>
        <w:numPr>
          <w:ilvl w:val="0"/>
          <w:numId w:val="0"/>
        </w:numPr>
        <w:rPr>
          <w:i/>
        </w:rPr>
      </w:pPr>
      <w:r w:rsidRPr="00162D84">
        <w:rPr>
          <w:i/>
        </w:rPr>
        <w:t>Tietoyhteiskuntavaikutukset</w:t>
      </w:r>
    </w:p>
    <w:p w14:paraId="226682E2" w14:textId="77777777" w:rsidR="00D305F6" w:rsidRDefault="00A36598" w:rsidP="00D305F6">
      <w:pPr>
        <w:pStyle w:val="List"/>
        <w:numPr>
          <w:ilvl w:val="0"/>
          <w:numId w:val="0"/>
        </w:numPr>
      </w:pPr>
      <w:r>
        <w:t>Muutoksilla tuetaan ajantasaisen tiedon välittämistä toimialalle radion ohjelmistotoimilupatilanteesta, vapaana olevista radiotaajuuksista ja televisiomarkkinoiden käytettävissä olevista kanavista.</w:t>
      </w:r>
    </w:p>
    <w:p w14:paraId="51B7D22C" w14:textId="77777777" w:rsidR="00D305F6" w:rsidRDefault="00D305F6" w:rsidP="00D305F6">
      <w:pPr>
        <w:pStyle w:val="List"/>
        <w:numPr>
          <w:ilvl w:val="0"/>
          <w:numId w:val="0"/>
        </w:numPr>
      </w:pPr>
    </w:p>
    <w:p w14:paraId="1406B30F" w14:textId="77777777" w:rsidR="00D305F6" w:rsidRPr="00162D84" w:rsidRDefault="00A36598" w:rsidP="00D305F6">
      <w:pPr>
        <w:pStyle w:val="List"/>
        <w:numPr>
          <w:ilvl w:val="0"/>
          <w:numId w:val="0"/>
        </w:numPr>
        <w:rPr>
          <w:i/>
        </w:rPr>
      </w:pPr>
      <w:r w:rsidRPr="00162D84">
        <w:rPr>
          <w:i/>
        </w:rPr>
        <w:t>Vaikutukset viranomaisen toimintaan</w:t>
      </w:r>
    </w:p>
    <w:p w14:paraId="60100E74" w14:textId="79F92186" w:rsidR="00D305F6" w:rsidRPr="00D305F6" w:rsidRDefault="00A36598" w:rsidP="00D305F6">
      <w:pPr>
        <w:spacing w:after="0" w:line="240" w:lineRule="auto"/>
        <w:rPr>
          <w:rFonts w:eastAsia="Times New Roman" w:cs="Times New Roman"/>
          <w:szCs w:val="24"/>
        </w:rPr>
      </w:pPr>
      <w:r w:rsidRPr="00191878">
        <w:t xml:space="preserve">Määräys tukee </w:t>
      </w:r>
      <w:r>
        <w:t>Liikenn</w:t>
      </w:r>
      <w:r>
        <w:t xml:space="preserve">e- ja viestintäviraston toimilupaprosessia. </w:t>
      </w:r>
      <w:r>
        <w:rPr>
          <w:rFonts w:eastAsia="Times New Roman" w:cs="Times New Roman"/>
          <w:szCs w:val="24"/>
        </w:rPr>
        <w:t>Määräyksessä on kuvattu läpinäkyvästi peittoalueiden laskentatapa, mikä edistää myös laajempaa viranomaistoiminnan avoimuusperiaatetta.</w:t>
      </w:r>
    </w:p>
    <w:p w14:paraId="63076755" w14:textId="77777777" w:rsidR="00D305F6" w:rsidRDefault="00D305F6" w:rsidP="00D305F6">
      <w:pPr>
        <w:pStyle w:val="List"/>
        <w:numPr>
          <w:ilvl w:val="0"/>
          <w:numId w:val="0"/>
        </w:numPr>
      </w:pPr>
    </w:p>
    <w:p w14:paraId="2E141700" w14:textId="77777777" w:rsidR="00D305F6" w:rsidRDefault="00A36598" w:rsidP="00D305F6">
      <w:pPr>
        <w:pStyle w:val="List"/>
        <w:numPr>
          <w:ilvl w:val="0"/>
          <w:numId w:val="0"/>
        </w:numPr>
        <w:rPr>
          <w:i/>
        </w:rPr>
      </w:pPr>
      <w:r w:rsidRPr="00162D84">
        <w:rPr>
          <w:i/>
        </w:rPr>
        <w:t>Vaikutukset asiakkaiden, sidosryhmien ja kansalaisten toimintaan</w:t>
      </w:r>
    </w:p>
    <w:p w14:paraId="0B3D08EE" w14:textId="27A16BD3" w:rsidR="00D305F6" w:rsidRPr="004E797F" w:rsidRDefault="00A36598" w:rsidP="00FE411C">
      <w:pPr>
        <w:pStyle w:val="List"/>
        <w:numPr>
          <w:ilvl w:val="0"/>
          <w:numId w:val="0"/>
        </w:numPr>
      </w:pPr>
      <w:r>
        <w:t>Määräys ei</w:t>
      </w:r>
      <w:r>
        <w:t xml:space="preserve"> velvoita toimijoita tai aiheuta välittömiä taloudellisia vaikutuksia. Määräyksellä on kuitenkin välillisiä vaikutuksia radiomarkkinaan ja kilpailutilanteen kehittymiseen vapaana olevien radiotaajuuksien osoittamisen sekä ajankohtaisen ohjelmistotoimilupat</w:t>
      </w:r>
      <w:r>
        <w:t>ilanteen esittämisen kautta. Uusien vapaiden taajuuksien osoittaminen mahdollistaa radiomarkkinoiden kehittymisen myös kansalaisia hyödyttävällä tavalla. Lisäksi määräyksellä tuetaan tasavertaista menettelyä toimialan toimijoiden kesken.</w:t>
      </w:r>
    </w:p>
    <w:p w14:paraId="3F071D0F" w14:textId="1899E6A0" w:rsidR="00640977" w:rsidRPr="00B076AF" w:rsidRDefault="00A36598" w:rsidP="00640977">
      <w:pPr>
        <w:pStyle w:val="Heading2"/>
      </w:pPr>
      <w:r w:rsidRPr="00E957FF">
        <w:t>Määräyksen aikatau</w:t>
      </w:r>
      <w:r w:rsidRPr="00E957FF">
        <w:t>lu</w:t>
      </w:r>
      <w:r w:rsidR="00E957FF">
        <w:t>/voimaantulo</w:t>
      </w:r>
    </w:p>
    <w:p w14:paraId="36CCAF17" w14:textId="3017E385" w:rsidR="0069158A" w:rsidRDefault="00A36598" w:rsidP="00640977">
      <w:pPr>
        <w:pStyle w:val="BodyText"/>
        <w:ind w:left="0"/>
        <w:rPr>
          <w:bCs/>
        </w:rPr>
      </w:pPr>
      <w:r>
        <w:rPr>
          <w:bCs/>
        </w:rPr>
        <w:t>Määräyksen on tarkoitus tulla voimaan tammi- tai helmikuun 2024 aikana.</w:t>
      </w:r>
    </w:p>
    <w:p w14:paraId="605C3488" w14:textId="06C971C0" w:rsidR="00640977" w:rsidRDefault="00A36598" w:rsidP="00640977">
      <w:pPr>
        <w:pStyle w:val="Heading2"/>
      </w:pPr>
      <w:r>
        <w:t>Määräyksestä viestiminen</w:t>
      </w:r>
    </w:p>
    <w:p w14:paraId="791D888C" w14:textId="0768CE68" w:rsidR="00640977" w:rsidRPr="00640977" w:rsidRDefault="00A36598" w:rsidP="00640977">
      <w:pPr>
        <w:pStyle w:val="BodyText"/>
        <w:ind w:left="0"/>
      </w:pPr>
      <w:r>
        <w:t>Valmis määräys julkaistaan Liikenne- ja viestintäviraston määräyskokoelmassa Finlex.fi-verkkopalvelussa sekä Liikenne- ja viestintäviraston inte</w:t>
      </w:r>
      <w:r>
        <w:t>rnet-sivuilla.</w:t>
      </w:r>
    </w:p>
    <w:sectPr w:rsidR="00640977" w:rsidRPr="00640977" w:rsidSect="00DC6C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02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8F2E" w14:textId="77777777" w:rsidR="00000000" w:rsidRDefault="00A36598">
      <w:pPr>
        <w:spacing w:after="0" w:line="240" w:lineRule="auto"/>
      </w:pPr>
      <w:r>
        <w:separator/>
      </w:r>
    </w:p>
  </w:endnote>
  <w:endnote w:type="continuationSeparator" w:id="0">
    <w:p w14:paraId="3B82644B" w14:textId="77777777" w:rsidR="00000000" w:rsidRDefault="00A3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4BB9" w14:textId="77777777" w:rsidR="00D20384" w:rsidRPr="00180DD1" w:rsidRDefault="00A36598" w:rsidP="00DC6CDB">
    <w:pPr>
      <w:pStyle w:val="Footer"/>
      <w:tabs>
        <w:tab w:val="clear" w:pos="4819"/>
        <w:tab w:val="clear" w:pos="9638"/>
        <w:tab w:val="right" w:pos="9751"/>
      </w:tabs>
    </w:pPr>
    <w:r w:rsidRPr="000008C6">
      <w:t xml:space="preserve">Liikenne- ja viestintävirasto Traficom • PL 320, 00059 TRAFICOM </w:t>
    </w:r>
    <w:r w:rsidR="00DC6CDB">
      <w:br/>
    </w:r>
    <w:r w:rsidRPr="000008C6">
      <w:t xml:space="preserve">p. 029 534 5000 • Y-tunnus </w:t>
    </w:r>
    <w:r w:rsidRPr="00DA7912">
      <w:t>2924753-3</w:t>
    </w:r>
    <w:r w:rsidRPr="000008C6">
      <w:t xml:space="preserve"> </w:t>
    </w:r>
    <w:r w:rsidR="00DC6CDB">
      <w:tab/>
    </w:r>
    <w:r w:rsidRPr="0089181B"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4170" w14:textId="77777777" w:rsidR="009C54D8" w:rsidRDefault="00A36598" w:rsidP="009342B5">
    <w:pPr>
      <w:pStyle w:val="Footer"/>
      <w:spacing w:line="276" w:lineRule="auto"/>
    </w:pPr>
    <w:r w:rsidRPr="00765D0E">
      <w:t xml:space="preserve">Liikenne- ja viestintävirasto Traficom </w:t>
    </w:r>
    <w:r>
      <w:t>▪</w:t>
    </w:r>
    <w:r w:rsidRPr="00765D0E">
      <w:t xml:space="preserve"> PL 320, 00059 TRAFICOM</w:t>
    </w:r>
  </w:p>
  <w:p w14:paraId="1FDB3F61" w14:textId="77777777" w:rsidR="00E578A9" w:rsidRPr="009C54D8" w:rsidRDefault="00A36598" w:rsidP="00700414">
    <w:pPr>
      <w:pStyle w:val="Footer"/>
      <w:spacing w:line="276" w:lineRule="auto"/>
      <w:rPr>
        <w:b/>
      </w:rPr>
    </w:pPr>
    <w:r>
      <w:t>p</w:t>
    </w:r>
    <w:r w:rsidRPr="00765D0E">
      <w:t xml:space="preserve">. 029 534 5000 </w:t>
    </w:r>
    <w:r>
      <w:t>▪</w:t>
    </w:r>
    <w:r w:rsidRPr="00765D0E">
      <w:t xml:space="preserve"> Y-tunnus 2924753-</w:t>
    </w:r>
    <w:r>
      <w:t>3</w:t>
    </w:r>
    <w:r>
      <w:tab/>
    </w:r>
    <w:r w:rsidR="009C54D8">
      <w:tab/>
    </w:r>
    <w:r w:rsidR="009C54D8" w:rsidRPr="009C54D8">
      <w:rPr>
        <w:b/>
      </w:rPr>
      <w:t>www.trafi</w:t>
    </w:r>
    <w:r w:rsidR="00DF26C4">
      <w:rPr>
        <w:b/>
      </w:rPr>
      <w:t>com</w:t>
    </w:r>
    <w:r w:rsidR="009C54D8" w:rsidRPr="009C54D8">
      <w:rPr>
        <w:b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CED6" w14:textId="77777777" w:rsidR="00000000" w:rsidRDefault="00A36598">
      <w:pPr>
        <w:spacing w:after="0" w:line="240" w:lineRule="auto"/>
      </w:pPr>
      <w:r>
        <w:separator/>
      </w:r>
    </w:p>
  </w:footnote>
  <w:footnote w:type="continuationSeparator" w:id="0">
    <w:p w14:paraId="2B932080" w14:textId="77777777" w:rsidR="00000000" w:rsidRDefault="00A3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2DEC" w14:textId="77777777" w:rsidR="00F522EB" w:rsidRPr="00F522EB" w:rsidRDefault="00A36598" w:rsidP="00DC6CDB">
    <w:pPr>
      <w:tabs>
        <w:tab w:val="center" w:pos="4819"/>
        <w:tab w:val="left" w:pos="5670"/>
        <w:tab w:val="right" w:pos="9638"/>
      </w:tabs>
      <w:spacing w:after="0" w:line="240" w:lineRule="auto"/>
      <w:ind w:left="851" w:firstLine="4252"/>
      <w:rPr>
        <w:rFonts w:eastAsia="Calibri" w:cs="Calibri"/>
      </w:rPr>
    </w:pPr>
    <w:r w:rsidRPr="00F522EB">
      <w:rPr>
        <w:rFonts w:eastAsia="Calibri" w:cs="Calibri"/>
        <w:noProof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733331</wp:posOffset>
          </wp:positionH>
          <wp:positionV relativeFrom="page">
            <wp:posOffset>398352</wp:posOffset>
          </wp:positionV>
          <wp:extent cx="2127272" cy="467999"/>
          <wp:effectExtent l="0" t="0" r="6350" b="825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72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Calibri"/>
        <w:b/>
        <w:sz w:val="22"/>
      </w:rPr>
      <w:t>Perustelumuistio</w:t>
    </w:r>
    <w:r w:rsidRPr="00F522EB">
      <w:rPr>
        <w:rFonts w:eastAsia="Calibri" w:cs="Calibri"/>
        <w:b/>
        <w:sz w:val="22"/>
      </w:rPr>
      <w:tab/>
    </w:r>
    <w:r w:rsidRPr="00F522EB">
      <w:rPr>
        <w:rFonts w:eastAsia="Calibri" w:cs="Calibri"/>
        <w:sz w:val="18"/>
      </w:rPr>
      <w:fldChar w:fldCharType="begin"/>
    </w:r>
    <w:r w:rsidRPr="00F522EB">
      <w:rPr>
        <w:rFonts w:eastAsia="Calibri" w:cs="Calibri"/>
        <w:sz w:val="18"/>
      </w:rPr>
      <w:instrText xml:space="preserve"> PAGE </w:instrText>
    </w:r>
    <w:r w:rsidRPr="00F522EB">
      <w:rPr>
        <w:rFonts w:eastAsia="Calibri" w:cs="Calibri"/>
        <w:sz w:val="18"/>
      </w:rPr>
      <w:fldChar w:fldCharType="separate"/>
    </w:r>
    <w:r w:rsidR="00C321D6">
      <w:rPr>
        <w:rFonts w:eastAsia="Calibri" w:cs="Calibri"/>
        <w:noProof/>
        <w:sz w:val="18"/>
      </w:rPr>
      <w:t>1</w:t>
    </w:r>
    <w:r w:rsidRPr="00F522EB">
      <w:rPr>
        <w:rFonts w:eastAsia="Calibri" w:cs="Calibri"/>
        <w:sz w:val="18"/>
      </w:rPr>
      <w:fldChar w:fldCharType="end"/>
    </w:r>
    <w:r w:rsidRPr="00F522EB">
      <w:rPr>
        <w:rFonts w:eastAsia="Calibri" w:cs="Calibri"/>
      </w:rPr>
      <w:t xml:space="preserve"> (</w:t>
    </w:r>
    <w:r w:rsidRPr="00F522EB">
      <w:rPr>
        <w:rFonts w:eastAsia="Calibri" w:cs="Calibri"/>
        <w:sz w:val="18"/>
      </w:rPr>
      <w:fldChar w:fldCharType="begin"/>
    </w:r>
    <w:r w:rsidRPr="00F522EB">
      <w:rPr>
        <w:rFonts w:eastAsia="Calibri" w:cs="Calibri"/>
        <w:sz w:val="18"/>
      </w:rPr>
      <w:instrText xml:space="preserve"> NUMPAGES </w:instrText>
    </w:r>
    <w:r w:rsidRPr="00F522EB">
      <w:rPr>
        <w:rFonts w:eastAsia="Calibri" w:cs="Calibri"/>
        <w:sz w:val="18"/>
      </w:rPr>
      <w:fldChar w:fldCharType="separate"/>
    </w:r>
    <w:r w:rsidR="00C321D6">
      <w:rPr>
        <w:rFonts w:eastAsia="Calibri" w:cs="Calibri"/>
        <w:noProof/>
        <w:sz w:val="18"/>
      </w:rPr>
      <w:t>2</w:t>
    </w:r>
    <w:r w:rsidRPr="00F522EB">
      <w:rPr>
        <w:rFonts w:eastAsia="Calibri" w:cs="Calibri"/>
        <w:sz w:val="18"/>
      </w:rPr>
      <w:fldChar w:fldCharType="end"/>
    </w:r>
    <w:r w:rsidRPr="00F522EB">
      <w:rPr>
        <w:rFonts w:eastAsia="Calibri" w:cs="Calibri"/>
      </w:rPr>
      <w:t>)</w:t>
    </w:r>
  </w:p>
  <w:p w14:paraId="3431A0D5" w14:textId="77777777" w:rsidR="00F522EB" w:rsidRPr="00F522EB" w:rsidRDefault="00F522EB" w:rsidP="00DC6CDB">
    <w:pPr>
      <w:tabs>
        <w:tab w:val="center" w:pos="4819"/>
        <w:tab w:val="left" w:pos="5670"/>
        <w:tab w:val="right" w:pos="9638"/>
      </w:tabs>
      <w:spacing w:after="0" w:line="240" w:lineRule="auto"/>
      <w:ind w:left="851" w:firstLine="4252"/>
      <w:rPr>
        <w:rFonts w:eastAsia="Calibri" w:cs="Calibri"/>
      </w:rPr>
    </w:pPr>
  </w:p>
  <w:p w14:paraId="6EF3ED02" w14:textId="5B1548E2" w:rsidR="00F522EB" w:rsidRDefault="00A36598" w:rsidP="00DC6CDB">
    <w:pPr>
      <w:tabs>
        <w:tab w:val="center" w:pos="4819"/>
        <w:tab w:val="right" w:pos="9638"/>
      </w:tabs>
      <w:spacing w:after="0" w:line="240" w:lineRule="auto"/>
      <w:ind w:left="851" w:firstLine="4252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t>TRAFICOM/</w:t>
    </w:r>
    <w:r w:rsidRPr="00CC3E06">
      <w:rPr>
        <w:rFonts w:eastAsia="Times New Roman" w:cs="Times New Roman"/>
        <w:szCs w:val="24"/>
      </w:rPr>
      <w:t>574329/03.04.05.00/2023</w:t>
    </w:r>
  </w:p>
  <w:p w14:paraId="5306CA67" w14:textId="720E514B" w:rsidR="00734084" w:rsidRDefault="00A36598" w:rsidP="00DC6CDB">
    <w:pPr>
      <w:tabs>
        <w:tab w:val="center" w:pos="4819"/>
        <w:tab w:val="right" w:pos="9638"/>
      </w:tabs>
      <w:spacing w:after="0" w:line="240" w:lineRule="auto"/>
      <w:ind w:left="851" w:firstLine="4252"/>
      <w:rPr>
        <w:rFonts w:eastAsia="Calibri" w:cs="Calibri"/>
        <w:szCs w:val="20"/>
      </w:rPr>
    </w:pPr>
    <w:r>
      <w:rPr>
        <w:rFonts w:eastAsia="Calibri" w:cs="Calibri"/>
        <w:szCs w:val="20"/>
      </w:rPr>
      <w:t>70 L/2023 M</w:t>
    </w:r>
  </w:p>
  <w:p w14:paraId="1ED85991" w14:textId="77777777" w:rsidR="00F522EB" w:rsidRPr="00F522EB" w:rsidRDefault="00F522EB" w:rsidP="00DC6CDB">
    <w:pPr>
      <w:tabs>
        <w:tab w:val="center" w:pos="4819"/>
        <w:tab w:val="right" w:pos="9638"/>
      </w:tabs>
      <w:spacing w:after="0" w:line="240" w:lineRule="auto"/>
      <w:ind w:left="851" w:firstLine="4252"/>
      <w:rPr>
        <w:rFonts w:eastAsia="Calibri" w:cs="Calibri"/>
        <w:szCs w:val="20"/>
      </w:rPr>
    </w:pPr>
  </w:p>
  <w:p w14:paraId="6CF0E29E" w14:textId="77777777" w:rsidR="00DF26C4" w:rsidRDefault="00DF26C4" w:rsidP="00DF26C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Look w:val="00E0" w:firstRow="1" w:lastRow="1" w:firstColumn="1" w:lastColumn="0" w:noHBand="0" w:noVBand="0"/>
    </w:tblPr>
    <w:tblGrid>
      <w:gridCol w:w="4819"/>
      <w:gridCol w:w="2407"/>
      <w:gridCol w:w="2555"/>
    </w:tblGrid>
    <w:tr w:rsidR="00AB4722" w14:paraId="258E497E" w14:textId="77777777" w:rsidTr="00D20384">
      <w:trPr>
        <w:trHeight w:hRule="exact" w:val="480"/>
      </w:trPr>
      <w:tc>
        <w:tcPr>
          <w:tcW w:w="4819" w:type="dxa"/>
          <w:vMerge w:val="restart"/>
          <w:tcMar>
            <w:right w:w="0" w:type="dxa"/>
          </w:tcMar>
        </w:tcPr>
        <w:p w14:paraId="4C395D2B" w14:textId="77777777" w:rsidR="00E578A9" w:rsidRDefault="00A36598" w:rsidP="00E578A9">
          <w:pPr>
            <w:pStyle w:val="Header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68000"/>
                <wp:effectExtent l="0" t="0" r="0" b="8255"/>
                <wp:wrapNone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aficom su RGB ei reunoj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4FB8131C" w14:textId="77777777" w:rsidR="00E578A9" w:rsidRDefault="00A36598" w:rsidP="00E578A9">
          <w:pPr>
            <w:pStyle w:val="Header"/>
            <w:tabs>
              <w:tab w:val="clear" w:pos="4819"/>
              <w:tab w:val="clear" w:pos="9638"/>
            </w:tabs>
            <w:spacing w:line="240" w:lineRule="exact"/>
            <w:jc w:val="right"/>
          </w:pPr>
          <w:r>
            <w:rPr>
              <w:b/>
            </w:rPr>
            <w:t>Perustelumuist</w:t>
          </w:r>
          <w:r w:rsidR="0069158A">
            <w:rPr>
              <w:b/>
            </w:rPr>
            <w:t>io</w:t>
          </w:r>
        </w:p>
        <w:p w14:paraId="63C206DD" w14:textId="77777777" w:rsidR="00E578A9" w:rsidRDefault="00A36598" w:rsidP="00E578A9">
          <w:pPr>
            <w:pStyle w:val="Head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522E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522EB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t>)</w:t>
          </w:r>
        </w:p>
      </w:tc>
    </w:tr>
    <w:tr w:rsidR="00AB4722" w14:paraId="20D0D9EF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5EA62E41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28495865" w14:textId="77777777" w:rsidR="00E578A9" w:rsidRDefault="00A36598" w:rsidP="009C5068">
          <w:pPr>
            <w:pStyle w:val="Header"/>
            <w:jc w:val="right"/>
          </w:pPr>
          <w:r>
            <w:fldChar w:fldCharType="begin"/>
          </w:r>
          <w:r>
            <w:instrText xml:space="preserve"> MACROBUTTON  AdditionalActions [laatimisaika] </w:instrText>
          </w:r>
          <w:r>
            <w:fldChar w:fldCharType="end"/>
          </w:r>
        </w:p>
      </w:tc>
    </w:tr>
    <w:tr w:rsidR="00AB4722" w14:paraId="12910A47" w14:textId="77777777" w:rsidTr="00D20384">
      <w:trPr>
        <w:trHeight w:hRule="exact" w:val="360"/>
      </w:trPr>
      <w:tc>
        <w:tcPr>
          <w:tcW w:w="4819" w:type="dxa"/>
          <w:vMerge w:val="restart"/>
          <w:tcMar>
            <w:right w:w="0" w:type="dxa"/>
          </w:tcMar>
        </w:tcPr>
        <w:p w14:paraId="074564FE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0C401C79" w14:textId="77777777" w:rsidR="00E578A9" w:rsidRDefault="00E578A9" w:rsidP="00B93472">
          <w:pPr>
            <w:pStyle w:val="Header"/>
          </w:pPr>
        </w:p>
      </w:tc>
    </w:tr>
    <w:tr w:rsidR="00AB4722" w14:paraId="7BCD68DB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614401BC" w14:textId="77777777" w:rsidR="00E578A9" w:rsidRDefault="00E578A9" w:rsidP="00E578A9">
          <w:pPr>
            <w:pStyle w:val="Header"/>
          </w:pPr>
        </w:p>
      </w:tc>
      <w:tc>
        <w:tcPr>
          <w:tcW w:w="2407" w:type="dxa"/>
          <w:shd w:val="clear" w:color="auto" w:fill="auto"/>
          <w:tcMar>
            <w:right w:w="0" w:type="dxa"/>
          </w:tcMar>
        </w:tcPr>
        <w:p w14:paraId="09036F21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2555" w:type="dxa"/>
          <w:shd w:val="clear" w:color="auto" w:fill="auto"/>
        </w:tcPr>
        <w:p w14:paraId="63CAF2B1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</w:tr>
  </w:tbl>
  <w:p w14:paraId="123CA3BB" w14:textId="77777777" w:rsidR="00E578A9" w:rsidRDefault="00E5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7E0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962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0E4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81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066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A3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80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E6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434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449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156DC"/>
    <w:multiLevelType w:val="hybridMultilevel"/>
    <w:tmpl w:val="03B8E2A2"/>
    <w:lvl w:ilvl="0" w:tplc="DA9AE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4B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6F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2F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AF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66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C6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65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AC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97591"/>
    <w:multiLevelType w:val="hybridMultilevel"/>
    <w:tmpl w:val="9E641430"/>
    <w:lvl w:ilvl="0" w:tplc="448C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B2D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42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AF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CD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A2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A3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8B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04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595B"/>
    <w:multiLevelType w:val="hybridMultilevel"/>
    <w:tmpl w:val="601EFBAC"/>
    <w:lvl w:ilvl="0" w:tplc="7F1E0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EFE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0D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66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03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A0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A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C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27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36875"/>
    <w:multiLevelType w:val="hybridMultilevel"/>
    <w:tmpl w:val="063C9DF6"/>
    <w:lvl w:ilvl="0" w:tplc="73EEF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trike w:val="0"/>
      </w:rPr>
    </w:lvl>
    <w:lvl w:ilvl="1" w:tplc="0084156E">
      <w:start w:val="15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E5D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3" w:tplc="7BFE6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FB81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10E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FDAD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ADCD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92A0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3D4D62"/>
    <w:multiLevelType w:val="multilevel"/>
    <w:tmpl w:val="BBBEEA4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600"/>
        </w:tabs>
        <w:ind w:left="1600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9"/>
        </w:tabs>
        <w:ind w:left="38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43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9"/>
        </w:tabs>
        <w:ind w:left="4919" w:hanging="1440"/>
      </w:pPr>
      <w:rPr>
        <w:rFonts w:hint="default"/>
      </w:rPr>
    </w:lvl>
  </w:abstractNum>
  <w:abstractNum w:abstractNumId="16" w15:restartNumberingAfterBreak="0">
    <w:nsid w:val="52462049"/>
    <w:multiLevelType w:val="multilevel"/>
    <w:tmpl w:val="22767726"/>
    <w:lvl w:ilvl="0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2A4173"/>
    <w:multiLevelType w:val="multilevel"/>
    <w:tmpl w:val="16C26C0E"/>
    <w:lvl w:ilvl="0">
      <w:start w:val="1"/>
      <w:numFmt w:val="bullet"/>
      <w:pStyle w:val="List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025C43"/>
    <w:multiLevelType w:val="multilevel"/>
    <w:tmpl w:val="3CDC107C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19" w15:restartNumberingAfterBreak="0">
    <w:nsid w:val="6D4D679C"/>
    <w:multiLevelType w:val="hybridMultilevel"/>
    <w:tmpl w:val="ACF4892C"/>
    <w:lvl w:ilvl="0" w:tplc="35986EBC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84F4FD4A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B3C28986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66F4F6D8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57721664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4BFED942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3ED0126E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63C4E252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FD3456F2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13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1C"/>
    <w:rsid w:val="000008C6"/>
    <w:rsid w:val="000145B2"/>
    <w:rsid w:val="0002383F"/>
    <w:rsid w:val="0006516B"/>
    <w:rsid w:val="000D279D"/>
    <w:rsid w:val="000D34DC"/>
    <w:rsid w:val="000D3BF7"/>
    <w:rsid w:val="000D6B04"/>
    <w:rsid w:val="000E36FF"/>
    <w:rsid w:val="000E7EE4"/>
    <w:rsid w:val="000F59B8"/>
    <w:rsid w:val="00105222"/>
    <w:rsid w:val="00117422"/>
    <w:rsid w:val="001263AE"/>
    <w:rsid w:val="00135E93"/>
    <w:rsid w:val="0014493A"/>
    <w:rsid w:val="00151C1A"/>
    <w:rsid w:val="00162D84"/>
    <w:rsid w:val="00180DD1"/>
    <w:rsid w:val="0018566F"/>
    <w:rsid w:val="00191878"/>
    <w:rsid w:val="001A1821"/>
    <w:rsid w:val="001A75C8"/>
    <w:rsid w:val="001B3D26"/>
    <w:rsid w:val="001D6FD0"/>
    <w:rsid w:val="001E5D5A"/>
    <w:rsid w:val="00200AF0"/>
    <w:rsid w:val="00227E10"/>
    <w:rsid w:val="00240B2E"/>
    <w:rsid w:val="00246B7D"/>
    <w:rsid w:val="00250C28"/>
    <w:rsid w:val="002519F0"/>
    <w:rsid w:val="00292F4C"/>
    <w:rsid w:val="00295456"/>
    <w:rsid w:val="002A1CE8"/>
    <w:rsid w:val="002A3FA9"/>
    <w:rsid w:val="002C3FBE"/>
    <w:rsid w:val="002E11E6"/>
    <w:rsid w:val="002F2CBC"/>
    <w:rsid w:val="00327986"/>
    <w:rsid w:val="00342297"/>
    <w:rsid w:val="003564A3"/>
    <w:rsid w:val="00365E27"/>
    <w:rsid w:val="00376954"/>
    <w:rsid w:val="0038174B"/>
    <w:rsid w:val="0038688F"/>
    <w:rsid w:val="003B424F"/>
    <w:rsid w:val="003C5F3C"/>
    <w:rsid w:val="003C769A"/>
    <w:rsid w:val="003D14A5"/>
    <w:rsid w:val="0040546B"/>
    <w:rsid w:val="00432F6F"/>
    <w:rsid w:val="00450029"/>
    <w:rsid w:val="00472D82"/>
    <w:rsid w:val="00484ED6"/>
    <w:rsid w:val="00494830"/>
    <w:rsid w:val="004D5A73"/>
    <w:rsid w:val="004D6C19"/>
    <w:rsid w:val="004D6E61"/>
    <w:rsid w:val="004E5516"/>
    <w:rsid w:val="004E797F"/>
    <w:rsid w:val="0050058D"/>
    <w:rsid w:val="005025B0"/>
    <w:rsid w:val="00514864"/>
    <w:rsid w:val="005662BD"/>
    <w:rsid w:val="00577AD3"/>
    <w:rsid w:val="005805E5"/>
    <w:rsid w:val="005E4BD5"/>
    <w:rsid w:val="00610418"/>
    <w:rsid w:val="00612976"/>
    <w:rsid w:val="00612D78"/>
    <w:rsid w:val="00640977"/>
    <w:rsid w:val="00650E61"/>
    <w:rsid w:val="006728BE"/>
    <w:rsid w:val="00675A61"/>
    <w:rsid w:val="006800DC"/>
    <w:rsid w:val="0069158A"/>
    <w:rsid w:val="006919E4"/>
    <w:rsid w:val="006D4D03"/>
    <w:rsid w:val="006E041A"/>
    <w:rsid w:val="006E4AFF"/>
    <w:rsid w:val="006F1655"/>
    <w:rsid w:val="00700414"/>
    <w:rsid w:val="00707D96"/>
    <w:rsid w:val="007250E7"/>
    <w:rsid w:val="00733B72"/>
    <w:rsid w:val="00734084"/>
    <w:rsid w:val="00762C09"/>
    <w:rsid w:val="00765D0E"/>
    <w:rsid w:val="00785F7A"/>
    <w:rsid w:val="00797AD1"/>
    <w:rsid w:val="007C0585"/>
    <w:rsid w:val="007C75EB"/>
    <w:rsid w:val="007D2BF7"/>
    <w:rsid w:val="00803408"/>
    <w:rsid w:val="00840AB5"/>
    <w:rsid w:val="0089181B"/>
    <w:rsid w:val="00892F1A"/>
    <w:rsid w:val="008A1881"/>
    <w:rsid w:val="008B49DA"/>
    <w:rsid w:val="008D6783"/>
    <w:rsid w:val="008E5E56"/>
    <w:rsid w:val="008F09DC"/>
    <w:rsid w:val="008F1700"/>
    <w:rsid w:val="00900E21"/>
    <w:rsid w:val="009342B5"/>
    <w:rsid w:val="009829CC"/>
    <w:rsid w:val="009A0043"/>
    <w:rsid w:val="009A4362"/>
    <w:rsid w:val="009C5068"/>
    <w:rsid w:val="009C51D5"/>
    <w:rsid w:val="009C54D8"/>
    <w:rsid w:val="009D3874"/>
    <w:rsid w:val="009E3CD0"/>
    <w:rsid w:val="009E7AFC"/>
    <w:rsid w:val="009F1F89"/>
    <w:rsid w:val="00A36598"/>
    <w:rsid w:val="00A55C33"/>
    <w:rsid w:val="00A720FE"/>
    <w:rsid w:val="00AB1593"/>
    <w:rsid w:val="00AB4722"/>
    <w:rsid w:val="00AC10BB"/>
    <w:rsid w:val="00AC21C3"/>
    <w:rsid w:val="00AC75FF"/>
    <w:rsid w:val="00B00F90"/>
    <w:rsid w:val="00B023B7"/>
    <w:rsid w:val="00B076AF"/>
    <w:rsid w:val="00B273C3"/>
    <w:rsid w:val="00B31ED1"/>
    <w:rsid w:val="00B37887"/>
    <w:rsid w:val="00B459AE"/>
    <w:rsid w:val="00B5797C"/>
    <w:rsid w:val="00B60BD7"/>
    <w:rsid w:val="00B66871"/>
    <w:rsid w:val="00B67FE4"/>
    <w:rsid w:val="00B93472"/>
    <w:rsid w:val="00BC4E91"/>
    <w:rsid w:val="00BE77BB"/>
    <w:rsid w:val="00C2375D"/>
    <w:rsid w:val="00C321D6"/>
    <w:rsid w:val="00C73331"/>
    <w:rsid w:val="00CA6E6F"/>
    <w:rsid w:val="00CC268F"/>
    <w:rsid w:val="00CC3E06"/>
    <w:rsid w:val="00D20384"/>
    <w:rsid w:val="00D22A7B"/>
    <w:rsid w:val="00D27847"/>
    <w:rsid w:val="00D305F6"/>
    <w:rsid w:val="00D419E1"/>
    <w:rsid w:val="00D64B6C"/>
    <w:rsid w:val="00D765C2"/>
    <w:rsid w:val="00D77243"/>
    <w:rsid w:val="00DA7912"/>
    <w:rsid w:val="00DC3726"/>
    <w:rsid w:val="00DC6CDB"/>
    <w:rsid w:val="00DD1B38"/>
    <w:rsid w:val="00DD4257"/>
    <w:rsid w:val="00DE1F22"/>
    <w:rsid w:val="00DF26C4"/>
    <w:rsid w:val="00DF56FF"/>
    <w:rsid w:val="00E03152"/>
    <w:rsid w:val="00E0427C"/>
    <w:rsid w:val="00E07EA1"/>
    <w:rsid w:val="00E174A8"/>
    <w:rsid w:val="00E2066A"/>
    <w:rsid w:val="00E22580"/>
    <w:rsid w:val="00E23EE0"/>
    <w:rsid w:val="00E27588"/>
    <w:rsid w:val="00E30481"/>
    <w:rsid w:val="00E3177A"/>
    <w:rsid w:val="00E578A9"/>
    <w:rsid w:val="00E957FF"/>
    <w:rsid w:val="00EB77EB"/>
    <w:rsid w:val="00EC033D"/>
    <w:rsid w:val="00EE3114"/>
    <w:rsid w:val="00F43F95"/>
    <w:rsid w:val="00F522EB"/>
    <w:rsid w:val="00F60C7D"/>
    <w:rsid w:val="00F75BC4"/>
    <w:rsid w:val="00FA160F"/>
    <w:rsid w:val="00FC602F"/>
    <w:rsid w:val="00FD5A76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CD4BB"/>
  <w15:chartTrackingRefBased/>
  <w15:docId w15:val="{FB0976B1-63F1-415B-B7AD-BB6E2DE2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E041A"/>
    <w:rPr>
      <w:rFonts w:ascii="Verdana" w:hAnsi="Verdana"/>
      <w:sz w:val="20"/>
    </w:rPr>
  </w:style>
  <w:style w:type="paragraph" w:styleId="Heading1">
    <w:name w:val="heading 1"/>
    <w:basedOn w:val="Title"/>
    <w:next w:val="BodyText"/>
    <w:link w:val="Heading1Char"/>
    <w:qFormat/>
    <w:rsid w:val="00F522EB"/>
    <w:pPr>
      <w:spacing w:before="120"/>
      <w:outlineLvl w:val="0"/>
    </w:pPr>
    <w:rPr>
      <w:rFonts w:ascii="Verdana" w:hAnsi="Verdana"/>
      <w:b/>
      <w:sz w:val="28"/>
      <w:szCs w:val="28"/>
    </w:rPr>
  </w:style>
  <w:style w:type="paragraph" w:styleId="Heading2">
    <w:name w:val="heading 2"/>
    <w:next w:val="BodyText"/>
    <w:link w:val="Heading2Char"/>
    <w:qFormat/>
    <w:rsid w:val="004D6C19"/>
    <w:pPr>
      <w:keepNext/>
      <w:spacing w:before="240" w:after="120" w:line="240" w:lineRule="auto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7C75EB"/>
    <w:pPr>
      <w:keepNext/>
      <w:spacing w:before="160" w:after="12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40546B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qFormat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qFormat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F522EB"/>
    <w:rPr>
      <w:rFonts w:ascii="Verdana" w:eastAsiaTheme="majorEastAsia" w:hAnsi="Verdana" w:cstheme="majorBidi"/>
      <w:b/>
      <w:spacing w:val="-10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D6C19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7C75EB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40546B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0E7EE4"/>
    <w:pPr>
      <w:numPr>
        <w:numId w:val="17"/>
      </w:numPr>
      <w:tabs>
        <w:tab w:val="left" w:pos="1418"/>
      </w:tabs>
      <w:spacing w:before="60" w:after="60" w:line="240" w:lineRule="auto"/>
      <w:ind w:hanging="283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762C09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spacing w:before="240" w:line="259" w:lineRule="auto"/>
      <w:outlineLvl w:val="9"/>
    </w:pPr>
    <w:rPr>
      <w:b w:val="0"/>
      <w:bCs/>
      <w:kern w:val="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B31ED1"/>
    <w:pPr>
      <w:tabs>
        <w:tab w:val="left" w:pos="426"/>
        <w:tab w:val="right" w:leader="dot" w:pos="9639"/>
      </w:tabs>
      <w:spacing w:after="100"/>
      <w:ind w:left="426" w:hanging="426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DD1B38"/>
    <w:rPr>
      <w:color w:val="00AEB2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Title">
    <w:name w:val="Title"/>
    <w:basedOn w:val="Normal"/>
    <w:next w:val="Normal"/>
    <w:link w:val="TitleChar"/>
    <w:qFormat/>
    <w:rsid w:val="00E31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31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9158A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0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BD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BD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D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ksen%20perustelumuistio%20FI.dotx" TargetMode="External"/></Relationships>
</file>

<file path=word/theme/theme1.xml><?xml version="1.0" encoding="utf-8"?>
<a:theme xmlns:a="http://schemas.openxmlformats.org/drawingml/2006/main" name="Office-teema">
  <a:themeElements>
    <a:clrScheme name="Traficom22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58B1"/>
      </a:accent6>
      <a:hlink>
        <a:srgbClr val="00AEB2"/>
      </a:hlink>
      <a:folHlink>
        <a:srgbClr val="8200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DocumentType xmlns="49bfba61-6e83-40bd-a5fb-b45c77de2667">Asiakirjapohja</SaTyTosDocumentType>
    <SaTyDocumentStatus xmlns="49bfba61-6e83-40bd-a5fb-b45c77de2667">Luonnos</SaTyDocumentStatus>
    <SaTyTosDocumentTypeId xmlns="49bfba61-6e83-40bd-a5fb-b45c77de2667">Asiakirjapohja</SaTyTosDocumentTypeId>
    <SaTyTosIssueGroup xmlns="49bfba61-6e83-40bd-a5fb-b45c77de2667" xsi:nil="true"/>
    <SaTyDocumentYear xmlns="49bfba61-6e83-40bd-a5fb-b45c77de2667">2022</SaTyDocumentYear>
    <SaTyTosPreservation xmlns="49bfba61-6e83-40bd-a5fb-b45c77de2667">3 v</SaTyTosPreservation>
    <TaxCatchAll xmlns="986746b9-21ea-4a10-94d5-c7e2d54bbe5a">
      <Value>1</Value>
      <Value>3</Value>
    </TaxCatchAll>
    <SaTyDocumentArchive xmlns="49bfba61-6e83-40bd-a5fb-b45c77de2667">false</SaTyDocumentArchive>
    <SaTyTosPublicity xmlns="49bfba61-6e83-40bd-a5fb-b45c77de2667">Julkinen</SaTyTosPublicity>
    <SaTyTosTaskGroupId xmlns="49bfba61-6e83-40bd-a5fb-b45c77de2667" xsi:nil="true"/>
    <p39f2945831442ffb2b72677709d8610 xmlns="986746b9-21ea-4a10-94d5-c7e2d54bbe5a">
      <Terms xmlns="http://schemas.microsoft.com/office/infopath/2007/PartnerControls"/>
    </p39f2945831442ffb2b72677709d8610>
    <SaTyTosTaskGroup xmlns="49bfba61-6e83-40bd-a5fb-b45c77de2667" xsi:nil="true"/>
    <SaTyTosIssueGroupId xmlns="49bfba61-6e83-40bd-a5fb-b45c77de2667" xsi:nil="true"/>
    <f4b386671deb464d8bb6062959db37ce xmlns="986746b9-21ea-4a10-94d5-c7e2d54bbe5a">
      <Terms xmlns="http://schemas.microsoft.com/office/infopath/2007/PartnerControls"/>
    </f4b386671deb464d8bb6062959db37ce>
    <SaTyDocumentUserData xmlns="49bfba61-6e83-40bd-a5fb-b45c77de2667">false</SaTyDocumentUserData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75" ma:contentTypeDescription="" ma:contentTypeScope="" ma:versionID="269d83f01a882c297a20cb0eb7bb5bc1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2fb7b8099aa62732443e36ae0b33ad19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559A6-863E-46EF-900A-362953FA9F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A0D0DB1-105E-4D62-BF22-AA13C29B16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62B37F-A786-47D9-8F4C-E39A7795B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C8211-E8B9-49A4-8DDB-511047523C15}">
  <ds:schemaRefs>
    <ds:schemaRef ds:uri="http://schemas.microsoft.com/office/2006/metadata/properties"/>
    <ds:schemaRef ds:uri="http://schemas.microsoft.com/office/infopath/2007/PartnerControls"/>
    <ds:schemaRef ds:uri="49bfba61-6e83-40bd-a5fb-b45c77de2667"/>
    <ds:schemaRef ds:uri="986746b9-21ea-4a10-94d5-c7e2d54bbe5a"/>
  </ds:schemaRefs>
</ds:datastoreItem>
</file>

<file path=customXml/itemProps5.xml><?xml version="1.0" encoding="utf-8"?>
<ds:datastoreItem xmlns:ds="http://schemas.openxmlformats.org/officeDocument/2006/customXml" ds:itemID="{DF3CA8D4-386B-4A55-9842-56DBA578F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Määräyksen perustelumuistio FI.dotx</Template>
  <TotalTime>0</TotalTime>
  <Pages>2</Pages>
  <Words>467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Tuominen Kalle</dc:creator>
  <cp:lastModifiedBy>Tuominen Kalle</cp:lastModifiedBy>
  <cp:revision>2</cp:revision>
  <dcterms:created xsi:type="dcterms:W3CDTF">2023-12-19T11:10:00Z</dcterms:created>
  <dcterms:modified xsi:type="dcterms:W3CDTF">2023-12-19T11:10:00Z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0x0101000EC482A17D284AEE8290D09FC0D2D6D200C589622A2BFC49F09A63EB8A040062500036EF1402FBDA0D42924B1A4FE150B2A7</vt:lpwstr>
  </property>
  <property fmtid="{D5CDD505-2E9C-101B-9397-08002B2CF9AE}" pid="3" name="eb88049090c34051aae092bae2056bc2">
    <vt:lpwstr>Mallipohja|8556560e-d2f7-4107-a309-72029ebfa072</vt:lpwstr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/>
  </property>
  <property fmtid="{D5CDD505-2E9C-101B-9397-08002B2CF9AE}" pid="9" name="SaTyDocumentQuartal">
    <vt:lpwstr/>
  </property>
  <property fmtid="{D5CDD505-2E9C-101B-9397-08002B2CF9AE}" pid="10" name="SaTyTosKeywords">
    <vt:lpwstr>3;#Mallipohja|8556560e-d2f7-4107-a309-72029ebfa072</vt:lpwstr>
  </property>
</Properties>
</file>