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C5A9" w14:textId="440BAC27" w:rsidR="009B230C" w:rsidRPr="000C6714" w:rsidRDefault="00824A96" w:rsidP="00872E75">
      <w:pPr>
        <w:tabs>
          <w:tab w:val="left" w:pos="5954"/>
          <w:tab w:val="left" w:pos="8222"/>
        </w:tabs>
        <w:rPr>
          <w:szCs w:val="24"/>
        </w:rPr>
      </w:pPr>
      <w:r>
        <w:t xml:space="preserve">ARBETS- OCH </w:t>
      </w:r>
      <w:r w:rsidR="000C2C2F">
        <w:t>NÄRINGSMINISTER</w:t>
      </w:r>
      <w:r w:rsidR="00872E75">
        <w:t>IET</w:t>
      </w:r>
      <w:r w:rsidR="00872E75">
        <w:tab/>
        <w:t>Promemoria</w:t>
      </w:r>
      <w:r w:rsidR="00872E75">
        <w:tab/>
      </w:r>
      <w:r>
        <w:t>Bilaga 1</w:t>
      </w:r>
    </w:p>
    <w:p w14:paraId="192D9819" w14:textId="4EE57EB9" w:rsidR="00824A96" w:rsidRPr="000C6714" w:rsidRDefault="00824A96" w:rsidP="00872E75">
      <w:pPr>
        <w:tabs>
          <w:tab w:val="left" w:pos="5954"/>
        </w:tabs>
        <w:rPr>
          <w:szCs w:val="24"/>
        </w:rPr>
      </w:pPr>
      <w:r>
        <w:t xml:space="preserve">Avdelningen för regioner och tillväxttjänster       </w:t>
      </w:r>
      <w:r w:rsidR="00872E75">
        <w:tab/>
      </w:r>
      <w:r w:rsidR="007319DD">
        <w:t>2</w:t>
      </w:r>
      <w:r w:rsidR="00232532">
        <w:t>1</w:t>
      </w:r>
      <w:bookmarkStart w:id="0" w:name="_GoBack"/>
      <w:bookmarkEnd w:id="0"/>
      <w:r>
        <w:t>.2.2024</w:t>
      </w:r>
    </w:p>
    <w:p w14:paraId="0530B74D" w14:textId="7C8C8528" w:rsidR="00824A96" w:rsidRPr="000C6714" w:rsidRDefault="00FF19E3" w:rsidP="00446E3A">
      <w:pPr>
        <w:rPr>
          <w:szCs w:val="24"/>
        </w:rPr>
      </w:pPr>
      <w:r>
        <w:t>Ledande sakkunnig Hanna-Maria Urjankangas</w:t>
      </w:r>
    </w:p>
    <w:p w14:paraId="38F4ABA3" w14:textId="77777777" w:rsidR="00824A96" w:rsidRPr="000C6714" w:rsidRDefault="00824A96" w:rsidP="00446E3A">
      <w:pPr>
        <w:rPr>
          <w:szCs w:val="24"/>
        </w:rPr>
      </w:pPr>
    </w:p>
    <w:p w14:paraId="1D695B91" w14:textId="77777777" w:rsidR="00824A96" w:rsidRPr="000C6714" w:rsidRDefault="00824A96" w:rsidP="00446E3A">
      <w:pPr>
        <w:rPr>
          <w:szCs w:val="24"/>
        </w:rPr>
      </w:pPr>
    </w:p>
    <w:p w14:paraId="6DEA8ADC" w14:textId="21C31CC1" w:rsidR="00824A96" w:rsidRPr="000C6714" w:rsidRDefault="00824A96" w:rsidP="00446E3A">
      <w:pPr>
        <w:rPr>
          <w:b/>
          <w:szCs w:val="24"/>
        </w:rPr>
      </w:pPr>
      <w:r>
        <w:rPr>
          <w:b/>
        </w:rPr>
        <w:t>STATSRÅDETS FÖRORDNING OM ÄNDRING AV DE STÖDOMRÅDEN SOM AVSES I LAGEN OM UTVECKLING AV REGIONERNA OCH GENOMFÖRANDE AV EUROPEISKA UNIONENS REGIONAL- OCH STRUKTURPOLITIK</w:t>
      </w:r>
    </w:p>
    <w:p w14:paraId="59DE1B2C" w14:textId="77777777" w:rsidR="00824A96" w:rsidRPr="000C6714" w:rsidRDefault="00824A96" w:rsidP="00446E3A">
      <w:pPr>
        <w:rPr>
          <w:szCs w:val="24"/>
        </w:rPr>
      </w:pPr>
    </w:p>
    <w:p w14:paraId="38C54D90" w14:textId="77777777" w:rsidR="00824A96" w:rsidRPr="000C6714" w:rsidRDefault="00824A96" w:rsidP="00824A96">
      <w:pPr>
        <w:autoSpaceDE w:val="0"/>
        <w:autoSpaceDN w:val="0"/>
        <w:adjustRightInd w:val="0"/>
        <w:rPr>
          <w:b/>
          <w:bCs/>
          <w:szCs w:val="24"/>
          <w:lang w:eastAsia="fi-FI"/>
        </w:rPr>
      </w:pPr>
    </w:p>
    <w:p w14:paraId="043D5A58" w14:textId="77777777" w:rsidR="00824A96" w:rsidRPr="000C6714" w:rsidRDefault="00824A96" w:rsidP="00824A96">
      <w:pPr>
        <w:autoSpaceDE w:val="0"/>
        <w:autoSpaceDN w:val="0"/>
        <w:adjustRightInd w:val="0"/>
        <w:rPr>
          <w:b/>
          <w:bCs/>
          <w:szCs w:val="24"/>
        </w:rPr>
      </w:pPr>
      <w:r>
        <w:rPr>
          <w:b/>
        </w:rPr>
        <w:t>Allmän motivering</w:t>
      </w:r>
    </w:p>
    <w:p w14:paraId="40BF8AF4" w14:textId="77777777" w:rsidR="00824A96" w:rsidRPr="000C6714" w:rsidRDefault="00824A96" w:rsidP="00824A96">
      <w:pPr>
        <w:autoSpaceDE w:val="0"/>
        <w:autoSpaceDN w:val="0"/>
        <w:adjustRightInd w:val="0"/>
        <w:rPr>
          <w:b/>
          <w:bCs/>
          <w:szCs w:val="24"/>
          <w:lang w:eastAsia="fi-FI"/>
        </w:rPr>
      </w:pPr>
    </w:p>
    <w:p w14:paraId="0F429A32" w14:textId="1D11FEA6" w:rsidR="00824A96" w:rsidRDefault="009C5BF4" w:rsidP="000C6714">
      <w:pPr>
        <w:autoSpaceDE w:val="0"/>
        <w:autoSpaceDN w:val="0"/>
        <w:adjustRightInd w:val="0"/>
        <w:ind w:left="1304"/>
        <w:rPr>
          <w:bCs/>
          <w:szCs w:val="24"/>
        </w:rPr>
      </w:pPr>
      <w:r>
        <w:t>Den 16 juni 2022 har statsrådet utfärdat en förordning om stödområden enligt 43 § i lagen om utveckling av regionerna och genomförande av Europeiska unionens regional- och strukturpolitik (756/2021). Enligt den paragrafen kan landets svagast utvecklade områden utifrån områdets utvecklingsbehov utses till stödområde I eller stödområde II genom förordning av statsrådet. Områdesindelningen baserar sig på områden som utgörs av hela kommuner och vid behov också av kommundelar. Områdena har bestämts med beaktande av Europeiska unionens system för standardindelning av territoriella enheter och identifiering av områden oberoende av administrativa gränser samt med beaktande av arbetspendling, servicependling, interkommunalt samarbete och trafikförbindelser.</w:t>
      </w:r>
    </w:p>
    <w:p w14:paraId="5662E970" w14:textId="0DBE3A91" w:rsidR="00EC77C6" w:rsidRDefault="00EC77C6" w:rsidP="000C6714">
      <w:pPr>
        <w:autoSpaceDE w:val="0"/>
        <w:autoSpaceDN w:val="0"/>
        <w:adjustRightInd w:val="0"/>
        <w:ind w:left="1304"/>
        <w:rPr>
          <w:bCs/>
          <w:szCs w:val="24"/>
          <w:lang w:eastAsia="fi-FI"/>
        </w:rPr>
      </w:pPr>
    </w:p>
    <w:p w14:paraId="3AE58D1B" w14:textId="37FF3AEF" w:rsidR="00EC77C6" w:rsidRDefault="00EC77C6" w:rsidP="000C6714">
      <w:pPr>
        <w:autoSpaceDE w:val="0"/>
        <w:autoSpaceDN w:val="0"/>
        <w:adjustRightInd w:val="0"/>
        <w:ind w:left="1304"/>
        <w:rPr>
          <w:bCs/>
          <w:szCs w:val="24"/>
        </w:rPr>
      </w:pPr>
      <w:r>
        <w:t>Stödområdena har fastställts på basis av Europeiska kommissionens meddelande av den 29 april 2021 om riktlinjer för statligt regionalstöd (2021/C 153/01, nedan</w:t>
      </w:r>
      <w:r>
        <w:rPr>
          <w:i/>
          <w:iCs/>
        </w:rPr>
        <w:t xml:space="preserve"> riktlinjerna för regionalstöd</w:t>
      </w:r>
      <w:r>
        <w:t>). Genom den förordning som nu utfärdas ändras dessa stödområden med stöd av riktlinjerna för regionalstöd samt kommissionens meddelande av den 30 maj 2023 som preciserar riktlinjerna i fråga om halvtidsöversynen av regionalstödskartan (C (2023) 3349 final). Halvtids</w:t>
      </w:r>
      <w:r w:rsidR="00203B4E">
        <w:t>översynen</w:t>
      </w:r>
      <w:r>
        <w:t xml:space="preserve"> enligt riktlinjerna för regionalstöd gör det möjligt att ändra stödområdena på vissa villkor.</w:t>
      </w:r>
    </w:p>
    <w:p w14:paraId="092224B1" w14:textId="77777777" w:rsidR="005F7C2B" w:rsidRPr="000C6714" w:rsidRDefault="005F7C2B" w:rsidP="00824A96">
      <w:pPr>
        <w:autoSpaceDE w:val="0"/>
        <w:autoSpaceDN w:val="0"/>
        <w:adjustRightInd w:val="0"/>
        <w:rPr>
          <w:bCs/>
          <w:szCs w:val="24"/>
          <w:lang w:eastAsia="fi-FI"/>
        </w:rPr>
      </w:pPr>
    </w:p>
    <w:p w14:paraId="7DE65A70" w14:textId="4C0A574E" w:rsidR="005F7C2B" w:rsidRDefault="005F7C2B" w:rsidP="000C6714">
      <w:pPr>
        <w:autoSpaceDE w:val="0"/>
        <w:autoSpaceDN w:val="0"/>
        <w:adjustRightInd w:val="0"/>
        <w:ind w:left="1304"/>
        <w:rPr>
          <w:bCs/>
          <w:szCs w:val="24"/>
        </w:rPr>
      </w:pPr>
      <w:r>
        <w:t>Det främsta syftet med statligt regionalstöd är att främja ekonomisk utveckling i EU:s mindre gynnade områden. Genom att det främjar och underlättar en hållbar utveckling i stödområdena bidrar stödet till EU:s politik för territoriell sammanhållning, som syftar till att förbättra den ekonomiska och sociala sammanhållningen genom att minska skillnaderna i utvecklingsnivå mellan olika områden.</w:t>
      </w:r>
    </w:p>
    <w:p w14:paraId="43C431FD" w14:textId="1E6E43F7" w:rsidR="004E2B50" w:rsidRDefault="004E2B50" w:rsidP="000C6714">
      <w:pPr>
        <w:autoSpaceDE w:val="0"/>
        <w:autoSpaceDN w:val="0"/>
        <w:adjustRightInd w:val="0"/>
        <w:ind w:left="1304"/>
        <w:rPr>
          <w:bCs/>
          <w:szCs w:val="24"/>
          <w:lang w:eastAsia="fi-FI"/>
        </w:rPr>
      </w:pPr>
    </w:p>
    <w:p w14:paraId="20462961" w14:textId="42D3D678" w:rsidR="004E2B50" w:rsidRPr="000C6714" w:rsidRDefault="004E2B50" w:rsidP="004E2B50">
      <w:pPr>
        <w:autoSpaceDE w:val="0"/>
        <w:autoSpaceDN w:val="0"/>
        <w:adjustRightInd w:val="0"/>
        <w:ind w:left="1304"/>
        <w:rPr>
          <w:szCs w:val="24"/>
        </w:rPr>
      </w:pPr>
      <w:r>
        <w:t xml:space="preserve">Beviljandet av statligt regionalstöd är ett undantag från det generella förbudet mot statligt stöd i fördraget om Europeiska unionens funktionssätt. Därför anser kommissionen att den sammanlagda befolkningen i stödområdena i EU27 måste vara mindre än i icke utsedda områden. Således är befolkningsandelen i de områden som är berättigade till regionalstöd i hela EU-området 48 procent. Vad gäller Finland får befolkningsandelen utgöra totalt 26,86 procent av befolkningen. </w:t>
      </w:r>
    </w:p>
    <w:p w14:paraId="277E06F4" w14:textId="420055BE" w:rsidR="004759B9" w:rsidRPr="000C6714" w:rsidRDefault="004759B9" w:rsidP="00824A96">
      <w:pPr>
        <w:autoSpaceDE w:val="0"/>
        <w:autoSpaceDN w:val="0"/>
        <w:adjustRightInd w:val="0"/>
        <w:rPr>
          <w:bCs/>
          <w:szCs w:val="24"/>
          <w:lang w:eastAsia="fi-FI"/>
        </w:rPr>
      </w:pPr>
    </w:p>
    <w:p w14:paraId="65E1B320" w14:textId="2E3774F9" w:rsidR="0003789A" w:rsidRPr="000C6714" w:rsidRDefault="004759B9" w:rsidP="000C6714">
      <w:pPr>
        <w:autoSpaceDE w:val="0"/>
        <w:autoSpaceDN w:val="0"/>
        <w:adjustRightInd w:val="0"/>
        <w:ind w:left="1304"/>
        <w:rPr>
          <w:bCs/>
          <w:szCs w:val="24"/>
        </w:rPr>
      </w:pPr>
      <w:r>
        <w:t xml:space="preserve">Europeiska kommissionens klassificering av stödområden i riktlinjerna för regionalstöd avviker från den klassificering som Finland använder. Europeiska kommissionen klassificerar stödområdena som a- och c-områden enligt följande:  </w:t>
      </w:r>
    </w:p>
    <w:p w14:paraId="20043F82" w14:textId="77777777" w:rsidR="0003789A" w:rsidRPr="000C6714" w:rsidRDefault="0003789A" w:rsidP="0003789A">
      <w:pPr>
        <w:pStyle w:val="Luettelokappale"/>
        <w:numPr>
          <w:ilvl w:val="0"/>
          <w:numId w:val="9"/>
        </w:numPr>
        <w:rPr>
          <w:szCs w:val="24"/>
        </w:rPr>
      </w:pPr>
      <w:r>
        <w:t>De så kallade a-områdena är regioner vars BNP per capita uttryckt som köpkraftsstandard är högst 75 procent av genomsnittet för EU27.</w:t>
      </w:r>
    </w:p>
    <w:p w14:paraId="5E051C0A" w14:textId="181D0A9F" w:rsidR="0003789A" w:rsidRPr="000C6714" w:rsidRDefault="0003789A" w:rsidP="0003789A">
      <w:pPr>
        <w:pStyle w:val="Luettelokappale"/>
        <w:numPr>
          <w:ilvl w:val="0"/>
          <w:numId w:val="9"/>
        </w:numPr>
        <w:rPr>
          <w:szCs w:val="24"/>
        </w:rPr>
      </w:pPr>
      <w:r>
        <w:lastRenderedPageBreak/>
        <w:t>Befolkningsandelen i de så kallade c-områdena fås genom att folkmängden i de stödberättigade a-områdena i EU27 subtraheras från den totala största befolkningsandelen. Det finns två olika kategorier av c-områden:</w:t>
      </w:r>
    </w:p>
    <w:p w14:paraId="0511A638" w14:textId="77777777" w:rsidR="0003789A" w:rsidRPr="000C6714" w:rsidRDefault="0003789A" w:rsidP="0003789A">
      <w:pPr>
        <w:pStyle w:val="Luettelokappale"/>
        <w:numPr>
          <w:ilvl w:val="0"/>
          <w:numId w:val="10"/>
        </w:numPr>
        <w:rPr>
          <w:szCs w:val="24"/>
        </w:rPr>
      </w:pPr>
      <w:r>
        <w:t xml:space="preserve">Områden som uppfyller vissa fastställda villkor och som en medlemsstat därför kan utse till c-områden utan vidare motivering (nedan </w:t>
      </w:r>
      <w:r>
        <w:rPr>
          <w:i/>
          <w:iCs/>
        </w:rPr>
        <w:t>förhandsdefinierade c-områden</w:t>
      </w:r>
      <w:r>
        <w:t>).</w:t>
      </w:r>
    </w:p>
    <w:p w14:paraId="11226C1E" w14:textId="77777777" w:rsidR="0003789A" w:rsidRPr="000C6714" w:rsidRDefault="0003789A" w:rsidP="0003789A">
      <w:pPr>
        <w:pStyle w:val="Luettelokappale"/>
        <w:numPr>
          <w:ilvl w:val="0"/>
          <w:numId w:val="10"/>
        </w:numPr>
        <w:rPr>
          <w:szCs w:val="24"/>
        </w:rPr>
      </w:pPr>
      <w:r>
        <w:t xml:space="preserve">Områden som en medlemsstat efter eget gottfinnande kan utse till c-områden, förutsatt att medlemsstaten visar att sådana områden uppfyller vissa socioekonomiska kriterier (nedan </w:t>
      </w:r>
      <w:r>
        <w:rPr>
          <w:i/>
          <w:iCs/>
        </w:rPr>
        <w:t>icke förhandsdefinierade c-områden</w:t>
      </w:r>
      <w:r>
        <w:t>). Befolkningsandelen i de icke förhandsdefinierade c-områdena fås genom att befolkningsandelen i både a-områdena och de förhandsdefinierade c-områdena subtraheras från den totala befolkningsandelen på 48 procent. Denna befolkningsandel har Europeiska kommissionen fördelat mellan medlemsstaterna enligt beräkningsformeln i riktlinjerna för regionalstöd.</w:t>
      </w:r>
    </w:p>
    <w:p w14:paraId="7A813E99" w14:textId="33BBD4AC" w:rsidR="00D94A11" w:rsidRPr="000C6714" w:rsidRDefault="00D94A11" w:rsidP="00CC0518">
      <w:pPr>
        <w:rPr>
          <w:szCs w:val="24"/>
        </w:rPr>
      </w:pPr>
    </w:p>
    <w:p w14:paraId="06878458" w14:textId="3DD47530" w:rsidR="003B1AFC" w:rsidRDefault="008254B2" w:rsidP="000C6714">
      <w:pPr>
        <w:ind w:left="1304"/>
        <w:rPr>
          <w:szCs w:val="24"/>
        </w:rPr>
      </w:pPr>
      <w:r>
        <w:t xml:space="preserve">På basis av riktlinjerna för regionalstöd har man vid utseendet av stödområdena I och II i Finland följt följande principer som inte föreslås bli ändrade i samband med </w:t>
      </w:r>
      <w:r w:rsidR="00203B4E">
        <w:t>halvtidsöversyn</w:t>
      </w:r>
      <w:r>
        <w:t>en. Det första stödområdet föreslås fortfarande omfatta de förhandsdefinierade c-områden enligt riktlinjerna för regionalstöd som är glest befolkade, samt de icke förhandsdefinierade c-områden som föreslås på basis av kriteriet att de har gemensam gräns med ett land utanför EES/Efta. Det andra stödområdet föreslås omfatta de andra icke förhandsdefinierade c-områden som kan utses på basis av BNP-kriteriet i riktlinjerna för regionalstöd (angränsande områden med minst 50 000 invånare som ligger i en Nuts 2-region vars köpkraftsjusterade BNP per capita är under genomsnittet för EU27). Stödområdena avgör i vilka områden nivån på det regionalstöd som beviljas för företags investeringsprojekt får vara högre än i resten av landet.</w:t>
      </w:r>
    </w:p>
    <w:p w14:paraId="0B140C99" w14:textId="3D5FB54F" w:rsidR="00CE28B8" w:rsidRDefault="00CE28B8" w:rsidP="00CE28B8">
      <w:pPr>
        <w:autoSpaceDE w:val="0"/>
        <w:autoSpaceDN w:val="0"/>
        <w:adjustRightInd w:val="0"/>
        <w:ind w:left="1276"/>
        <w:rPr>
          <w:bCs/>
          <w:szCs w:val="24"/>
          <w:lang w:eastAsia="fi-FI"/>
        </w:rPr>
      </w:pPr>
    </w:p>
    <w:p w14:paraId="1B33F618" w14:textId="4AF5869D" w:rsidR="00CE28B8" w:rsidRDefault="00CE28B8" w:rsidP="00CE28B8">
      <w:pPr>
        <w:autoSpaceDE w:val="0"/>
        <w:autoSpaceDN w:val="0"/>
        <w:adjustRightInd w:val="0"/>
        <w:ind w:left="1276"/>
        <w:rPr>
          <w:bCs/>
          <w:szCs w:val="24"/>
        </w:rPr>
      </w:pPr>
      <w:r>
        <w:t xml:space="preserve">De ändringar som görs i stödområdena i Finland utifrån </w:t>
      </w:r>
      <w:r w:rsidR="00203B4E">
        <w:t>halvtidsöversyn</w:t>
      </w:r>
      <w:r>
        <w:t xml:space="preserve">en begränsas till högst 50 procent av den tillgängliga befolkningstäckningen i stödområdena i Södra och Västra Finland (s.k. icke förhandsdefinierade c-områden), dvs. ändringarna kan gälla områden med sammanlagt högst 97 365 invånare. Även nya stödområden ska uppfylla kriterierna i riktlinjerna för regionalstöd för att bli utsedda. I samband med </w:t>
      </w:r>
      <w:r w:rsidR="00203B4E">
        <w:t>halvtidsöversyn</w:t>
      </w:r>
      <w:r>
        <w:t>en är det inte möjligt att ändra ställningen för en Nuts 2-region i Östra och Norra Finland (s.k. förhandsdefinierat c-område) som stödområde I eller att rikta områdets befolkningstäckning till andra delar av landet.</w:t>
      </w:r>
    </w:p>
    <w:p w14:paraId="671970F0" w14:textId="48A4F08D" w:rsidR="003B1AFC" w:rsidRPr="000C6714" w:rsidRDefault="003B1AFC" w:rsidP="00CC0518">
      <w:pPr>
        <w:rPr>
          <w:szCs w:val="24"/>
        </w:rPr>
      </w:pPr>
    </w:p>
    <w:p w14:paraId="29BC8B26" w14:textId="497C8ADD" w:rsidR="00D94A11" w:rsidRPr="000C6714" w:rsidRDefault="00D94A11" w:rsidP="00267FFE">
      <w:pPr>
        <w:ind w:left="1304"/>
        <w:rPr>
          <w:szCs w:val="24"/>
        </w:rPr>
      </w:pPr>
      <w:r>
        <w:t>Före utfärdandet av förordningen har ändringarna i regionalstödskartan officiellt anmälts till Europeiska kommissionen som i sin tur har godkänt regionalstödskartan den xx xxxx 2022.</w:t>
      </w:r>
    </w:p>
    <w:p w14:paraId="4132FA16" w14:textId="77777777" w:rsidR="00CC0518" w:rsidRPr="000C6714" w:rsidRDefault="00CC0518" w:rsidP="00824A96">
      <w:pPr>
        <w:autoSpaceDE w:val="0"/>
        <w:autoSpaceDN w:val="0"/>
        <w:adjustRightInd w:val="0"/>
        <w:rPr>
          <w:bCs/>
          <w:szCs w:val="24"/>
          <w:lang w:eastAsia="fi-FI"/>
        </w:rPr>
      </w:pPr>
    </w:p>
    <w:p w14:paraId="5BB0EA31" w14:textId="77777777" w:rsidR="00CC0518" w:rsidRPr="000C6714" w:rsidRDefault="00CC0518" w:rsidP="00CC0518">
      <w:pPr>
        <w:pStyle w:val="M2Otsikkotaso"/>
        <w:spacing w:after="0"/>
        <w:ind w:left="1418" w:hanging="1418"/>
      </w:pPr>
      <w:r>
        <w:t>Förslagets viktigaste innehåll</w:t>
      </w:r>
    </w:p>
    <w:p w14:paraId="2D154F97" w14:textId="77777777" w:rsidR="006164F7" w:rsidRPr="000C6714" w:rsidRDefault="006164F7" w:rsidP="006164F7">
      <w:pPr>
        <w:rPr>
          <w:szCs w:val="24"/>
          <w:lang w:eastAsia="fi-FI"/>
        </w:rPr>
      </w:pPr>
    </w:p>
    <w:p w14:paraId="259B1C03" w14:textId="672B6F68" w:rsidR="00917EA0" w:rsidRPr="000C6714" w:rsidRDefault="00917EA0" w:rsidP="000C6714">
      <w:pPr>
        <w:ind w:left="1304"/>
        <w:rPr>
          <w:szCs w:val="24"/>
        </w:rPr>
      </w:pPr>
      <w:r>
        <w:t>I utkastet anges de kommuner som enligt förslaget ska omfattas av stödområdena I och II. De högsta stödnivåerna för stödområden fastställs enligt Europeiska kommissionens riktlinjer.</w:t>
      </w:r>
    </w:p>
    <w:p w14:paraId="4A8E75DB" w14:textId="46A6FD31" w:rsidR="009368D3" w:rsidRDefault="009368D3" w:rsidP="006164F7">
      <w:pPr>
        <w:rPr>
          <w:szCs w:val="24"/>
          <w:lang w:eastAsia="fi-FI"/>
        </w:rPr>
      </w:pPr>
    </w:p>
    <w:p w14:paraId="0F4C2C40" w14:textId="0E60D5F5" w:rsidR="00681201" w:rsidRDefault="00681201" w:rsidP="006164F7">
      <w:pPr>
        <w:rPr>
          <w:szCs w:val="24"/>
          <w:lang w:eastAsia="fi-FI"/>
        </w:rPr>
      </w:pPr>
    </w:p>
    <w:p w14:paraId="33FCDD9D" w14:textId="26BB8C89" w:rsidR="00681201" w:rsidRDefault="00681201" w:rsidP="006164F7">
      <w:pPr>
        <w:rPr>
          <w:szCs w:val="24"/>
          <w:lang w:eastAsia="fi-FI"/>
        </w:rPr>
      </w:pPr>
    </w:p>
    <w:p w14:paraId="040B3A51" w14:textId="77777777" w:rsidR="00681201" w:rsidRPr="000C6714" w:rsidRDefault="00681201" w:rsidP="006164F7">
      <w:pPr>
        <w:rPr>
          <w:szCs w:val="24"/>
          <w:lang w:eastAsia="fi-FI"/>
        </w:rPr>
      </w:pPr>
    </w:p>
    <w:p w14:paraId="564C396F" w14:textId="77777777" w:rsidR="009368D3" w:rsidRPr="000C6714" w:rsidRDefault="009368D3" w:rsidP="009368D3">
      <w:pPr>
        <w:rPr>
          <w:b/>
          <w:szCs w:val="24"/>
        </w:rPr>
      </w:pPr>
      <w:r>
        <w:rPr>
          <w:b/>
        </w:rPr>
        <w:lastRenderedPageBreak/>
        <w:t>Högsta stödnivåer</w:t>
      </w:r>
    </w:p>
    <w:p w14:paraId="45444039" w14:textId="4343D60C" w:rsidR="009368D3" w:rsidRPr="000C6714" w:rsidRDefault="005A618A" w:rsidP="000C6714">
      <w:pPr>
        <w:pStyle w:val="Luettelokappale"/>
        <w:ind w:firstLine="556"/>
        <w:rPr>
          <w:szCs w:val="24"/>
        </w:rPr>
      </w:pPr>
      <w:r>
        <w:tab/>
      </w:r>
      <w:r>
        <w:tab/>
      </w:r>
      <w:r>
        <w:tab/>
      </w:r>
      <w:r>
        <w:tab/>
      </w:r>
      <w:r>
        <w:tab/>
      </w:r>
      <w:r>
        <w:tab/>
      </w:r>
      <w:r>
        <w:tab/>
      </w:r>
    </w:p>
    <w:tbl>
      <w:tblPr>
        <w:tblStyle w:val="TaulukkoRuudukko"/>
        <w:tblW w:w="0" w:type="auto"/>
        <w:tblInd w:w="1491" w:type="dxa"/>
        <w:tblLook w:val="04A0" w:firstRow="1" w:lastRow="0" w:firstColumn="1" w:lastColumn="0" w:noHBand="0" w:noVBand="1"/>
      </w:tblPr>
      <w:tblGrid>
        <w:gridCol w:w="3891"/>
        <w:gridCol w:w="1134"/>
        <w:gridCol w:w="1134"/>
        <w:gridCol w:w="1417"/>
      </w:tblGrid>
      <w:tr w:rsidR="00C97BA3" w:rsidRPr="000C6714" w14:paraId="5205D157" w14:textId="77777777" w:rsidTr="005A618A">
        <w:tc>
          <w:tcPr>
            <w:tcW w:w="3891" w:type="dxa"/>
          </w:tcPr>
          <w:p w14:paraId="6660AFEF" w14:textId="77777777" w:rsidR="009368D3" w:rsidRPr="000C6714" w:rsidRDefault="009368D3" w:rsidP="002C6EBA">
            <w:pPr>
              <w:pStyle w:val="Luettelokappale"/>
              <w:ind w:left="0"/>
              <w:rPr>
                <w:szCs w:val="24"/>
              </w:rPr>
            </w:pPr>
          </w:p>
        </w:tc>
        <w:tc>
          <w:tcPr>
            <w:tcW w:w="1134" w:type="dxa"/>
          </w:tcPr>
          <w:p w14:paraId="264A4CE0" w14:textId="61F02FED" w:rsidR="009368D3" w:rsidRPr="000C6714" w:rsidRDefault="009368D3" w:rsidP="002C6EBA">
            <w:pPr>
              <w:pStyle w:val="Luettelokappale"/>
              <w:ind w:left="0"/>
              <w:rPr>
                <w:szCs w:val="24"/>
              </w:rPr>
            </w:pPr>
            <w:r>
              <w:t>Små</w:t>
            </w:r>
            <w:r>
              <w:br/>
              <w:t>företag</w:t>
            </w:r>
          </w:p>
        </w:tc>
        <w:tc>
          <w:tcPr>
            <w:tcW w:w="1134" w:type="dxa"/>
          </w:tcPr>
          <w:p w14:paraId="0B73FA2E" w14:textId="77777777" w:rsidR="009368D3" w:rsidRPr="000C6714" w:rsidRDefault="009368D3" w:rsidP="002C6EBA">
            <w:pPr>
              <w:pStyle w:val="Luettelokappale"/>
              <w:ind w:left="0"/>
              <w:rPr>
                <w:szCs w:val="24"/>
              </w:rPr>
            </w:pPr>
            <w:r>
              <w:t>Medelstora</w:t>
            </w:r>
          </w:p>
          <w:p w14:paraId="7B517127" w14:textId="77777777" w:rsidR="009368D3" w:rsidRPr="000C6714" w:rsidRDefault="009368D3" w:rsidP="002C6EBA">
            <w:pPr>
              <w:pStyle w:val="Luettelokappale"/>
              <w:ind w:left="0"/>
              <w:rPr>
                <w:szCs w:val="24"/>
              </w:rPr>
            </w:pPr>
            <w:r>
              <w:t>företag</w:t>
            </w:r>
          </w:p>
        </w:tc>
        <w:tc>
          <w:tcPr>
            <w:tcW w:w="1417" w:type="dxa"/>
          </w:tcPr>
          <w:p w14:paraId="7E6ED914" w14:textId="77777777" w:rsidR="009368D3" w:rsidRPr="000C6714" w:rsidRDefault="009368D3" w:rsidP="002C6EBA">
            <w:pPr>
              <w:pStyle w:val="Luettelokappale"/>
              <w:ind w:left="37"/>
              <w:rPr>
                <w:szCs w:val="24"/>
              </w:rPr>
            </w:pPr>
            <w:r>
              <w:t xml:space="preserve">Stora </w:t>
            </w:r>
          </w:p>
          <w:p w14:paraId="7D8AD477" w14:textId="77777777" w:rsidR="009368D3" w:rsidRPr="000C6714" w:rsidRDefault="009368D3" w:rsidP="002C6EBA">
            <w:pPr>
              <w:pStyle w:val="Luettelokappale"/>
              <w:ind w:left="37"/>
              <w:rPr>
                <w:szCs w:val="24"/>
              </w:rPr>
            </w:pPr>
            <w:r>
              <w:t>företag</w:t>
            </w:r>
          </w:p>
        </w:tc>
      </w:tr>
      <w:tr w:rsidR="00C97BA3" w:rsidRPr="000C6714" w14:paraId="0C654230" w14:textId="77777777" w:rsidTr="005A618A">
        <w:tc>
          <w:tcPr>
            <w:tcW w:w="3891" w:type="dxa"/>
          </w:tcPr>
          <w:p w14:paraId="443CD70A" w14:textId="53A63101" w:rsidR="009368D3" w:rsidRPr="000C6714" w:rsidRDefault="009368D3" w:rsidP="0034269D">
            <w:pPr>
              <w:pStyle w:val="Luettelokappale"/>
              <w:ind w:left="0"/>
              <w:rPr>
                <w:szCs w:val="24"/>
              </w:rPr>
            </w:pPr>
            <w:r>
              <w:t>Förhandsdefinierade c-områden (glest befolkade) samt icke förhandsdefinierade c-områden som delar landgräns med ett land utanför EES eller Efta (stödområde I)</w:t>
            </w:r>
          </w:p>
        </w:tc>
        <w:tc>
          <w:tcPr>
            <w:tcW w:w="1134" w:type="dxa"/>
          </w:tcPr>
          <w:p w14:paraId="6D126BB4" w14:textId="77777777" w:rsidR="009368D3" w:rsidRPr="000C6714" w:rsidRDefault="009368D3" w:rsidP="002C6EBA">
            <w:pPr>
              <w:pStyle w:val="Luettelokappale"/>
              <w:ind w:left="0"/>
              <w:rPr>
                <w:szCs w:val="24"/>
              </w:rPr>
            </w:pPr>
            <w:r>
              <w:t>40</w:t>
            </w:r>
          </w:p>
        </w:tc>
        <w:tc>
          <w:tcPr>
            <w:tcW w:w="1134" w:type="dxa"/>
          </w:tcPr>
          <w:p w14:paraId="76BAC6C2" w14:textId="77777777" w:rsidR="009368D3" w:rsidRPr="000C6714" w:rsidRDefault="009368D3" w:rsidP="002C6EBA">
            <w:pPr>
              <w:pStyle w:val="Luettelokappale"/>
              <w:ind w:left="0"/>
              <w:rPr>
                <w:szCs w:val="24"/>
              </w:rPr>
            </w:pPr>
            <w:r>
              <w:t>30</w:t>
            </w:r>
          </w:p>
        </w:tc>
        <w:tc>
          <w:tcPr>
            <w:tcW w:w="1417" w:type="dxa"/>
          </w:tcPr>
          <w:p w14:paraId="7667EFBE" w14:textId="77777777" w:rsidR="009368D3" w:rsidRPr="000C6714" w:rsidRDefault="009368D3" w:rsidP="002C6EBA">
            <w:pPr>
              <w:pStyle w:val="Luettelokappale"/>
              <w:ind w:left="0"/>
              <w:rPr>
                <w:szCs w:val="24"/>
              </w:rPr>
            </w:pPr>
            <w:r>
              <w:t>20</w:t>
            </w:r>
          </w:p>
        </w:tc>
      </w:tr>
      <w:tr w:rsidR="009368D3" w:rsidRPr="000C6714" w14:paraId="03122764" w14:textId="77777777" w:rsidTr="005A618A">
        <w:tc>
          <w:tcPr>
            <w:tcW w:w="3891" w:type="dxa"/>
          </w:tcPr>
          <w:p w14:paraId="6E4FE38A" w14:textId="68827657" w:rsidR="004759B9" w:rsidRPr="000C6714" w:rsidRDefault="005711CD" w:rsidP="002C6EBA">
            <w:pPr>
              <w:pStyle w:val="Luettelokappale"/>
              <w:ind w:left="0"/>
              <w:rPr>
                <w:szCs w:val="24"/>
              </w:rPr>
            </w:pPr>
            <w:r>
              <w:t>Andra icke förhandsdefinierade c-områden (stödområde II)</w:t>
            </w:r>
          </w:p>
          <w:p w14:paraId="77D77773" w14:textId="14A55BE2" w:rsidR="009368D3" w:rsidRPr="000C6714" w:rsidRDefault="009368D3" w:rsidP="005711CD">
            <w:pPr>
              <w:pStyle w:val="Luettelokappale"/>
              <w:rPr>
                <w:szCs w:val="24"/>
              </w:rPr>
            </w:pPr>
          </w:p>
        </w:tc>
        <w:tc>
          <w:tcPr>
            <w:tcW w:w="1134" w:type="dxa"/>
          </w:tcPr>
          <w:p w14:paraId="4942A952" w14:textId="64321F2B" w:rsidR="009368D3" w:rsidRPr="000C6714" w:rsidRDefault="009368D3" w:rsidP="002C6EBA">
            <w:pPr>
              <w:pStyle w:val="Luettelokappale"/>
              <w:ind w:left="0"/>
              <w:rPr>
                <w:szCs w:val="24"/>
              </w:rPr>
            </w:pPr>
            <w:r>
              <w:t>35</w:t>
            </w:r>
          </w:p>
        </w:tc>
        <w:tc>
          <w:tcPr>
            <w:tcW w:w="1134" w:type="dxa"/>
          </w:tcPr>
          <w:p w14:paraId="48B02E0C" w14:textId="245C8083" w:rsidR="009368D3" w:rsidRPr="000C6714" w:rsidRDefault="009368D3" w:rsidP="002C6EBA">
            <w:pPr>
              <w:pStyle w:val="Luettelokappale"/>
              <w:ind w:left="0"/>
              <w:rPr>
                <w:szCs w:val="24"/>
              </w:rPr>
            </w:pPr>
            <w:r>
              <w:t>25</w:t>
            </w:r>
          </w:p>
        </w:tc>
        <w:tc>
          <w:tcPr>
            <w:tcW w:w="1417" w:type="dxa"/>
          </w:tcPr>
          <w:p w14:paraId="2B58A72D" w14:textId="1450820F" w:rsidR="009368D3" w:rsidRPr="000C6714" w:rsidRDefault="009368D3" w:rsidP="002C6EBA">
            <w:pPr>
              <w:pStyle w:val="Luettelokappale"/>
              <w:ind w:left="0"/>
              <w:rPr>
                <w:szCs w:val="24"/>
              </w:rPr>
            </w:pPr>
            <w:r>
              <w:t>15</w:t>
            </w:r>
          </w:p>
        </w:tc>
      </w:tr>
    </w:tbl>
    <w:p w14:paraId="6A7DEA16" w14:textId="77777777" w:rsidR="009368D3" w:rsidRPr="000C6714" w:rsidRDefault="009368D3" w:rsidP="006164F7">
      <w:pPr>
        <w:rPr>
          <w:szCs w:val="24"/>
          <w:lang w:eastAsia="fi-FI"/>
        </w:rPr>
      </w:pPr>
    </w:p>
    <w:p w14:paraId="69E96A83" w14:textId="12E5FD92" w:rsidR="00A50357" w:rsidRDefault="00A50357" w:rsidP="000C6714">
      <w:pPr>
        <w:autoSpaceDE w:val="0"/>
        <w:autoSpaceDN w:val="0"/>
        <w:adjustRightInd w:val="0"/>
        <w:ind w:left="1304"/>
        <w:rPr>
          <w:szCs w:val="24"/>
        </w:rPr>
      </w:pPr>
      <w:r>
        <w:t xml:space="preserve">Bestämmelser om de maximala procentandelar för stödet som tillämpas på stödområdena finns i statsrådets förordning om statsunderstöd för utvecklande av företagsverksamhet 2021–2028 (895/2021), som utfärdats med stöd av lagen om statsunderstöd för utvecklande av företagsverksamhet 2021–2028 (758/2021). </w:t>
      </w:r>
    </w:p>
    <w:p w14:paraId="1C3D8C34" w14:textId="6451A68F" w:rsidR="00E37269" w:rsidRDefault="00E37269" w:rsidP="000C6714">
      <w:pPr>
        <w:autoSpaceDE w:val="0"/>
        <w:autoSpaceDN w:val="0"/>
        <w:adjustRightInd w:val="0"/>
        <w:ind w:left="1304"/>
        <w:rPr>
          <w:szCs w:val="24"/>
        </w:rPr>
      </w:pPr>
    </w:p>
    <w:p w14:paraId="2B6FAAD8" w14:textId="6E82C403" w:rsidR="00E37269" w:rsidRPr="000C6714" w:rsidRDefault="00E37269" w:rsidP="000C6714">
      <w:pPr>
        <w:autoSpaceDE w:val="0"/>
        <w:autoSpaceDN w:val="0"/>
        <w:adjustRightInd w:val="0"/>
        <w:ind w:left="1304"/>
        <w:rPr>
          <w:szCs w:val="24"/>
        </w:rPr>
      </w:pPr>
      <w:r>
        <w:t>På en ansökan som har blivit anhängig före ikraftträdandet av denna förordning tillämpas de bestämmelser som gällde vid ikraftträdandet.</w:t>
      </w:r>
    </w:p>
    <w:p w14:paraId="619FD348" w14:textId="19D77CD8" w:rsidR="00DE4544" w:rsidRPr="000C6714" w:rsidRDefault="00DE4544" w:rsidP="00DE4544">
      <w:pPr>
        <w:rPr>
          <w:szCs w:val="24"/>
          <w:lang w:eastAsia="fi-FI"/>
        </w:rPr>
      </w:pPr>
    </w:p>
    <w:p w14:paraId="4B796E97" w14:textId="390B8286" w:rsidR="002210DA" w:rsidRPr="000C6714" w:rsidRDefault="00FA1A89" w:rsidP="00DE4544">
      <w:pPr>
        <w:rPr>
          <w:b/>
          <w:szCs w:val="24"/>
        </w:rPr>
      </w:pPr>
      <w:r>
        <w:rPr>
          <w:b/>
        </w:rPr>
        <w:t xml:space="preserve">Förhandsdefinierade c-områden </w:t>
      </w:r>
    </w:p>
    <w:p w14:paraId="0C9463E3" w14:textId="77777777" w:rsidR="002210DA" w:rsidRPr="000C6714" w:rsidRDefault="002210DA" w:rsidP="00DE4544">
      <w:pPr>
        <w:rPr>
          <w:szCs w:val="24"/>
          <w:lang w:eastAsia="fi-FI"/>
        </w:rPr>
      </w:pPr>
    </w:p>
    <w:p w14:paraId="33C8A474" w14:textId="3405B3B3" w:rsidR="00424161" w:rsidRPr="000C6714" w:rsidRDefault="00917EA0" w:rsidP="000C6714">
      <w:pPr>
        <w:ind w:left="1304"/>
        <w:rPr>
          <w:szCs w:val="24"/>
        </w:rPr>
      </w:pPr>
      <w:r>
        <w:t xml:space="preserve">Enligt Europeiska kommissionens meddelande om riktlinjer för regionalstöd kan ett område med en total befolkningsandel på 23,34 procent utses till ett förhandsdefinierat c-område på basis av att det är glest befolkat (under 8 invånare per kvadratkilometer). Sådana förhandsdefinierade c-områden är landskapen Södra Savolax, Norra Savolax, Norra Karelen, Mellersta Österbotten, Lappland, Kajanaland och Norra Österbotten i storområdet Östra och Norra Finland. I samband med </w:t>
      </w:r>
      <w:r w:rsidR="00203B4E">
        <w:t>halvtidsöversyn</w:t>
      </w:r>
      <w:r>
        <w:t>en är det inte möjligt att ändra de förhandsdefinierade stödområdena, dvs. dessa landskap ska också i fortsättningen vara stödområde I.</w:t>
      </w:r>
    </w:p>
    <w:p w14:paraId="50AC11EB" w14:textId="3B9136F9" w:rsidR="00424161" w:rsidRPr="000C6714" w:rsidRDefault="00424161" w:rsidP="00DE4544">
      <w:pPr>
        <w:rPr>
          <w:b/>
          <w:szCs w:val="24"/>
          <w:lang w:eastAsia="fi-FI"/>
        </w:rPr>
      </w:pPr>
    </w:p>
    <w:p w14:paraId="4CF6C85F" w14:textId="12F72D2C" w:rsidR="00FA1A89" w:rsidRPr="000C6714" w:rsidRDefault="00FA1A89" w:rsidP="00DE4544">
      <w:pPr>
        <w:rPr>
          <w:b/>
          <w:szCs w:val="24"/>
        </w:rPr>
      </w:pPr>
      <w:r>
        <w:rPr>
          <w:b/>
        </w:rPr>
        <w:t>Kriterier för icke förhandsdefinierade c-områden</w:t>
      </w:r>
    </w:p>
    <w:p w14:paraId="743850CA" w14:textId="77777777" w:rsidR="002210DA" w:rsidRPr="000C6714" w:rsidRDefault="002210DA" w:rsidP="00DE4544">
      <w:pPr>
        <w:rPr>
          <w:szCs w:val="24"/>
          <w:lang w:eastAsia="fi-FI"/>
        </w:rPr>
      </w:pPr>
    </w:p>
    <w:p w14:paraId="5429411A" w14:textId="5427D48F" w:rsidR="00FB6D55" w:rsidRDefault="00424161" w:rsidP="000C6714">
      <w:pPr>
        <w:ind w:left="1304"/>
        <w:rPr>
          <w:szCs w:val="24"/>
        </w:rPr>
      </w:pPr>
      <w:r>
        <w:t xml:space="preserve">Befolkningsandelen i de icke förhandsdefinierade c-områdena får uppgå till högst 3,52 % av befolkningen (194 790 invånare). De här områdena får utses nationellt, så länge kriterierna i riktlinjerna för regionalstöd uppfylls. De ändringar som görs på basis av </w:t>
      </w:r>
      <w:r w:rsidR="00203B4E">
        <w:t>halvtidsöversyn</w:t>
      </w:r>
      <w:r>
        <w:t>en kan gälla högst 50 % av befolkningen i icke förhandsdefinierade c-områden.</w:t>
      </w:r>
    </w:p>
    <w:p w14:paraId="7B36AA49" w14:textId="77777777" w:rsidR="00FB6D55" w:rsidRDefault="00FB6D55" w:rsidP="000C6714">
      <w:pPr>
        <w:ind w:left="1304"/>
        <w:rPr>
          <w:szCs w:val="24"/>
          <w:lang w:eastAsia="fi-FI"/>
        </w:rPr>
      </w:pPr>
    </w:p>
    <w:p w14:paraId="2F804F38" w14:textId="4A9CC4CC" w:rsidR="00A86E50" w:rsidRPr="000C6714" w:rsidRDefault="00A86E50" w:rsidP="000C6714">
      <w:pPr>
        <w:ind w:left="1304"/>
        <w:rPr>
          <w:szCs w:val="24"/>
        </w:rPr>
      </w:pPr>
      <w:r>
        <w:t>Sådana socioekonomiska, geografiska eller strukturella problem som avses i riktlinjerna för regionalstöd kan motivera att man utser ett område. Områden som får stöd för rättvis omställning kan utses även på basis av strukturomvandlingskriteriet. Närmare kriterier vad gäller icke förhandsdefinierade c-områden är följande:</w:t>
      </w:r>
    </w:p>
    <w:p w14:paraId="686BD84E" w14:textId="77777777" w:rsidR="00A86E50" w:rsidRPr="000C6714" w:rsidRDefault="00A86E50" w:rsidP="00A86E50">
      <w:pPr>
        <w:jc w:val="both"/>
        <w:rPr>
          <w:szCs w:val="24"/>
        </w:rPr>
      </w:pPr>
    </w:p>
    <w:p w14:paraId="0C5614B0" w14:textId="77777777" w:rsidR="00A86E50" w:rsidRPr="000C6714" w:rsidRDefault="00A86E50" w:rsidP="000C6714">
      <w:pPr>
        <w:pStyle w:val="Luettelokappale"/>
        <w:ind w:firstLine="584"/>
        <w:jc w:val="both"/>
        <w:rPr>
          <w:b/>
          <w:i/>
          <w:szCs w:val="24"/>
        </w:rPr>
      </w:pPr>
      <w:r>
        <w:rPr>
          <w:b/>
          <w:i/>
        </w:rPr>
        <w:t xml:space="preserve">Kriterium 1: </w:t>
      </w:r>
    </w:p>
    <w:p w14:paraId="5D644A13" w14:textId="77777777" w:rsidR="00A86E50" w:rsidRPr="000C6714" w:rsidRDefault="00A86E50" w:rsidP="000C6714">
      <w:pPr>
        <w:pStyle w:val="Luettelokappale"/>
        <w:ind w:left="1304"/>
        <w:jc w:val="both"/>
        <w:rPr>
          <w:szCs w:val="24"/>
        </w:rPr>
      </w:pPr>
      <w:r>
        <w:t xml:space="preserve">Angränsande områden med minst 50 000 invånare. Dessa ska ligga i Nuts 2- eller Nuts 3-regioner som har </w:t>
      </w:r>
    </w:p>
    <w:p w14:paraId="6B7AA633" w14:textId="77777777" w:rsidR="00A86E50" w:rsidRPr="000C6714" w:rsidRDefault="00A86E50" w:rsidP="000C2C2F">
      <w:pPr>
        <w:pStyle w:val="Luettelokappale"/>
        <w:numPr>
          <w:ilvl w:val="0"/>
          <w:numId w:val="12"/>
        </w:numPr>
        <w:jc w:val="both"/>
        <w:rPr>
          <w:szCs w:val="24"/>
        </w:rPr>
      </w:pPr>
      <w:r>
        <w:lastRenderedPageBreak/>
        <w:t xml:space="preserve">en BNP per capita under eller lika med genomsnittet för EU27, eller </w:t>
      </w:r>
    </w:p>
    <w:p w14:paraId="5B46D090" w14:textId="77777777" w:rsidR="00A86E50" w:rsidRPr="000C6714" w:rsidRDefault="00A86E50" w:rsidP="000C2C2F">
      <w:pPr>
        <w:pStyle w:val="Luettelokappale"/>
        <w:numPr>
          <w:ilvl w:val="0"/>
          <w:numId w:val="12"/>
        </w:numPr>
        <w:jc w:val="both"/>
        <w:rPr>
          <w:b/>
          <w:szCs w:val="24"/>
        </w:rPr>
      </w:pPr>
      <w:r>
        <w:t xml:space="preserve">en arbetslöshetsgrad över eller lika med 115 procent av det nationella genomsnittet </w:t>
      </w:r>
    </w:p>
    <w:p w14:paraId="46BBFCA7" w14:textId="77777777" w:rsidR="00A86E50" w:rsidRPr="000C6714" w:rsidRDefault="00A86E50" w:rsidP="00A86E50">
      <w:pPr>
        <w:ind w:left="1418"/>
        <w:rPr>
          <w:szCs w:val="24"/>
        </w:rPr>
      </w:pPr>
      <w:r>
        <w:tab/>
      </w:r>
      <w:r>
        <w:tab/>
      </w:r>
      <w:r>
        <w:tab/>
      </w:r>
      <w:r>
        <w:tab/>
      </w:r>
      <w:r>
        <w:tab/>
      </w:r>
    </w:p>
    <w:p w14:paraId="34D8726D" w14:textId="77777777" w:rsidR="00A86E50" w:rsidRPr="000C6714" w:rsidRDefault="00A86E50" w:rsidP="000C6714">
      <w:pPr>
        <w:ind w:firstLine="1304"/>
        <w:jc w:val="both"/>
        <w:rPr>
          <w:b/>
          <w:i/>
          <w:szCs w:val="24"/>
        </w:rPr>
      </w:pPr>
      <w:r>
        <w:rPr>
          <w:b/>
          <w:i/>
        </w:rPr>
        <w:t xml:space="preserve">Kriterium 2: </w:t>
      </w:r>
    </w:p>
    <w:p w14:paraId="6EAA9EAE" w14:textId="77777777" w:rsidR="00A86E50" w:rsidRPr="000C6714" w:rsidRDefault="00A86E50" w:rsidP="000C6714">
      <w:pPr>
        <w:pStyle w:val="Luettelokappale"/>
        <w:ind w:firstLine="580"/>
        <w:jc w:val="both"/>
        <w:rPr>
          <w:szCs w:val="24"/>
        </w:rPr>
      </w:pPr>
      <w:r>
        <w:t xml:space="preserve">Nuts 3-regioner med färre än 100 000 invånare som har </w:t>
      </w:r>
    </w:p>
    <w:p w14:paraId="2296664F" w14:textId="77777777" w:rsidR="00A86E50" w:rsidRPr="000C6714" w:rsidRDefault="00A86E50" w:rsidP="000C2C2F">
      <w:pPr>
        <w:pStyle w:val="Luettelokappale"/>
        <w:numPr>
          <w:ilvl w:val="0"/>
          <w:numId w:val="24"/>
        </w:numPr>
        <w:jc w:val="both"/>
        <w:rPr>
          <w:szCs w:val="24"/>
        </w:rPr>
      </w:pPr>
      <w:r>
        <w:t xml:space="preserve">en BNP per capita under eller lika med genomsnittet för EU27, eller </w:t>
      </w:r>
    </w:p>
    <w:p w14:paraId="7EDFAA27" w14:textId="77777777" w:rsidR="00A86E50" w:rsidRPr="000C6714" w:rsidRDefault="00A86E50" w:rsidP="000C2C2F">
      <w:pPr>
        <w:pStyle w:val="Luettelokappale"/>
        <w:numPr>
          <w:ilvl w:val="0"/>
          <w:numId w:val="24"/>
        </w:numPr>
        <w:jc w:val="both"/>
        <w:rPr>
          <w:b/>
          <w:szCs w:val="24"/>
        </w:rPr>
      </w:pPr>
      <w:r>
        <w:t xml:space="preserve">en arbetslöshetsgrad över eller lika med 115 procent av det nationella genomsnittet </w:t>
      </w:r>
    </w:p>
    <w:p w14:paraId="658FA8FB" w14:textId="77777777" w:rsidR="00A86E50" w:rsidRPr="000C6714" w:rsidRDefault="00A86E50" w:rsidP="00A86E50">
      <w:pPr>
        <w:jc w:val="both"/>
        <w:rPr>
          <w:szCs w:val="24"/>
        </w:rPr>
      </w:pPr>
    </w:p>
    <w:p w14:paraId="5352871D" w14:textId="77777777" w:rsidR="00A86E50" w:rsidRPr="000C6714" w:rsidRDefault="00A86E50" w:rsidP="000C6714">
      <w:pPr>
        <w:ind w:left="709" w:firstLine="591"/>
        <w:jc w:val="both"/>
        <w:rPr>
          <w:b/>
          <w:i/>
          <w:szCs w:val="24"/>
        </w:rPr>
      </w:pPr>
      <w:r>
        <w:rPr>
          <w:b/>
          <w:i/>
        </w:rPr>
        <w:t>Kriterium 3:</w:t>
      </w:r>
    </w:p>
    <w:p w14:paraId="20164CE3" w14:textId="77777777" w:rsidR="00A86E50" w:rsidRPr="000C6714" w:rsidRDefault="00A86E50" w:rsidP="000C6714">
      <w:pPr>
        <w:ind w:left="1300"/>
        <w:jc w:val="both"/>
        <w:rPr>
          <w:szCs w:val="24"/>
        </w:rPr>
      </w:pPr>
      <w:r>
        <w:t xml:space="preserve">Öar eller angränsande områden som också är geografiskt isolerade (t.ex. halvöar och bergsområden) som har </w:t>
      </w:r>
    </w:p>
    <w:p w14:paraId="129062C8" w14:textId="77777777" w:rsidR="00A86E50" w:rsidRPr="000C2C2F" w:rsidRDefault="00A86E50" w:rsidP="000C2C2F">
      <w:pPr>
        <w:pStyle w:val="Luettelokappale"/>
        <w:numPr>
          <w:ilvl w:val="0"/>
          <w:numId w:val="25"/>
        </w:numPr>
        <w:jc w:val="both"/>
      </w:pPr>
      <w:r>
        <w:t xml:space="preserve">en BNP per capita under eller lika med genomsnittet för EU27, eller </w:t>
      </w:r>
    </w:p>
    <w:p w14:paraId="482A3C9E" w14:textId="77777777" w:rsidR="00A86E50" w:rsidRPr="000C2C2F" w:rsidRDefault="00A86E50" w:rsidP="000C2C2F">
      <w:pPr>
        <w:pStyle w:val="Luettelokappale"/>
        <w:numPr>
          <w:ilvl w:val="0"/>
          <w:numId w:val="25"/>
        </w:numPr>
        <w:jc w:val="both"/>
      </w:pPr>
      <w:r>
        <w:t>en arbetslöshetsgrad över eller lika med 115 procent av det nationella genomsnittet, eller</w:t>
      </w:r>
    </w:p>
    <w:p w14:paraId="17644873" w14:textId="77777777" w:rsidR="00A86E50" w:rsidRPr="000C2C2F" w:rsidRDefault="00A86E50" w:rsidP="000C2C2F">
      <w:pPr>
        <w:pStyle w:val="Luettelokappale"/>
        <w:numPr>
          <w:ilvl w:val="0"/>
          <w:numId w:val="25"/>
        </w:numPr>
        <w:jc w:val="both"/>
      </w:pPr>
      <w:r>
        <w:t xml:space="preserve">färre än 5 000 invånare </w:t>
      </w:r>
    </w:p>
    <w:p w14:paraId="012C8923" w14:textId="2DFDD7C6" w:rsidR="00F81384" w:rsidRPr="000C6714" w:rsidRDefault="00F81384" w:rsidP="00A86E50">
      <w:pPr>
        <w:ind w:left="709"/>
        <w:jc w:val="both"/>
        <w:rPr>
          <w:b/>
          <w:i/>
          <w:szCs w:val="24"/>
        </w:rPr>
      </w:pPr>
    </w:p>
    <w:p w14:paraId="267A0AB9" w14:textId="77777777" w:rsidR="000C6714" w:rsidRDefault="00A86E50" w:rsidP="000C6714">
      <w:pPr>
        <w:ind w:left="709" w:firstLine="595"/>
        <w:jc w:val="both"/>
        <w:rPr>
          <w:b/>
          <w:i/>
          <w:szCs w:val="24"/>
        </w:rPr>
      </w:pPr>
      <w:r>
        <w:rPr>
          <w:b/>
          <w:i/>
        </w:rPr>
        <w:t>Kriterium 4:</w:t>
      </w:r>
    </w:p>
    <w:p w14:paraId="488466AB" w14:textId="3E3F8910" w:rsidR="00A86E50" w:rsidRPr="000C6714" w:rsidRDefault="00A86E50" w:rsidP="000C6714">
      <w:pPr>
        <w:ind w:left="1300"/>
        <w:jc w:val="both"/>
        <w:rPr>
          <w:b/>
          <w:i/>
          <w:szCs w:val="24"/>
        </w:rPr>
      </w:pPr>
      <w:r>
        <w:t>Nuts 3-regioner, eller delar av Nuts 3-regioner, som utgör angränsande områden som gränsar till ett a-område eller som har en gemensam landgräns med ett land utanför EES eller Europeiska frihandelssammanslutningen (Efta).</w:t>
      </w:r>
    </w:p>
    <w:p w14:paraId="1A63893D" w14:textId="77777777" w:rsidR="00A86E50" w:rsidRPr="000C6714" w:rsidRDefault="00A86E50" w:rsidP="00A86E50">
      <w:pPr>
        <w:ind w:left="1418"/>
        <w:jc w:val="both"/>
        <w:rPr>
          <w:szCs w:val="24"/>
        </w:rPr>
      </w:pPr>
    </w:p>
    <w:p w14:paraId="51F9988B" w14:textId="77777777" w:rsidR="000C6714" w:rsidRDefault="00A86E50" w:rsidP="000C6714">
      <w:pPr>
        <w:ind w:left="709" w:firstLine="595"/>
        <w:jc w:val="both"/>
        <w:rPr>
          <w:b/>
          <w:i/>
          <w:szCs w:val="24"/>
        </w:rPr>
      </w:pPr>
      <w:r>
        <w:rPr>
          <w:b/>
          <w:i/>
        </w:rPr>
        <w:t>Kriterium 5:</w:t>
      </w:r>
    </w:p>
    <w:p w14:paraId="1A91F32B" w14:textId="5E0A3EB8" w:rsidR="00A86E50" w:rsidRPr="000C6714" w:rsidRDefault="00A86E50" w:rsidP="000C6714">
      <w:pPr>
        <w:ind w:left="1304"/>
        <w:jc w:val="both"/>
        <w:rPr>
          <w:b/>
          <w:i/>
          <w:szCs w:val="24"/>
        </w:rPr>
      </w:pPr>
      <w:r>
        <w:t xml:space="preserve">Angränsande områden med minst 25 000 invånare som är på kraftig tillbakagång relativt sett, förutsatt att sådana områden inte ligger i Nuts 3-regioner eller angränsande områden som uppfyller villkoren för att utses till förhandsdefinierade områden eller som kan utses i enlighet med kriterierna 1–4.  </w:t>
      </w:r>
    </w:p>
    <w:p w14:paraId="6C2A6700" w14:textId="77777777" w:rsidR="00A86E50" w:rsidRPr="000C6714" w:rsidRDefault="00A86E50" w:rsidP="00A86E50">
      <w:pPr>
        <w:ind w:left="1418"/>
        <w:jc w:val="both"/>
        <w:rPr>
          <w:szCs w:val="24"/>
        </w:rPr>
      </w:pPr>
    </w:p>
    <w:p w14:paraId="31BE558D" w14:textId="4AB3DEDA" w:rsidR="00A86E50" w:rsidRDefault="00A86E50" w:rsidP="000C6714">
      <w:pPr>
        <w:ind w:left="1304"/>
        <w:jc w:val="both"/>
        <w:rPr>
          <w:szCs w:val="24"/>
        </w:rPr>
      </w:pPr>
      <w:r>
        <w:t xml:space="preserve">På basis av detta kriterium kan man också utse områden som utsetts till mottagare av stöd ur Fonden för en rättvis omställning i medlemsstatens plan för en rättvis omställning som godkänts av kommissionen. </w:t>
      </w:r>
    </w:p>
    <w:p w14:paraId="71793F43" w14:textId="24F7F3FC" w:rsidR="005F2AF7" w:rsidRDefault="005F2AF7" w:rsidP="000C6714">
      <w:pPr>
        <w:ind w:left="1304"/>
        <w:jc w:val="both"/>
        <w:rPr>
          <w:szCs w:val="24"/>
        </w:rPr>
      </w:pPr>
    </w:p>
    <w:p w14:paraId="5757BEEC" w14:textId="031416B6" w:rsidR="005F2AF7" w:rsidRPr="005F2AF7" w:rsidRDefault="005F2AF7" w:rsidP="005F2AF7">
      <w:pPr>
        <w:jc w:val="both"/>
        <w:rPr>
          <w:b/>
          <w:szCs w:val="24"/>
        </w:rPr>
      </w:pPr>
      <w:r>
        <w:rPr>
          <w:b/>
        </w:rPr>
        <w:t xml:space="preserve">Ändringar som föreslås i icke förhandsdefinierade c-områden på basis av </w:t>
      </w:r>
      <w:r w:rsidR="00203B4E">
        <w:rPr>
          <w:b/>
        </w:rPr>
        <w:t>halvtidsöversyn</w:t>
      </w:r>
      <w:r>
        <w:rPr>
          <w:b/>
        </w:rPr>
        <w:t>en</w:t>
      </w:r>
    </w:p>
    <w:p w14:paraId="6DE4C116" w14:textId="3A4A9A88" w:rsidR="00A86E50" w:rsidRDefault="00A86E50" w:rsidP="00DE4544">
      <w:pPr>
        <w:rPr>
          <w:szCs w:val="24"/>
          <w:lang w:eastAsia="fi-FI"/>
        </w:rPr>
      </w:pPr>
    </w:p>
    <w:p w14:paraId="2B791206" w14:textId="5FFA28BE" w:rsidR="00267FFE" w:rsidRPr="00267FFE" w:rsidRDefault="00267FFE" w:rsidP="00267FFE">
      <w:pPr>
        <w:ind w:left="1304"/>
        <w:rPr>
          <w:szCs w:val="24"/>
        </w:rPr>
      </w:pPr>
      <w:r>
        <w:t xml:space="preserve">Vid granskningen av stödområdena i </w:t>
      </w:r>
      <w:r w:rsidR="00203B4E">
        <w:t>halvtidsöversyn</w:t>
      </w:r>
      <w:r>
        <w:t xml:space="preserve">en har man utgått från de kriterier och villkor som anges i riktlinjerna för regionalstöd. Man har alltså granskat bruttonationalprodukten och arbetslöshetsgraden enligt storområden, landskap och ekonomiska regioner samt vid behov även enligt mindre områden. Dessutom har man tittat på de andra kriterier som anges i riktlinjerna, dvs. områden som genomgår en strukturomvandling, öar och geografiskt isolerade områden samt områden vid de yttre gränserna (gemensam landgräns med ett land utanför EES eller Efta). Vidare har en mer omfattande granskning av den regionala ekonomin använts i beräkningarna. Förslaget baserar sig på en helhetsbedömning och har utarbetats med beaktande av den regionala ekonomin och strukturomvandlingen inom ekonomin. </w:t>
      </w:r>
    </w:p>
    <w:p w14:paraId="174B2F27" w14:textId="1BB19A9A" w:rsidR="00267FFE" w:rsidRDefault="00267FFE" w:rsidP="000C6714">
      <w:pPr>
        <w:ind w:left="1304"/>
        <w:rPr>
          <w:szCs w:val="24"/>
          <w:lang w:eastAsia="fi-FI"/>
        </w:rPr>
      </w:pPr>
    </w:p>
    <w:p w14:paraId="01E83CF4" w14:textId="20A39017" w:rsidR="00D94A11" w:rsidRDefault="00FA0BAC" w:rsidP="000C6714">
      <w:pPr>
        <w:ind w:left="1304"/>
        <w:rPr>
          <w:szCs w:val="24"/>
        </w:rPr>
      </w:pPr>
      <w:r>
        <w:t xml:space="preserve">Utifrån en helhetsbedömning som gjorts på basis av ovannämnda bedömningskriterier och i samband </w:t>
      </w:r>
      <w:r w:rsidR="00203B4E">
        <w:t>halvtidsöversyn</w:t>
      </w:r>
      <w:r>
        <w:t xml:space="preserve">en på basis av de senaste statistikuppgifterna, inkl. en </w:t>
      </w:r>
      <w:r>
        <w:lastRenderedPageBreak/>
        <w:t>mer omfattande granskning av den regionala ekonomin, föreslås det att de icke förhandsdefinierade c-områdena ändras så att man i det geografiskt enhetliga stödområdet som sträcker sig till landskapen Mellersta Finland, Södra Österbotten, Birkaland och Päijänne-Tavastland stryker kommunerna Hartola, Sysmä, Padasjoki och Heinola i Päijänne-Tavastland, Kuusiokunta och Järviseutu ekonomiska regioner i Södra Österbotten samt Juupajoki kommun i Birkaland.</w:t>
      </w:r>
    </w:p>
    <w:p w14:paraId="3296AE92" w14:textId="358A24B2" w:rsidR="001D11FC" w:rsidRDefault="001D11FC" w:rsidP="000C6714">
      <w:pPr>
        <w:ind w:left="1304"/>
        <w:rPr>
          <w:szCs w:val="24"/>
        </w:rPr>
      </w:pPr>
    </w:p>
    <w:p w14:paraId="0FAE9A22" w14:textId="6335F34F" w:rsidR="001D11FC" w:rsidRDefault="001D11FC" w:rsidP="000C6714">
      <w:pPr>
        <w:ind w:left="1304"/>
        <w:rPr>
          <w:szCs w:val="24"/>
        </w:rPr>
      </w:pPr>
      <w:r>
        <w:t xml:space="preserve">Den befolkningstäckning som frigörs från dessa kommuner används enligt förslaget för att utse Kotka, Fredrikshamns och Pyttis kommuner till stödområde I. </w:t>
      </w:r>
    </w:p>
    <w:p w14:paraId="0A053FE4" w14:textId="416BA384" w:rsidR="005F2AF7" w:rsidRDefault="005F2AF7" w:rsidP="000C6714">
      <w:pPr>
        <w:ind w:left="1304"/>
        <w:rPr>
          <w:szCs w:val="24"/>
        </w:rPr>
      </w:pPr>
    </w:p>
    <w:p w14:paraId="0E2EC759" w14:textId="768DCD0F" w:rsidR="00112E24" w:rsidRDefault="005F2AF7" w:rsidP="000C6714">
      <w:pPr>
        <w:ind w:left="1304"/>
      </w:pPr>
      <w:r>
        <w:t xml:space="preserve">Genom detta stöds hela Kotka-Fredrikshamns ekonomiska regions återhämtning från den plötsliga strukturomvandlingen och de konsekvenser som Rysslands anfallskrig mot Ukraina har för gränsområdets ekonomiska region. Av kommunerna i den ekonomiska regionen har Miehikkälä och Vederlax varit stödområden redan tidigare. </w:t>
      </w:r>
    </w:p>
    <w:p w14:paraId="3900AD43" w14:textId="77777777" w:rsidR="007319DD" w:rsidRDefault="007319DD" w:rsidP="000C6714">
      <w:pPr>
        <w:ind w:left="1304"/>
        <w:rPr>
          <w:szCs w:val="24"/>
        </w:rPr>
      </w:pPr>
    </w:p>
    <w:p w14:paraId="588BB055" w14:textId="1E75F774" w:rsidR="00112E24" w:rsidRDefault="00112E24" w:rsidP="000C6714">
      <w:pPr>
        <w:ind w:left="1304"/>
        <w:rPr>
          <w:szCs w:val="24"/>
        </w:rPr>
      </w:pPr>
      <w:r w:rsidRPr="007319DD">
        <w:t xml:space="preserve">De ändringar som föreslås på basis av </w:t>
      </w:r>
      <w:r w:rsidR="00203B4E" w:rsidRPr="007319DD">
        <w:t>halvtidsöversyn</w:t>
      </w:r>
      <w:r w:rsidRPr="007319DD">
        <w:t>en förutsätter att den befolkningstäckningsmarginal på 8 074 invånare som blev oanvänd i samband med utseendet av stödområden år 2022 tas i bruk.</w:t>
      </w:r>
      <w:r>
        <w:t xml:space="preserve"> </w:t>
      </w:r>
    </w:p>
    <w:p w14:paraId="3568D705" w14:textId="4B79E311" w:rsidR="005F2AF7" w:rsidRDefault="005F2AF7" w:rsidP="000C6714">
      <w:pPr>
        <w:ind w:left="1304"/>
        <w:rPr>
          <w:szCs w:val="24"/>
        </w:rPr>
      </w:pPr>
    </w:p>
    <w:p w14:paraId="2643094C" w14:textId="77777777" w:rsidR="005F2AF7" w:rsidRPr="009F0FB8" w:rsidRDefault="005F2AF7" w:rsidP="005F2AF7">
      <w:pPr>
        <w:rPr>
          <w:b/>
          <w:szCs w:val="24"/>
        </w:rPr>
      </w:pPr>
      <w:r>
        <w:rPr>
          <w:b/>
        </w:rPr>
        <w:t>Icke förhandsdefinierade c-områden efter halvtidsöversynen</w:t>
      </w:r>
    </w:p>
    <w:p w14:paraId="6C81DAAD" w14:textId="77777777" w:rsidR="005F2AF7" w:rsidRDefault="005F2AF7" w:rsidP="005F2AF7">
      <w:pPr>
        <w:rPr>
          <w:szCs w:val="24"/>
        </w:rPr>
      </w:pPr>
    </w:p>
    <w:p w14:paraId="3A0C40E1" w14:textId="77777777" w:rsidR="009F0FB8" w:rsidRDefault="005F2AF7" w:rsidP="009F0FB8">
      <w:pPr>
        <w:ind w:left="1134"/>
        <w:rPr>
          <w:szCs w:val="24"/>
        </w:rPr>
      </w:pPr>
      <w:r>
        <w:t>Som ett geografiskt sammanhängande område Jämsä, Joutsa, Keuruu och Saarijärvi-Viitasaari ekonomiska regioner i Mellersta Finland samt Kuhmoinen i Tammerfors ekonomiska region i Birkaland och Mänttä-Vilppula i övre Birkalands ekonomiska region.</w:t>
      </w:r>
    </w:p>
    <w:p w14:paraId="6689B3ED" w14:textId="21B4DF10" w:rsidR="001D11FC" w:rsidRPr="009F0FB8" w:rsidRDefault="00FA0BAC" w:rsidP="009F0FB8">
      <w:pPr>
        <w:pStyle w:val="Luettelokappale"/>
        <w:numPr>
          <w:ilvl w:val="0"/>
          <w:numId w:val="23"/>
        </w:numPr>
        <w:rPr>
          <w:szCs w:val="24"/>
        </w:rPr>
      </w:pPr>
      <w:r>
        <w:t>Området utses fortfarande på basis av BNP-kriteriet i riktlinjerna för regionalstödet (angränsande områden med minst 50 000 invånare som ligger i en Nuts 2-region vars köpkraftsjusterade BNP per capita är under genomsnittet för EU27</w:t>
      </w:r>
      <w:r w:rsidRPr="000C6714">
        <w:rPr>
          <w:rStyle w:val="Alaviitteenviite"/>
          <w:szCs w:val="24"/>
        </w:rPr>
        <w:footnoteReference w:id="1"/>
      </w:r>
      <w:r>
        <w:t>).</w:t>
      </w:r>
    </w:p>
    <w:p w14:paraId="5D197944" w14:textId="77777777" w:rsidR="00FA0BAC" w:rsidRPr="000C6714" w:rsidRDefault="00FA0BAC" w:rsidP="009368D3">
      <w:pPr>
        <w:rPr>
          <w:szCs w:val="24"/>
        </w:rPr>
      </w:pPr>
      <w:r>
        <w:t xml:space="preserve"> </w:t>
      </w:r>
    </w:p>
    <w:p w14:paraId="4853E396" w14:textId="77777777" w:rsidR="009F0FB8" w:rsidRPr="000C6714" w:rsidRDefault="009F0FB8" w:rsidP="009F0FB8">
      <w:pPr>
        <w:pStyle w:val="Luettelokappale"/>
        <w:ind w:left="709" w:firstLine="595"/>
        <w:rPr>
          <w:szCs w:val="24"/>
        </w:rPr>
      </w:pPr>
      <w:r>
        <w:t xml:space="preserve">I Kymmenedalen Kotka-Fredrikshamns ekonomiska region </w:t>
      </w:r>
    </w:p>
    <w:p w14:paraId="554EBB5F" w14:textId="712B9C51" w:rsidR="009F0FB8" w:rsidRPr="000C6714" w:rsidRDefault="009F0FB8" w:rsidP="009F0FB8">
      <w:pPr>
        <w:pStyle w:val="Luettelokappale"/>
        <w:numPr>
          <w:ilvl w:val="0"/>
          <w:numId w:val="17"/>
        </w:numPr>
        <w:ind w:left="1985"/>
        <w:rPr>
          <w:szCs w:val="24"/>
        </w:rPr>
      </w:pPr>
      <w:r>
        <w:t>Hela ekonomiska regionen utses på basis av att den har en gemensam gräns med ett land utanför EES eller Efta.</w:t>
      </w:r>
    </w:p>
    <w:p w14:paraId="206378A7" w14:textId="5E914FA0" w:rsidR="009F0FB8" w:rsidRDefault="009F0FB8" w:rsidP="000C6714">
      <w:pPr>
        <w:pStyle w:val="Luettelokappale"/>
        <w:ind w:left="709" w:firstLine="595"/>
        <w:rPr>
          <w:szCs w:val="24"/>
        </w:rPr>
      </w:pPr>
    </w:p>
    <w:p w14:paraId="354E0B75" w14:textId="085AD9D5" w:rsidR="00FA0BAC" w:rsidRPr="000C6714" w:rsidRDefault="00FA0BAC" w:rsidP="000C6714">
      <w:pPr>
        <w:pStyle w:val="Luettelokappale"/>
        <w:ind w:left="709" w:firstLine="595"/>
        <w:rPr>
          <w:szCs w:val="24"/>
        </w:rPr>
      </w:pPr>
      <w:r>
        <w:t xml:space="preserve">I Södra Karelen Imatra ekonomiska region </w:t>
      </w:r>
    </w:p>
    <w:p w14:paraId="0E1A549C" w14:textId="5103A6B7" w:rsidR="00FA0BAC" w:rsidRPr="000C6714" w:rsidRDefault="00FA0BAC" w:rsidP="009F0FB8">
      <w:pPr>
        <w:pStyle w:val="Luettelokappale"/>
        <w:numPr>
          <w:ilvl w:val="0"/>
          <w:numId w:val="17"/>
        </w:numPr>
        <w:ind w:left="1985"/>
        <w:rPr>
          <w:szCs w:val="24"/>
        </w:rPr>
      </w:pPr>
      <w:r>
        <w:t>Området har utsetts på basis av att det har gemensam gräns med ett land utanför EES eller Efta.</w:t>
      </w:r>
    </w:p>
    <w:p w14:paraId="71392AD0" w14:textId="279AC86C" w:rsidR="00917EA0" w:rsidRPr="000C6714" w:rsidRDefault="00917EA0" w:rsidP="00917EA0">
      <w:pPr>
        <w:rPr>
          <w:szCs w:val="24"/>
        </w:rPr>
      </w:pPr>
    </w:p>
    <w:p w14:paraId="477B42AB" w14:textId="51D9FF4E" w:rsidR="00E37269" w:rsidRDefault="00F81384" w:rsidP="009F0FB8">
      <w:pPr>
        <w:ind w:left="1304"/>
        <w:rPr>
          <w:szCs w:val="24"/>
        </w:rPr>
      </w:pPr>
      <w:r>
        <w:t xml:space="preserve">Befolkningsandelen i de föreslagna icke förhandsdefinierade c-områdena är </w:t>
      </w:r>
      <w:r w:rsidR="007319DD">
        <w:br/>
      </w:r>
      <w:r w:rsidR="007319DD" w:rsidRPr="007319DD">
        <w:t>194</w:t>
      </w:r>
      <w:r w:rsidR="007319DD">
        <w:t xml:space="preserve"> </w:t>
      </w:r>
      <w:r w:rsidR="007319DD" w:rsidRPr="007319DD">
        <w:t>595</w:t>
      </w:r>
      <w:r>
        <w:t xml:space="preserve">invånare. </w:t>
      </w:r>
    </w:p>
    <w:p w14:paraId="12D9E6D8" w14:textId="77777777" w:rsidR="009F0FB8" w:rsidRPr="009F0FB8" w:rsidRDefault="009F0FB8" w:rsidP="009F0FB8">
      <w:pPr>
        <w:ind w:left="1304"/>
        <w:rPr>
          <w:szCs w:val="24"/>
        </w:rPr>
      </w:pPr>
    </w:p>
    <w:p w14:paraId="749656C0" w14:textId="5FAAFDD0" w:rsidR="00B82CD4" w:rsidRPr="000C6714" w:rsidRDefault="00B82CD4" w:rsidP="00B82CD4">
      <w:pPr>
        <w:pStyle w:val="M2Otsikkotaso"/>
      </w:pPr>
      <w:r>
        <w:t>Detaljmotivering</w:t>
      </w:r>
    </w:p>
    <w:p w14:paraId="4E0EB591" w14:textId="194D334D" w:rsidR="003B1AFC" w:rsidRPr="000C6714" w:rsidRDefault="00B82CD4" w:rsidP="000C6714">
      <w:pPr>
        <w:ind w:left="1304" w:hanging="1304"/>
        <w:rPr>
          <w:bCs/>
          <w:szCs w:val="24"/>
        </w:rPr>
      </w:pPr>
      <w:r>
        <w:t xml:space="preserve">1 § </w:t>
      </w:r>
      <w:r w:rsidR="000C2C2F">
        <w:tab/>
      </w:r>
      <w:r>
        <w:t xml:space="preserve">I paragrafen nämns de kommuner som omfattas av det första stödområde som avses i 43 § i lagen om utveckling av regionerna och genomförande av Europeiska unionens regional- och strukturpolitik (756/2021). Det föreslås att alla kommuner inom Östra och Norra Finlands storområde ska utses till stödområdet på basis av att storområdet är glest befolkat och att de icke förhandsdefinierade c-områdena ska utses till stödområdet på basis av att de har gemensam landgräns med ett land utanför EES eller Europeiska frihandelssammanslutningen (Efta). Sådana kommuner är Imatra, Parikkala, </w:t>
      </w:r>
      <w:r>
        <w:lastRenderedPageBreak/>
        <w:t>Rautjärvi och Ruokolax i landskapet Södra Karelen samt Fredrikshamn, Kotka, Miehikkälä, Pyttis och Vederlax i landskapet Kymmenedalen.</w:t>
      </w:r>
    </w:p>
    <w:p w14:paraId="0541A6B5" w14:textId="77777777" w:rsidR="0018397D" w:rsidRPr="000C6714" w:rsidRDefault="0018397D" w:rsidP="00B82CD4">
      <w:pPr>
        <w:rPr>
          <w:bCs/>
          <w:szCs w:val="24"/>
          <w:lang w:eastAsia="fi-FI"/>
        </w:rPr>
      </w:pPr>
    </w:p>
    <w:p w14:paraId="03A3A4B9" w14:textId="392F09FF" w:rsidR="00F618B5" w:rsidRPr="000C6714" w:rsidRDefault="0018397D" w:rsidP="000C6714">
      <w:pPr>
        <w:ind w:left="1304" w:hanging="1304"/>
        <w:rPr>
          <w:bCs/>
          <w:szCs w:val="24"/>
        </w:rPr>
      </w:pPr>
      <w:r>
        <w:t xml:space="preserve">2 § </w:t>
      </w:r>
      <w:r w:rsidR="000C2C2F">
        <w:tab/>
      </w:r>
      <w:r>
        <w:t xml:space="preserve">I paragrafen nämns de kommuner som omfattas av det andra stödområde som avses i 43 § i lagen om utveckling av regionerna och genomförande av Europeiska unionens regional- och strukturpolitik (756/2021). Det föreslås att Jämsä, Joutsa, Luhanka, Keuruu, Multia, Kannonkoski, Karstula, Kinnula, Kivijärvi, Kyyjärvi, Pihtipudas, Saarijärvi och Viitasaari i landskapet Mellersta Finland samt Kuhmoinen och Mänttä-Vilppula i landskapet Birkaland utses till stödområdet på basis av BNP-kriteriet i riktlinjerna för regionalstöd. </w:t>
      </w:r>
    </w:p>
    <w:p w14:paraId="37F310F1" w14:textId="77777777" w:rsidR="00F618B5" w:rsidRPr="000C6714" w:rsidRDefault="00F618B5" w:rsidP="002210DA">
      <w:pPr>
        <w:rPr>
          <w:bCs/>
          <w:szCs w:val="24"/>
          <w:lang w:eastAsia="fi-FI"/>
        </w:rPr>
      </w:pPr>
    </w:p>
    <w:p w14:paraId="06B4ECA6" w14:textId="7777206D" w:rsidR="00D94A11" w:rsidRDefault="004B3E30" w:rsidP="000C2C2F">
      <w:pPr>
        <w:ind w:left="1304" w:hanging="1244"/>
        <w:rPr>
          <w:szCs w:val="24"/>
        </w:rPr>
      </w:pPr>
      <w:r>
        <w:t xml:space="preserve">3 § </w:t>
      </w:r>
      <w:r w:rsidR="000C2C2F">
        <w:tab/>
      </w:r>
      <w:r>
        <w:t>I paragrafen föreskrivs det om ikraftträdandet och giltighetstiden, som förblir oförändrad, dvs. förordningen gäller till den 31 december 2027.</w:t>
      </w:r>
    </w:p>
    <w:p w14:paraId="0D8E0102" w14:textId="2F22D41D" w:rsidR="00C36BD0" w:rsidRDefault="00C36BD0" w:rsidP="00D94A11">
      <w:pPr>
        <w:rPr>
          <w:szCs w:val="24"/>
        </w:rPr>
      </w:pPr>
    </w:p>
    <w:p w14:paraId="0ECCD833" w14:textId="342632F4" w:rsidR="00C36BD0" w:rsidRDefault="00C36BD0" w:rsidP="00D94A11">
      <w:pPr>
        <w:rPr>
          <w:szCs w:val="24"/>
        </w:rPr>
      </w:pPr>
    </w:p>
    <w:p w14:paraId="6A4F9916" w14:textId="77777777" w:rsidR="001762CA" w:rsidRPr="000C6714" w:rsidRDefault="001762CA" w:rsidP="008B3C82">
      <w:pPr>
        <w:rPr>
          <w:b/>
          <w:szCs w:val="24"/>
        </w:rPr>
      </w:pPr>
      <w:r>
        <w:rPr>
          <w:b/>
        </w:rPr>
        <w:t>Förslagets konsekvenser</w:t>
      </w:r>
    </w:p>
    <w:p w14:paraId="0AB0D00A" w14:textId="77777777" w:rsidR="001762CA" w:rsidRPr="000C6714" w:rsidRDefault="001762CA" w:rsidP="001762CA">
      <w:pPr>
        <w:spacing w:line="276" w:lineRule="auto"/>
        <w:rPr>
          <w:szCs w:val="24"/>
          <w:lang w:eastAsia="fi-FI"/>
        </w:rPr>
      </w:pPr>
    </w:p>
    <w:p w14:paraId="3C29CA74" w14:textId="45562C07" w:rsidR="001762CA" w:rsidRPr="000C6714" w:rsidRDefault="001762CA" w:rsidP="000C6714">
      <w:pPr>
        <w:spacing w:line="276" w:lineRule="auto"/>
        <w:ind w:firstLine="1304"/>
        <w:rPr>
          <w:szCs w:val="24"/>
        </w:rPr>
      </w:pPr>
      <w:r>
        <w:t>Ekonomiska konsekvenser</w:t>
      </w:r>
    </w:p>
    <w:p w14:paraId="15E3E5C2" w14:textId="70D7E5E1" w:rsidR="008B3C82" w:rsidRPr="000C6714" w:rsidRDefault="008B3C82" w:rsidP="001762CA">
      <w:pPr>
        <w:spacing w:line="276" w:lineRule="auto"/>
        <w:rPr>
          <w:szCs w:val="24"/>
          <w:lang w:eastAsia="fi-FI"/>
        </w:rPr>
      </w:pPr>
    </w:p>
    <w:p w14:paraId="4ADF83B5" w14:textId="08E19DB6" w:rsidR="00C254E8" w:rsidRPr="000C6714" w:rsidRDefault="008B3C82" w:rsidP="000C6714">
      <w:pPr>
        <w:autoSpaceDE w:val="0"/>
        <w:autoSpaceDN w:val="0"/>
        <w:adjustRightInd w:val="0"/>
        <w:ind w:left="1304"/>
        <w:rPr>
          <w:bCs/>
          <w:szCs w:val="24"/>
        </w:rPr>
      </w:pPr>
      <w:r>
        <w:t xml:space="preserve">Det främsta syftet med statligt regionalstöd är att främja ekonomisk utveckling i EU:s mindre gynnade områden. Genom att det främjar och underlättar en hållbar utveckling i stödområdena bidrar stödet till EU:s politik för territoriell sammanhållning, som syftar till att förbättra den ekonomiska och sociala sammanhållningen genom att minska skillnaderna i utvecklingsnivå mellan olika områden. </w:t>
      </w:r>
    </w:p>
    <w:p w14:paraId="721A441E" w14:textId="77777777" w:rsidR="000C6714" w:rsidRDefault="000C6714" w:rsidP="008B3C82">
      <w:pPr>
        <w:autoSpaceDE w:val="0"/>
        <w:autoSpaceDN w:val="0"/>
        <w:adjustRightInd w:val="0"/>
        <w:rPr>
          <w:bCs/>
          <w:szCs w:val="24"/>
          <w:lang w:eastAsia="fi-FI"/>
        </w:rPr>
      </w:pPr>
    </w:p>
    <w:p w14:paraId="60284560" w14:textId="6116A84D" w:rsidR="00C254E8" w:rsidRPr="000C6714" w:rsidRDefault="008B3C82" w:rsidP="000C6714">
      <w:pPr>
        <w:autoSpaceDE w:val="0"/>
        <w:autoSpaceDN w:val="0"/>
        <w:adjustRightInd w:val="0"/>
        <w:ind w:left="1304"/>
        <w:rPr>
          <w:bCs/>
          <w:szCs w:val="24"/>
        </w:rPr>
      </w:pPr>
      <w:r>
        <w:t>Genom den högre stödnivån för de stödområden som föreslås i Finland strävar man efter att jämna ut skillnaderna i regionernas utveckling och stödja en positiv utveckling i kommunerna som hör till stödområdena I och II.</w:t>
      </w:r>
    </w:p>
    <w:p w14:paraId="259ADE3A" w14:textId="31D74C10" w:rsidR="008B3C82" w:rsidRPr="000C6714" w:rsidRDefault="008B3C82" w:rsidP="00C254E8">
      <w:pPr>
        <w:autoSpaceDE w:val="0"/>
        <w:autoSpaceDN w:val="0"/>
        <w:adjustRightInd w:val="0"/>
        <w:rPr>
          <w:szCs w:val="24"/>
        </w:rPr>
      </w:pPr>
    </w:p>
    <w:p w14:paraId="29311B40" w14:textId="77777777" w:rsidR="001762CA" w:rsidRPr="000C6714" w:rsidRDefault="001762CA" w:rsidP="00382A8C">
      <w:pPr>
        <w:spacing w:line="276" w:lineRule="auto"/>
        <w:rPr>
          <w:b/>
          <w:szCs w:val="24"/>
        </w:rPr>
      </w:pPr>
      <w:r>
        <w:rPr>
          <w:b/>
          <w:bCs/>
        </w:rPr>
        <w:t>Beredningen av ärendet</w:t>
      </w:r>
    </w:p>
    <w:p w14:paraId="5BEF2E8E" w14:textId="77777777" w:rsidR="001762CA" w:rsidRPr="000C6714" w:rsidRDefault="001762CA" w:rsidP="001762CA">
      <w:pPr>
        <w:spacing w:line="276" w:lineRule="auto"/>
        <w:rPr>
          <w:szCs w:val="24"/>
          <w:lang w:eastAsia="fi-FI"/>
        </w:rPr>
      </w:pPr>
    </w:p>
    <w:p w14:paraId="01D9E24B" w14:textId="4C3AC25B" w:rsidR="001762CA" w:rsidRPr="000C6714" w:rsidRDefault="001762CA" w:rsidP="000C6714">
      <w:pPr>
        <w:ind w:left="1304"/>
        <w:rPr>
          <w:szCs w:val="24"/>
        </w:rPr>
      </w:pPr>
      <w:r>
        <w:t xml:space="preserve">Statsrådets förordning har beretts vid arbets- och näringsministeriet. </w:t>
      </w:r>
    </w:p>
    <w:p w14:paraId="1ECB0F85" w14:textId="77777777" w:rsidR="001762CA" w:rsidRPr="000C6714" w:rsidRDefault="001762CA" w:rsidP="002F6D01">
      <w:pPr>
        <w:rPr>
          <w:szCs w:val="24"/>
          <w:lang w:eastAsia="fi-FI"/>
        </w:rPr>
      </w:pPr>
    </w:p>
    <w:p w14:paraId="6F1F249A" w14:textId="2A440E94" w:rsidR="001762CA" w:rsidRPr="00761421" w:rsidRDefault="001762CA" w:rsidP="00761421">
      <w:pPr>
        <w:ind w:left="1304"/>
      </w:pPr>
      <w:r>
        <w:t xml:space="preserve">Förslaget till förordning med tillhörande promemoria har varit på remiss under perioden </w:t>
      </w:r>
      <w:r w:rsidR="00681201">
        <w:t>21.2.</w:t>
      </w:r>
      <w:r>
        <w:t>–</w:t>
      </w:r>
      <w:r w:rsidR="00681201">
        <w:t>8.3.</w:t>
      </w:r>
      <w:r>
        <w:t xml:space="preserve">2024 </w:t>
      </w:r>
      <w:hyperlink r:id="rId8" w:history="1">
        <w:r>
          <w:rPr>
            <w:rStyle w:val="Hyperlinkki"/>
            <w:color w:val="auto"/>
          </w:rPr>
          <w:t>i utlåtande.fi</w:t>
        </w:r>
      </w:hyperlink>
      <w:r>
        <w:t xml:space="preserve">.  Utlåtanden begärdes av landskapsförbunden, </w:t>
      </w:r>
      <w:r w:rsidR="00E01C6E" w:rsidRPr="00E01C6E">
        <w:t>Alajärvi, Evijärvi, Lappajärvi, Soini, Vindala, Alavo, Etseri, Kuortane, Gustav Adolfs, Heinola, Sysmä, Padasjoki och Juupajoki kommuner</w:t>
      </w:r>
      <w:r w:rsidR="00761421">
        <w:t xml:space="preserve">, </w:t>
      </w:r>
      <w:r>
        <w:t xml:space="preserve">Ålands landskapsregering, Finlands Kommunförbund rf, jord- och skogsbruksministeriet, finansministeriet och Finnvera Abp. </w:t>
      </w:r>
    </w:p>
    <w:p w14:paraId="18CC1D23" w14:textId="77777777" w:rsidR="001762CA" w:rsidRPr="000C6714" w:rsidRDefault="001762CA" w:rsidP="002F6D01">
      <w:pPr>
        <w:rPr>
          <w:szCs w:val="24"/>
          <w:lang w:eastAsia="fi-FI"/>
        </w:rPr>
      </w:pPr>
    </w:p>
    <w:p w14:paraId="69867E7C" w14:textId="56D6A56B" w:rsidR="001762CA" w:rsidRPr="000C6714" w:rsidRDefault="00697199" w:rsidP="000C2C2F">
      <w:pPr>
        <w:ind w:left="1304"/>
        <w:rPr>
          <w:szCs w:val="24"/>
        </w:rPr>
      </w:pPr>
      <w:r>
        <w:t xml:space="preserve">Det kom in sammanlagt x utlåtanden. Det har kommit utlåtanden från följande instanser: x </w:t>
      </w:r>
    </w:p>
    <w:p w14:paraId="67AF52C8" w14:textId="77777777" w:rsidR="001762CA" w:rsidRPr="000C6714" w:rsidRDefault="001762CA" w:rsidP="002F6D01">
      <w:pPr>
        <w:rPr>
          <w:szCs w:val="24"/>
          <w:lang w:eastAsia="fi-FI"/>
        </w:rPr>
      </w:pPr>
    </w:p>
    <w:p w14:paraId="4C07A689" w14:textId="5826244B" w:rsidR="001762CA" w:rsidRPr="000C6714" w:rsidRDefault="00697199" w:rsidP="000C6714">
      <w:pPr>
        <w:ind w:firstLine="1304"/>
        <w:rPr>
          <w:szCs w:val="24"/>
        </w:rPr>
      </w:pPr>
      <w:r>
        <w:t>Sammandrag av utlåtandena</w:t>
      </w:r>
    </w:p>
    <w:p w14:paraId="68504ED9" w14:textId="77777777" w:rsidR="00697199" w:rsidRPr="000C6714" w:rsidRDefault="00697199" w:rsidP="002F6D01">
      <w:pPr>
        <w:rPr>
          <w:szCs w:val="24"/>
          <w:lang w:eastAsia="fi-FI"/>
        </w:rPr>
      </w:pPr>
    </w:p>
    <w:p w14:paraId="5C18C133" w14:textId="79135E35" w:rsidR="001762CA" w:rsidRPr="000C6714" w:rsidRDefault="001762CA" w:rsidP="00681201">
      <w:pPr>
        <w:ind w:left="1304"/>
        <w:rPr>
          <w:szCs w:val="24"/>
          <w:lang w:eastAsia="fi-FI"/>
        </w:rPr>
      </w:pPr>
      <w:r>
        <w:t>Förslaget till förordning har granskats av justitieministeriets laggranskning den xx xxxx 2024.</w:t>
      </w:r>
    </w:p>
    <w:p w14:paraId="4E45915D" w14:textId="77777777" w:rsidR="00CC0518" w:rsidRPr="000C6714" w:rsidRDefault="00CC0518" w:rsidP="00CC0518">
      <w:pPr>
        <w:rPr>
          <w:szCs w:val="24"/>
          <w:lang w:eastAsia="fi-FI"/>
        </w:rPr>
      </w:pPr>
    </w:p>
    <w:p w14:paraId="53DE0B12" w14:textId="561331E3" w:rsidR="00824A96" w:rsidRPr="000C6714" w:rsidRDefault="00824A96" w:rsidP="00446E3A">
      <w:pPr>
        <w:rPr>
          <w:szCs w:val="24"/>
        </w:rPr>
      </w:pPr>
    </w:p>
    <w:sectPr w:rsidR="00824A96" w:rsidRPr="000C6714"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EE85" w14:textId="77777777" w:rsidR="00BC43ED" w:rsidRDefault="00BC43ED" w:rsidP="008E0F4A">
      <w:r>
        <w:separator/>
      </w:r>
    </w:p>
  </w:endnote>
  <w:endnote w:type="continuationSeparator" w:id="0">
    <w:p w14:paraId="6A99521E" w14:textId="77777777" w:rsidR="00BC43ED" w:rsidRDefault="00BC43ED"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F84B"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C902" w14:textId="77777777" w:rsidR="00BC43ED" w:rsidRDefault="00BC43ED" w:rsidP="008E0F4A">
      <w:r>
        <w:separator/>
      </w:r>
    </w:p>
  </w:footnote>
  <w:footnote w:type="continuationSeparator" w:id="0">
    <w:p w14:paraId="769D3391" w14:textId="77777777" w:rsidR="00BC43ED" w:rsidRDefault="00BC43ED" w:rsidP="008E0F4A">
      <w:r>
        <w:continuationSeparator/>
      </w:r>
    </w:p>
  </w:footnote>
  <w:footnote w:id="1">
    <w:p w14:paraId="2F8AE6D5" w14:textId="77777777" w:rsidR="00FA0BAC" w:rsidRDefault="00FA0BAC" w:rsidP="00FA0BAC">
      <w:pPr>
        <w:pStyle w:val="Alaviitteenteksti"/>
      </w:pPr>
      <w:r>
        <w:rPr>
          <w:rStyle w:val="Alaviitteenviite"/>
        </w:rPr>
        <w:footnoteRef/>
      </w:r>
      <w:r>
        <w:t xml:space="preserve"> Källa:</w:t>
      </w:r>
      <w:r>
        <w:rPr>
          <w:rFonts w:ascii="Arial" w:hAnsi="Arial"/>
          <w:sz w:val="16"/>
        </w:rPr>
        <w:t xml:space="preserve">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F0C3D4B" w14:textId="234FD590" w:rsidR="008E0F4A" w:rsidRDefault="000321FC" w:rsidP="00562E6B">
        <w:pPr>
          <w:ind w:right="-143" w:firstLine="8789"/>
          <w:jc w:val="center"/>
        </w:pPr>
        <w:r>
          <w:fldChar w:fldCharType="begin"/>
        </w:r>
        <w:r>
          <w:instrText xml:space="preserve"> PAGE   \* MERGEFORMAT </w:instrText>
        </w:r>
        <w:r>
          <w:fldChar w:fldCharType="separate"/>
        </w:r>
        <w:r w:rsidR="00232532">
          <w:rPr>
            <w:noProof/>
          </w:rPr>
          <w:t>6</w:t>
        </w:r>
        <w:r>
          <w:fldChar w:fldCharType="end"/>
        </w:r>
        <w:r>
          <w:t>(</w:t>
        </w:r>
        <w:r w:rsidR="00232532">
          <w:fldChar w:fldCharType="begin"/>
        </w:r>
        <w:r w:rsidR="00232532">
          <w:instrText xml:space="preserve"> NUMPAGES   \* MERGEFORMAT </w:instrText>
        </w:r>
        <w:r w:rsidR="00232532">
          <w:fldChar w:fldCharType="separate"/>
        </w:r>
        <w:r w:rsidR="00232532">
          <w:rPr>
            <w:noProof/>
          </w:rPr>
          <w:t>6</w:t>
        </w:r>
        <w:r w:rsidR="00232532">
          <w:rPr>
            <w:noProof/>
          </w:rPr>
          <w:fldChar w:fldCharType="end"/>
        </w:r>
        <w:r>
          <w:t>)</w:t>
        </w:r>
      </w:p>
      <w:p w14:paraId="339839B8" w14:textId="77777777" w:rsidR="008E0F4A" w:rsidRDefault="008E0F4A" w:rsidP="00562E6B">
        <w:pPr>
          <w:tabs>
            <w:tab w:val="left" w:pos="5245"/>
          </w:tabs>
        </w:pPr>
        <w:r>
          <w:tab/>
        </w:r>
      </w:p>
      <w:p w14:paraId="71EB08A7" w14:textId="77777777" w:rsidR="00FA6ACE" w:rsidRDefault="00FA6ACE" w:rsidP="00562E6B"/>
      <w:p w14:paraId="60B7F370" w14:textId="77777777" w:rsidR="008E0F4A" w:rsidRDefault="0023253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F4D5D57" w14:textId="5D5C211C" w:rsidR="00FA6ACE" w:rsidRDefault="000321FC" w:rsidP="00562E6B">
        <w:pPr>
          <w:ind w:right="-143" w:firstLine="8789"/>
          <w:jc w:val="right"/>
        </w:pPr>
        <w:r>
          <w:fldChar w:fldCharType="begin"/>
        </w:r>
        <w:r>
          <w:instrText xml:space="preserve"> PAGE   \* MERGEFORMAT </w:instrText>
        </w:r>
        <w:r>
          <w:fldChar w:fldCharType="separate"/>
        </w:r>
        <w:r w:rsidR="00232532">
          <w:rPr>
            <w:noProof/>
          </w:rPr>
          <w:t>1</w:t>
        </w:r>
        <w:r>
          <w:fldChar w:fldCharType="end"/>
        </w:r>
        <w:r>
          <w:t>(</w:t>
        </w:r>
        <w:r w:rsidR="00232532">
          <w:fldChar w:fldCharType="begin"/>
        </w:r>
        <w:r w:rsidR="00232532">
          <w:instrText xml:space="preserve"> NUMPAGES   \* MERGEFORMAT </w:instrText>
        </w:r>
        <w:r w:rsidR="00232532">
          <w:fldChar w:fldCharType="separate"/>
        </w:r>
        <w:r w:rsidR="00232532">
          <w:rPr>
            <w:noProof/>
          </w:rPr>
          <w:t>6</w:t>
        </w:r>
        <w:r w:rsidR="00232532">
          <w:rPr>
            <w:noProof/>
          </w:rPr>
          <w:fldChar w:fldCharType="end"/>
        </w:r>
        <w:r>
          <w:t>)</w:t>
        </w:r>
      </w:p>
      <w:p w14:paraId="3602AE9E" w14:textId="77777777" w:rsidR="00FA6ACE" w:rsidRDefault="00232532" w:rsidP="00CB4C78">
        <w:pPr>
          <w:ind w:left="5245"/>
        </w:pPr>
      </w:p>
    </w:sdtContent>
  </w:sdt>
  <w:p w14:paraId="1FF1BF56" w14:textId="77777777" w:rsidR="00FA6ACE" w:rsidRDefault="00FA6ACE" w:rsidP="00CB4C78"/>
  <w:p w14:paraId="18461B37"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95A"/>
    <w:multiLevelType w:val="hybridMultilevel"/>
    <w:tmpl w:val="254407F2"/>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 w15:restartNumberingAfterBreak="0">
    <w:nsid w:val="030F0BC3"/>
    <w:multiLevelType w:val="hybridMultilevel"/>
    <w:tmpl w:val="F616616C"/>
    <w:lvl w:ilvl="0" w:tplc="5A6AE7E6">
      <w:start w:val="1"/>
      <w:numFmt w:val="lowerRoman"/>
      <w:lvlText w:val="(%1)"/>
      <w:lvlJc w:val="left"/>
      <w:pPr>
        <w:ind w:left="2138" w:hanging="72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2A4065"/>
    <w:multiLevelType w:val="hybridMultilevel"/>
    <w:tmpl w:val="42C26F98"/>
    <w:lvl w:ilvl="0" w:tplc="040B0001">
      <w:start w:val="1"/>
      <w:numFmt w:val="bullet"/>
      <w:lvlText w:val=""/>
      <w:lvlJc w:val="left"/>
      <w:pPr>
        <w:ind w:left="2561" w:hanging="360"/>
      </w:pPr>
      <w:rPr>
        <w:rFonts w:ascii="Symbol" w:hAnsi="Symbol" w:hint="default"/>
      </w:rPr>
    </w:lvl>
    <w:lvl w:ilvl="1" w:tplc="040B0003" w:tentative="1">
      <w:start w:val="1"/>
      <w:numFmt w:val="bullet"/>
      <w:lvlText w:val="o"/>
      <w:lvlJc w:val="left"/>
      <w:pPr>
        <w:ind w:left="3281" w:hanging="360"/>
      </w:pPr>
      <w:rPr>
        <w:rFonts w:ascii="Courier New" w:hAnsi="Courier New" w:cs="Courier New" w:hint="default"/>
      </w:rPr>
    </w:lvl>
    <w:lvl w:ilvl="2" w:tplc="040B0005" w:tentative="1">
      <w:start w:val="1"/>
      <w:numFmt w:val="bullet"/>
      <w:lvlText w:val=""/>
      <w:lvlJc w:val="left"/>
      <w:pPr>
        <w:ind w:left="4001" w:hanging="360"/>
      </w:pPr>
      <w:rPr>
        <w:rFonts w:ascii="Wingdings" w:hAnsi="Wingdings" w:hint="default"/>
      </w:rPr>
    </w:lvl>
    <w:lvl w:ilvl="3" w:tplc="040B0001" w:tentative="1">
      <w:start w:val="1"/>
      <w:numFmt w:val="bullet"/>
      <w:lvlText w:val=""/>
      <w:lvlJc w:val="left"/>
      <w:pPr>
        <w:ind w:left="4721" w:hanging="360"/>
      </w:pPr>
      <w:rPr>
        <w:rFonts w:ascii="Symbol" w:hAnsi="Symbol" w:hint="default"/>
      </w:rPr>
    </w:lvl>
    <w:lvl w:ilvl="4" w:tplc="040B0003" w:tentative="1">
      <w:start w:val="1"/>
      <w:numFmt w:val="bullet"/>
      <w:lvlText w:val="o"/>
      <w:lvlJc w:val="left"/>
      <w:pPr>
        <w:ind w:left="5441" w:hanging="360"/>
      </w:pPr>
      <w:rPr>
        <w:rFonts w:ascii="Courier New" w:hAnsi="Courier New" w:cs="Courier New" w:hint="default"/>
      </w:rPr>
    </w:lvl>
    <w:lvl w:ilvl="5" w:tplc="040B0005" w:tentative="1">
      <w:start w:val="1"/>
      <w:numFmt w:val="bullet"/>
      <w:lvlText w:val=""/>
      <w:lvlJc w:val="left"/>
      <w:pPr>
        <w:ind w:left="6161" w:hanging="360"/>
      </w:pPr>
      <w:rPr>
        <w:rFonts w:ascii="Wingdings" w:hAnsi="Wingdings" w:hint="default"/>
      </w:rPr>
    </w:lvl>
    <w:lvl w:ilvl="6" w:tplc="040B0001" w:tentative="1">
      <w:start w:val="1"/>
      <w:numFmt w:val="bullet"/>
      <w:lvlText w:val=""/>
      <w:lvlJc w:val="left"/>
      <w:pPr>
        <w:ind w:left="6881" w:hanging="360"/>
      </w:pPr>
      <w:rPr>
        <w:rFonts w:ascii="Symbol" w:hAnsi="Symbol" w:hint="default"/>
      </w:rPr>
    </w:lvl>
    <w:lvl w:ilvl="7" w:tplc="040B0003" w:tentative="1">
      <w:start w:val="1"/>
      <w:numFmt w:val="bullet"/>
      <w:lvlText w:val="o"/>
      <w:lvlJc w:val="left"/>
      <w:pPr>
        <w:ind w:left="7601" w:hanging="360"/>
      </w:pPr>
      <w:rPr>
        <w:rFonts w:ascii="Courier New" w:hAnsi="Courier New" w:cs="Courier New" w:hint="default"/>
      </w:rPr>
    </w:lvl>
    <w:lvl w:ilvl="8" w:tplc="040B0005" w:tentative="1">
      <w:start w:val="1"/>
      <w:numFmt w:val="bullet"/>
      <w:lvlText w:val=""/>
      <w:lvlJc w:val="left"/>
      <w:pPr>
        <w:ind w:left="8321" w:hanging="360"/>
      </w:pPr>
      <w:rPr>
        <w:rFonts w:ascii="Wingdings" w:hAnsi="Wingdings" w:hint="default"/>
      </w:rPr>
    </w:lvl>
  </w:abstractNum>
  <w:abstractNum w:abstractNumId="4"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1F1B7DD1"/>
    <w:multiLevelType w:val="hybridMultilevel"/>
    <w:tmpl w:val="2592C03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1FC6369B"/>
    <w:multiLevelType w:val="hybridMultilevel"/>
    <w:tmpl w:val="252EA186"/>
    <w:lvl w:ilvl="0" w:tplc="0EE24E70">
      <w:start w:val="1"/>
      <w:numFmt w:val="lowerRoman"/>
      <w:lvlText w:val="(%1)"/>
      <w:lvlJc w:val="left"/>
      <w:pPr>
        <w:ind w:left="2160" w:hanging="720"/>
      </w:pPr>
      <w:rPr>
        <w:rFonts w:hint="default"/>
        <w:b w:val="0"/>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8" w15:restartNumberingAfterBreak="0">
    <w:nsid w:val="2A2B6164"/>
    <w:multiLevelType w:val="hybridMultilevel"/>
    <w:tmpl w:val="64AEFF4A"/>
    <w:lvl w:ilvl="0" w:tplc="7B32CF2A">
      <w:start w:val="1"/>
      <w:numFmt w:val="lowerRoman"/>
      <w:lvlText w:val="(%1)"/>
      <w:lvlJc w:val="left"/>
      <w:pPr>
        <w:ind w:left="2020" w:hanging="720"/>
      </w:pPr>
      <w:rPr>
        <w:rFonts w:hint="default"/>
        <w:b w:val="0"/>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9" w15:restartNumberingAfterBreak="0">
    <w:nsid w:val="32505E64"/>
    <w:multiLevelType w:val="hybridMultilevel"/>
    <w:tmpl w:val="F48C496A"/>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37740A8F"/>
    <w:multiLevelType w:val="hybridMultilevel"/>
    <w:tmpl w:val="739CA6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37FE4AB5"/>
    <w:multiLevelType w:val="hybridMultilevel"/>
    <w:tmpl w:val="7A42A4B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39110F27"/>
    <w:multiLevelType w:val="hybridMultilevel"/>
    <w:tmpl w:val="1C4AA08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3" w15:restartNumberingAfterBreak="0">
    <w:nsid w:val="427E2623"/>
    <w:multiLevelType w:val="hybridMultilevel"/>
    <w:tmpl w:val="64AEFF4A"/>
    <w:lvl w:ilvl="0" w:tplc="7B32CF2A">
      <w:start w:val="1"/>
      <w:numFmt w:val="lowerRoman"/>
      <w:lvlText w:val="(%1)"/>
      <w:lvlJc w:val="left"/>
      <w:pPr>
        <w:ind w:left="2020" w:hanging="720"/>
      </w:pPr>
      <w:rPr>
        <w:rFonts w:hint="default"/>
        <w:b w:val="0"/>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5" w15:restartNumberingAfterBreak="0">
    <w:nsid w:val="4E2A7387"/>
    <w:multiLevelType w:val="hybridMultilevel"/>
    <w:tmpl w:val="C8C83496"/>
    <w:lvl w:ilvl="0" w:tplc="D0A4A19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83651FD"/>
    <w:multiLevelType w:val="hybridMultilevel"/>
    <w:tmpl w:val="64AEFF4A"/>
    <w:lvl w:ilvl="0" w:tplc="7B32CF2A">
      <w:start w:val="1"/>
      <w:numFmt w:val="lowerRoman"/>
      <w:lvlText w:val="(%1)"/>
      <w:lvlJc w:val="left"/>
      <w:pPr>
        <w:ind w:left="2020" w:hanging="720"/>
      </w:pPr>
      <w:rPr>
        <w:rFonts w:hint="default"/>
        <w:b w:val="0"/>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2494C00"/>
    <w:multiLevelType w:val="hybridMultilevel"/>
    <w:tmpl w:val="CEE49E00"/>
    <w:lvl w:ilvl="0" w:tplc="040B0001">
      <w:start w:val="1"/>
      <w:numFmt w:val="bullet"/>
      <w:lvlText w:val=""/>
      <w:lvlJc w:val="left"/>
      <w:pPr>
        <w:ind w:left="2674" w:hanging="360"/>
      </w:pPr>
      <w:rPr>
        <w:rFonts w:ascii="Symbol" w:hAnsi="Symbol" w:hint="default"/>
      </w:rPr>
    </w:lvl>
    <w:lvl w:ilvl="1" w:tplc="040B0003" w:tentative="1">
      <w:start w:val="1"/>
      <w:numFmt w:val="bullet"/>
      <w:lvlText w:val="o"/>
      <w:lvlJc w:val="left"/>
      <w:pPr>
        <w:ind w:left="3394" w:hanging="360"/>
      </w:pPr>
      <w:rPr>
        <w:rFonts w:ascii="Courier New" w:hAnsi="Courier New" w:cs="Courier New" w:hint="default"/>
      </w:rPr>
    </w:lvl>
    <w:lvl w:ilvl="2" w:tplc="040B0005" w:tentative="1">
      <w:start w:val="1"/>
      <w:numFmt w:val="bullet"/>
      <w:lvlText w:val=""/>
      <w:lvlJc w:val="left"/>
      <w:pPr>
        <w:ind w:left="4114" w:hanging="360"/>
      </w:pPr>
      <w:rPr>
        <w:rFonts w:ascii="Wingdings" w:hAnsi="Wingdings" w:hint="default"/>
      </w:rPr>
    </w:lvl>
    <w:lvl w:ilvl="3" w:tplc="040B0001" w:tentative="1">
      <w:start w:val="1"/>
      <w:numFmt w:val="bullet"/>
      <w:lvlText w:val=""/>
      <w:lvlJc w:val="left"/>
      <w:pPr>
        <w:ind w:left="4834" w:hanging="360"/>
      </w:pPr>
      <w:rPr>
        <w:rFonts w:ascii="Symbol" w:hAnsi="Symbol" w:hint="default"/>
      </w:rPr>
    </w:lvl>
    <w:lvl w:ilvl="4" w:tplc="040B0003" w:tentative="1">
      <w:start w:val="1"/>
      <w:numFmt w:val="bullet"/>
      <w:lvlText w:val="o"/>
      <w:lvlJc w:val="left"/>
      <w:pPr>
        <w:ind w:left="5554" w:hanging="360"/>
      </w:pPr>
      <w:rPr>
        <w:rFonts w:ascii="Courier New" w:hAnsi="Courier New" w:cs="Courier New" w:hint="default"/>
      </w:rPr>
    </w:lvl>
    <w:lvl w:ilvl="5" w:tplc="040B0005" w:tentative="1">
      <w:start w:val="1"/>
      <w:numFmt w:val="bullet"/>
      <w:lvlText w:val=""/>
      <w:lvlJc w:val="left"/>
      <w:pPr>
        <w:ind w:left="6274" w:hanging="360"/>
      </w:pPr>
      <w:rPr>
        <w:rFonts w:ascii="Wingdings" w:hAnsi="Wingdings" w:hint="default"/>
      </w:rPr>
    </w:lvl>
    <w:lvl w:ilvl="6" w:tplc="040B0001" w:tentative="1">
      <w:start w:val="1"/>
      <w:numFmt w:val="bullet"/>
      <w:lvlText w:val=""/>
      <w:lvlJc w:val="left"/>
      <w:pPr>
        <w:ind w:left="6994" w:hanging="360"/>
      </w:pPr>
      <w:rPr>
        <w:rFonts w:ascii="Symbol" w:hAnsi="Symbol" w:hint="default"/>
      </w:rPr>
    </w:lvl>
    <w:lvl w:ilvl="7" w:tplc="040B0003" w:tentative="1">
      <w:start w:val="1"/>
      <w:numFmt w:val="bullet"/>
      <w:lvlText w:val="o"/>
      <w:lvlJc w:val="left"/>
      <w:pPr>
        <w:ind w:left="7714" w:hanging="360"/>
      </w:pPr>
      <w:rPr>
        <w:rFonts w:ascii="Courier New" w:hAnsi="Courier New" w:cs="Courier New" w:hint="default"/>
      </w:rPr>
    </w:lvl>
    <w:lvl w:ilvl="8" w:tplc="040B0005" w:tentative="1">
      <w:start w:val="1"/>
      <w:numFmt w:val="bullet"/>
      <w:lvlText w:val=""/>
      <w:lvlJc w:val="left"/>
      <w:pPr>
        <w:ind w:left="8434" w:hanging="360"/>
      </w:pPr>
      <w:rPr>
        <w:rFonts w:ascii="Wingdings" w:hAnsi="Wingdings" w:hint="default"/>
      </w:rPr>
    </w:lvl>
  </w:abstractNum>
  <w:abstractNum w:abstractNumId="1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7627425"/>
    <w:multiLevelType w:val="multilevel"/>
    <w:tmpl w:val="B9B87478"/>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6EDB1E3B"/>
    <w:multiLevelType w:val="hybridMultilevel"/>
    <w:tmpl w:val="C842330E"/>
    <w:lvl w:ilvl="0" w:tplc="040B0001">
      <w:start w:val="1"/>
      <w:numFmt w:val="bullet"/>
      <w:lvlText w:val=""/>
      <w:lvlJc w:val="left"/>
      <w:pPr>
        <w:ind w:left="2563" w:hanging="360"/>
      </w:pPr>
      <w:rPr>
        <w:rFonts w:ascii="Symbol" w:hAnsi="Symbol"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abstractNum w:abstractNumId="22" w15:restartNumberingAfterBreak="0">
    <w:nsid w:val="77E25BE8"/>
    <w:multiLevelType w:val="hybridMultilevel"/>
    <w:tmpl w:val="89CA7322"/>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7"/>
  </w:num>
  <w:num w:numId="2">
    <w:abstractNumId w:val="23"/>
  </w:num>
  <w:num w:numId="3">
    <w:abstractNumId w:val="2"/>
  </w:num>
  <w:num w:numId="4">
    <w:abstractNumId w:val="4"/>
  </w:num>
  <w:num w:numId="5">
    <w:abstractNumId w:val="19"/>
  </w:num>
  <w:num w:numId="6">
    <w:abstractNumId w:val="14"/>
  </w:num>
  <w:num w:numId="7">
    <w:abstractNumId w:val="14"/>
  </w:num>
  <w:num w:numId="8">
    <w:abstractNumId w:val="5"/>
  </w:num>
  <w:num w:numId="9">
    <w:abstractNumId w:val="10"/>
  </w:num>
  <w:num w:numId="10">
    <w:abstractNumId w:val="9"/>
  </w:num>
  <w:num w:numId="11">
    <w:abstractNumId w:val="7"/>
  </w:num>
  <w:num w:numId="12">
    <w:abstractNumId w:val="13"/>
  </w:num>
  <w:num w:numId="13">
    <w:abstractNumId w:val="1"/>
  </w:num>
  <w:num w:numId="14">
    <w:abstractNumId w:val="0"/>
  </w:num>
  <w:num w:numId="15">
    <w:abstractNumId w:val="18"/>
  </w:num>
  <w:num w:numId="16">
    <w:abstractNumId w:val="12"/>
  </w:num>
  <w:num w:numId="17">
    <w:abstractNumId w:val="6"/>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3"/>
  </w:num>
  <w:num w:numId="23">
    <w:abstractNumId w:val="11"/>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96"/>
    <w:rsid w:val="00016E55"/>
    <w:rsid w:val="00020721"/>
    <w:rsid w:val="0003182E"/>
    <w:rsid w:val="000321FC"/>
    <w:rsid w:val="0003789A"/>
    <w:rsid w:val="000462D2"/>
    <w:rsid w:val="00053D44"/>
    <w:rsid w:val="00063ECB"/>
    <w:rsid w:val="00075991"/>
    <w:rsid w:val="000974D8"/>
    <w:rsid w:val="000B05CA"/>
    <w:rsid w:val="000B3024"/>
    <w:rsid w:val="000C272A"/>
    <w:rsid w:val="000C2C2F"/>
    <w:rsid w:val="000C6714"/>
    <w:rsid w:val="000D3235"/>
    <w:rsid w:val="000E2FE4"/>
    <w:rsid w:val="000E7129"/>
    <w:rsid w:val="00112E24"/>
    <w:rsid w:val="001428DC"/>
    <w:rsid w:val="001431B7"/>
    <w:rsid w:val="00144D34"/>
    <w:rsid w:val="00147111"/>
    <w:rsid w:val="00155F3B"/>
    <w:rsid w:val="001657B4"/>
    <w:rsid w:val="001762CA"/>
    <w:rsid w:val="001776E9"/>
    <w:rsid w:val="0018397D"/>
    <w:rsid w:val="001876DE"/>
    <w:rsid w:val="001B078B"/>
    <w:rsid w:val="001B2F19"/>
    <w:rsid w:val="001C18C5"/>
    <w:rsid w:val="001D11FC"/>
    <w:rsid w:val="001D2B42"/>
    <w:rsid w:val="001E5F86"/>
    <w:rsid w:val="001F70AF"/>
    <w:rsid w:val="002012D6"/>
    <w:rsid w:val="002021D1"/>
    <w:rsid w:val="00203B4E"/>
    <w:rsid w:val="00210152"/>
    <w:rsid w:val="002127AF"/>
    <w:rsid w:val="002210DA"/>
    <w:rsid w:val="00232532"/>
    <w:rsid w:val="002373F4"/>
    <w:rsid w:val="00250943"/>
    <w:rsid w:val="00267FFE"/>
    <w:rsid w:val="00275F36"/>
    <w:rsid w:val="00292DED"/>
    <w:rsid w:val="002979F5"/>
    <w:rsid w:val="002A13C4"/>
    <w:rsid w:val="002A715E"/>
    <w:rsid w:val="002D31CC"/>
    <w:rsid w:val="002D5A4F"/>
    <w:rsid w:val="002D72CF"/>
    <w:rsid w:val="002F2496"/>
    <w:rsid w:val="002F6D01"/>
    <w:rsid w:val="00302E9C"/>
    <w:rsid w:val="00307C47"/>
    <w:rsid w:val="003268C9"/>
    <w:rsid w:val="0034266F"/>
    <w:rsid w:val="0034269D"/>
    <w:rsid w:val="00346B03"/>
    <w:rsid w:val="00357FF2"/>
    <w:rsid w:val="00367C90"/>
    <w:rsid w:val="00371421"/>
    <w:rsid w:val="00382A8C"/>
    <w:rsid w:val="00393411"/>
    <w:rsid w:val="003A2869"/>
    <w:rsid w:val="003B1AFC"/>
    <w:rsid w:val="003F7101"/>
    <w:rsid w:val="0040303C"/>
    <w:rsid w:val="004075FC"/>
    <w:rsid w:val="00424161"/>
    <w:rsid w:val="00446E3A"/>
    <w:rsid w:val="0047233E"/>
    <w:rsid w:val="004759B9"/>
    <w:rsid w:val="0048458E"/>
    <w:rsid w:val="00486BE8"/>
    <w:rsid w:val="004A196F"/>
    <w:rsid w:val="004B3E30"/>
    <w:rsid w:val="004C5212"/>
    <w:rsid w:val="004C6B33"/>
    <w:rsid w:val="004D43D7"/>
    <w:rsid w:val="004E2B50"/>
    <w:rsid w:val="005146D4"/>
    <w:rsid w:val="0051596E"/>
    <w:rsid w:val="0053413D"/>
    <w:rsid w:val="005350D0"/>
    <w:rsid w:val="005512A4"/>
    <w:rsid w:val="0056019E"/>
    <w:rsid w:val="00562E6B"/>
    <w:rsid w:val="005711CD"/>
    <w:rsid w:val="005834E9"/>
    <w:rsid w:val="0059671F"/>
    <w:rsid w:val="005A2EA9"/>
    <w:rsid w:val="005A618A"/>
    <w:rsid w:val="005B4A27"/>
    <w:rsid w:val="005F2AF7"/>
    <w:rsid w:val="005F6E88"/>
    <w:rsid w:val="005F7C2B"/>
    <w:rsid w:val="006131C2"/>
    <w:rsid w:val="006164F7"/>
    <w:rsid w:val="00646C60"/>
    <w:rsid w:val="00656C85"/>
    <w:rsid w:val="006644DD"/>
    <w:rsid w:val="00681201"/>
    <w:rsid w:val="00697199"/>
    <w:rsid w:val="006A4A91"/>
    <w:rsid w:val="006D40F8"/>
    <w:rsid w:val="006D6C2D"/>
    <w:rsid w:val="007123E8"/>
    <w:rsid w:val="00722420"/>
    <w:rsid w:val="00730B7F"/>
    <w:rsid w:val="007319DD"/>
    <w:rsid w:val="0073509E"/>
    <w:rsid w:val="00746E95"/>
    <w:rsid w:val="00761421"/>
    <w:rsid w:val="0076257D"/>
    <w:rsid w:val="00762884"/>
    <w:rsid w:val="007729CF"/>
    <w:rsid w:val="00783B52"/>
    <w:rsid w:val="00785D97"/>
    <w:rsid w:val="007A74D4"/>
    <w:rsid w:val="007B4560"/>
    <w:rsid w:val="007B4E42"/>
    <w:rsid w:val="007C2B22"/>
    <w:rsid w:val="007E5098"/>
    <w:rsid w:val="00811D8D"/>
    <w:rsid w:val="00816C09"/>
    <w:rsid w:val="008200A9"/>
    <w:rsid w:val="00824A96"/>
    <w:rsid w:val="008254B2"/>
    <w:rsid w:val="008559F2"/>
    <w:rsid w:val="00872E75"/>
    <w:rsid w:val="00885EDF"/>
    <w:rsid w:val="008A0773"/>
    <w:rsid w:val="008A4280"/>
    <w:rsid w:val="008B3C82"/>
    <w:rsid w:val="008E0F4A"/>
    <w:rsid w:val="008F3C96"/>
    <w:rsid w:val="00906E49"/>
    <w:rsid w:val="00917EA0"/>
    <w:rsid w:val="009368D3"/>
    <w:rsid w:val="009B230C"/>
    <w:rsid w:val="009B6311"/>
    <w:rsid w:val="009C5BF4"/>
    <w:rsid w:val="009D222E"/>
    <w:rsid w:val="009F0FB8"/>
    <w:rsid w:val="00A135F7"/>
    <w:rsid w:val="00A14D7C"/>
    <w:rsid w:val="00A24604"/>
    <w:rsid w:val="00A50357"/>
    <w:rsid w:val="00A612FC"/>
    <w:rsid w:val="00A64BD2"/>
    <w:rsid w:val="00A75231"/>
    <w:rsid w:val="00A84F74"/>
    <w:rsid w:val="00A86E50"/>
    <w:rsid w:val="00A90735"/>
    <w:rsid w:val="00A939CD"/>
    <w:rsid w:val="00AA346D"/>
    <w:rsid w:val="00AA5350"/>
    <w:rsid w:val="00AB5DF0"/>
    <w:rsid w:val="00AF2EBD"/>
    <w:rsid w:val="00AF3346"/>
    <w:rsid w:val="00B06591"/>
    <w:rsid w:val="00B06DDE"/>
    <w:rsid w:val="00B12657"/>
    <w:rsid w:val="00B42986"/>
    <w:rsid w:val="00B66EF2"/>
    <w:rsid w:val="00B82CD4"/>
    <w:rsid w:val="00BA6924"/>
    <w:rsid w:val="00BB2E24"/>
    <w:rsid w:val="00BC38D3"/>
    <w:rsid w:val="00BC43ED"/>
    <w:rsid w:val="00BC7606"/>
    <w:rsid w:val="00BE4CA3"/>
    <w:rsid w:val="00BF06A8"/>
    <w:rsid w:val="00C07D75"/>
    <w:rsid w:val="00C139E1"/>
    <w:rsid w:val="00C21181"/>
    <w:rsid w:val="00C254E8"/>
    <w:rsid w:val="00C36BD0"/>
    <w:rsid w:val="00C52AF3"/>
    <w:rsid w:val="00C76631"/>
    <w:rsid w:val="00C97BA3"/>
    <w:rsid w:val="00CB4C78"/>
    <w:rsid w:val="00CC0518"/>
    <w:rsid w:val="00CC0E72"/>
    <w:rsid w:val="00CC1E28"/>
    <w:rsid w:val="00CC5122"/>
    <w:rsid w:val="00CD4A95"/>
    <w:rsid w:val="00CE28B8"/>
    <w:rsid w:val="00CE624A"/>
    <w:rsid w:val="00D05785"/>
    <w:rsid w:val="00D25AD2"/>
    <w:rsid w:val="00D35E49"/>
    <w:rsid w:val="00D44B33"/>
    <w:rsid w:val="00D60C53"/>
    <w:rsid w:val="00D75CFD"/>
    <w:rsid w:val="00D76D7A"/>
    <w:rsid w:val="00D8582D"/>
    <w:rsid w:val="00D87C57"/>
    <w:rsid w:val="00D94A11"/>
    <w:rsid w:val="00DC5C14"/>
    <w:rsid w:val="00DD35D9"/>
    <w:rsid w:val="00DE107F"/>
    <w:rsid w:val="00DE217C"/>
    <w:rsid w:val="00DE4544"/>
    <w:rsid w:val="00DF0156"/>
    <w:rsid w:val="00DF2FC5"/>
    <w:rsid w:val="00E01C6E"/>
    <w:rsid w:val="00E07440"/>
    <w:rsid w:val="00E2160A"/>
    <w:rsid w:val="00E330A7"/>
    <w:rsid w:val="00E37269"/>
    <w:rsid w:val="00E44094"/>
    <w:rsid w:val="00E75B03"/>
    <w:rsid w:val="00E75E8D"/>
    <w:rsid w:val="00EC77C6"/>
    <w:rsid w:val="00ED02FB"/>
    <w:rsid w:val="00EF575F"/>
    <w:rsid w:val="00F445E9"/>
    <w:rsid w:val="00F618B5"/>
    <w:rsid w:val="00F63379"/>
    <w:rsid w:val="00F7177D"/>
    <w:rsid w:val="00F734F9"/>
    <w:rsid w:val="00F73B15"/>
    <w:rsid w:val="00F81384"/>
    <w:rsid w:val="00FA0BAC"/>
    <w:rsid w:val="00FA1A89"/>
    <w:rsid w:val="00FA356E"/>
    <w:rsid w:val="00FA6ACE"/>
    <w:rsid w:val="00FB5214"/>
    <w:rsid w:val="00FB5F7B"/>
    <w:rsid w:val="00FB6ABF"/>
    <w:rsid w:val="00FB6D55"/>
    <w:rsid w:val="00FF19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17055"/>
  <w15:chartTrackingRefBased/>
  <w15:docId w15:val="{67409D47-C8EC-4C88-BA8C-6B72972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CC0518"/>
    <w:pPr>
      <w:ind w:left="720"/>
      <w:contextualSpacing/>
    </w:pPr>
  </w:style>
  <w:style w:type="paragraph" w:customStyle="1" w:styleId="M2Otsikkotaso">
    <w:name w:val="M2Otsikkotaso"/>
    <w:next w:val="Normaali"/>
    <w:rsid w:val="00CC0518"/>
    <w:pPr>
      <w:spacing w:after="240"/>
      <w:outlineLvl w:val="1"/>
    </w:pPr>
    <w:rPr>
      <w:b/>
      <w:sz w:val="24"/>
      <w:szCs w:val="24"/>
    </w:rPr>
  </w:style>
  <w:style w:type="paragraph" w:styleId="Alaviitteenteksti">
    <w:name w:val="footnote text"/>
    <w:basedOn w:val="Normaali"/>
    <w:link w:val="AlaviitteentekstiChar"/>
    <w:uiPriority w:val="99"/>
    <w:semiHidden/>
    <w:unhideWhenUsed/>
    <w:rsid w:val="00FA0BAC"/>
    <w:rPr>
      <w:sz w:val="20"/>
    </w:rPr>
  </w:style>
  <w:style w:type="character" w:customStyle="1" w:styleId="AlaviitteentekstiChar">
    <w:name w:val="Alaviitteen teksti Char"/>
    <w:basedOn w:val="Kappaleenoletusfontti"/>
    <w:link w:val="Alaviitteenteksti"/>
    <w:uiPriority w:val="99"/>
    <w:semiHidden/>
    <w:rsid w:val="00FA0BAC"/>
    <w:rPr>
      <w:lang w:eastAsia="en-US"/>
    </w:rPr>
  </w:style>
  <w:style w:type="character" w:styleId="Alaviitteenviite">
    <w:name w:val="footnote reference"/>
    <w:basedOn w:val="Kappaleenoletusfontti"/>
    <w:uiPriority w:val="99"/>
    <w:semiHidden/>
    <w:unhideWhenUsed/>
    <w:rsid w:val="00FA0BAC"/>
    <w:rPr>
      <w:vertAlign w:val="superscript"/>
    </w:rPr>
  </w:style>
  <w:style w:type="table" w:styleId="TaulukkoRuudukko">
    <w:name w:val="Table Grid"/>
    <w:basedOn w:val="Normaalitaulukko"/>
    <w:uiPriority w:val="59"/>
    <w:rsid w:val="0091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2F2496"/>
    <w:rPr>
      <w:sz w:val="16"/>
      <w:szCs w:val="16"/>
    </w:rPr>
  </w:style>
  <w:style w:type="paragraph" w:styleId="Kommentinteksti">
    <w:name w:val="annotation text"/>
    <w:basedOn w:val="Normaali"/>
    <w:link w:val="KommentintekstiChar"/>
    <w:uiPriority w:val="99"/>
    <w:semiHidden/>
    <w:unhideWhenUsed/>
    <w:rsid w:val="002F2496"/>
    <w:rPr>
      <w:sz w:val="20"/>
    </w:rPr>
  </w:style>
  <w:style w:type="character" w:customStyle="1" w:styleId="KommentintekstiChar">
    <w:name w:val="Kommentin teksti Char"/>
    <w:basedOn w:val="Kappaleenoletusfontti"/>
    <w:link w:val="Kommentinteksti"/>
    <w:uiPriority w:val="99"/>
    <w:semiHidden/>
    <w:rsid w:val="002F2496"/>
    <w:rPr>
      <w:lang w:eastAsia="en-US"/>
    </w:rPr>
  </w:style>
  <w:style w:type="paragraph" w:styleId="Kommentinotsikko">
    <w:name w:val="annotation subject"/>
    <w:basedOn w:val="Kommentinteksti"/>
    <w:next w:val="Kommentinteksti"/>
    <w:link w:val="KommentinotsikkoChar"/>
    <w:uiPriority w:val="99"/>
    <w:semiHidden/>
    <w:unhideWhenUsed/>
    <w:rsid w:val="002F2496"/>
    <w:rPr>
      <w:b/>
      <w:bCs/>
    </w:rPr>
  </w:style>
  <w:style w:type="character" w:customStyle="1" w:styleId="KommentinotsikkoChar">
    <w:name w:val="Kommentin otsikko Char"/>
    <w:basedOn w:val="KommentintekstiChar"/>
    <w:link w:val="Kommentinotsikko"/>
    <w:uiPriority w:val="99"/>
    <w:semiHidden/>
    <w:rsid w:val="002F2496"/>
    <w:rPr>
      <w:b/>
      <w:bCs/>
      <w:lang w:eastAsia="en-US"/>
    </w:rPr>
  </w:style>
  <w:style w:type="character" w:styleId="Hyperlinkki">
    <w:name w:val="Hyperlink"/>
    <w:basedOn w:val="Kappaleenoletusfontti"/>
    <w:uiPriority w:val="99"/>
    <w:semiHidden/>
    <w:unhideWhenUsed/>
    <w:rsid w:val="00176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6036">
      <w:bodyDiv w:val="1"/>
      <w:marLeft w:val="0"/>
      <w:marRight w:val="0"/>
      <w:marTop w:val="0"/>
      <w:marBottom w:val="0"/>
      <w:divBdr>
        <w:top w:val="none" w:sz="0" w:space="0" w:color="auto"/>
        <w:left w:val="none" w:sz="0" w:space="0" w:color="auto"/>
        <w:bottom w:val="none" w:sz="0" w:space="0" w:color="auto"/>
        <w:right w:val="none" w:sz="0" w:space="0" w:color="auto"/>
      </w:divBdr>
    </w:div>
    <w:div w:id="1350376951">
      <w:bodyDiv w:val="1"/>
      <w:marLeft w:val="0"/>
      <w:marRight w:val="0"/>
      <w:marTop w:val="0"/>
      <w:marBottom w:val="0"/>
      <w:divBdr>
        <w:top w:val="none" w:sz="0" w:space="0" w:color="auto"/>
        <w:left w:val="none" w:sz="0" w:space="0" w:color="auto"/>
        <w:bottom w:val="none" w:sz="0" w:space="0" w:color="auto"/>
        <w:right w:val="none" w:sz="0" w:space="0" w:color="auto"/>
      </w:divBdr>
    </w:div>
    <w:div w:id="20609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FI/Proposal/Participation?proposalId=345f4fa5-e62c-4510-956d-be4b8e9e56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2CC7-541F-4419-A96F-2CCAA2F1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2101</Words>
  <Characters>13499</Characters>
  <Application>Microsoft Office Word</Application>
  <DocSecurity>0</DocSecurity>
  <Lines>112</Lines>
  <Paragraphs>31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dc:creator>
  <cp:keywords/>
  <dc:description/>
  <cp:lastModifiedBy>Pennanen Merja (TEM)</cp:lastModifiedBy>
  <cp:revision>3</cp:revision>
  <cp:lastPrinted>2024-01-31T13:49:00Z</cp:lastPrinted>
  <dcterms:created xsi:type="dcterms:W3CDTF">2024-02-20T13:45:00Z</dcterms:created>
  <dcterms:modified xsi:type="dcterms:W3CDTF">2024-02-20T14:00:00Z</dcterms:modified>
</cp:coreProperties>
</file>