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210B" w14:textId="5850E929" w:rsidR="0069158A" w:rsidRPr="00661001" w:rsidRDefault="00765E77" w:rsidP="00F522EB">
      <w:pPr>
        <w:pStyle w:val="Heading1"/>
        <w:rPr>
          <w:lang w:val="sv-SE"/>
        </w:rPr>
      </w:pPr>
      <w:r>
        <w:rPr>
          <w:bCs/>
          <w:color w:val="000000"/>
          <w:sz w:val="27"/>
          <w:szCs w:val="27"/>
          <w:lang w:val="sv-FI"/>
        </w:rPr>
        <w:t>Finska isklasser som motsvarar klassbeteckningar och fastställandet av isklass</w:t>
      </w:r>
    </w:p>
    <w:p w14:paraId="3ECF1085" w14:textId="77777777" w:rsidR="0069158A" w:rsidRPr="00661001" w:rsidRDefault="0069158A" w:rsidP="00514864">
      <w:pPr>
        <w:spacing w:line="360" w:lineRule="auto"/>
        <w:rPr>
          <w:lang w:val="sv-SE"/>
        </w:rPr>
      </w:pPr>
    </w:p>
    <w:p w14:paraId="01D327E8" w14:textId="2FFA13E3" w:rsidR="000E7EE4" w:rsidRPr="00661001" w:rsidRDefault="003564A3" w:rsidP="00180DD1">
      <w:pPr>
        <w:pStyle w:val="Heading2"/>
        <w:rPr>
          <w:lang w:val="sv-SE"/>
        </w:rPr>
      </w:pPr>
      <w:r>
        <w:rPr>
          <w:iCs w:val="0"/>
          <w:lang w:val="sv-FI"/>
        </w:rPr>
        <w:t>Föreskriftens bakgrund och rättsgrund</w:t>
      </w:r>
    </w:p>
    <w:p w14:paraId="5F4BEB62" w14:textId="15098D85" w:rsidR="008979A1" w:rsidRPr="00661001" w:rsidRDefault="008979A1" w:rsidP="008979A1">
      <w:pPr>
        <w:pStyle w:val="BodyText"/>
        <w:spacing w:after="0"/>
        <w:rPr>
          <w:lang w:val="sv-SE"/>
        </w:rPr>
      </w:pPr>
      <w:r>
        <w:rPr>
          <w:lang w:val="sv-FI"/>
        </w:rPr>
        <w:t>Trafiksäkerhetsverkets föreskrift om finska isklasser som motsvarar godkända klassificeringssällskaps klassbeteckningar för fastställande av isklass (TRAFI/</w:t>
      </w:r>
      <w:proofErr w:type="gramStart"/>
      <w:r>
        <w:rPr>
          <w:lang w:val="sv-FI"/>
        </w:rPr>
        <w:t>383804</w:t>
      </w:r>
      <w:proofErr w:type="gramEnd"/>
      <w:r>
        <w:rPr>
          <w:lang w:val="sv-FI"/>
        </w:rPr>
        <w:t>/03.04.01.00/2016) trädde i kraft den 1 december 2017. Efter 2017 har det skett förändringar i de godkända klassificeringssällskapen och i de klassbeteckningar som används, och därför måste den fastställda motsvarighetsförteckningen i bilaga 1 till föreskriften uppdateras. I föreskriften har det dessutom upptäckts några avsnitt som kräver precisering och uppdatering. Genom den föreskrift som nu utfärdas upphävs och ersätts ovan nämnda föreskrift meddelad av Trafiksäkerhetsverket.</w:t>
      </w:r>
    </w:p>
    <w:p w14:paraId="5DD3BBF7" w14:textId="0FC0C261" w:rsidR="00E71CB0" w:rsidRPr="00661001" w:rsidRDefault="00AB3E6D" w:rsidP="00A147E6">
      <w:pPr>
        <w:pStyle w:val="BodyText"/>
        <w:spacing w:after="0"/>
        <w:rPr>
          <w:lang w:val="sv-SE"/>
        </w:rPr>
      </w:pPr>
      <w:r>
        <w:rPr>
          <w:lang w:val="sv-FI"/>
        </w:rPr>
        <w:t xml:space="preserve">Bestämmelser om fartygs isklasser och isbrytarassistans finns i lagen om fartygs isklasser och isbrytarassistans (1121/2005, nedan </w:t>
      </w:r>
      <w:r>
        <w:rPr>
          <w:i/>
          <w:iCs/>
          <w:lang w:val="sv-FI"/>
        </w:rPr>
        <w:t>isklasslagen</w:t>
      </w:r>
      <w:r>
        <w:rPr>
          <w:lang w:val="sv-FI"/>
        </w:rPr>
        <w:t>). Enligt 7 § 1 mom. i lagen bestäms ett fartygs isklass på basis av den klassbeteckning som ett godkänt klassificeringssällskap utfärdat för fartyget och den motsvarighetsförteckning som fastställts av Transport- och kommunikationsverket med stöd av 4 § 2 mom. Enligt 4 § 2 mom. i lagen fastställer Transport- och kommunikationsverket en förteckning över vilka finska isklasser de godkända klassificeringssällskapens klassbeteckningar motsvarar och meddelar närmare föreskrifter i ärendet.</w:t>
      </w:r>
    </w:p>
    <w:p w14:paraId="03236F56" w14:textId="18FA7929" w:rsidR="00AB3E6D" w:rsidRPr="00661001" w:rsidRDefault="00E71CB0">
      <w:pPr>
        <w:pStyle w:val="BodyText"/>
        <w:rPr>
          <w:lang w:val="sv-SE"/>
        </w:rPr>
      </w:pPr>
      <w:r>
        <w:rPr>
          <w:lang w:val="sv-FI"/>
        </w:rPr>
        <w:t>Om ett fartyg saknar klassbeteckning utfärdad av ett godkänt klassificeringssällskap, fastställs isklassen på det sätt som föreskrifts i 7 § 2 mom. i isklasslagen. Då fastställer Transport- och kommunikationsverket fartygets isklass på redarens ansökan med hjälp av den metod som avses i 4 § 1 mom. eller 5 § eller i överensstämmelse med isklassföreskrifterna i en stat som avses i 6 §. Redaren ska ge verket de uppgifter och utredningar som behövs för fastställande av isklass. Transport- och kommunikationsverket meddelar närmare föreskrifter om de uppgifter och utredningar som behövs.</w:t>
      </w:r>
    </w:p>
    <w:p w14:paraId="54F86D5E" w14:textId="3AC1EF4C" w:rsidR="003B15BD" w:rsidRPr="00661001" w:rsidRDefault="00AB3E6D">
      <w:pPr>
        <w:pStyle w:val="BodyText"/>
        <w:spacing w:after="0"/>
        <w:rPr>
          <w:lang w:val="sv-SE"/>
        </w:rPr>
      </w:pPr>
      <w:r>
        <w:rPr>
          <w:lang w:val="sv-FI"/>
        </w:rPr>
        <w:t xml:space="preserve">Enligt 4 § 1 mom. meddelar Transport- och kommunikationsverket dessutom närmare föreskrifter om de krav som gäller </w:t>
      </w:r>
      <w:proofErr w:type="gramStart"/>
      <w:r>
        <w:rPr>
          <w:lang w:val="sv-FI"/>
        </w:rPr>
        <w:t>fartygs konstruktion</w:t>
      </w:r>
      <w:proofErr w:type="gramEnd"/>
      <w:r>
        <w:rPr>
          <w:lang w:val="sv-FI"/>
        </w:rPr>
        <w:t xml:space="preserve">, maskineffekt och övriga isgångsegenskaper, om metoder för bestämmande av isklass och om skillnaderna mellan de olika isklasserna. </w:t>
      </w:r>
    </w:p>
    <w:p w14:paraId="4B8C422C" w14:textId="4DE2CB49" w:rsidR="003B15BD" w:rsidRPr="00661001" w:rsidRDefault="003B15BD" w:rsidP="00A147E6">
      <w:pPr>
        <w:pStyle w:val="Heading2"/>
        <w:rPr>
          <w:lang w:val="sv-SE"/>
        </w:rPr>
      </w:pPr>
      <w:r>
        <w:rPr>
          <w:iCs w:val="0"/>
          <w:lang w:val="sv-FI"/>
        </w:rPr>
        <w:t>Andra föreskrifter och författningar som hänför sig till ärendet</w:t>
      </w:r>
    </w:p>
    <w:p w14:paraId="77944B6E" w14:textId="703B0608" w:rsidR="00BB6430" w:rsidRPr="00661001" w:rsidRDefault="003B15BD" w:rsidP="00A147E6">
      <w:pPr>
        <w:pStyle w:val="BodyText"/>
        <w:spacing w:after="0"/>
        <w:rPr>
          <w:lang w:val="sv-SE"/>
        </w:rPr>
      </w:pPr>
      <w:r>
        <w:rPr>
          <w:lang w:val="sv-FI"/>
        </w:rPr>
        <w:t>Transport- och kommunikationsverkets föreskrift Isklassföreskrifterna och tillämpningen av dem (TRAFICOM/</w:t>
      </w:r>
      <w:proofErr w:type="gramStart"/>
      <w:r>
        <w:rPr>
          <w:lang w:val="sv-FI"/>
        </w:rPr>
        <w:t>68863</w:t>
      </w:r>
      <w:proofErr w:type="gramEnd"/>
      <w:r>
        <w:rPr>
          <w:lang w:val="sv-FI"/>
        </w:rPr>
        <w:t xml:space="preserve">/03.04.01.00/2021, nedan </w:t>
      </w:r>
      <w:r>
        <w:rPr>
          <w:i/>
          <w:iCs/>
          <w:lang w:val="sv-FI"/>
        </w:rPr>
        <w:t>isklassföreskriften</w:t>
      </w:r>
      <w:r>
        <w:rPr>
          <w:lang w:val="sv-FI"/>
        </w:rPr>
        <w:t>) innehåller närmare föreskrifter om tekniska krav i anknytning till fartygens isklasser. Tullen uppbär farledsavgift på basis av fartygets isklass. Bestämmelser om farledsavgiften finns i lagen om farledsavgift (1122/2005). Trafikledsverket ser för sin del till att isbrytarassistans finns tillgänglig på finskt vattenområde när isförhållandena kräver det och beslutar om assistansbegränsningar. Bestämmelser om isbrytarassistans finns i isklasslagen.</w:t>
      </w:r>
    </w:p>
    <w:p w14:paraId="649A4B93" w14:textId="3D76BDAF" w:rsidR="00577AD3" w:rsidRPr="00661001" w:rsidRDefault="00577AD3" w:rsidP="00A147E6">
      <w:pPr>
        <w:pStyle w:val="Heading2"/>
        <w:rPr>
          <w:lang w:val="sv-SE"/>
        </w:rPr>
      </w:pPr>
      <w:r>
        <w:rPr>
          <w:iCs w:val="0"/>
          <w:lang w:val="sv-FI"/>
        </w:rPr>
        <w:t>Föreskriftens syfte</w:t>
      </w:r>
    </w:p>
    <w:p w14:paraId="5AD06CC5" w14:textId="58D5BA2A" w:rsidR="00E37545" w:rsidRPr="00661001" w:rsidRDefault="00E37545">
      <w:pPr>
        <w:pStyle w:val="BodyText"/>
        <w:rPr>
          <w:lang w:val="sv-SE"/>
        </w:rPr>
      </w:pPr>
      <w:r>
        <w:rPr>
          <w:lang w:val="sv-FI"/>
        </w:rPr>
        <w:t>Syftet med föreskriften är att uppdatera den inbördes motsvarigheten mellan klassificeringssällskapens klassbeteckningar och de finska isklasserna, att precisera bestämmelserna om fastställande av fartygskombinationens isklass samt att förtydliga och uppdatera föreskriftstexten.</w:t>
      </w:r>
    </w:p>
    <w:p w14:paraId="0099F649" w14:textId="13378D2E" w:rsidR="0069158A" w:rsidRPr="00661001" w:rsidRDefault="0069158A" w:rsidP="00F522EB">
      <w:pPr>
        <w:pStyle w:val="Heading2"/>
        <w:rPr>
          <w:lang w:val="sv-SE"/>
        </w:rPr>
      </w:pPr>
      <w:r>
        <w:rPr>
          <w:iCs w:val="0"/>
          <w:lang w:val="sv-FI"/>
        </w:rPr>
        <w:lastRenderedPageBreak/>
        <w:t>Beredning av föreskriften</w:t>
      </w:r>
    </w:p>
    <w:p w14:paraId="0AE3A00B" w14:textId="77777777" w:rsidR="00B31B20" w:rsidRPr="00661001" w:rsidRDefault="00B31B20" w:rsidP="000C6F8E">
      <w:pPr>
        <w:pStyle w:val="BodyText"/>
        <w:rPr>
          <w:lang w:val="sv-SE"/>
        </w:rPr>
      </w:pPr>
      <w:r>
        <w:rPr>
          <w:lang w:val="sv-FI"/>
        </w:rPr>
        <w:t>Utkastet till föreskriften har beretts som tjänstearbete vid Transport- och kommunikationsverket.</w:t>
      </w:r>
    </w:p>
    <w:p w14:paraId="4720F62F" w14:textId="72611A4D" w:rsidR="001E115F" w:rsidRPr="00661001" w:rsidRDefault="000C6F8E" w:rsidP="000C6F8E">
      <w:pPr>
        <w:pStyle w:val="BodyText"/>
        <w:rPr>
          <w:lang w:val="sv-SE"/>
        </w:rPr>
      </w:pPr>
      <w:r>
        <w:rPr>
          <w:lang w:val="sv-FI"/>
        </w:rPr>
        <w:t xml:space="preserve">Transport- och kommunikationsverket har bett de godkända klassificeringssällskapen om en förteckning över deras klassbeteckningar som baserar sig på de finsk-svenska isklassreglerna (i Finland isklassföreskrifterna 2021) samt en kopia av de klassificeringsregler som ovan nämnda klassbeteckningar baserar sig på. </w:t>
      </w:r>
    </w:p>
    <w:p w14:paraId="552FCA38" w14:textId="03599C4D" w:rsidR="000C6F8E" w:rsidRPr="00661001" w:rsidRDefault="001E115F" w:rsidP="007502E0">
      <w:pPr>
        <w:pStyle w:val="BodyText"/>
        <w:rPr>
          <w:lang w:val="sv-SE"/>
        </w:rPr>
      </w:pPr>
      <w:r>
        <w:rPr>
          <w:lang w:val="sv-FI"/>
        </w:rPr>
        <w:t xml:space="preserve">Information om inledandet av projektet och den offentliga remissbehandlingen av utkastet till föreskrift finns på Transport- och kommunikationsverkets webbplats. Dessutom har man informerat godkända klassificeringssällskap om remissbehandlingen av via e-post. </w:t>
      </w:r>
    </w:p>
    <w:p w14:paraId="39D63C61" w14:textId="37962CA0" w:rsidR="007502E0" w:rsidRPr="00661001" w:rsidRDefault="00DD02FB" w:rsidP="00DD02FB">
      <w:pPr>
        <w:pStyle w:val="BodyText"/>
        <w:rPr>
          <w:lang w:val="sv-SE"/>
        </w:rPr>
      </w:pPr>
      <w:r>
        <w:rPr>
          <w:lang w:val="sv-FI"/>
        </w:rPr>
        <w:t>Utkastet till föreskrift notifieras enligt informationsförfarandet beträffande tekniska föreskrifter (Europaparlamentets och rådets direktiv (EU) 2015/1535 om ett informationsförfarande beträffande tekniska föreskrifter och föreskrifter för informationssamhällets tjänster</w:t>
      </w:r>
      <w:r>
        <w:rPr>
          <w:rStyle w:val="CommentReference"/>
          <w:rFonts w:eastAsiaTheme="minorHAnsi" w:cstheme="minorHAnsi"/>
          <w:lang w:val="sv-FI"/>
        </w:rPr>
        <w:t>)</w:t>
      </w:r>
      <w:r>
        <w:rPr>
          <w:lang w:val="sv-FI"/>
        </w:rPr>
        <w:t>.</w:t>
      </w:r>
    </w:p>
    <w:p w14:paraId="173AD07E" w14:textId="64B4B256" w:rsidR="007E3E6D" w:rsidRPr="00661001" w:rsidRDefault="007E3E6D">
      <w:pPr>
        <w:pStyle w:val="BodyText"/>
        <w:rPr>
          <w:lang w:val="sv-SE"/>
        </w:rPr>
      </w:pPr>
      <w:r>
        <w:rPr>
          <w:lang w:val="sv-FI"/>
        </w:rPr>
        <w:t>Den slutliga föreskriften publiceras på Transport- och kommunikationsverkets webbplats och på Finlex.</w:t>
      </w:r>
    </w:p>
    <w:p w14:paraId="05C82B0E" w14:textId="00C287B4" w:rsidR="00577AD3" w:rsidRPr="00661001" w:rsidRDefault="00577AD3" w:rsidP="00F522EB">
      <w:pPr>
        <w:pStyle w:val="Heading2"/>
        <w:rPr>
          <w:lang w:val="sv-SE"/>
        </w:rPr>
      </w:pPr>
      <w:r>
        <w:rPr>
          <w:iCs w:val="0"/>
          <w:lang w:val="sv-FI"/>
        </w:rPr>
        <w:t xml:space="preserve">Remissrespons </w:t>
      </w:r>
    </w:p>
    <w:p w14:paraId="4AB1DAE4" w14:textId="13B4A277" w:rsidR="00D41C44" w:rsidRPr="00661001" w:rsidRDefault="00D41C44" w:rsidP="00D41C44">
      <w:pPr>
        <w:pStyle w:val="List"/>
        <w:numPr>
          <w:ilvl w:val="0"/>
          <w:numId w:val="0"/>
        </w:numPr>
        <w:ind w:left="1135"/>
        <w:rPr>
          <w:lang w:val="sv-SE"/>
        </w:rPr>
      </w:pPr>
      <w:r>
        <w:rPr>
          <w:lang w:val="sv-FI"/>
        </w:rPr>
        <w:t xml:space="preserve">Utkastet till föreskrift och utkastet till motiveringspromemoria har varit på offentlig remissbehandling i tjänsten Utlåtande.fi </w:t>
      </w:r>
      <w:proofErr w:type="spellStart"/>
      <w:proofErr w:type="gramStart"/>
      <w:r>
        <w:rPr>
          <w:lang w:val="sv-FI"/>
        </w:rPr>
        <w:t>xx.xx</w:t>
      </w:r>
      <w:proofErr w:type="spellEnd"/>
      <w:proofErr w:type="gramEnd"/>
      <w:r>
        <w:rPr>
          <w:lang w:val="sv-FI"/>
        </w:rPr>
        <w:t>–xx.xx.20</w:t>
      </w:r>
      <w:r w:rsidR="00154290">
        <w:rPr>
          <w:lang w:val="sv-FI"/>
        </w:rPr>
        <w:t>xx</w:t>
      </w:r>
      <w:r>
        <w:rPr>
          <w:lang w:val="sv-FI"/>
        </w:rPr>
        <w:t>.</w:t>
      </w:r>
    </w:p>
    <w:p w14:paraId="358CFD82" w14:textId="589E28BB" w:rsidR="00FB209A" w:rsidRPr="00661001" w:rsidRDefault="007E3E6D">
      <w:pPr>
        <w:pStyle w:val="List"/>
        <w:numPr>
          <w:ilvl w:val="0"/>
          <w:numId w:val="0"/>
        </w:numPr>
        <w:ind w:left="1135"/>
        <w:rPr>
          <w:lang w:val="sv-SE"/>
        </w:rPr>
      </w:pPr>
      <w:r>
        <w:rPr>
          <w:lang w:val="sv-FI"/>
        </w:rPr>
        <w:t>Remissresponsen kompletteras efter remissbehandlingen.</w:t>
      </w:r>
    </w:p>
    <w:p w14:paraId="087AAF3F" w14:textId="597F7DAB" w:rsidR="0069158A" w:rsidRPr="00661001" w:rsidRDefault="00D22A7B" w:rsidP="00F522EB">
      <w:pPr>
        <w:pStyle w:val="Heading2"/>
        <w:rPr>
          <w:lang w:val="sv-SE"/>
        </w:rPr>
      </w:pPr>
      <w:r>
        <w:rPr>
          <w:iCs w:val="0"/>
          <w:lang w:val="sv-FI"/>
        </w:rPr>
        <w:t>Ändringar och bedömning av föreskriftens konsekvenser</w:t>
      </w:r>
    </w:p>
    <w:p w14:paraId="34AC9FC4" w14:textId="084D8781" w:rsidR="00873C8A" w:rsidRPr="00661001" w:rsidRDefault="00440CFA" w:rsidP="00873C8A">
      <w:pPr>
        <w:pStyle w:val="BodyText"/>
        <w:rPr>
          <w:lang w:val="sv-SE"/>
        </w:rPr>
      </w:pPr>
      <w:r>
        <w:rPr>
          <w:lang w:val="sv-FI"/>
        </w:rPr>
        <w:t xml:space="preserve">Transport- och kommunikationsverket fastställer med föreskriften förteckningen över vilka finska isklasser de godkända klassificeringssällskapens klassbeteckningar motsvarar. Klassbeteckningarna i Indian Register of Shipping läggs till i motsvarighetsförteckningen och Russian Maritime Register of Shipping stryks. Klassbeteckningarna i </w:t>
      </w:r>
      <w:r w:rsidR="00154290">
        <w:rPr>
          <w:lang w:val="sv-FI"/>
        </w:rPr>
        <w:t>Det</w:t>
      </w:r>
      <w:r>
        <w:rPr>
          <w:lang w:val="sv-FI"/>
        </w:rPr>
        <w:t xml:space="preserve"> </w:t>
      </w:r>
      <w:proofErr w:type="gramStart"/>
      <w:r>
        <w:rPr>
          <w:lang w:val="sv-FI"/>
        </w:rPr>
        <w:t>Norske</w:t>
      </w:r>
      <w:proofErr w:type="gramEnd"/>
      <w:r>
        <w:rPr>
          <w:lang w:val="sv-FI"/>
        </w:rPr>
        <w:t xml:space="preserve"> Veritas, DNV GL och Germanischer Lloyd ersätts med klassbeteckningarna i DNV AS. Ändringarna som görs av godkända klassificeringssällskap baserar sig på förteckningen över godkända organ som offentliggjordes i Europeiska unionens officiella tidning den 7 december 2022 (2022/C 466/07). </w:t>
      </w:r>
    </w:p>
    <w:p w14:paraId="1631FD42" w14:textId="66C0A0E2" w:rsidR="0033292A" w:rsidRPr="00661001" w:rsidRDefault="0033292A" w:rsidP="00E859FC">
      <w:pPr>
        <w:pStyle w:val="BodyText"/>
        <w:rPr>
          <w:lang w:val="sv-SE"/>
        </w:rPr>
      </w:pPr>
      <w:r>
        <w:rPr>
          <w:lang w:val="sv-FI"/>
        </w:rPr>
        <w:t>De nya klassbeteckningarna som godkända klassificeringssällskap tagit i bruk efter 2017 läggs till i motsvarighetsförteckningen och andra nödvändiga preciseringar görs. I synnerhet stryks klassificeringssällskapens gamla klassbeteckningar. Detta påverkar inte fartyg som redan finns med i isklassförteckningen, och de nya fartyg som ska läggas till isklassförteckningen har i allmänhet de nyare beteckningarna i förteckningen. Strykningen av de gamla klassbeteckningarna har således ingen betydande praktisk inverkan. De uppdateringar som görs i motsvarighetsförteckningen har en förtydligande effekt på både myndigheternas och redarnas verksamhet. Föreskriften lättar den administrativa bördan då fartygets finska isklass bestäms utan ansökningsförfarande på basis av klassbeteckningen och motsvarighetsförteckningen som utfärdats av ett godkänt klassificeringssällskap. Den minskar också redarnas arbete, eftersom anmälningsförfarandet är lättare än ansökningsförfarandet.</w:t>
      </w:r>
    </w:p>
    <w:p w14:paraId="22837040" w14:textId="33AA28EE" w:rsidR="006A7C23" w:rsidRPr="00661001" w:rsidRDefault="00037014" w:rsidP="00E859FC">
      <w:pPr>
        <w:pStyle w:val="BodyText"/>
        <w:rPr>
          <w:lang w:val="sv-SE"/>
        </w:rPr>
      </w:pPr>
      <w:r>
        <w:rPr>
          <w:lang w:val="sv-FI"/>
        </w:rPr>
        <w:t xml:space="preserve">I föreskriften preciseras dessutom fastställandet av isklassen för en fartygskombination, vilket förtydligar både myndighetens och redarens verksamhet. I föreskriften stryks onödiga bestämmelser om beteckningar av isklassdjup och minimimaskineffekt i klasscertifikat som överlappar med andra regleringar eller föreskrifter, samt om fartygets största djupgående när assistansbegränsningar är i kraft och byte av </w:t>
      </w:r>
      <w:r>
        <w:rPr>
          <w:lang w:val="sv-FI"/>
        </w:rPr>
        <w:lastRenderedPageBreak/>
        <w:t>klassificeringssällskap. Till övriga delar görs i regel förtydligande preciseringar i föreskriftstexten som inte har någon inverkan på kravens innehåll.</w:t>
      </w:r>
    </w:p>
    <w:p w14:paraId="0B04E164" w14:textId="0988BDDE" w:rsidR="00B31B20" w:rsidRPr="00661001" w:rsidRDefault="006304F7">
      <w:pPr>
        <w:pStyle w:val="BodyText"/>
        <w:rPr>
          <w:lang w:val="sv-SE"/>
        </w:rPr>
      </w:pPr>
      <w:proofErr w:type="spellStart"/>
      <w:r>
        <w:rPr>
          <w:lang w:val="sv-FI"/>
        </w:rPr>
        <w:t>Isklassificeringen</w:t>
      </w:r>
      <w:proofErr w:type="spellEnd"/>
      <w:r>
        <w:rPr>
          <w:lang w:val="sv-FI"/>
        </w:rPr>
        <w:t xml:space="preserve"> av fartyg har en central betydelse särskilt för vintersjöfartens säkerhet, men också för miljöskyddet. De ändringar som nu görs i föreskrifterna förändrar dock inte den nuvarande säkerhetsnivån eller miljökonsekvenserna. Föreskriften påverkar inte tillgängligheten eller jämställdheten.</w:t>
      </w:r>
    </w:p>
    <w:p w14:paraId="13AD07D2" w14:textId="64ED64AE" w:rsidR="00B31B20" w:rsidRPr="00661001" w:rsidRDefault="00B31B20" w:rsidP="00802074">
      <w:pPr>
        <w:pStyle w:val="Heading2"/>
        <w:rPr>
          <w:lang w:val="sv-SE"/>
        </w:rPr>
      </w:pPr>
      <w:r>
        <w:rPr>
          <w:iCs w:val="0"/>
          <w:lang w:val="sv-FI"/>
        </w:rPr>
        <w:t>Detaljmotivering</w:t>
      </w:r>
    </w:p>
    <w:p w14:paraId="3F93305A" w14:textId="24455353" w:rsidR="0023463E" w:rsidRPr="00661001" w:rsidRDefault="00A577D0" w:rsidP="00065434">
      <w:pPr>
        <w:pStyle w:val="BodyText"/>
        <w:rPr>
          <w:lang w:val="sv-SE"/>
        </w:rPr>
      </w:pPr>
      <w:r>
        <w:rPr>
          <w:lang w:val="sv-FI"/>
        </w:rPr>
        <w:t xml:space="preserve">Föreskriftens rubrik skulle förenklas så att den nya rubriken är </w:t>
      </w:r>
      <w:proofErr w:type="gramStart"/>
      <w:r>
        <w:rPr>
          <w:i/>
          <w:iCs/>
          <w:lang w:val="sv-FI"/>
        </w:rPr>
        <w:t>Finska</w:t>
      </w:r>
      <w:proofErr w:type="gramEnd"/>
      <w:r>
        <w:rPr>
          <w:i/>
          <w:iCs/>
          <w:lang w:val="sv-FI"/>
        </w:rPr>
        <w:t xml:space="preserve"> isklasser som motsvarar klassbeteckningar och fastställandet av isklass.</w:t>
      </w:r>
      <w:r>
        <w:rPr>
          <w:lang w:val="sv-FI"/>
        </w:rPr>
        <w:t xml:space="preserve"> Föreskriftens rättsgrund skulle utvidgas till att omfatta 4 § 1 mom. i isklasslagen på grund av de krav på fastställande av isklassen för fartygskombinationer som ska läggas till i avsnitt 3.2 i föreskriften. Föreskriften skulle uppdateras genom att ändra den behöriga myndighetens namn från Trafiksäkerhetsverket till Transport- och kommunikationsverket. Dessutom skulle språkdräkten preciseras i föreskriftstexten och motsvarighetsförteckningen, och terminologin förenhetligas med isklasslagen.</w:t>
      </w:r>
    </w:p>
    <w:p w14:paraId="3136B4B3" w14:textId="38214396" w:rsidR="00BE7FCF" w:rsidRPr="00661001" w:rsidRDefault="00BE7FCF" w:rsidP="00065434">
      <w:pPr>
        <w:pStyle w:val="BodyText"/>
        <w:rPr>
          <w:b/>
          <w:bCs/>
          <w:lang w:val="sv-SE"/>
        </w:rPr>
      </w:pPr>
      <w:r>
        <w:rPr>
          <w:b/>
          <w:bCs/>
          <w:lang w:val="sv-FI"/>
        </w:rPr>
        <w:t>1 Tillämpningsområde</w:t>
      </w:r>
    </w:p>
    <w:p w14:paraId="46877C44" w14:textId="692A9858" w:rsidR="00B9582C" w:rsidRPr="00661001" w:rsidRDefault="006E6E54" w:rsidP="00B9582C">
      <w:pPr>
        <w:pStyle w:val="BodyText"/>
        <w:rPr>
          <w:lang w:val="sv-SE"/>
        </w:rPr>
      </w:pPr>
      <w:r>
        <w:rPr>
          <w:lang w:val="sv-FI"/>
        </w:rPr>
        <w:t xml:space="preserve">Avsnitt 1 </w:t>
      </w:r>
      <w:r>
        <w:rPr>
          <w:i/>
          <w:iCs/>
          <w:lang w:val="sv-FI"/>
        </w:rPr>
        <w:t>Föreskriftens syfte</w:t>
      </w:r>
      <w:r>
        <w:rPr>
          <w:lang w:val="sv-FI"/>
        </w:rPr>
        <w:t xml:space="preserve"> i den gällande föreskriften skulle strykas som onödigt och ersätts med bestämmelser som gäller tillämpningsområdet. F</w:t>
      </w:r>
      <w:bookmarkStart w:id="0" w:name="_Toc141693226"/>
      <w:bookmarkStart w:id="1" w:name="_Toc141693146"/>
      <w:bookmarkStart w:id="2" w:name="_Toc141693122"/>
      <w:bookmarkStart w:id="3" w:name="_Toc141693040"/>
      <w:bookmarkStart w:id="4" w:name="_Toc141693016"/>
      <w:bookmarkStart w:id="5" w:name="_Toc141692967"/>
      <w:bookmarkStart w:id="6" w:name="_Toc141692891"/>
      <w:bookmarkStart w:id="7" w:name="_Toc141692850"/>
      <w:bookmarkStart w:id="8" w:name="_Toc141692826"/>
      <w:bookmarkStart w:id="9" w:name="_Toc141692802"/>
      <w:bookmarkStart w:id="10" w:name="_Toc141692778"/>
      <w:bookmarkStart w:id="11" w:name="_Toc141692754"/>
      <w:bookmarkStart w:id="12" w:name="_Toc141692730"/>
      <w:bookmarkStart w:id="13" w:name="_Toc141692510"/>
      <w:bookmarkStart w:id="14" w:name="_Toc141690862"/>
      <w:bookmarkStart w:id="15" w:name="_Toc141690806"/>
      <w:bookmarkStart w:id="16" w:name="_Toc141690782"/>
      <w:bookmarkStart w:id="17" w:name="_Toc141690716"/>
      <w:bookmarkStart w:id="18" w:name="_Toc141265714"/>
      <w:bookmarkStart w:id="19" w:name="_Toc141264804"/>
      <w:bookmarkStart w:id="20" w:name="_Toc141263138"/>
      <w:bookmarkStart w:id="21" w:name="_Toc141262983"/>
      <w:bookmarkStart w:id="22" w:name="_Toc141262485"/>
      <w:bookmarkStart w:id="23" w:name="_Toc139976022"/>
      <w:bookmarkStart w:id="24" w:name="_Toc139974762"/>
      <w:bookmarkStart w:id="25" w:name="_Toc139974726"/>
      <w:bookmarkStart w:id="26" w:name="_Toc139974642"/>
      <w:bookmarkStart w:id="27" w:name="_Toc141693225"/>
      <w:bookmarkStart w:id="28" w:name="_Toc141693145"/>
      <w:bookmarkStart w:id="29" w:name="_Toc141693121"/>
      <w:bookmarkStart w:id="30" w:name="_Toc141693039"/>
      <w:bookmarkStart w:id="31" w:name="_Toc141693015"/>
      <w:bookmarkStart w:id="32" w:name="_Toc141692966"/>
      <w:bookmarkStart w:id="33" w:name="_Toc141692890"/>
      <w:bookmarkStart w:id="34" w:name="_Toc141692849"/>
      <w:bookmarkStart w:id="35" w:name="_Toc141692825"/>
      <w:bookmarkStart w:id="36" w:name="_Toc141692801"/>
      <w:bookmarkStart w:id="37" w:name="_Toc141692777"/>
      <w:bookmarkStart w:id="38" w:name="_Toc141692753"/>
      <w:bookmarkStart w:id="39" w:name="_Toc141692729"/>
      <w:bookmarkStart w:id="40" w:name="_Toc141692509"/>
      <w:bookmarkStart w:id="41" w:name="_Toc141690861"/>
      <w:bookmarkStart w:id="42" w:name="_Toc141690805"/>
      <w:bookmarkStart w:id="43" w:name="_Toc141690781"/>
      <w:bookmarkStart w:id="44" w:name="_Toc141690715"/>
      <w:bookmarkStart w:id="45" w:name="_Toc141265713"/>
      <w:bookmarkStart w:id="46" w:name="_Toc141264803"/>
      <w:bookmarkStart w:id="47" w:name="_Toc141263137"/>
      <w:bookmarkStart w:id="48" w:name="_Toc141262982"/>
      <w:bookmarkStart w:id="49" w:name="_Toc141262484"/>
      <w:bookmarkStart w:id="50" w:name="_Toc139976021"/>
      <w:bookmarkStart w:id="51" w:name="_Toc139974761"/>
      <w:bookmarkStart w:id="52" w:name="_Toc139974725"/>
      <w:bookmarkStart w:id="53" w:name="_Toc139974641"/>
      <w:bookmarkStart w:id="54" w:name="_Toc141693224"/>
      <w:bookmarkStart w:id="55" w:name="_Toc141693144"/>
      <w:bookmarkStart w:id="56" w:name="_Toc141693120"/>
      <w:bookmarkStart w:id="57" w:name="_Toc141693038"/>
      <w:bookmarkStart w:id="58" w:name="_Toc141693014"/>
      <w:bookmarkStart w:id="59" w:name="_Toc141692965"/>
      <w:bookmarkStart w:id="60" w:name="_Toc141692889"/>
      <w:bookmarkStart w:id="61" w:name="_Toc141692848"/>
      <w:bookmarkStart w:id="62" w:name="_Toc141692824"/>
      <w:bookmarkStart w:id="63" w:name="_Toc141692800"/>
      <w:bookmarkStart w:id="64" w:name="_Toc141692776"/>
      <w:bookmarkStart w:id="65" w:name="_Toc141692752"/>
      <w:bookmarkStart w:id="66" w:name="_Toc141692728"/>
      <w:bookmarkStart w:id="67" w:name="_Toc141692508"/>
      <w:bookmarkStart w:id="68" w:name="_Toc141690860"/>
      <w:bookmarkStart w:id="69" w:name="_Toc141690804"/>
      <w:bookmarkStart w:id="70" w:name="_Toc141690780"/>
      <w:bookmarkStart w:id="71" w:name="_Toc141690714"/>
      <w:bookmarkStart w:id="72" w:name="_Toc141265712"/>
      <w:bookmarkStart w:id="73" w:name="_Toc141264802"/>
      <w:bookmarkStart w:id="74" w:name="_Toc141263136"/>
      <w:bookmarkStart w:id="75" w:name="_Toc141262981"/>
      <w:bookmarkStart w:id="76" w:name="_Toc141262483"/>
      <w:bookmarkStart w:id="77" w:name="_Toc139976020"/>
      <w:bookmarkStart w:id="78" w:name="_Toc139974760"/>
      <w:bookmarkStart w:id="79" w:name="_Toc139974724"/>
      <w:bookmarkStart w:id="80" w:name="_Toc139974640"/>
      <w:bookmarkStart w:id="81" w:name="_Toc141693223"/>
      <w:bookmarkStart w:id="82" w:name="_Toc141693143"/>
      <w:bookmarkStart w:id="83" w:name="_Toc141693119"/>
      <w:bookmarkStart w:id="84" w:name="_Toc141693037"/>
      <w:bookmarkStart w:id="85" w:name="_Toc141693013"/>
      <w:bookmarkStart w:id="86" w:name="_Toc141692964"/>
      <w:bookmarkStart w:id="87" w:name="_Toc141692888"/>
      <w:bookmarkStart w:id="88" w:name="_Toc141692847"/>
      <w:bookmarkStart w:id="89" w:name="_Toc141692823"/>
      <w:bookmarkStart w:id="90" w:name="_Toc141692799"/>
      <w:bookmarkStart w:id="91" w:name="_Toc141692775"/>
      <w:bookmarkStart w:id="92" w:name="_Toc141692751"/>
      <w:bookmarkStart w:id="93" w:name="_Toc141692727"/>
      <w:bookmarkStart w:id="94" w:name="_Toc141692507"/>
      <w:bookmarkStart w:id="95" w:name="_Toc141690859"/>
      <w:bookmarkStart w:id="96" w:name="_Toc141690803"/>
      <w:bookmarkStart w:id="97" w:name="_Toc141690779"/>
      <w:bookmarkStart w:id="98" w:name="_Toc141690713"/>
      <w:bookmarkStart w:id="99" w:name="_Toc141265711"/>
      <w:bookmarkStart w:id="100" w:name="_Toc141264801"/>
      <w:bookmarkStart w:id="101" w:name="_Toc141263135"/>
      <w:bookmarkStart w:id="102" w:name="_Toc141262980"/>
      <w:bookmarkStart w:id="103" w:name="_Toc141262482"/>
      <w:bookmarkStart w:id="104" w:name="_Toc139976019"/>
      <w:bookmarkStart w:id="105" w:name="_Toc139974759"/>
      <w:bookmarkStart w:id="106" w:name="_Toc139974723"/>
      <w:bookmarkStart w:id="107" w:name="_Toc139974639"/>
      <w:bookmarkStart w:id="108" w:name="_Toc141693222"/>
      <w:bookmarkStart w:id="109" w:name="_Toc141693142"/>
      <w:bookmarkStart w:id="110" w:name="_Toc141693118"/>
      <w:bookmarkStart w:id="111" w:name="_Toc141693036"/>
      <w:bookmarkStart w:id="112" w:name="_Toc141693012"/>
      <w:bookmarkStart w:id="113" w:name="_Toc141692963"/>
      <w:bookmarkStart w:id="114" w:name="_Toc141692887"/>
      <w:bookmarkStart w:id="115" w:name="_Toc141692846"/>
      <w:bookmarkStart w:id="116" w:name="_Toc141692822"/>
      <w:bookmarkStart w:id="117" w:name="_Toc141692798"/>
      <w:bookmarkStart w:id="118" w:name="_Toc141692774"/>
      <w:bookmarkStart w:id="119" w:name="_Toc141692750"/>
      <w:bookmarkStart w:id="120" w:name="_Toc141692726"/>
      <w:bookmarkStart w:id="121" w:name="_Toc141692506"/>
      <w:bookmarkStart w:id="122" w:name="_Toc141690858"/>
      <w:bookmarkStart w:id="123" w:name="_Toc141690802"/>
      <w:bookmarkStart w:id="124" w:name="_Toc141690778"/>
      <w:bookmarkStart w:id="125" w:name="_Toc141690712"/>
      <w:bookmarkStart w:id="126" w:name="_Toc141265710"/>
      <w:bookmarkStart w:id="127" w:name="_Toc141264800"/>
      <w:bookmarkStart w:id="128" w:name="_Toc141263134"/>
      <w:bookmarkStart w:id="129" w:name="_Toc141262979"/>
      <w:bookmarkStart w:id="130" w:name="_Toc141262481"/>
      <w:bookmarkStart w:id="131" w:name="_Toc139976018"/>
      <w:bookmarkStart w:id="132" w:name="_Toc139974758"/>
      <w:bookmarkStart w:id="133" w:name="_Toc139974722"/>
      <w:bookmarkStart w:id="134" w:name="_Toc139974638"/>
      <w:bookmarkStart w:id="135" w:name="_Toc141693221"/>
      <w:bookmarkStart w:id="136" w:name="_Toc141693141"/>
      <w:bookmarkStart w:id="137" w:name="_Toc141693117"/>
      <w:bookmarkStart w:id="138" w:name="_Toc141693035"/>
      <w:bookmarkStart w:id="139" w:name="_Toc141693011"/>
      <w:bookmarkStart w:id="140" w:name="_Toc141692962"/>
      <w:bookmarkStart w:id="141" w:name="_Toc141692886"/>
      <w:bookmarkStart w:id="142" w:name="_Toc141692845"/>
      <w:bookmarkStart w:id="143" w:name="_Toc141692821"/>
      <w:bookmarkStart w:id="144" w:name="_Toc141692797"/>
      <w:bookmarkStart w:id="145" w:name="_Toc141692773"/>
      <w:bookmarkStart w:id="146" w:name="_Toc141692749"/>
      <w:bookmarkStart w:id="147" w:name="_Toc141692725"/>
      <w:bookmarkStart w:id="148" w:name="_Toc141692505"/>
      <w:bookmarkStart w:id="149" w:name="_Toc141690857"/>
      <w:bookmarkStart w:id="150" w:name="_Toc141690801"/>
      <w:bookmarkStart w:id="151" w:name="_Toc141690777"/>
      <w:bookmarkStart w:id="152" w:name="_Toc141690711"/>
      <w:bookmarkStart w:id="153" w:name="_Toc141265709"/>
      <w:bookmarkStart w:id="154" w:name="_Toc141264799"/>
      <w:bookmarkStart w:id="155" w:name="_Toc141263133"/>
      <w:bookmarkStart w:id="156" w:name="_Toc141262978"/>
      <w:bookmarkStart w:id="157" w:name="_Toc141262480"/>
      <w:bookmarkStart w:id="158" w:name="_Toc139976017"/>
      <w:bookmarkStart w:id="159" w:name="_Toc139974757"/>
      <w:bookmarkStart w:id="160" w:name="_Toc139974721"/>
      <w:bookmarkStart w:id="161" w:name="_Toc139974637"/>
      <w:bookmarkStart w:id="162" w:name="_Toc141690856"/>
      <w:bookmarkStart w:id="163" w:name="_Toc141690800"/>
      <w:bookmarkStart w:id="164" w:name="_Toc141690776"/>
      <w:bookmarkStart w:id="165" w:name="_Toc141690710"/>
      <w:bookmarkStart w:id="166" w:name="_Toc141265708"/>
      <w:bookmarkStart w:id="167" w:name="_Toc141264798"/>
      <w:bookmarkStart w:id="168" w:name="_Toc141263132"/>
      <w:bookmarkStart w:id="169" w:name="_Toc141262977"/>
      <w:bookmarkStart w:id="170" w:name="_Toc141262479"/>
      <w:bookmarkStart w:id="171" w:name="_Toc139976016"/>
      <w:bookmarkStart w:id="172" w:name="_Toc139974756"/>
      <w:bookmarkStart w:id="173" w:name="_Toc139974720"/>
      <w:bookmarkStart w:id="174" w:name="_Toc1399746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lang w:val="sv-FI"/>
        </w:rPr>
        <w:t xml:space="preserve">öreskriften skulle tillämpas på bestämmande och fastställande av finska isklasser för fartyg och fartygskombinationer. Detta skulle motsvara föreskriftens nuvarande tillämpningsområde. </w:t>
      </w:r>
    </w:p>
    <w:p w14:paraId="464B80B9" w14:textId="61F0906B" w:rsidR="00B9582C" w:rsidRPr="00661001" w:rsidRDefault="00B9582C" w:rsidP="00B9582C">
      <w:pPr>
        <w:pStyle w:val="BodyText"/>
        <w:rPr>
          <w:iCs/>
          <w:lang w:val="sv-SE"/>
        </w:rPr>
      </w:pPr>
      <w:r>
        <w:rPr>
          <w:lang w:val="sv-FI"/>
        </w:rPr>
        <w:t>För tydlighetens skull skulle man i avsnittet behålla stycket enligt vilket Transport- och kommunikationsverket genom denna föreskrift fastställer den förteckning över finska isklasser som motsvarar godkända klassificeringssällskaps klassbeteckningar som avses i 4 § 2 mom. i lagen om fartygs isklasser och isbrytarassistans (1121/2005) och som ingår som bilaga 1 till föreskriften.</w:t>
      </w:r>
    </w:p>
    <w:p w14:paraId="53B68525" w14:textId="7422DC98" w:rsidR="00BE7FCF" w:rsidRPr="00661001" w:rsidRDefault="00BE7FCF" w:rsidP="00065434">
      <w:pPr>
        <w:pStyle w:val="BodyText"/>
        <w:rPr>
          <w:b/>
          <w:bCs/>
          <w:lang w:val="sv-SE"/>
        </w:rPr>
      </w:pPr>
      <w:r>
        <w:rPr>
          <w:b/>
          <w:bCs/>
          <w:lang w:val="sv-FI"/>
        </w:rPr>
        <w:t>2 Bestämmande av den finska isklassen på basis av ett godkänt klassificeringssällskaps klassbeteckning och motsvarighetsförteckning</w:t>
      </w:r>
    </w:p>
    <w:p w14:paraId="285F7FDA" w14:textId="77777777" w:rsidR="002014E8" w:rsidRPr="00661001" w:rsidRDefault="000F0BC5" w:rsidP="000A63F6">
      <w:pPr>
        <w:pStyle w:val="BodyText"/>
        <w:rPr>
          <w:lang w:val="sv-SE"/>
        </w:rPr>
      </w:pPr>
      <w:r>
        <w:rPr>
          <w:lang w:val="sv-FI"/>
        </w:rPr>
        <w:t xml:space="preserve">Rubriken till avsnitt 2 i föreskriften skulle uppdateras till formatet </w:t>
      </w:r>
      <w:bookmarkStart w:id="175" w:name="_Hlk143525511"/>
      <w:r>
        <w:rPr>
          <w:i/>
          <w:iCs/>
          <w:lang w:val="sv-FI"/>
        </w:rPr>
        <w:t>Bestämmande av den finska isklassen på basis av ett godkänt klassificeringssällskaps klassbeteckning och motsvarighetsförteckning</w:t>
      </w:r>
      <w:bookmarkEnd w:id="175"/>
      <w:r>
        <w:rPr>
          <w:i/>
          <w:iCs/>
          <w:lang w:val="sv-FI"/>
        </w:rPr>
        <w:t>.</w:t>
      </w:r>
      <w:r>
        <w:rPr>
          <w:lang w:val="sv-FI"/>
        </w:rPr>
        <w:t xml:space="preserve"> Avsnittet gäller anmälningsförfarandet enligt 7 § 1 mom. i isklasslagen. </w:t>
      </w:r>
    </w:p>
    <w:p w14:paraId="7F1FCFCA" w14:textId="775FEE1C" w:rsidR="00BE7FCF" w:rsidRPr="00661001" w:rsidRDefault="00E3546D" w:rsidP="000A63F6">
      <w:pPr>
        <w:pStyle w:val="BodyText"/>
        <w:rPr>
          <w:lang w:val="sv-SE"/>
        </w:rPr>
      </w:pPr>
      <w:r>
        <w:rPr>
          <w:lang w:val="sv-FI"/>
        </w:rPr>
        <w:t xml:space="preserve">Ett krav på fartygets eget framdrivningsmaskineri skulle läggas till i avsnittet. Tillägget skulle inte ändra nuläget, eftersom ett fartyg som hör till isklass II och en större isklass enligt 3 § 1 mom. 5 punkten i isklasslagen ska ha ett eget framdrivningsmaskineri. Syftet med tillägget är således att förtydliga att pråmar som utfärdats isklass av ett klassificeringssällskap på basis av motsvarighetsförteckningen hör till isklass III. </w:t>
      </w:r>
    </w:p>
    <w:p w14:paraId="196380A9" w14:textId="3EECEBFB" w:rsidR="00BE7FCF" w:rsidRPr="00661001" w:rsidRDefault="00E3546D" w:rsidP="000A63F6">
      <w:pPr>
        <w:pStyle w:val="BodyText"/>
        <w:rPr>
          <w:lang w:val="sv-SE"/>
        </w:rPr>
      </w:pPr>
      <w:r>
        <w:rPr>
          <w:lang w:val="sv-FI"/>
        </w:rPr>
        <w:t>I avsnittet skulle en precisering läggas till av fastställandet av finsk isklass på basis av motsvarighetsförteckningen enligt den högsta isklass som motsvarar klassbeteckningen. Syftet med detta är att klargöra situationer där fartygets klassbeteckning motsvarar isklasserna I A Super – IC, eftersom ett sådant fartyg alltid har en klassbeteckning som berättigar till isklass II. I avsnittet skulle det dessutom föreskrivas, att om fartyget inte har ett eget framdrivningsmaskineri, men i dess klasscertifikat har antecknats en klassbeteckning som finns i motsvarighetsförteckningen, anses klassbeteckningen motsvara finsk isklass III.</w:t>
      </w:r>
    </w:p>
    <w:p w14:paraId="4CBE2135" w14:textId="32E187FB" w:rsidR="0058608C" w:rsidRPr="00F54F89" w:rsidRDefault="00600198" w:rsidP="00F54F89">
      <w:pPr>
        <w:pStyle w:val="BodyText"/>
        <w:rPr>
          <w:lang w:val="sv-SE"/>
        </w:rPr>
      </w:pPr>
      <w:r>
        <w:rPr>
          <w:lang w:val="sv-FI"/>
        </w:rPr>
        <w:lastRenderedPageBreak/>
        <w:t>I det andra stycket i avsnitt 2 i den gällande föreskriften föreskrivs, att ett fartyg som hör till isklass IA Super eller IA och som har kölsträckts eller har befunnit sig i ett liknande byggnadsstadium före den 1 september 2003 dock ska uppfylla kraven i avsnitt 3.2.2 eller 3.2.4 i Trafiksäkerhetsverkets isklassföreskrifter 2017 (TRAFI/</w:t>
      </w:r>
      <w:proofErr w:type="gramStart"/>
      <w:r>
        <w:rPr>
          <w:lang w:val="sv-FI"/>
        </w:rPr>
        <w:t>494131</w:t>
      </w:r>
      <w:proofErr w:type="gramEnd"/>
      <w:r>
        <w:rPr>
          <w:lang w:val="sv-FI"/>
        </w:rPr>
        <w:t>/03.04.01.00/2016) senast den 1 januari det år det har förflutit tjugo år sedan fartyget levererades. Stycket skulle strykas för att undvika upprepning, eftersom kravet redan ingår i den gällande isklassföreskriften.</w:t>
      </w:r>
    </w:p>
    <w:p w14:paraId="0128CEB2" w14:textId="2D9BCAC1" w:rsidR="00BE7FCF" w:rsidRPr="00661001" w:rsidRDefault="00BE7FCF">
      <w:pPr>
        <w:pStyle w:val="BodyText"/>
        <w:rPr>
          <w:b/>
          <w:bCs/>
          <w:lang w:val="sv-SE"/>
        </w:rPr>
      </w:pPr>
      <w:r>
        <w:rPr>
          <w:b/>
          <w:bCs/>
          <w:lang w:val="sv-FI"/>
        </w:rPr>
        <w:t>3 Fastställande av finsk isklass på ansökan</w:t>
      </w:r>
    </w:p>
    <w:p w14:paraId="5861FFDB" w14:textId="5BEB7BE5" w:rsidR="002B60C9" w:rsidRPr="00661001" w:rsidRDefault="000F0BC5">
      <w:pPr>
        <w:pStyle w:val="BodyText"/>
        <w:rPr>
          <w:lang w:val="sv-SE"/>
        </w:rPr>
      </w:pPr>
      <w:r>
        <w:rPr>
          <w:lang w:val="sv-FI"/>
        </w:rPr>
        <w:t xml:space="preserve">Rubriken på avsnitt 3 i föreskriften skulle ändras till </w:t>
      </w:r>
      <w:r>
        <w:rPr>
          <w:i/>
          <w:iCs/>
          <w:lang w:val="sv-FI"/>
        </w:rPr>
        <w:t>Fastställande av finsk isklass på ansökan</w:t>
      </w:r>
      <w:r>
        <w:rPr>
          <w:lang w:val="sv-FI"/>
        </w:rPr>
        <w:t xml:space="preserve"> och den skulle delas in i avsnitt 3.1 </w:t>
      </w:r>
      <w:r>
        <w:rPr>
          <w:i/>
          <w:iCs/>
          <w:lang w:val="sv-FI"/>
        </w:rPr>
        <w:t>Behövliga uppgifter och utredningar</w:t>
      </w:r>
      <w:r>
        <w:rPr>
          <w:lang w:val="sv-FI"/>
        </w:rPr>
        <w:t xml:space="preserve"> och 3.2 </w:t>
      </w:r>
      <w:r>
        <w:rPr>
          <w:i/>
          <w:iCs/>
          <w:lang w:val="sv-FI"/>
        </w:rPr>
        <w:t>Fartygskombinationer</w:t>
      </w:r>
      <w:r>
        <w:rPr>
          <w:lang w:val="sv-FI"/>
        </w:rPr>
        <w:t xml:space="preserve">. </w:t>
      </w:r>
    </w:p>
    <w:p w14:paraId="0992AF79" w14:textId="77777777" w:rsidR="002B60C9" w:rsidRPr="00661001" w:rsidRDefault="002B60C9">
      <w:pPr>
        <w:pStyle w:val="BodyText"/>
        <w:rPr>
          <w:b/>
          <w:bCs/>
          <w:lang w:val="sv-SE"/>
        </w:rPr>
      </w:pPr>
      <w:r>
        <w:rPr>
          <w:b/>
          <w:bCs/>
          <w:lang w:val="sv-FI"/>
        </w:rPr>
        <w:t>3.1 Behövliga uppgifter och utredningar</w:t>
      </w:r>
    </w:p>
    <w:p w14:paraId="6BD13605" w14:textId="618CA6B0" w:rsidR="002B60C9" w:rsidRPr="00661001" w:rsidRDefault="000E5A24">
      <w:pPr>
        <w:pStyle w:val="BodyText"/>
        <w:rPr>
          <w:lang w:val="sv-SE"/>
        </w:rPr>
      </w:pPr>
      <w:r>
        <w:rPr>
          <w:lang w:val="sv-FI"/>
        </w:rPr>
        <w:t xml:space="preserve">I det första stycket i avsnitt 3.1 (avsnitt 3 i den gällande föreskriften) skulle det konstaterande strykas som delvis överlappar med bestämmelserna i 7 § 2 mom. i isklasslagen, enligt vilket Trafiksäkerhetsverket (nuvarande Transport- och kommunikationsverket) på redarens ansökan fastställer fartygets isklass på basis av 7 § 2 mom. i lagen om fartygs isklasser och isbrytarassistans. Bestämmelserna i avsnittet om de uppgifter och utredningar som behövs för fastställande av fartygets finska isklass gäller fortfarande det ansökningsförfarande som avses i 7 § 2 mom. i isklasslagen. </w:t>
      </w:r>
    </w:p>
    <w:p w14:paraId="241B32CD" w14:textId="30FCB340" w:rsidR="00933B4D" w:rsidRPr="00661001" w:rsidRDefault="006C4017">
      <w:pPr>
        <w:pStyle w:val="BodyText"/>
        <w:rPr>
          <w:highlight w:val="yellow"/>
          <w:lang w:val="sv-SE"/>
        </w:rPr>
      </w:pPr>
      <w:r>
        <w:rPr>
          <w:lang w:val="sv-FI"/>
        </w:rPr>
        <w:t>Förteckningen över behövliga uppgifter och utredningar skulle uppdateras och preciseras så att följande uppgifter och utredningar skulle lämnas för fastställande av fartygets finska isklass:</w:t>
      </w:r>
    </w:p>
    <w:p w14:paraId="469EEF17" w14:textId="0D681BB2" w:rsidR="007756AB" w:rsidRPr="00661001" w:rsidRDefault="007756AB" w:rsidP="007756AB">
      <w:pPr>
        <w:pStyle w:val="BodyText"/>
        <w:numPr>
          <w:ilvl w:val="0"/>
          <w:numId w:val="28"/>
        </w:numPr>
        <w:spacing w:before="60" w:after="60"/>
        <w:rPr>
          <w:lang w:val="sv-SE"/>
        </w:rPr>
      </w:pPr>
      <w:r>
        <w:rPr>
          <w:lang w:val="sv-FI"/>
        </w:rPr>
        <w:t>fritt formulerad skriftlig ansökan om fartygets isklass,</w:t>
      </w:r>
    </w:p>
    <w:p w14:paraId="5A470F89" w14:textId="77777777" w:rsidR="007756AB" w:rsidRDefault="007756AB" w:rsidP="007756AB">
      <w:pPr>
        <w:pStyle w:val="BodyText"/>
        <w:numPr>
          <w:ilvl w:val="0"/>
          <w:numId w:val="28"/>
        </w:numPr>
        <w:spacing w:before="60" w:after="60"/>
      </w:pPr>
      <w:r>
        <w:rPr>
          <w:lang w:val="sv-FI"/>
        </w:rPr>
        <w:t>kopia av fartygets klasscertifikat,</w:t>
      </w:r>
    </w:p>
    <w:p w14:paraId="732BDBB9" w14:textId="77777777" w:rsidR="007756AB" w:rsidRDefault="007756AB" w:rsidP="007756AB">
      <w:pPr>
        <w:pStyle w:val="BodyText"/>
        <w:numPr>
          <w:ilvl w:val="0"/>
          <w:numId w:val="28"/>
        </w:numPr>
        <w:spacing w:before="60" w:after="60"/>
      </w:pPr>
      <w:r>
        <w:rPr>
          <w:lang w:val="sv-FI"/>
        </w:rPr>
        <w:t>kopia av klassificeringssällskapets isklassregler,</w:t>
      </w:r>
    </w:p>
    <w:p w14:paraId="74994A0E" w14:textId="77777777" w:rsidR="007756AB" w:rsidRPr="00661001" w:rsidRDefault="007756AB" w:rsidP="007756AB">
      <w:pPr>
        <w:pStyle w:val="BodyText"/>
        <w:numPr>
          <w:ilvl w:val="0"/>
          <w:numId w:val="28"/>
        </w:numPr>
        <w:spacing w:before="60" w:after="60"/>
        <w:rPr>
          <w:lang w:val="sv-SE"/>
        </w:rPr>
      </w:pPr>
      <w:r>
        <w:rPr>
          <w:lang w:val="sv-FI"/>
        </w:rPr>
        <w:t xml:space="preserve">kopia av fartygets handlingar som visar att fartygets maskineffekt är dimensionerad och konstruerad på det sätt som isklassen kräver, </w:t>
      </w:r>
    </w:p>
    <w:p w14:paraId="37BAF30C" w14:textId="77777777" w:rsidR="007756AB" w:rsidRPr="00661001" w:rsidRDefault="007756AB" w:rsidP="007756AB">
      <w:pPr>
        <w:pStyle w:val="BodyText"/>
        <w:numPr>
          <w:ilvl w:val="0"/>
          <w:numId w:val="28"/>
        </w:numPr>
        <w:spacing w:before="60" w:after="60"/>
        <w:rPr>
          <w:lang w:val="sv-SE"/>
        </w:rPr>
      </w:pPr>
      <w:r>
        <w:rPr>
          <w:lang w:val="sv-FI"/>
        </w:rPr>
        <w:t>kopia av fartygets handlingar som visar att fartygets skrov är dimensionerat och konstruerat på det sätt som isklassen kräver,</w:t>
      </w:r>
    </w:p>
    <w:p w14:paraId="1A0AE5DC" w14:textId="77777777" w:rsidR="007756AB" w:rsidRPr="00154290" w:rsidRDefault="007756AB" w:rsidP="007756AB">
      <w:pPr>
        <w:pStyle w:val="BodyText"/>
        <w:numPr>
          <w:ilvl w:val="0"/>
          <w:numId w:val="28"/>
        </w:numPr>
        <w:spacing w:before="60" w:after="60"/>
        <w:rPr>
          <w:lang w:val="sv-SE"/>
        </w:rPr>
      </w:pPr>
      <w:bookmarkStart w:id="176" w:name="_Hlk160620943"/>
      <w:r w:rsidRPr="00154290">
        <w:rPr>
          <w:lang w:val="sv-FI"/>
        </w:rPr>
        <w:t>kopia av fartygets handlingar som visar att fartygets roder och styranordningar är dimensionerade och konstruerade på det sätt som isklassen kräver,</w:t>
      </w:r>
    </w:p>
    <w:p w14:paraId="2F20DBE0" w14:textId="313E1B85" w:rsidR="007756AB" w:rsidRPr="00154290" w:rsidRDefault="00E46667" w:rsidP="007756AB">
      <w:pPr>
        <w:pStyle w:val="BodyText"/>
        <w:numPr>
          <w:ilvl w:val="0"/>
          <w:numId w:val="28"/>
        </w:numPr>
        <w:spacing w:before="60" w:after="60"/>
        <w:rPr>
          <w:lang w:val="sv-SE"/>
        </w:rPr>
      </w:pPr>
      <w:r w:rsidRPr="00154290">
        <w:rPr>
          <w:lang w:val="sv-FI"/>
        </w:rPr>
        <w:t xml:space="preserve">kopia av fartygets handlingar som visar att fartygets </w:t>
      </w:r>
      <w:proofErr w:type="spellStart"/>
      <w:r w:rsidRPr="00154290">
        <w:rPr>
          <w:lang w:val="sv-FI"/>
        </w:rPr>
        <w:t>propulsionsmaskineri</w:t>
      </w:r>
      <w:proofErr w:type="spellEnd"/>
      <w:r w:rsidRPr="00154290">
        <w:rPr>
          <w:lang w:val="sv-FI"/>
        </w:rPr>
        <w:t xml:space="preserve"> och dess delar är dimensionerade och konstruerade på det sätt som isklassen kräver,</w:t>
      </w:r>
    </w:p>
    <w:bookmarkEnd w:id="176"/>
    <w:p w14:paraId="1A9FE7A2" w14:textId="72300E9F" w:rsidR="007756AB" w:rsidRPr="00154290" w:rsidRDefault="007756AB" w:rsidP="007756AB">
      <w:pPr>
        <w:pStyle w:val="BodyText"/>
        <w:numPr>
          <w:ilvl w:val="0"/>
          <w:numId w:val="28"/>
        </w:numPr>
        <w:spacing w:before="60" w:after="60"/>
        <w:rPr>
          <w:lang w:val="sv-SE"/>
        </w:rPr>
      </w:pPr>
      <w:r w:rsidRPr="00154290">
        <w:rPr>
          <w:lang w:val="sv-FI"/>
        </w:rPr>
        <w:t>kopia av fartygets arrangemang för en brunn för sjövatten och arrangemang för startluft, samt</w:t>
      </w:r>
    </w:p>
    <w:p w14:paraId="038601BB" w14:textId="7068D970" w:rsidR="007756AB" w:rsidRPr="00661001" w:rsidRDefault="007756AB" w:rsidP="007756AB">
      <w:pPr>
        <w:pStyle w:val="BodyText"/>
        <w:numPr>
          <w:ilvl w:val="0"/>
          <w:numId w:val="28"/>
        </w:numPr>
        <w:spacing w:before="60" w:after="60"/>
        <w:rPr>
          <w:lang w:val="sv-SE"/>
        </w:rPr>
      </w:pPr>
      <w:r w:rsidRPr="00154290">
        <w:rPr>
          <w:lang w:val="sv-FI"/>
        </w:rPr>
        <w:t>övriga uppgifter och utredningar som anses nödvändiga för fastställande av isklasse</w:t>
      </w:r>
      <w:r>
        <w:rPr>
          <w:lang w:val="sv-FI"/>
        </w:rPr>
        <w:t>n.</w:t>
      </w:r>
    </w:p>
    <w:p w14:paraId="016A8C70" w14:textId="57A05121" w:rsidR="00870D14" w:rsidRPr="00661001" w:rsidRDefault="00870D14" w:rsidP="00870D14">
      <w:pPr>
        <w:pStyle w:val="BodyText"/>
        <w:spacing w:before="60" w:after="60"/>
        <w:rPr>
          <w:lang w:val="sv-SE"/>
        </w:rPr>
      </w:pPr>
    </w:p>
    <w:p w14:paraId="336247C8" w14:textId="022D1CEC" w:rsidR="00860C7D" w:rsidRPr="00661001" w:rsidRDefault="00870D14" w:rsidP="002A7AE8">
      <w:pPr>
        <w:pStyle w:val="BodyText"/>
        <w:spacing w:before="60" w:after="60"/>
        <w:rPr>
          <w:lang w:val="sv-SE"/>
        </w:rPr>
      </w:pPr>
      <w:r>
        <w:rPr>
          <w:lang w:val="sv-FI"/>
        </w:rPr>
        <w:t xml:space="preserve">Nya uppgifter som skulle krävas är de uppgifter som nämns i </w:t>
      </w:r>
      <w:bookmarkStart w:id="177" w:name="_Hlk164846382"/>
      <w:r>
        <w:rPr>
          <w:lang w:val="sv-FI"/>
        </w:rPr>
        <w:t>punkterna 6, 7 och 8</w:t>
      </w:r>
      <w:bookmarkEnd w:id="177"/>
      <w:r>
        <w:rPr>
          <w:lang w:val="sv-FI"/>
        </w:rPr>
        <w:t xml:space="preserve">. Dessa uppgifter motsvarar de tekniska krav som fastställs i isklassföreskriften och de har också tidigare kunnat begäras med stöd av punkt 9. Det är nödvändigt att lägga fram dessa handlingar för att ett fartyg ska kunna konstateras motsvara kraven i isklassföreskriften. När de har listats separat på detta sätt blir det tydligare att påvisa överensstämmelse. </w:t>
      </w:r>
    </w:p>
    <w:p w14:paraId="2458819C" w14:textId="75E74704" w:rsidR="002A7AE8" w:rsidRPr="00661001" w:rsidRDefault="002A7AE8" w:rsidP="002A7AE8">
      <w:pPr>
        <w:pStyle w:val="BodyText"/>
        <w:spacing w:before="60" w:after="60"/>
        <w:rPr>
          <w:lang w:val="sv-SE"/>
        </w:rPr>
      </w:pPr>
    </w:p>
    <w:p w14:paraId="56BCA429" w14:textId="1C5B7F67" w:rsidR="00F54F89" w:rsidRPr="00A00CD3" w:rsidRDefault="002A7AE8" w:rsidP="00A00CD3">
      <w:pPr>
        <w:pStyle w:val="BodyText"/>
        <w:spacing w:before="60" w:after="60"/>
        <w:rPr>
          <w:lang w:val="sv-SE"/>
        </w:rPr>
      </w:pPr>
      <w:r>
        <w:rPr>
          <w:lang w:val="sv-FI"/>
        </w:rPr>
        <w:lastRenderedPageBreak/>
        <w:t>De krävda uppgifter som skulle strykas är linjeritning av fören, lastlinjecertifikat, mätbrev och officiellt intyg över fartygets maskineffekt samt eventuella begränsningar däri. Linjeritningen av fören och ett officiellt intyg över fartygets maskineffekt kan ingå i handlingarna i punkt 4. Lastlinjecertifikatet och mätbrevet är inte i sig nödvändiga handlingar för att fastställa isklass, men de kan också tas emot som en del av ansökan om man vill lämna in vissa uppgifter i form av dem.</w:t>
      </w:r>
    </w:p>
    <w:p w14:paraId="5B9A466F" w14:textId="0DAA3B96" w:rsidR="002B60C9" w:rsidRPr="00661001" w:rsidRDefault="002B60C9">
      <w:pPr>
        <w:pStyle w:val="BodyText"/>
        <w:rPr>
          <w:b/>
          <w:bCs/>
          <w:lang w:val="sv-SE"/>
        </w:rPr>
      </w:pPr>
      <w:r>
        <w:rPr>
          <w:b/>
          <w:bCs/>
          <w:lang w:val="sv-FI"/>
        </w:rPr>
        <w:t>3.2 Fartygskombinationer</w:t>
      </w:r>
    </w:p>
    <w:p w14:paraId="29E856FB" w14:textId="5A64C691" w:rsidR="00A51421" w:rsidRPr="00661001" w:rsidRDefault="00A51421" w:rsidP="00A51421">
      <w:pPr>
        <w:pStyle w:val="BodyText"/>
        <w:rPr>
          <w:lang w:val="sv-SE"/>
        </w:rPr>
      </w:pPr>
      <w:r>
        <w:rPr>
          <w:lang w:val="sv-FI"/>
        </w:rPr>
        <w:t xml:space="preserve">I det första stycket i avsnitt 3.2 (avsnitt 6 i den gällande föreskriften) skulle det konstaterande strykas som grundar sig på isklasslagen, enligt vilket ett fartyg utan eget framdrivningsmaskineri enligt 3 § 6 punkten i nämnda lag hör till isklass III. I det andra stycket i avsnittet skulle det konstaterande strykas som delvis överlappar med bestämmelserna i 7 § 2 mom. i isklasslagen, enligt vilket Trafiksäkerhetsverket (nuvarande Transport- och kommunikationsverket) på redarens ansökan fastställer fartygskombinationens isklass på basis av 7 § 2 mom. i lagen om fartygs isklasser och isbrytarassistans. Dessutom skulle texten i det andra stycket göras smidigare. </w:t>
      </w:r>
    </w:p>
    <w:p w14:paraId="2017BB49" w14:textId="59A45B70" w:rsidR="00FB5847" w:rsidRPr="00661001" w:rsidRDefault="00695FA0">
      <w:pPr>
        <w:pStyle w:val="BodyText"/>
        <w:rPr>
          <w:highlight w:val="yellow"/>
          <w:lang w:val="sv-SE"/>
        </w:rPr>
      </w:pPr>
      <w:r>
        <w:rPr>
          <w:lang w:val="sv-FI"/>
        </w:rPr>
        <w:t xml:space="preserve">Det tredje stycket i avsnittet skulle vara nytt och </w:t>
      </w:r>
      <w:bookmarkStart w:id="178" w:name="_Hlk139292362"/>
      <w:r>
        <w:rPr>
          <w:lang w:val="sv-FI"/>
        </w:rPr>
        <w:t>där skulle det föreskrivas att fartygskombinationens maskineffekt som krävs för en fartygskombinations finska isklass bestäms enligt kraven på maskineffekt i de gällande isklassföreskrifterna genom att vid beräkningen använda pråmens skrovform och antalet propellrar, typ och diameter på det maskindrivna fartyget.</w:t>
      </w:r>
      <w:bookmarkEnd w:id="178"/>
      <w:r>
        <w:rPr>
          <w:lang w:val="sv-FI"/>
        </w:rPr>
        <w:t xml:space="preserve"> För närvarande föreskrivs det om beräkningen av maskineffekt i avsnitt 3 i isklassföreskriften 2021. </w:t>
      </w:r>
    </w:p>
    <w:p w14:paraId="348BF134" w14:textId="79CFB57B" w:rsidR="00FB5847" w:rsidRPr="00661001" w:rsidRDefault="00FB5847" w:rsidP="00067567">
      <w:pPr>
        <w:pStyle w:val="BodyText"/>
        <w:rPr>
          <w:b/>
          <w:bCs/>
          <w:lang w:val="sv-SE"/>
        </w:rPr>
      </w:pPr>
      <w:r>
        <w:rPr>
          <w:b/>
          <w:bCs/>
          <w:lang w:val="sv-FI"/>
        </w:rPr>
        <w:t>Avsnitt som ska strykas i den gällande föreskriften</w:t>
      </w:r>
    </w:p>
    <w:p w14:paraId="339ABB87" w14:textId="7D635FD7" w:rsidR="00067567" w:rsidRPr="00661001" w:rsidRDefault="006E6E54" w:rsidP="00067567">
      <w:pPr>
        <w:pStyle w:val="BodyText"/>
        <w:rPr>
          <w:lang w:val="sv-SE"/>
        </w:rPr>
      </w:pPr>
      <w:r>
        <w:rPr>
          <w:lang w:val="sv-FI"/>
        </w:rPr>
        <w:t xml:space="preserve">Avsnitt 4 </w:t>
      </w:r>
      <w:bookmarkStart w:id="179" w:name="_Hlk139376864"/>
      <w:r>
        <w:rPr>
          <w:i/>
          <w:iCs/>
          <w:lang w:val="sv-FI"/>
        </w:rPr>
        <w:t xml:space="preserve">Anteckning om </w:t>
      </w:r>
      <w:proofErr w:type="spellStart"/>
      <w:r>
        <w:rPr>
          <w:i/>
          <w:iCs/>
          <w:lang w:val="sv-FI"/>
        </w:rPr>
        <w:t>isklassdjupgåendena</w:t>
      </w:r>
      <w:proofErr w:type="spellEnd"/>
      <w:r>
        <w:rPr>
          <w:i/>
          <w:iCs/>
          <w:lang w:val="sv-FI"/>
        </w:rPr>
        <w:t xml:space="preserve"> och den minsta maskineffekten i klasscertifikatet</w:t>
      </w:r>
      <w:bookmarkEnd w:id="179"/>
      <w:r>
        <w:rPr>
          <w:i/>
          <w:iCs/>
          <w:lang w:val="sv-FI"/>
        </w:rPr>
        <w:t xml:space="preserve"> </w:t>
      </w:r>
      <w:r>
        <w:rPr>
          <w:lang w:val="sv-FI"/>
        </w:rPr>
        <w:t xml:space="preserve">i den gällande föreskriften skulle strykas, eftersom Transport- och kommunikationsverket inte meddelar föreskrifter om kraven på klasscertifikatets innehåll. Avsikten är att isklassdjupgåendena och den minsta maskineffekten hos ett fartyg för vilket ett godkänt klassificeringssällskap utfärdat isklass fortfarande ska framgå av fartygets klassificeringscertifikat, dess bilaga eller annan fartygsdokumentation, eftersom dessa tilläggsuppgifter om isklass är viktiga för att garantera säkerheten för den isbrytarassistans som fartyget ges. </w:t>
      </w:r>
    </w:p>
    <w:p w14:paraId="5867B3DD" w14:textId="7E8E2574" w:rsidR="00067567" w:rsidRPr="00661001" w:rsidRDefault="006E6E54" w:rsidP="00067567">
      <w:pPr>
        <w:pStyle w:val="BodyText"/>
        <w:rPr>
          <w:lang w:val="sv-SE"/>
        </w:rPr>
      </w:pPr>
      <w:r>
        <w:rPr>
          <w:lang w:val="sv-FI"/>
        </w:rPr>
        <w:t xml:space="preserve">Avsnitt 5 </w:t>
      </w:r>
      <w:r>
        <w:rPr>
          <w:i/>
          <w:iCs/>
          <w:lang w:val="sv-FI"/>
        </w:rPr>
        <w:t>Fartygets största djupgående då assistansbegränsningar är i kraft</w:t>
      </w:r>
      <w:r>
        <w:rPr>
          <w:lang w:val="sv-FI"/>
        </w:rPr>
        <w:t xml:space="preserve"> i den gällande föreskriften skulle strykas. I avsnittet fastställs enligt rubriken fartygets djupgående då assistansbegränsningar är i kraft. Kravet ingår i gällande isklassföreskriften och behöver därför inte upprepas i denna föreskrift.</w:t>
      </w:r>
    </w:p>
    <w:p w14:paraId="75512248" w14:textId="4164F921" w:rsidR="00067567" w:rsidRPr="00661001" w:rsidRDefault="006E6E54">
      <w:pPr>
        <w:pStyle w:val="BodyText"/>
        <w:rPr>
          <w:lang w:val="sv-SE"/>
        </w:rPr>
      </w:pPr>
      <w:r>
        <w:rPr>
          <w:lang w:val="sv-FI"/>
        </w:rPr>
        <w:t xml:space="preserve">Avsnitt 7 </w:t>
      </w:r>
      <w:r>
        <w:rPr>
          <w:i/>
          <w:iCs/>
          <w:lang w:val="sv-FI"/>
        </w:rPr>
        <w:t>Byte av klassificeringssällskap</w:t>
      </w:r>
      <w:r>
        <w:rPr>
          <w:lang w:val="sv-FI"/>
        </w:rPr>
        <w:t xml:space="preserve"> i den gällande föreskriften skulle strykas i sin helhet. I det första stycket i avsnittet föreskrivs om bibehållande av isklass vid byte av klassificeringssällskap. Bestämmelser om giltigheten av en anteckning i isklassförteckningen finns dock på lagnivå i 7 § 3 mom. i isklasslagen. I det andra stycket i avsnitt 7 i föreskriften föreskrivs om maskineffektkrav för fartyg i de två högsta isklasserna, vilket redan föreskrivs om i isklassföreskriften. I tredje stycket föreskrivs om innehållskraven i klasscertifikatet.  </w:t>
      </w:r>
    </w:p>
    <w:p w14:paraId="59B63417" w14:textId="173E8B92" w:rsidR="00EE06C3" w:rsidRPr="00661001" w:rsidRDefault="00EE06C3">
      <w:pPr>
        <w:pStyle w:val="BodyText"/>
        <w:rPr>
          <w:b/>
          <w:bCs/>
          <w:lang w:val="sv-SE"/>
        </w:rPr>
      </w:pPr>
      <w:r>
        <w:rPr>
          <w:b/>
          <w:bCs/>
          <w:lang w:val="sv-FI"/>
        </w:rPr>
        <w:t>Bilaga 1 Motsvarighetsförteckning</w:t>
      </w:r>
    </w:p>
    <w:p w14:paraId="51C819CE" w14:textId="03F11D59" w:rsidR="003E4647" w:rsidRPr="00CD01DE" w:rsidRDefault="00CA3398" w:rsidP="003E4647">
      <w:pPr>
        <w:pStyle w:val="BodyText"/>
        <w:spacing w:after="0"/>
        <w:rPr>
          <w:lang w:val="sv-SE"/>
        </w:rPr>
      </w:pPr>
      <w:r>
        <w:rPr>
          <w:lang w:val="sv-FI"/>
        </w:rPr>
        <w:t xml:space="preserve">Den motsvarighetsförteckning som ska fastställas i bilaga 1 till föreskriften skulle uppdateras. </w:t>
      </w:r>
      <w:r w:rsidR="00E46667">
        <w:rPr>
          <w:lang w:val="sv-SE"/>
        </w:rPr>
        <w:t>En f</w:t>
      </w:r>
      <w:proofErr w:type="spellStart"/>
      <w:r w:rsidR="00E46667" w:rsidRPr="00E46667">
        <w:rPr>
          <w:lang w:val="sv-FI"/>
        </w:rPr>
        <w:t>örteckning</w:t>
      </w:r>
      <w:proofErr w:type="spellEnd"/>
      <w:r w:rsidR="00E46667" w:rsidRPr="00E46667">
        <w:rPr>
          <w:lang w:val="sv-FI"/>
        </w:rPr>
        <w:t xml:space="preserve"> över organisationer som har erkänts i enlighet med Europaparlamentets och rådets förordning (EG) nr 391/2009 av den 23 april 2009 om gemensamma regler och standarder för organisationer som utför inspektioner och utövar tillsyn av fartyg</w:t>
      </w:r>
      <w:r>
        <w:rPr>
          <w:lang w:val="sv-FI"/>
        </w:rPr>
        <w:t xml:space="preserve"> </w:t>
      </w:r>
      <w:r w:rsidR="0003274D">
        <w:rPr>
          <w:lang w:val="sv-FI"/>
        </w:rPr>
        <w:t xml:space="preserve">har publicerats i Europeiska unionens officiella tidning den 7 </w:t>
      </w:r>
      <w:r w:rsidR="0003274D">
        <w:rPr>
          <w:lang w:val="sv-FI"/>
        </w:rPr>
        <w:lastRenderedPageBreak/>
        <w:t xml:space="preserve">december 2022 (2022/C 466/07). </w:t>
      </w:r>
      <w:r>
        <w:rPr>
          <w:lang w:val="sv-FI"/>
        </w:rPr>
        <w:t>Godkända klassificeringssällskap är enligt förteckningen:</w:t>
      </w:r>
    </w:p>
    <w:p w14:paraId="18B278DD" w14:textId="77777777" w:rsidR="003E4647" w:rsidRPr="00661001" w:rsidRDefault="003E4647" w:rsidP="003E4647">
      <w:pPr>
        <w:pStyle w:val="BodyText"/>
        <w:numPr>
          <w:ilvl w:val="0"/>
          <w:numId w:val="23"/>
        </w:numPr>
        <w:spacing w:after="0"/>
        <w:rPr>
          <w:lang w:val="en-US"/>
        </w:rPr>
      </w:pPr>
      <w:r w:rsidRPr="00661001">
        <w:rPr>
          <w:lang w:val="en-US"/>
        </w:rPr>
        <w:t xml:space="preserve">American Bureau of Shipping (ABS), </w:t>
      </w:r>
    </w:p>
    <w:p w14:paraId="7778E4E7" w14:textId="77777777" w:rsidR="003E4647" w:rsidRDefault="003E4647" w:rsidP="003E4647">
      <w:pPr>
        <w:pStyle w:val="BodyText"/>
        <w:numPr>
          <w:ilvl w:val="0"/>
          <w:numId w:val="23"/>
        </w:numPr>
        <w:spacing w:after="0"/>
      </w:pPr>
      <w:r>
        <w:rPr>
          <w:lang w:val="sv-FI"/>
        </w:rPr>
        <w:t xml:space="preserve">Bureau Veritas SA (BV), </w:t>
      </w:r>
    </w:p>
    <w:p w14:paraId="3819551C" w14:textId="77777777" w:rsidR="003E4647" w:rsidRDefault="003E4647" w:rsidP="003E4647">
      <w:pPr>
        <w:pStyle w:val="BodyText"/>
        <w:numPr>
          <w:ilvl w:val="0"/>
          <w:numId w:val="23"/>
        </w:numPr>
        <w:spacing w:after="0"/>
      </w:pPr>
      <w:r>
        <w:rPr>
          <w:lang w:val="sv-FI"/>
        </w:rPr>
        <w:t xml:space="preserve">China Classification Society (CCS), </w:t>
      </w:r>
    </w:p>
    <w:p w14:paraId="2454CAA0" w14:textId="77777777" w:rsidR="003E4647" w:rsidRPr="00661001" w:rsidRDefault="003E4647" w:rsidP="003E4647">
      <w:pPr>
        <w:pStyle w:val="BodyText"/>
        <w:numPr>
          <w:ilvl w:val="0"/>
          <w:numId w:val="23"/>
        </w:numPr>
        <w:spacing w:after="0"/>
        <w:rPr>
          <w:lang w:val="en-US"/>
        </w:rPr>
      </w:pPr>
      <w:r w:rsidRPr="00661001">
        <w:rPr>
          <w:lang w:val="en-US"/>
        </w:rPr>
        <w:t xml:space="preserve">Croatian Register of Shipping (CRS), </w:t>
      </w:r>
    </w:p>
    <w:p w14:paraId="3F5D92AB" w14:textId="77777777" w:rsidR="003E4647" w:rsidRDefault="003E4647" w:rsidP="003E4647">
      <w:pPr>
        <w:pStyle w:val="BodyText"/>
        <w:numPr>
          <w:ilvl w:val="0"/>
          <w:numId w:val="23"/>
        </w:numPr>
        <w:spacing w:after="0"/>
      </w:pPr>
      <w:r>
        <w:rPr>
          <w:lang w:val="sv-FI"/>
        </w:rPr>
        <w:t xml:space="preserve">DNV AS (DNV), </w:t>
      </w:r>
    </w:p>
    <w:p w14:paraId="71A842EF" w14:textId="77777777" w:rsidR="003E4647" w:rsidRPr="00661001" w:rsidRDefault="003E4647" w:rsidP="003E4647">
      <w:pPr>
        <w:pStyle w:val="BodyText"/>
        <w:numPr>
          <w:ilvl w:val="0"/>
          <w:numId w:val="23"/>
        </w:numPr>
        <w:spacing w:after="0"/>
        <w:rPr>
          <w:lang w:val="en-US"/>
        </w:rPr>
      </w:pPr>
      <w:r w:rsidRPr="00661001">
        <w:rPr>
          <w:lang w:val="en-US"/>
        </w:rPr>
        <w:t xml:space="preserve">Indian Register of Shipping (IRS), </w:t>
      </w:r>
    </w:p>
    <w:p w14:paraId="6B418458" w14:textId="77777777" w:rsidR="003E4647" w:rsidRDefault="003E4647" w:rsidP="003E4647">
      <w:pPr>
        <w:pStyle w:val="BodyText"/>
        <w:numPr>
          <w:ilvl w:val="0"/>
          <w:numId w:val="23"/>
        </w:numPr>
        <w:spacing w:after="0"/>
      </w:pPr>
      <w:r>
        <w:rPr>
          <w:lang w:val="sv-FI"/>
        </w:rPr>
        <w:t xml:space="preserve">Korean Register (KR), </w:t>
      </w:r>
    </w:p>
    <w:p w14:paraId="655F7764" w14:textId="77777777" w:rsidR="003E4647" w:rsidRPr="00661001" w:rsidRDefault="003E4647" w:rsidP="003E4647">
      <w:pPr>
        <w:pStyle w:val="BodyText"/>
        <w:numPr>
          <w:ilvl w:val="0"/>
          <w:numId w:val="23"/>
        </w:numPr>
        <w:spacing w:after="0"/>
        <w:rPr>
          <w:lang w:val="en-US"/>
        </w:rPr>
      </w:pPr>
      <w:r w:rsidRPr="00661001">
        <w:rPr>
          <w:lang w:val="en-US"/>
        </w:rPr>
        <w:t xml:space="preserve">Lloyd's Register Group LTD (LR), </w:t>
      </w:r>
    </w:p>
    <w:p w14:paraId="73DCF81B" w14:textId="77777777" w:rsidR="003E4647" w:rsidRPr="00661001" w:rsidRDefault="003E4647" w:rsidP="003E4647">
      <w:pPr>
        <w:pStyle w:val="BodyText"/>
        <w:numPr>
          <w:ilvl w:val="0"/>
          <w:numId w:val="23"/>
        </w:numPr>
        <w:spacing w:after="0"/>
        <w:rPr>
          <w:lang w:val="en-US"/>
        </w:rPr>
      </w:pPr>
      <w:r w:rsidRPr="00661001">
        <w:rPr>
          <w:lang w:val="en-US"/>
        </w:rPr>
        <w:t xml:space="preserve">Nippon </w:t>
      </w:r>
      <w:proofErr w:type="spellStart"/>
      <w:r w:rsidRPr="00661001">
        <w:rPr>
          <w:lang w:val="en-US"/>
        </w:rPr>
        <w:t>Kaiji</w:t>
      </w:r>
      <w:proofErr w:type="spellEnd"/>
      <w:r w:rsidRPr="00661001">
        <w:rPr>
          <w:lang w:val="en-US"/>
        </w:rPr>
        <w:t xml:space="preserve"> </w:t>
      </w:r>
      <w:proofErr w:type="spellStart"/>
      <w:r w:rsidRPr="00661001">
        <w:rPr>
          <w:lang w:val="en-US"/>
        </w:rPr>
        <w:t>Kyokai</w:t>
      </w:r>
      <w:proofErr w:type="spellEnd"/>
      <w:r w:rsidRPr="00661001">
        <w:rPr>
          <w:lang w:val="en-US"/>
        </w:rPr>
        <w:t xml:space="preserve"> General Incorporated Foundation (</w:t>
      </w:r>
      <w:proofErr w:type="spellStart"/>
      <w:r w:rsidRPr="00661001">
        <w:rPr>
          <w:lang w:val="en-US"/>
        </w:rPr>
        <w:t>ClassNK</w:t>
      </w:r>
      <w:proofErr w:type="spellEnd"/>
      <w:r w:rsidRPr="00661001">
        <w:rPr>
          <w:lang w:val="en-US"/>
        </w:rPr>
        <w:t xml:space="preserve">), </w:t>
      </w:r>
    </w:p>
    <w:p w14:paraId="1B0ABF5C" w14:textId="77777777" w:rsidR="003E4647" w:rsidRPr="00661001" w:rsidRDefault="003E4647" w:rsidP="003E4647">
      <w:pPr>
        <w:pStyle w:val="BodyText"/>
        <w:numPr>
          <w:ilvl w:val="0"/>
          <w:numId w:val="23"/>
        </w:numPr>
        <w:spacing w:after="0"/>
        <w:rPr>
          <w:lang w:val="en-US"/>
        </w:rPr>
      </w:pPr>
      <w:r w:rsidRPr="00661001">
        <w:rPr>
          <w:lang w:val="en-US"/>
        </w:rPr>
        <w:t xml:space="preserve">Polish Register of Shipping (PRS) </w:t>
      </w:r>
      <w:proofErr w:type="spellStart"/>
      <w:r w:rsidRPr="00661001">
        <w:rPr>
          <w:lang w:val="en-US"/>
        </w:rPr>
        <w:t>och</w:t>
      </w:r>
      <w:proofErr w:type="spellEnd"/>
      <w:r w:rsidRPr="00661001">
        <w:rPr>
          <w:lang w:val="en-US"/>
        </w:rPr>
        <w:t xml:space="preserve"> </w:t>
      </w:r>
    </w:p>
    <w:p w14:paraId="61D55C49" w14:textId="529BF8A7" w:rsidR="003E4647" w:rsidRPr="00A147E6" w:rsidRDefault="003E4647" w:rsidP="00A147E6">
      <w:pPr>
        <w:pStyle w:val="BodyText"/>
        <w:numPr>
          <w:ilvl w:val="0"/>
          <w:numId w:val="23"/>
        </w:numPr>
        <w:spacing w:after="0"/>
      </w:pPr>
      <w:r>
        <w:rPr>
          <w:lang w:val="sv-FI"/>
        </w:rPr>
        <w:t xml:space="preserve">RINA Services </w:t>
      </w:r>
      <w:proofErr w:type="spellStart"/>
      <w:r>
        <w:rPr>
          <w:lang w:val="sv-FI"/>
        </w:rPr>
        <w:t>S.p.A</w:t>
      </w:r>
      <w:proofErr w:type="spellEnd"/>
      <w:r>
        <w:rPr>
          <w:lang w:val="sv-FI"/>
        </w:rPr>
        <w:t xml:space="preserve">. (RINA). </w:t>
      </w:r>
    </w:p>
    <w:p w14:paraId="6C804A5D" w14:textId="633A9B92" w:rsidR="00F31714" w:rsidRPr="00661001" w:rsidRDefault="000F092B" w:rsidP="002455A0">
      <w:pPr>
        <w:pStyle w:val="BodyText"/>
        <w:rPr>
          <w:lang w:val="sv-SE"/>
        </w:rPr>
      </w:pPr>
      <w:r>
        <w:rPr>
          <w:lang w:val="sv-FI"/>
        </w:rPr>
        <w:t>Namnen på godkända klassificeringssällskap som används i motsvarighetsförteckningen i föreskriften skulle uppdateras så att de motsvarar de namn som används i förteckningen ovan. I motsvarighetsförteckningen skulle det läggas till klassbeteckningar för Indian Register of Shipping som lagts till i förteckningen över godkända klassificeringssällskap. Indian Register of Shippings klassificeringsregler har granskats av Transport- och kommunikationsverket och de motsvarar de finska isklassföreskrifterna. De nya klassbeteckningarna som godkända klassificeringssällskap tagit i bruk efter 2017 skulle också läggas till i motsvarighetsförteckningen och andra nödvändiga preciseringar göras. I synnerhet skulle klassificeringssällskapens gamla klassbeteckningar strykas. Detta påverkar inte fartyg som redan finns med i isklassförteckningen, och de nya fartyg som ska läggas till isklassförteckningen har i allmänhet de nyare beteckningarna i förteckningen. Strykningen av de gamla klassbeteckningarna har således ingen betydande praktisk inverkan.</w:t>
      </w:r>
    </w:p>
    <w:p w14:paraId="112ADBA7" w14:textId="5982C0D5" w:rsidR="00F31714" w:rsidRPr="00661001" w:rsidRDefault="002455A0" w:rsidP="002455A0">
      <w:pPr>
        <w:pStyle w:val="BodyText"/>
        <w:rPr>
          <w:lang w:val="sv-SE"/>
        </w:rPr>
      </w:pPr>
      <w:r>
        <w:rPr>
          <w:lang w:val="sv-FI"/>
        </w:rPr>
        <w:t xml:space="preserve">Det </w:t>
      </w:r>
      <w:proofErr w:type="gramStart"/>
      <w:r>
        <w:rPr>
          <w:lang w:val="sv-FI"/>
        </w:rPr>
        <w:t>Norske</w:t>
      </w:r>
      <w:proofErr w:type="gramEnd"/>
      <w:r>
        <w:rPr>
          <w:lang w:val="sv-FI"/>
        </w:rPr>
        <w:t xml:space="preserve"> Veritas, DNV GL och Germanischer Lloyds tabeller som gäller klassbeteckningar (tabell 5–7) skulle strykas och i stället för dem skulle det godkända klassificeringssällskapet DNV:s tabell som gäller klassbeteckningar läggas till. </w:t>
      </w:r>
    </w:p>
    <w:p w14:paraId="6613E292" w14:textId="30A7024C" w:rsidR="002455A0" w:rsidRPr="00661001" w:rsidRDefault="00CA3398">
      <w:pPr>
        <w:pStyle w:val="BodyText"/>
        <w:rPr>
          <w:lang w:val="sv-SE"/>
        </w:rPr>
      </w:pPr>
      <w:r>
        <w:rPr>
          <w:lang w:val="sv-FI"/>
        </w:rPr>
        <w:t xml:space="preserve">Tabellen som gäller </w:t>
      </w:r>
      <w:proofErr w:type="spellStart"/>
      <w:r>
        <w:rPr>
          <w:lang w:val="sv-FI"/>
        </w:rPr>
        <w:t>Russian</w:t>
      </w:r>
      <w:proofErr w:type="spellEnd"/>
      <w:r>
        <w:rPr>
          <w:lang w:val="sv-FI"/>
        </w:rPr>
        <w:t xml:space="preserve"> </w:t>
      </w:r>
      <w:proofErr w:type="spellStart"/>
      <w:r>
        <w:rPr>
          <w:lang w:val="sv-FI"/>
        </w:rPr>
        <w:t>Maritime</w:t>
      </w:r>
      <w:proofErr w:type="spellEnd"/>
      <w:r>
        <w:rPr>
          <w:lang w:val="sv-FI"/>
        </w:rPr>
        <w:t xml:space="preserve"> Register </w:t>
      </w:r>
      <w:proofErr w:type="spellStart"/>
      <w:r>
        <w:rPr>
          <w:lang w:val="sv-FI"/>
        </w:rPr>
        <w:t>of</w:t>
      </w:r>
      <w:proofErr w:type="spellEnd"/>
      <w:r>
        <w:rPr>
          <w:lang w:val="sv-FI"/>
        </w:rPr>
        <w:t xml:space="preserve"> Shippings klassbeteckningar (tabell 14 i den gällande föreskriften) skulle strykas, eftersom Russian Maritime Register of Shipping inte längre är ett godkänt klassificeringssällskap.</w:t>
      </w:r>
    </w:p>
    <w:p w14:paraId="401B30AE" w14:textId="156C2EDD" w:rsidR="0070348A" w:rsidRPr="00661001" w:rsidRDefault="002455A0">
      <w:pPr>
        <w:pStyle w:val="BodyText"/>
        <w:rPr>
          <w:lang w:val="sv-SE"/>
        </w:rPr>
      </w:pPr>
      <w:r>
        <w:rPr>
          <w:lang w:val="sv-FI"/>
        </w:rPr>
        <w:t xml:space="preserve">Dessutom skulle hänvisningen till Svenska Transportstyrelsens isklasser för Vänern strykas (tabell 15 i gällande föreskrift), eftersom dessa inte är isklasser som baserar sig på klassbeteckningar som utfärdats av ett godkänt klassificeringssällskap. </w:t>
      </w:r>
    </w:p>
    <w:p w14:paraId="3234AFAE" w14:textId="29AD1E68" w:rsidR="003759C2" w:rsidRPr="00661001" w:rsidRDefault="005806D2" w:rsidP="00B237F8">
      <w:pPr>
        <w:pStyle w:val="BodyText"/>
        <w:rPr>
          <w:lang w:val="sv-SE"/>
        </w:rPr>
      </w:pPr>
      <w:r>
        <w:rPr>
          <w:lang w:val="sv-FI"/>
        </w:rPr>
        <w:t>Polarklassbeteckningar för godkända klassificeringssällskap av den gemensamma internationella organisationen för klassificeringssällskap (International Association of Classification Societies, IACS) skulle strykas, eftersom dessa beteckningar inte uppfyller kraven i isklassföreskriften i fråga om maskineffekt. För fartyg med en polarklass kan en finsk isklass fastställas genom ansökningsförfarande i enlighet med avsnitt 3 i föreskriften.</w:t>
      </w:r>
    </w:p>
    <w:p w14:paraId="191C6957" w14:textId="18483E3C" w:rsidR="0069158A" w:rsidRPr="00661001" w:rsidRDefault="0069158A" w:rsidP="00F522EB">
      <w:pPr>
        <w:pStyle w:val="Heading2"/>
        <w:rPr>
          <w:lang w:val="sv-SE"/>
        </w:rPr>
      </w:pPr>
      <w:r>
        <w:rPr>
          <w:iCs w:val="0"/>
          <w:lang w:val="sv-FI"/>
        </w:rPr>
        <w:t>Ikraftträdandet av/tidtabellen för föreskriften</w:t>
      </w:r>
    </w:p>
    <w:p w14:paraId="62B87F6E" w14:textId="7CE65FB0" w:rsidR="00FF52BF" w:rsidRPr="00661001" w:rsidRDefault="007502E0" w:rsidP="00A147E6">
      <w:pPr>
        <w:pStyle w:val="BodyText"/>
        <w:rPr>
          <w:lang w:val="sv-SE"/>
        </w:rPr>
      </w:pPr>
      <w:r>
        <w:rPr>
          <w:lang w:val="sv-FI"/>
        </w:rPr>
        <w:t>Föreskriften bereds under 2023 och 2024. Avsikten är att föreskriften träder i kraft under hösten 2024.</w:t>
      </w:r>
    </w:p>
    <w:p w14:paraId="757BD4FA" w14:textId="0261D9C2" w:rsidR="00E957FF" w:rsidRPr="00661001" w:rsidRDefault="00E957FF" w:rsidP="00F522EB">
      <w:pPr>
        <w:pStyle w:val="Heading2"/>
        <w:rPr>
          <w:lang w:val="sv-SE"/>
        </w:rPr>
      </w:pPr>
      <w:r>
        <w:rPr>
          <w:iCs w:val="0"/>
          <w:lang w:val="sv-FI"/>
        </w:rPr>
        <w:lastRenderedPageBreak/>
        <w:t xml:space="preserve">Uppföljning </w:t>
      </w:r>
    </w:p>
    <w:p w14:paraId="47340452" w14:textId="5ED3CB93" w:rsidR="0069158A" w:rsidRPr="00661001" w:rsidRDefault="008A37FF">
      <w:pPr>
        <w:pStyle w:val="BodyText"/>
        <w:rPr>
          <w:b/>
          <w:lang w:val="sv-SE"/>
        </w:rPr>
      </w:pPr>
      <w:r>
        <w:rPr>
          <w:lang w:val="sv-FI"/>
        </w:rPr>
        <w:t xml:space="preserve">Ändringarna i godkända klassificeringssällskap och deras klassbeteckningar följs upp vid Transport- och kommunikationsverket. </w:t>
      </w:r>
      <w:r>
        <w:rPr>
          <w:rStyle w:val="BodyTextChar"/>
          <w:lang w:val="sv-FI"/>
        </w:rPr>
        <w:br/>
      </w:r>
    </w:p>
    <w:sectPr w:rsidR="0069158A" w:rsidRPr="00661001"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FEAE" w14:textId="77777777" w:rsidR="00814D38" w:rsidRDefault="00814D38" w:rsidP="00E578A9">
      <w:pPr>
        <w:spacing w:after="0" w:line="240" w:lineRule="auto"/>
      </w:pPr>
      <w:r>
        <w:separator/>
      </w:r>
    </w:p>
  </w:endnote>
  <w:endnote w:type="continuationSeparator" w:id="0">
    <w:p w14:paraId="35576033" w14:textId="77777777" w:rsidR="00814D38" w:rsidRDefault="00814D38" w:rsidP="00E578A9">
      <w:pPr>
        <w:spacing w:after="0" w:line="240" w:lineRule="auto"/>
      </w:pPr>
      <w:r>
        <w:continuationSeparator/>
      </w:r>
    </w:p>
  </w:endnote>
  <w:endnote w:type="continuationNotice" w:id="1">
    <w:p w14:paraId="005C0695" w14:textId="77777777" w:rsidR="00814D38" w:rsidRDefault="00814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6EB" w14:textId="3C7070D6" w:rsidR="00D20384" w:rsidRPr="00661001" w:rsidRDefault="00180DD1" w:rsidP="00DC6CDB">
    <w:pPr>
      <w:pStyle w:val="Footer"/>
      <w:tabs>
        <w:tab w:val="clear" w:pos="4819"/>
        <w:tab w:val="clear" w:pos="9638"/>
        <w:tab w:val="right" w:pos="9751"/>
      </w:tabs>
      <w:rPr>
        <w:lang w:val="sv-SE"/>
      </w:rPr>
    </w:pPr>
    <w:r>
      <w:rPr>
        <w:lang w:val="sv-FI"/>
      </w:rPr>
      <w:t xml:space="preserve">Transport- och kommunikationsverket Traficom • PB 320, 00059 TRAFICOM </w:t>
    </w:r>
    <w:r>
      <w:rPr>
        <w:lang w:val="sv-FI"/>
      </w:rPr>
      <w:br/>
      <w:t xml:space="preserve">tfn 029 534 5000 • FO-nummer 2924753-3 </w:t>
    </w:r>
    <w:r>
      <w:rPr>
        <w:lang w:val="sv-FI"/>
      </w:rPr>
      <w:ta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015" w14:textId="77777777" w:rsidR="009C54D8" w:rsidRPr="00661001" w:rsidRDefault="009342B5" w:rsidP="009342B5">
    <w:pPr>
      <w:pStyle w:val="Footer"/>
      <w:spacing w:line="276" w:lineRule="auto"/>
      <w:rPr>
        <w:lang w:val="sv-SE"/>
      </w:rPr>
    </w:pPr>
    <w:r>
      <w:rPr>
        <w:lang w:val="sv-FI"/>
      </w:rPr>
      <w:t>Transport- och kommunikationsverket Traficom • PB 320, 00059 TRAFICOM</w:t>
    </w:r>
  </w:p>
  <w:p w14:paraId="7166257F" w14:textId="77777777" w:rsidR="00E578A9" w:rsidRPr="009C54D8" w:rsidRDefault="009342B5" w:rsidP="00700414">
    <w:pPr>
      <w:pStyle w:val="Footer"/>
      <w:spacing w:line="276" w:lineRule="auto"/>
      <w:rPr>
        <w:b/>
      </w:rPr>
    </w:pPr>
    <w:r>
      <w:rPr>
        <w:lang w:val="sv-FI"/>
      </w:rPr>
      <w:t xml:space="preserve">tfn 029 534 5000 • FO-nummer </w:t>
    </w:r>
    <w:proofErr w:type="gramStart"/>
    <w:r>
      <w:rPr>
        <w:lang w:val="sv-FI"/>
      </w:rPr>
      <w:t>2924753-3</w:t>
    </w:r>
    <w:proofErr w:type="gramEnd"/>
    <w:r>
      <w:rPr>
        <w:lang w:val="sv-FI"/>
      </w:rPr>
      <w:tab/>
    </w:r>
    <w:r>
      <w:rPr>
        <w:lang w:val="sv-FI"/>
      </w:rPr>
      <w:tab/>
    </w:r>
    <w:r>
      <w:rPr>
        <w:b/>
        <w:bCs/>
        <w:lang w:val="sv-FI"/>
      </w:rPr>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B2FD" w14:textId="77777777" w:rsidR="00814D38" w:rsidRDefault="00814D38" w:rsidP="00E578A9">
      <w:pPr>
        <w:spacing w:after="0" w:line="240" w:lineRule="auto"/>
      </w:pPr>
      <w:r>
        <w:separator/>
      </w:r>
    </w:p>
  </w:footnote>
  <w:footnote w:type="continuationSeparator" w:id="0">
    <w:p w14:paraId="1B216962" w14:textId="77777777" w:rsidR="00814D38" w:rsidRDefault="00814D38" w:rsidP="00E578A9">
      <w:pPr>
        <w:spacing w:after="0" w:line="240" w:lineRule="auto"/>
      </w:pPr>
      <w:r>
        <w:continuationSeparator/>
      </w:r>
    </w:p>
  </w:footnote>
  <w:footnote w:type="continuationNotice" w:id="1">
    <w:p w14:paraId="5799E937" w14:textId="77777777" w:rsidR="00814D38" w:rsidRDefault="00814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100F" w14:textId="379A72B2"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r>
      <w:rPr>
        <w:rFonts w:eastAsia="Calibri" w:cs="Calibri"/>
        <w:noProof/>
        <w:lang w:val="sv-FI"/>
      </w:rPr>
      <w:drawing>
        <wp:anchor distT="0" distB="0" distL="114300" distR="114300" simplePos="0" relativeHeight="251658241" behindDoc="0" locked="0" layoutInCell="1" allowOverlap="1" wp14:anchorId="0CEA5310" wp14:editId="135BB2FD">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bCs/>
        <w:sz w:val="22"/>
        <w:lang w:val="sv-FI"/>
      </w:rPr>
      <w:t>Motiveringspromemoria</w:t>
    </w:r>
    <w:r>
      <w:rPr>
        <w:rFonts w:eastAsia="Calibri" w:cs="Calibri"/>
        <w:sz w:val="22"/>
        <w:lang w:val="sv-FI"/>
      </w:rPr>
      <w:tab/>
    </w:r>
    <w:r>
      <w:rPr>
        <w:rFonts w:eastAsia="Calibri" w:cs="Calibri"/>
        <w:sz w:val="18"/>
        <w:lang w:val="sv-FI"/>
      </w:rPr>
      <w:fldChar w:fldCharType="begin"/>
    </w:r>
    <w:r>
      <w:rPr>
        <w:rFonts w:eastAsia="Calibri" w:cs="Calibri"/>
        <w:sz w:val="18"/>
        <w:lang w:val="sv-FI"/>
      </w:rPr>
      <w:instrText xml:space="preserve"> PAGE </w:instrText>
    </w:r>
    <w:r>
      <w:rPr>
        <w:rFonts w:eastAsia="Calibri" w:cs="Calibri"/>
        <w:sz w:val="18"/>
        <w:lang w:val="sv-FI"/>
      </w:rPr>
      <w:fldChar w:fldCharType="separate"/>
    </w:r>
    <w:r>
      <w:rPr>
        <w:rFonts w:eastAsia="Calibri" w:cs="Calibri"/>
        <w:noProof/>
        <w:sz w:val="18"/>
        <w:lang w:val="sv-FI"/>
      </w:rPr>
      <w:t>1</w:t>
    </w:r>
    <w:r>
      <w:rPr>
        <w:rFonts w:eastAsia="Calibri" w:cs="Calibri"/>
        <w:sz w:val="18"/>
        <w:lang w:val="sv-FI"/>
      </w:rPr>
      <w:fldChar w:fldCharType="end"/>
    </w:r>
    <w:r>
      <w:rPr>
        <w:rFonts w:eastAsia="Calibri" w:cs="Calibri"/>
        <w:lang w:val="sv-FI"/>
      </w:rPr>
      <w:t xml:space="preserve"> (</w:t>
    </w:r>
    <w:r>
      <w:rPr>
        <w:rFonts w:eastAsia="Calibri" w:cs="Calibri"/>
        <w:sz w:val="18"/>
        <w:lang w:val="sv-FI"/>
      </w:rPr>
      <w:fldChar w:fldCharType="begin"/>
    </w:r>
    <w:r>
      <w:rPr>
        <w:rFonts w:eastAsia="Calibri" w:cs="Calibri"/>
        <w:sz w:val="18"/>
        <w:lang w:val="sv-FI"/>
      </w:rPr>
      <w:instrText xml:space="preserve"> NUMPAGES </w:instrText>
    </w:r>
    <w:r>
      <w:rPr>
        <w:rFonts w:eastAsia="Calibri" w:cs="Calibri"/>
        <w:sz w:val="18"/>
        <w:lang w:val="sv-FI"/>
      </w:rPr>
      <w:fldChar w:fldCharType="separate"/>
    </w:r>
    <w:r>
      <w:rPr>
        <w:rFonts w:eastAsia="Calibri" w:cs="Calibri"/>
        <w:noProof/>
        <w:sz w:val="18"/>
        <w:lang w:val="sv-FI"/>
      </w:rPr>
      <w:t>2</w:t>
    </w:r>
    <w:r>
      <w:rPr>
        <w:rFonts w:eastAsia="Calibri" w:cs="Calibri"/>
        <w:sz w:val="18"/>
        <w:lang w:val="sv-FI"/>
      </w:rPr>
      <w:fldChar w:fldCharType="end"/>
    </w:r>
    <w:r>
      <w:rPr>
        <w:rFonts w:eastAsia="Calibri" w:cs="Calibri"/>
        <w:lang w:val="sv-FI"/>
      </w:rPr>
      <w:t>)</w:t>
    </w:r>
  </w:p>
  <w:p w14:paraId="65DFD55B" w14:textId="5948EDAC" w:rsidR="00F522EB" w:rsidRPr="00A147E6" w:rsidRDefault="0029186F" w:rsidP="00DC6CDB">
    <w:pPr>
      <w:tabs>
        <w:tab w:val="center" w:pos="4819"/>
        <w:tab w:val="left" w:pos="5670"/>
        <w:tab w:val="right" w:pos="9638"/>
      </w:tabs>
      <w:spacing w:after="0" w:line="240" w:lineRule="auto"/>
      <w:ind w:left="851" w:firstLine="4252"/>
      <w:rPr>
        <w:rFonts w:eastAsia="Calibri" w:cs="Calibri"/>
        <w:color w:val="FF0000"/>
      </w:rPr>
    </w:pPr>
    <w:r>
      <w:rPr>
        <w:rFonts w:eastAsia="Calibri" w:cs="Calibri"/>
        <w:color w:val="FF0000"/>
        <w:lang w:val="sv-FI"/>
      </w:rPr>
      <w:t>UTKAST</w:t>
    </w:r>
  </w:p>
  <w:p w14:paraId="5708EFF4" w14:textId="7E35B84A" w:rsidR="00F522EB" w:rsidRDefault="00C321D6" w:rsidP="00DC6CDB">
    <w:pPr>
      <w:tabs>
        <w:tab w:val="center" w:pos="4819"/>
        <w:tab w:val="right" w:pos="9638"/>
      </w:tabs>
      <w:spacing w:after="0" w:line="240" w:lineRule="auto"/>
      <w:ind w:left="851" w:firstLine="4252"/>
      <w:rPr>
        <w:rFonts w:eastAsia="Calibri" w:cs="Calibri"/>
        <w:szCs w:val="20"/>
      </w:rPr>
    </w:pPr>
    <w:r>
      <w:rPr>
        <w:szCs w:val="20"/>
        <w:lang w:val="sv-FI"/>
      </w:rPr>
      <w:t>Dnr TRAFICOM/281964/03.04.01.00/2023</w:t>
    </w:r>
  </w:p>
  <w:p w14:paraId="2EF96185"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6EA58E40"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Header"/>
            <w:tabs>
              <w:tab w:val="clear" w:pos="4819"/>
              <w:tab w:val="clear" w:pos="9638"/>
            </w:tabs>
          </w:pPr>
          <w:r>
            <w:rPr>
              <w:noProof/>
              <w:lang w:val="sv-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Header"/>
            <w:tabs>
              <w:tab w:val="clear" w:pos="4819"/>
              <w:tab w:val="clear" w:pos="9638"/>
            </w:tabs>
            <w:spacing w:line="240" w:lineRule="exact"/>
            <w:jc w:val="right"/>
          </w:pPr>
          <w:r>
            <w:rPr>
              <w:b/>
              <w:bCs/>
              <w:lang w:val="sv-FI"/>
            </w:rPr>
            <w:t>Motiveringspromemoria</w:t>
          </w:r>
        </w:p>
        <w:p w14:paraId="348783D2" w14:textId="4E8E2AA0" w:rsidR="00E578A9" w:rsidRDefault="00E578A9" w:rsidP="00E578A9">
          <w:pPr>
            <w:pStyle w:val="Header"/>
            <w:jc w:val="right"/>
          </w:pPr>
          <w:r>
            <w:rPr>
              <w:rStyle w:val="PageNumber"/>
              <w:lang w:val="sv-FI"/>
            </w:rPr>
            <w:fldChar w:fldCharType="begin"/>
          </w:r>
          <w:r>
            <w:rPr>
              <w:rStyle w:val="PageNumber"/>
              <w:lang w:val="sv-FI"/>
            </w:rPr>
            <w:instrText xml:space="preserve"> PAGE </w:instrText>
          </w:r>
          <w:r>
            <w:rPr>
              <w:rStyle w:val="PageNumber"/>
              <w:lang w:val="sv-FI"/>
            </w:rPr>
            <w:fldChar w:fldCharType="separate"/>
          </w:r>
          <w:r>
            <w:rPr>
              <w:rStyle w:val="PageNumber"/>
              <w:noProof/>
              <w:lang w:val="sv-FI"/>
            </w:rPr>
            <w:t>1</w:t>
          </w:r>
          <w:r>
            <w:rPr>
              <w:rStyle w:val="PageNumber"/>
              <w:lang w:val="sv-FI"/>
            </w:rPr>
            <w:fldChar w:fldCharType="end"/>
          </w:r>
          <w:r>
            <w:rPr>
              <w:lang w:val="sv-FI"/>
            </w:rPr>
            <w:t xml:space="preserve"> (</w:t>
          </w:r>
          <w:r>
            <w:rPr>
              <w:rStyle w:val="PageNumber"/>
              <w:lang w:val="sv-FI"/>
            </w:rPr>
            <w:fldChar w:fldCharType="begin"/>
          </w:r>
          <w:r>
            <w:rPr>
              <w:rStyle w:val="PageNumber"/>
              <w:lang w:val="sv-FI"/>
            </w:rPr>
            <w:instrText xml:space="preserve"> NUMPAGES </w:instrText>
          </w:r>
          <w:r>
            <w:rPr>
              <w:rStyle w:val="PageNumber"/>
              <w:lang w:val="sv-FI"/>
            </w:rPr>
            <w:fldChar w:fldCharType="separate"/>
          </w:r>
          <w:r>
            <w:rPr>
              <w:rStyle w:val="PageNumber"/>
              <w:noProof/>
              <w:lang w:val="sv-FI"/>
            </w:rPr>
            <w:t>4</w:t>
          </w:r>
          <w:r>
            <w:rPr>
              <w:rStyle w:val="PageNumber"/>
              <w:lang w:val="sv-FI"/>
            </w:rPr>
            <w:fldChar w:fldCharType="end"/>
          </w:r>
          <w:r>
            <w:rPr>
              <w:lang w:val="sv-FI"/>
            </w:rP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Header"/>
            <w:jc w:val="right"/>
          </w:pPr>
          <w:r>
            <w:rPr>
              <w:lang w:val="sv-FI"/>
            </w:rPr>
            <w:fldChar w:fldCharType="begin"/>
          </w:r>
          <w:r>
            <w:rPr>
              <w:lang w:val="sv-FI"/>
            </w:rPr>
            <w:instrText xml:space="preserve"> MACROBUTTON AdditionalActions [tid för uppgörande]</w:instrText>
          </w:r>
          <w:r>
            <w:rPr>
              <w:lang w:val="sv-FI"/>
            </w:rP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Header"/>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Header"/>
          </w:pPr>
        </w:p>
      </w:tc>
      <w:tc>
        <w:tcPr>
          <w:tcW w:w="2407" w:type="dxa"/>
          <w:shd w:val="clear" w:color="auto" w:fill="auto"/>
          <w:tcMar>
            <w:right w:w="0" w:type="dxa"/>
          </w:tcMar>
        </w:tcPr>
        <w:p w14:paraId="0ADBAD3E" w14:textId="77777777" w:rsidR="00E578A9" w:rsidRDefault="00E578A9" w:rsidP="00E578A9">
          <w:pPr>
            <w:pStyle w:val="Header"/>
            <w:tabs>
              <w:tab w:val="clear" w:pos="4819"/>
              <w:tab w:val="clear" w:pos="9638"/>
            </w:tabs>
          </w:pPr>
        </w:p>
      </w:tc>
      <w:tc>
        <w:tcPr>
          <w:tcW w:w="2555" w:type="dxa"/>
          <w:shd w:val="clear" w:color="auto" w:fill="auto"/>
        </w:tcPr>
        <w:p w14:paraId="2891E038" w14:textId="77777777" w:rsidR="00E578A9" w:rsidRDefault="00E578A9" w:rsidP="00E578A9">
          <w:pPr>
            <w:pStyle w:val="Header"/>
            <w:tabs>
              <w:tab w:val="clear" w:pos="4819"/>
              <w:tab w:val="clear" w:pos="9638"/>
            </w:tabs>
          </w:pPr>
        </w:p>
      </w:tc>
    </w:tr>
  </w:tbl>
  <w:p w14:paraId="40E63C6D"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9CFE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E533DB5"/>
    <w:multiLevelType w:val="hybridMultilevel"/>
    <w:tmpl w:val="27A0B0C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3" w15:restartNumberingAfterBreak="0">
    <w:nsid w:val="1A6255BC"/>
    <w:multiLevelType w:val="hybridMultilevel"/>
    <w:tmpl w:val="BC2A0CF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4"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2D455A9A"/>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8"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9"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20" w15:restartNumberingAfterBreak="0">
    <w:nsid w:val="517960C6"/>
    <w:multiLevelType w:val="hybridMultilevel"/>
    <w:tmpl w:val="0EE23FDC"/>
    <w:lvl w:ilvl="0" w:tplc="713C8104">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21"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4"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abstractNum w:abstractNumId="25" w15:restartNumberingAfterBreak="0">
    <w:nsid w:val="755F0CB4"/>
    <w:multiLevelType w:val="hybridMultilevel"/>
    <w:tmpl w:val="E20687B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AD04EC7"/>
    <w:multiLevelType w:val="hybridMultilevel"/>
    <w:tmpl w:val="C57838E8"/>
    <w:lvl w:ilvl="0" w:tplc="C3DA2A36">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5"/>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num>
  <w:num w:numId="19">
    <w:abstractNumId w:val="16"/>
  </w:num>
  <w:num w:numId="20">
    <w:abstractNumId w:val="24"/>
  </w:num>
  <w:num w:numId="21">
    <w:abstractNumId w:val="11"/>
  </w:num>
  <w:num w:numId="22">
    <w:abstractNumId w:val="20"/>
  </w:num>
  <w:num w:numId="23">
    <w:abstractNumId w:val="12"/>
  </w:num>
  <w:num w:numId="24">
    <w:abstractNumId w:val="25"/>
  </w:num>
  <w:num w:numId="25">
    <w:abstractNumId w:val="17"/>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1304"/>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3862"/>
    <w:rsid w:val="00006247"/>
    <w:rsid w:val="000145B2"/>
    <w:rsid w:val="0003274D"/>
    <w:rsid w:val="00037014"/>
    <w:rsid w:val="00040385"/>
    <w:rsid w:val="00052E98"/>
    <w:rsid w:val="00065434"/>
    <w:rsid w:val="000669D2"/>
    <w:rsid w:val="00067567"/>
    <w:rsid w:val="0007230E"/>
    <w:rsid w:val="000A63F6"/>
    <w:rsid w:val="000A6D6E"/>
    <w:rsid w:val="000A7D96"/>
    <w:rsid w:val="000B2127"/>
    <w:rsid w:val="000B6D65"/>
    <w:rsid w:val="000C6F8E"/>
    <w:rsid w:val="000D279D"/>
    <w:rsid w:val="000D34DC"/>
    <w:rsid w:val="000D3BF7"/>
    <w:rsid w:val="000D415D"/>
    <w:rsid w:val="000D6B04"/>
    <w:rsid w:val="000E36FF"/>
    <w:rsid w:val="000E464D"/>
    <w:rsid w:val="000E5A24"/>
    <w:rsid w:val="000E7EE4"/>
    <w:rsid w:val="000F092B"/>
    <w:rsid w:val="000F0BC5"/>
    <w:rsid w:val="000F59B8"/>
    <w:rsid w:val="00105222"/>
    <w:rsid w:val="00107BBD"/>
    <w:rsid w:val="00117DB7"/>
    <w:rsid w:val="001263AE"/>
    <w:rsid w:val="00135E93"/>
    <w:rsid w:val="0014493A"/>
    <w:rsid w:val="001518D4"/>
    <w:rsid w:val="00151C1A"/>
    <w:rsid w:val="00154290"/>
    <w:rsid w:val="001637D4"/>
    <w:rsid w:val="00172057"/>
    <w:rsid w:val="00176DF7"/>
    <w:rsid w:val="00180728"/>
    <w:rsid w:val="00180DD1"/>
    <w:rsid w:val="0018566F"/>
    <w:rsid w:val="00191A01"/>
    <w:rsid w:val="001925EB"/>
    <w:rsid w:val="00193E68"/>
    <w:rsid w:val="0019545D"/>
    <w:rsid w:val="001A75C8"/>
    <w:rsid w:val="001B0D80"/>
    <w:rsid w:val="001B3D26"/>
    <w:rsid w:val="001C2141"/>
    <w:rsid w:val="001D6FD0"/>
    <w:rsid w:val="001E115F"/>
    <w:rsid w:val="001E5D5A"/>
    <w:rsid w:val="00200AF0"/>
    <w:rsid w:val="002014E8"/>
    <w:rsid w:val="0022655F"/>
    <w:rsid w:val="0023463E"/>
    <w:rsid w:val="002360C7"/>
    <w:rsid w:val="00236D44"/>
    <w:rsid w:val="00240B2E"/>
    <w:rsid w:val="002424D7"/>
    <w:rsid w:val="002455A0"/>
    <w:rsid w:val="00246B7D"/>
    <w:rsid w:val="0025077C"/>
    <w:rsid w:val="002519F0"/>
    <w:rsid w:val="0025542D"/>
    <w:rsid w:val="00257A29"/>
    <w:rsid w:val="00260669"/>
    <w:rsid w:val="00274C22"/>
    <w:rsid w:val="00276F41"/>
    <w:rsid w:val="002770ED"/>
    <w:rsid w:val="0029186F"/>
    <w:rsid w:val="00291A23"/>
    <w:rsid w:val="00292F4C"/>
    <w:rsid w:val="00295456"/>
    <w:rsid w:val="002A00BA"/>
    <w:rsid w:val="002A1CE8"/>
    <w:rsid w:val="002A3FA9"/>
    <w:rsid w:val="002A7AE8"/>
    <w:rsid w:val="002B1BA8"/>
    <w:rsid w:val="002B60C9"/>
    <w:rsid w:val="002C3FBE"/>
    <w:rsid w:val="002C572D"/>
    <w:rsid w:val="002E11E6"/>
    <w:rsid w:val="002F2CBC"/>
    <w:rsid w:val="00305134"/>
    <w:rsid w:val="003052C4"/>
    <w:rsid w:val="003058E0"/>
    <w:rsid w:val="00327986"/>
    <w:rsid w:val="0033292A"/>
    <w:rsid w:val="00342297"/>
    <w:rsid w:val="00343112"/>
    <w:rsid w:val="003471B0"/>
    <w:rsid w:val="0035154A"/>
    <w:rsid w:val="003564A3"/>
    <w:rsid w:val="003612B7"/>
    <w:rsid w:val="003643CB"/>
    <w:rsid w:val="00365E27"/>
    <w:rsid w:val="003759C2"/>
    <w:rsid w:val="00376954"/>
    <w:rsid w:val="0038174B"/>
    <w:rsid w:val="003920E4"/>
    <w:rsid w:val="003B15BD"/>
    <w:rsid w:val="003B424F"/>
    <w:rsid w:val="003B4900"/>
    <w:rsid w:val="003C5F3C"/>
    <w:rsid w:val="003C6C82"/>
    <w:rsid w:val="003C769A"/>
    <w:rsid w:val="003D14A5"/>
    <w:rsid w:val="003E4647"/>
    <w:rsid w:val="003E5D3B"/>
    <w:rsid w:val="003F4D43"/>
    <w:rsid w:val="003F7968"/>
    <w:rsid w:val="0040546B"/>
    <w:rsid w:val="00410C88"/>
    <w:rsid w:val="004249B9"/>
    <w:rsid w:val="004315B6"/>
    <w:rsid w:val="00432F6F"/>
    <w:rsid w:val="00440CFA"/>
    <w:rsid w:val="00445A64"/>
    <w:rsid w:val="00450029"/>
    <w:rsid w:val="00480918"/>
    <w:rsid w:val="00484ED6"/>
    <w:rsid w:val="004B12C5"/>
    <w:rsid w:val="004C03FB"/>
    <w:rsid w:val="004D274E"/>
    <w:rsid w:val="004D4088"/>
    <w:rsid w:val="004D5A73"/>
    <w:rsid w:val="004D64E8"/>
    <w:rsid w:val="004D6C19"/>
    <w:rsid w:val="004D6E61"/>
    <w:rsid w:val="004E278E"/>
    <w:rsid w:val="004E5516"/>
    <w:rsid w:val="004E797F"/>
    <w:rsid w:val="004F00A5"/>
    <w:rsid w:val="004F1D9D"/>
    <w:rsid w:val="004F6CDB"/>
    <w:rsid w:val="0050058D"/>
    <w:rsid w:val="005008A4"/>
    <w:rsid w:val="005025B0"/>
    <w:rsid w:val="005052AE"/>
    <w:rsid w:val="00505ADE"/>
    <w:rsid w:val="00514864"/>
    <w:rsid w:val="00522DD9"/>
    <w:rsid w:val="005555B6"/>
    <w:rsid w:val="00561B66"/>
    <w:rsid w:val="00566159"/>
    <w:rsid w:val="005662BD"/>
    <w:rsid w:val="00570B4D"/>
    <w:rsid w:val="00574E2E"/>
    <w:rsid w:val="00577AD3"/>
    <w:rsid w:val="005805E5"/>
    <w:rsid w:val="005806D2"/>
    <w:rsid w:val="0058126F"/>
    <w:rsid w:val="00585EC6"/>
    <w:rsid w:val="0058608C"/>
    <w:rsid w:val="005956EC"/>
    <w:rsid w:val="005958C5"/>
    <w:rsid w:val="005C3C90"/>
    <w:rsid w:val="005C5F67"/>
    <w:rsid w:val="005D3830"/>
    <w:rsid w:val="005E14FF"/>
    <w:rsid w:val="005E4BD5"/>
    <w:rsid w:val="005F2987"/>
    <w:rsid w:val="00600198"/>
    <w:rsid w:val="00610418"/>
    <w:rsid w:val="00612976"/>
    <w:rsid w:val="0061473E"/>
    <w:rsid w:val="006216E0"/>
    <w:rsid w:val="00624D29"/>
    <w:rsid w:val="006304F7"/>
    <w:rsid w:val="00645881"/>
    <w:rsid w:val="00650E61"/>
    <w:rsid w:val="006519FE"/>
    <w:rsid w:val="0065789D"/>
    <w:rsid w:val="00661001"/>
    <w:rsid w:val="00662722"/>
    <w:rsid w:val="00662C12"/>
    <w:rsid w:val="0067115F"/>
    <w:rsid w:val="006728BE"/>
    <w:rsid w:val="006751DB"/>
    <w:rsid w:val="00675A61"/>
    <w:rsid w:val="00675B6C"/>
    <w:rsid w:val="006800DC"/>
    <w:rsid w:val="00682A5E"/>
    <w:rsid w:val="006862D6"/>
    <w:rsid w:val="0069158A"/>
    <w:rsid w:val="006919E4"/>
    <w:rsid w:val="00695FA0"/>
    <w:rsid w:val="006A580D"/>
    <w:rsid w:val="006A7C23"/>
    <w:rsid w:val="006B04B8"/>
    <w:rsid w:val="006C4017"/>
    <w:rsid w:val="006D4D03"/>
    <w:rsid w:val="006D63FC"/>
    <w:rsid w:val="006D7B5F"/>
    <w:rsid w:val="006E041A"/>
    <w:rsid w:val="006E4AFF"/>
    <w:rsid w:val="006E6E54"/>
    <w:rsid w:val="006F1655"/>
    <w:rsid w:val="006F726F"/>
    <w:rsid w:val="00700414"/>
    <w:rsid w:val="0070348A"/>
    <w:rsid w:val="00703AA2"/>
    <w:rsid w:val="00707D96"/>
    <w:rsid w:val="00711BE0"/>
    <w:rsid w:val="007240DE"/>
    <w:rsid w:val="007250E7"/>
    <w:rsid w:val="0073196F"/>
    <w:rsid w:val="00733B72"/>
    <w:rsid w:val="00733EDC"/>
    <w:rsid w:val="007419B1"/>
    <w:rsid w:val="00744E2E"/>
    <w:rsid w:val="007502E0"/>
    <w:rsid w:val="0075132B"/>
    <w:rsid w:val="007522A5"/>
    <w:rsid w:val="00754C0B"/>
    <w:rsid w:val="0075578C"/>
    <w:rsid w:val="007578C6"/>
    <w:rsid w:val="00762C09"/>
    <w:rsid w:val="00765E77"/>
    <w:rsid w:val="00775018"/>
    <w:rsid w:val="007756AB"/>
    <w:rsid w:val="00785F7A"/>
    <w:rsid w:val="00793985"/>
    <w:rsid w:val="00797AD1"/>
    <w:rsid w:val="007A084E"/>
    <w:rsid w:val="007B4C5E"/>
    <w:rsid w:val="007C75EB"/>
    <w:rsid w:val="007D2BF7"/>
    <w:rsid w:val="007E3E6D"/>
    <w:rsid w:val="007E5CFB"/>
    <w:rsid w:val="00802074"/>
    <w:rsid w:val="00813209"/>
    <w:rsid w:val="00814D38"/>
    <w:rsid w:val="00815BC7"/>
    <w:rsid w:val="00833AD7"/>
    <w:rsid w:val="00835E18"/>
    <w:rsid w:val="00840AB5"/>
    <w:rsid w:val="00846C47"/>
    <w:rsid w:val="00853B24"/>
    <w:rsid w:val="00860C7D"/>
    <w:rsid w:val="00862BC1"/>
    <w:rsid w:val="00870D14"/>
    <w:rsid w:val="00873C8A"/>
    <w:rsid w:val="008747C5"/>
    <w:rsid w:val="00891071"/>
    <w:rsid w:val="00892F1A"/>
    <w:rsid w:val="008979A1"/>
    <w:rsid w:val="008A1881"/>
    <w:rsid w:val="008A37FF"/>
    <w:rsid w:val="008A68F1"/>
    <w:rsid w:val="008B2B2A"/>
    <w:rsid w:val="008B49DA"/>
    <w:rsid w:val="008D0758"/>
    <w:rsid w:val="008E5E56"/>
    <w:rsid w:val="008F09DC"/>
    <w:rsid w:val="008F1700"/>
    <w:rsid w:val="00900E21"/>
    <w:rsid w:val="00903577"/>
    <w:rsid w:val="00904AEF"/>
    <w:rsid w:val="0090792E"/>
    <w:rsid w:val="00911527"/>
    <w:rsid w:val="00927798"/>
    <w:rsid w:val="00933B4D"/>
    <w:rsid w:val="009342B5"/>
    <w:rsid w:val="00947139"/>
    <w:rsid w:val="0096164B"/>
    <w:rsid w:val="00963F16"/>
    <w:rsid w:val="00970675"/>
    <w:rsid w:val="00980B5B"/>
    <w:rsid w:val="009829CC"/>
    <w:rsid w:val="009852AF"/>
    <w:rsid w:val="009955E7"/>
    <w:rsid w:val="009A0043"/>
    <w:rsid w:val="009A7949"/>
    <w:rsid w:val="009C0E4B"/>
    <w:rsid w:val="009C455D"/>
    <w:rsid w:val="009C4D05"/>
    <w:rsid w:val="009C5068"/>
    <w:rsid w:val="009C51D5"/>
    <w:rsid w:val="009C54D8"/>
    <w:rsid w:val="009C575F"/>
    <w:rsid w:val="009D3874"/>
    <w:rsid w:val="009E20D6"/>
    <w:rsid w:val="009E3CD0"/>
    <w:rsid w:val="009E7AFC"/>
    <w:rsid w:val="009E7D85"/>
    <w:rsid w:val="009F1F89"/>
    <w:rsid w:val="009F3716"/>
    <w:rsid w:val="00A00CD3"/>
    <w:rsid w:val="00A147E6"/>
    <w:rsid w:val="00A31A85"/>
    <w:rsid w:val="00A35996"/>
    <w:rsid w:val="00A35B71"/>
    <w:rsid w:val="00A41D8D"/>
    <w:rsid w:val="00A51421"/>
    <w:rsid w:val="00A55C33"/>
    <w:rsid w:val="00A577D0"/>
    <w:rsid w:val="00A720FE"/>
    <w:rsid w:val="00A8018E"/>
    <w:rsid w:val="00A8534B"/>
    <w:rsid w:val="00A87A92"/>
    <w:rsid w:val="00A91453"/>
    <w:rsid w:val="00AA31A5"/>
    <w:rsid w:val="00AB1593"/>
    <w:rsid w:val="00AB3E6D"/>
    <w:rsid w:val="00AC10BB"/>
    <w:rsid w:val="00AC21C3"/>
    <w:rsid w:val="00AC75FF"/>
    <w:rsid w:val="00AD09E4"/>
    <w:rsid w:val="00AE5B0B"/>
    <w:rsid w:val="00AF2F19"/>
    <w:rsid w:val="00AF6C84"/>
    <w:rsid w:val="00B00F90"/>
    <w:rsid w:val="00B023B7"/>
    <w:rsid w:val="00B17E1F"/>
    <w:rsid w:val="00B232A5"/>
    <w:rsid w:val="00B237F8"/>
    <w:rsid w:val="00B273C3"/>
    <w:rsid w:val="00B31B20"/>
    <w:rsid w:val="00B31ED1"/>
    <w:rsid w:val="00B37887"/>
    <w:rsid w:val="00B441FE"/>
    <w:rsid w:val="00B459AE"/>
    <w:rsid w:val="00B5008D"/>
    <w:rsid w:val="00B5277D"/>
    <w:rsid w:val="00B55E41"/>
    <w:rsid w:val="00B60BD7"/>
    <w:rsid w:val="00B66871"/>
    <w:rsid w:val="00B67FE4"/>
    <w:rsid w:val="00B83532"/>
    <w:rsid w:val="00B84205"/>
    <w:rsid w:val="00B93472"/>
    <w:rsid w:val="00B9582C"/>
    <w:rsid w:val="00BA3ABF"/>
    <w:rsid w:val="00BB6430"/>
    <w:rsid w:val="00BC4E91"/>
    <w:rsid w:val="00BD0CE9"/>
    <w:rsid w:val="00BD0F58"/>
    <w:rsid w:val="00BE77BB"/>
    <w:rsid w:val="00BE7FCF"/>
    <w:rsid w:val="00BF22C6"/>
    <w:rsid w:val="00C02637"/>
    <w:rsid w:val="00C04ADA"/>
    <w:rsid w:val="00C07270"/>
    <w:rsid w:val="00C11398"/>
    <w:rsid w:val="00C14B65"/>
    <w:rsid w:val="00C16269"/>
    <w:rsid w:val="00C1638E"/>
    <w:rsid w:val="00C17F18"/>
    <w:rsid w:val="00C2375D"/>
    <w:rsid w:val="00C321D6"/>
    <w:rsid w:val="00C5085F"/>
    <w:rsid w:val="00C6043D"/>
    <w:rsid w:val="00C71E92"/>
    <w:rsid w:val="00C80296"/>
    <w:rsid w:val="00C81B96"/>
    <w:rsid w:val="00C83358"/>
    <w:rsid w:val="00C87565"/>
    <w:rsid w:val="00C95F03"/>
    <w:rsid w:val="00C9676D"/>
    <w:rsid w:val="00CA3398"/>
    <w:rsid w:val="00CA6E6F"/>
    <w:rsid w:val="00CA78B3"/>
    <w:rsid w:val="00CB6E3D"/>
    <w:rsid w:val="00CB735F"/>
    <w:rsid w:val="00CC23E3"/>
    <w:rsid w:val="00CC338B"/>
    <w:rsid w:val="00CD01DE"/>
    <w:rsid w:val="00CD0FED"/>
    <w:rsid w:val="00CE06C8"/>
    <w:rsid w:val="00CE57E6"/>
    <w:rsid w:val="00CF1ED1"/>
    <w:rsid w:val="00CF7820"/>
    <w:rsid w:val="00D03DD5"/>
    <w:rsid w:val="00D07446"/>
    <w:rsid w:val="00D105C3"/>
    <w:rsid w:val="00D15725"/>
    <w:rsid w:val="00D20384"/>
    <w:rsid w:val="00D207C8"/>
    <w:rsid w:val="00D2118C"/>
    <w:rsid w:val="00D22A7B"/>
    <w:rsid w:val="00D27847"/>
    <w:rsid w:val="00D419E1"/>
    <w:rsid w:val="00D41C44"/>
    <w:rsid w:val="00D44CFD"/>
    <w:rsid w:val="00D47080"/>
    <w:rsid w:val="00D64B6C"/>
    <w:rsid w:val="00D72698"/>
    <w:rsid w:val="00D760A7"/>
    <w:rsid w:val="00D765C2"/>
    <w:rsid w:val="00D77243"/>
    <w:rsid w:val="00D778EB"/>
    <w:rsid w:val="00DA23A6"/>
    <w:rsid w:val="00DB507E"/>
    <w:rsid w:val="00DC3726"/>
    <w:rsid w:val="00DC6CDB"/>
    <w:rsid w:val="00DD02FB"/>
    <w:rsid w:val="00DD1B38"/>
    <w:rsid w:val="00DD4257"/>
    <w:rsid w:val="00DE1862"/>
    <w:rsid w:val="00DE1F22"/>
    <w:rsid w:val="00DE3928"/>
    <w:rsid w:val="00DF26C4"/>
    <w:rsid w:val="00DF56FF"/>
    <w:rsid w:val="00E03152"/>
    <w:rsid w:val="00E0427C"/>
    <w:rsid w:val="00E06344"/>
    <w:rsid w:val="00E07EA1"/>
    <w:rsid w:val="00E174A8"/>
    <w:rsid w:val="00E2066A"/>
    <w:rsid w:val="00E22580"/>
    <w:rsid w:val="00E23EE0"/>
    <w:rsid w:val="00E24CB2"/>
    <w:rsid w:val="00E27588"/>
    <w:rsid w:val="00E30481"/>
    <w:rsid w:val="00E3177A"/>
    <w:rsid w:val="00E345C7"/>
    <w:rsid w:val="00E3546D"/>
    <w:rsid w:val="00E37545"/>
    <w:rsid w:val="00E46667"/>
    <w:rsid w:val="00E578A9"/>
    <w:rsid w:val="00E62D57"/>
    <w:rsid w:val="00E6533A"/>
    <w:rsid w:val="00E71CB0"/>
    <w:rsid w:val="00E859FC"/>
    <w:rsid w:val="00E9065A"/>
    <w:rsid w:val="00E957FF"/>
    <w:rsid w:val="00EA7175"/>
    <w:rsid w:val="00EC0D3B"/>
    <w:rsid w:val="00EC51F2"/>
    <w:rsid w:val="00ED072D"/>
    <w:rsid w:val="00ED12BB"/>
    <w:rsid w:val="00ED55DC"/>
    <w:rsid w:val="00ED7692"/>
    <w:rsid w:val="00EE06C3"/>
    <w:rsid w:val="00EE5D18"/>
    <w:rsid w:val="00EF6389"/>
    <w:rsid w:val="00F13F6B"/>
    <w:rsid w:val="00F23D60"/>
    <w:rsid w:val="00F26679"/>
    <w:rsid w:val="00F31714"/>
    <w:rsid w:val="00F43F95"/>
    <w:rsid w:val="00F44191"/>
    <w:rsid w:val="00F47CC4"/>
    <w:rsid w:val="00F522EB"/>
    <w:rsid w:val="00F54F89"/>
    <w:rsid w:val="00F60C7D"/>
    <w:rsid w:val="00F72423"/>
    <w:rsid w:val="00F74EC8"/>
    <w:rsid w:val="00F75BC4"/>
    <w:rsid w:val="00FA160F"/>
    <w:rsid w:val="00FA1C77"/>
    <w:rsid w:val="00FB209A"/>
    <w:rsid w:val="00FB5847"/>
    <w:rsid w:val="00FC1D0E"/>
    <w:rsid w:val="00FC317C"/>
    <w:rsid w:val="00FC602F"/>
    <w:rsid w:val="00FD0D14"/>
    <w:rsid w:val="00FD425F"/>
    <w:rsid w:val="00FD5A76"/>
    <w:rsid w:val="00FF0360"/>
    <w:rsid w:val="00FF0C44"/>
    <w:rsid w:val="00FF52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2CA652"/>
  <w15:chartTrackingRefBased/>
  <w15:docId w15:val="{36C451DD-ED7C-4F5C-9604-76E53DC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0AEB2"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unhideWhenUsed/>
    <w:rsid w:val="00B60BD7"/>
    <w:pPr>
      <w:spacing w:line="240" w:lineRule="auto"/>
    </w:pPr>
    <w:rPr>
      <w:szCs w:val="20"/>
    </w:rPr>
  </w:style>
  <w:style w:type="character" w:customStyle="1" w:styleId="CommentTextChar">
    <w:name w:val="Comment Text Char"/>
    <w:basedOn w:val="DefaultParagraphFont"/>
    <w:link w:val="CommentText"/>
    <w:uiPriority w:val="99"/>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istBullet">
    <w:name w:val="List Bullet"/>
    <w:basedOn w:val="Normal"/>
    <w:uiPriority w:val="99"/>
    <w:unhideWhenUsed/>
    <w:rsid w:val="0029186F"/>
    <w:pPr>
      <w:numPr>
        <w:numId w:val="3"/>
      </w:numPr>
      <w:contextualSpacing/>
    </w:pPr>
  </w:style>
  <w:style w:type="paragraph" w:customStyle="1" w:styleId="Liiteotsikko">
    <w:name w:val="Liiteotsikko"/>
    <w:basedOn w:val="Normal"/>
    <w:link w:val="LiiteotsikkoChar"/>
    <w:qFormat/>
    <w:rsid w:val="00775018"/>
    <w:pPr>
      <w:numPr>
        <w:numId w:val="26"/>
      </w:numPr>
      <w:tabs>
        <w:tab w:val="left" w:pos="993"/>
      </w:tabs>
      <w:spacing w:before="120" w:after="120" w:line="240" w:lineRule="auto"/>
      <w:ind w:left="993" w:hanging="993"/>
    </w:pPr>
    <w:rPr>
      <w:rFonts w:eastAsia="Times New Roman" w:cs="Times New Roman"/>
      <w:b/>
      <w:szCs w:val="24"/>
      <w:lang w:eastAsia="fi-FI"/>
    </w:rPr>
  </w:style>
  <w:style w:type="character" w:customStyle="1" w:styleId="LiiteotsikkoChar">
    <w:name w:val="Liiteotsikko Char"/>
    <w:basedOn w:val="DefaultParagraphFont"/>
    <w:link w:val="Liiteotsikko"/>
    <w:rsid w:val="00775018"/>
    <w:rPr>
      <w:rFonts w:ascii="Verdana" w:eastAsia="Times New Roman" w:hAnsi="Verdana" w:cs="Times New Roman"/>
      <w:b/>
      <w:sz w:val="20"/>
      <w:szCs w:val="24"/>
      <w:lang w:eastAsia="fi-FI"/>
    </w:rPr>
  </w:style>
  <w:style w:type="table" w:styleId="TableGrid">
    <w:name w:val="Table Grid"/>
    <w:basedOn w:val="TableNormal"/>
    <w:uiPriority w:val="39"/>
    <w:rsid w:val="0077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75F"/>
    <w:pPr>
      <w:spacing w:after="0" w:line="240" w:lineRule="auto"/>
    </w:pPr>
    <w:rPr>
      <w:rFonts w:ascii="Verdana" w:hAnsi="Verdana"/>
      <w:sz w:val="20"/>
    </w:rPr>
  </w:style>
  <w:style w:type="character" w:styleId="UnresolvedMention">
    <w:name w:val="Unresolved Mention"/>
    <w:basedOn w:val="DefaultParagraphFont"/>
    <w:uiPriority w:val="99"/>
    <w:semiHidden/>
    <w:unhideWhenUsed/>
    <w:rsid w:val="000F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2197">
      <w:bodyDiv w:val="1"/>
      <w:marLeft w:val="0"/>
      <w:marRight w:val="0"/>
      <w:marTop w:val="0"/>
      <w:marBottom w:val="0"/>
      <w:divBdr>
        <w:top w:val="none" w:sz="0" w:space="0" w:color="auto"/>
        <w:left w:val="none" w:sz="0" w:space="0" w:color="auto"/>
        <w:bottom w:val="none" w:sz="0" w:space="0" w:color="auto"/>
        <w:right w:val="none" w:sz="0" w:space="0" w:color="auto"/>
      </w:divBdr>
    </w:div>
    <w:div w:id="566301475">
      <w:bodyDiv w:val="1"/>
      <w:marLeft w:val="0"/>
      <w:marRight w:val="0"/>
      <w:marTop w:val="0"/>
      <w:marBottom w:val="0"/>
      <w:divBdr>
        <w:top w:val="none" w:sz="0" w:space="0" w:color="auto"/>
        <w:left w:val="none" w:sz="0" w:space="0" w:color="auto"/>
        <w:bottom w:val="none" w:sz="0" w:space="0" w:color="auto"/>
        <w:right w:val="none" w:sz="0" w:space="0" w:color="auto"/>
      </w:divBdr>
    </w:div>
    <w:div w:id="907418053">
      <w:bodyDiv w:val="1"/>
      <w:marLeft w:val="0"/>
      <w:marRight w:val="0"/>
      <w:marTop w:val="0"/>
      <w:marBottom w:val="0"/>
      <w:divBdr>
        <w:top w:val="none" w:sz="0" w:space="0" w:color="auto"/>
        <w:left w:val="none" w:sz="0" w:space="0" w:color="auto"/>
        <w:bottom w:val="none" w:sz="0" w:space="0" w:color="auto"/>
        <w:right w:val="none" w:sz="0" w:space="0" w:color="auto"/>
      </w:divBdr>
    </w:div>
    <w:div w:id="992681248">
      <w:bodyDiv w:val="1"/>
      <w:marLeft w:val="0"/>
      <w:marRight w:val="0"/>
      <w:marTop w:val="0"/>
      <w:marBottom w:val="0"/>
      <w:divBdr>
        <w:top w:val="none" w:sz="0" w:space="0" w:color="auto"/>
        <w:left w:val="none" w:sz="0" w:space="0" w:color="auto"/>
        <w:bottom w:val="none" w:sz="0" w:space="0" w:color="auto"/>
        <w:right w:val="none" w:sz="0" w:space="0" w:color="auto"/>
      </w:divBdr>
    </w:div>
    <w:div w:id="11855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DynastyDirection xmlns="986746b9-21ea-4a10-94d5-c7e2d54bbe5a" xsi:nil="true"/>
    <SaTyTosSecurityReasonId xmlns="986746b9-21ea-4a10-94d5-c7e2d54bbe5a" xsi:nil="true"/>
    <SaTyDocumentStatus xmlns="37fb879e-6409-4e2e-b74f-f5566a124de4">Luonnos</SaTyDocumentStatus>
    <SaTyTosSecurityReason xmlns="986746b9-21ea-4a10-94d5-c7e2d54bbe5a" xsi:nil="true"/>
    <SaTyDocumentArchive xmlns="37fb879e-6409-4e2e-b74f-f5566a124de4">false</SaTyDocumentArchive>
    <SaTyTosPublicity xmlns="37fb879e-6409-4e2e-b74f-f5566a124de4">Julkinen</SaTyTosPublicity>
    <TaxCatchAll xmlns="986746b9-21ea-4a10-94d5-c7e2d54bbe5a">
      <Value>55</Value>
      <Value>46</Value>
      <Value>2</Value>
    </TaxCatchAll>
    <SaTyDynastyDocumentGuid xmlns="986746b9-21ea-4a10-94d5-c7e2d54bbe5a">99ada71c-9397-4fea-8b21-6cccd713b31c</SaTyDynastyDocumentGuid>
    <SaTyTosTaskGroup xmlns="37fb879e-6409-4e2e-b74f-f5566a124de4">Merenkulun määräykset</SaTyTosTaskGroup>
    <SaTyTosTaskGroupId xmlns="37fb879e-6409-4e2e-b74f-f5566a124de4">03.04.01</SaTyTosTaskGroupId>
    <p39f2945831442ffb2b72677709d8610 xmlns="986746b9-21ea-4a10-94d5-c7e2d54bbe5a">
      <Terms xmlns="http://schemas.microsoft.com/office/infopath/2007/PartnerControls"/>
    </p39f2945831442ffb2b72677709d8610>
    <SaTyTosUserDataRule xmlns="986746b9-21ea-4a10-94d5-c7e2d54bbe5a">Rekisterinpitäjän lakisääteisten velvoitteiden noudattaminen</SaTyTosUserDataRule>
    <SaTyTosIssueGroupId xmlns="37fb879e-6409-4e2e-b74f-f5566a124de4">03.04.01.00</SaTyTosIssueGroupId>
    <f4b386671deb464d8bb6062959db37ce xmlns="986746b9-21ea-4a10-94d5-c7e2d54bbe5a">
      <Terms xmlns="http://schemas.microsoft.com/office/infopath/2007/PartnerControls"/>
    </f4b386671deb464d8bb6062959db37ce>
    <SaTyDocumentUserData xmlns="37fb879e-6409-4e2e-b74f-f5566a124de4">false</SaTyDocumentUserData>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vastaavuusluettelomääräys</TermName>
          <TermId xmlns="http://schemas.microsoft.com/office/infopath/2007/PartnerControls">47558597-78d7-40a4-9f6c-49296b9d7a5e</TermId>
        </TermInfo>
      </Terms>
    </g947cab29b3b46f18713a0acc4648f6c>
    <SaTyDynastyDocumentUrl xmlns="986746b9-21ea-4a10-94d5-c7e2d54bbe5a">https://dynasty.int.traficom.fi/dynasty/#/db/TRAFICOM/card/?r=%2Fdocument%2F112974</SaTyDynastyDocumentUrl>
    <a9215f07bdd34c12927c30fd8ee294e2 xmlns="986746b9-21ea-4a10-94d5-c7e2d54bbe5a">
      <Terms xmlns="http://schemas.microsoft.com/office/infopath/2007/PartnerControls"/>
    </a9215f07bdd34c12927c30fd8ee294e2>
    <SaTyTosUserDataRuleId xmlns="986746b9-21ea-4a10-94d5-c7e2d54bbe5a">3</SaTyTosUserDataRuleId>
    <SaTyTosIssueGroup xmlns="37fb879e-6409-4e2e-b74f-f5566a124de4">Merenkulun viranomaismääräykset</SaTyTosIssueGroup>
    <SaTyTosDocumentTypeId xmlns="37fb879e-6409-4e2e-b74f-f5566a124de4">Muistio</SaTyTosDocumentTypeId>
    <SaTyTosPreservation xmlns="37fb879e-6409-4e2e-b74f-f5566a124de4"> v</SaTyTosPreservation>
    <SaTyDocumentYear xmlns="37fb879e-6409-4e2e-b74f-f5566a124de4">2023</SaTyDocumentYear>
    <SaTyTosSecurityPeriod xmlns="986746b9-21ea-4a10-94d5-c7e2d54bbe5a">0 v v</SaTyTosSecurityPeriod>
    <SaTyDynastyIntStatus xmlns="986746b9-21ea-4a10-94d5-c7e2d54bbe5a">Document folderPermissions updated? True</SaTyDynastyIntStatus>
    <SaTyTosSecurityPeriodRuleId xmlns="986746b9-21ea-4a10-94d5-c7e2d54bbe5a">10</SaTyTosSecurityPeriodRuleId>
    <SaTyTosDocumentType xmlns="37fb879e-6409-4e2e-b74f-f5566a124de4">Muistio</SaTyTos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A038BB32D901D6458F296CBFA1AEE4F1" ma:contentTypeVersion="145" ma:contentTypeDescription="" ma:contentTypeScope="" ma:versionID="99976aa16e34ac99395f6f421508324d">
  <xsd:schema xmlns:xsd="http://www.w3.org/2001/XMLSchema" xmlns:xs="http://www.w3.org/2001/XMLSchema" xmlns:p="http://schemas.microsoft.com/office/2006/metadata/properties" xmlns:ns2="37fb879e-6409-4e2e-b74f-f5566a124de4" xmlns:ns3="986746b9-21ea-4a10-94d5-c7e2d54bbe5a" targetNamespace="http://schemas.microsoft.com/office/2006/metadata/properties" ma:root="true" ma:fieldsID="6a9675e88c922656382cac974734f92a" ns2:_="" ns3:_="">
    <xsd:import namespace="37fb879e-6409-4e2e-b74f-f5566a124de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b879e-6409-4e2e-b74f-f5566a124de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a2fad941-7184-4379-a588-7cfed759e941}" ma:internalName="TaxCatchAll" ma:showField="CatchAllData" ma:web="37fb879e-6409-4e2e-b74f-f5566a124de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2fad941-7184-4379-a588-7cfed759e941}" ma:internalName="TaxCatchAllLabel" ma:readOnly="true" ma:showField="CatchAllDataLabel" ma:web="37fb879e-6409-4e2e-b74f-f5566a124de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EFBDB58F-9F13-425D-A0DE-DCA317231DBF}">
  <ds:schemaRefs>
    <ds:schemaRef ds:uri="http://schemas.microsoft.com/office/2006/metadata/properties"/>
    <ds:schemaRef ds:uri="http://schemas.microsoft.com/office/infopath/2007/PartnerControls"/>
    <ds:schemaRef ds:uri="986746b9-21ea-4a10-94d5-c7e2d54bbe5a"/>
    <ds:schemaRef ds:uri="37fb879e-6409-4e2e-b74f-f5566a124de4"/>
  </ds:schemaRefs>
</ds:datastoreItem>
</file>

<file path=customXml/itemProps4.xml><?xml version="1.0" encoding="utf-8"?>
<ds:datastoreItem xmlns:ds="http://schemas.openxmlformats.org/officeDocument/2006/customXml" ds:itemID="{CDB50566-3F6B-4D65-9F51-3934AE45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b879e-6409-4e2e-b74f-f5566a124de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7C3E19-7E7E-4F5B-B54B-F79E85B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2147</Words>
  <Characters>17398</Characters>
  <Application>Microsoft Office Word</Application>
  <DocSecurity>0</DocSecurity>
  <Lines>144</Lines>
  <Paragraphs>39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Heikkonen Alexandra</cp:lastModifiedBy>
  <cp:revision>3</cp:revision>
  <dcterms:created xsi:type="dcterms:W3CDTF">2024-06-11T11:48:00Z</dcterms:created>
  <dcterms:modified xsi:type="dcterms:W3CDTF">2024-06-11T11:49:00Z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0x0101000EC482A17D284AEE8290D09FC0D2D6D200C589622A2BFC49F09A63EB8A0400625000A038BB32D901D6458F296CBFA1AEE4F1</vt:lpwstr>
  </property>
  <property fmtid="{D5CDD505-2E9C-101B-9397-08002B2CF9AE}" pid="5" name="eb88049090c34051aae092bae2056bc2">
    <vt:lpwstr>meriturvallisuus|2f8eb2fe-fb8c-4296-885d-4bbb9776123b</vt:lpwstr>
  </property>
  <property fmtid="{D5CDD505-2E9C-101B-9397-08002B2CF9AE}" pid="6" name="SaTyTosKeywords">
    <vt:lpwstr>46;#meriturvallisuus|2f8eb2fe-fb8c-4296-885d-4bbb9776123b</vt:lpwstr>
  </property>
  <property fmtid="{D5CDD505-2E9C-101B-9397-08002B2CF9AE}" pid="7" name="SaTyDocumentLanguage">
    <vt:lpwstr>2;#Suomi|88d960e6-e76c-48a2-b607-f1600797b640</vt:lpwstr>
  </property>
  <property fmtid="{D5CDD505-2E9C-101B-9397-08002B2CF9AE}" pid="8" name="SaTyDocumentOtherTag">
    <vt:lpwstr>55;#vastaavuusluettelomääräys|47558597-78d7-40a4-9f6c-49296b9d7a5e</vt:lpwstr>
  </property>
  <property fmtid="{D5CDD505-2E9C-101B-9397-08002B2CF9AE}" pid="9" name="SaTyDocumentOrganisation">
    <vt:lpwstr/>
  </property>
  <property fmtid="{D5CDD505-2E9C-101B-9397-08002B2CF9AE}" pid="10" name="SaTyDocumentMonth">
    <vt:lpwstr/>
  </property>
</Properties>
</file>