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9" w:type="dxa"/>
        <w:tblLook w:val="01E0" w:firstRow="1" w:lastRow="1" w:firstColumn="1" w:lastColumn="1" w:noHBand="0" w:noVBand="0"/>
      </w:tblPr>
      <w:tblGrid>
        <w:gridCol w:w="5142"/>
        <w:gridCol w:w="2609"/>
        <w:gridCol w:w="1274"/>
        <w:gridCol w:w="1414"/>
      </w:tblGrid>
      <w:tr w:rsidR="00011BA7" w:rsidRPr="00887F02" w14:paraId="5B7C00AC" w14:textId="77777777" w:rsidTr="006B3041">
        <w:trPr>
          <w:cantSplit/>
          <w:trHeight w:hRule="exact" w:val="284"/>
        </w:trPr>
        <w:tc>
          <w:tcPr>
            <w:tcW w:w="5142" w:type="dxa"/>
            <w:shd w:val="clear" w:color="auto" w:fill="auto"/>
            <w:tcMar>
              <w:top w:w="0" w:type="dxa"/>
              <w:left w:w="0" w:type="dxa"/>
              <w:bottom w:w="0" w:type="dxa"/>
              <w:right w:w="0" w:type="dxa"/>
            </w:tcMar>
          </w:tcPr>
          <w:p w14:paraId="277C004F" w14:textId="77777777" w:rsidR="00011BA7" w:rsidRPr="00887F02" w:rsidRDefault="00011BA7" w:rsidP="006B3041"/>
        </w:tc>
        <w:tc>
          <w:tcPr>
            <w:tcW w:w="2609" w:type="dxa"/>
            <w:shd w:val="clear" w:color="auto" w:fill="auto"/>
            <w:tcMar>
              <w:top w:w="0" w:type="dxa"/>
              <w:left w:w="0" w:type="dxa"/>
              <w:bottom w:w="0" w:type="dxa"/>
              <w:right w:w="0" w:type="dxa"/>
            </w:tcMar>
          </w:tcPr>
          <w:p w14:paraId="5B249FAE" w14:textId="1DBAD4E8" w:rsidR="00011BA7" w:rsidRPr="00887F02" w:rsidRDefault="00011BA7" w:rsidP="006B3041">
            <w:r>
              <w:rPr>
                <w:rStyle w:val="akpatyyppi"/>
              </w:rPr>
              <w:t>Perustelumuistio</w:t>
            </w:r>
          </w:p>
        </w:tc>
        <w:tc>
          <w:tcPr>
            <w:tcW w:w="1274" w:type="dxa"/>
            <w:shd w:val="clear" w:color="auto" w:fill="auto"/>
            <w:tcMar>
              <w:top w:w="28" w:type="dxa"/>
              <w:left w:w="0" w:type="dxa"/>
              <w:bottom w:w="28" w:type="dxa"/>
              <w:right w:w="0" w:type="dxa"/>
            </w:tcMar>
          </w:tcPr>
          <w:p w14:paraId="270EACE8" w14:textId="77777777" w:rsidR="00011BA7" w:rsidRPr="00887F02" w:rsidRDefault="00011BA7" w:rsidP="006B3041"/>
        </w:tc>
        <w:tc>
          <w:tcPr>
            <w:tcW w:w="1414" w:type="dxa"/>
            <w:shd w:val="clear" w:color="auto" w:fill="auto"/>
            <w:tcMar>
              <w:top w:w="0" w:type="dxa"/>
              <w:left w:w="0" w:type="dxa"/>
              <w:bottom w:w="0" w:type="dxa"/>
              <w:right w:w="0" w:type="dxa"/>
            </w:tcMar>
          </w:tcPr>
          <w:p w14:paraId="790BF9D3" w14:textId="77777777" w:rsidR="00011BA7" w:rsidRPr="00887F02" w:rsidRDefault="00011BA7" w:rsidP="006B3041">
            <w:pPr>
              <w:jc w:val="right"/>
            </w:pPr>
          </w:p>
        </w:tc>
      </w:tr>
      <w:tr w:rsidR="00011BA7" w:rsidRPr="00887F02" w14:paraId="0FF2933C" w14:textId="77777777" w:rsidTr="006B3041">
        <w:trPr>
          <w:cantSplit/>
          <w:trHeight w:hRule="exact" w:val="284"/>
        </w:trPr>
        <w:tc>
          <w:tcPr>
            <w:tcW w:w="5142" w:type="dxa"/>
            <w:shd w:val="clear" w:color="auto" w:fill="auto"/>
            <w:tcMar>
              <w:top w:w="0" w:type="dxa"/>
              <w:left w:w="0" w:type="dxa"/>
              <w:bottom w:w="0" w:type="dxa"/>
              <w:right w:w="0" w:type="dxa"/>
            </w:tcMar>
          </w:tcPr>
          <w:p w14:paraId="3F32AB6A" w14:textId="77777777" w:rsidR="00011BA7" w:rsidRPr="00887F02" w:rsidRDefault="00011BA7" w:rsidP="006B3041">
            <w:r>
              <w:t>Energiaosasto</w:t>
            </w:r>
          </w:p>
        </w:tc>
        <w:tc>
          <w:tcPr>
            <w:tcW w:w="2609" w:type="dxa"/>
            <w:shd w:val="clear" w:color="auto" w:fill="auto"/>
            <w:tcMar>
              <w:top w:w="0" w:type="dxa"/>
              <w:left w:w="0" w:type="dxa"/>
              <w:bottom w:w="0" w:type="dxa"/>
              <w:right w:w="0" w:type="dxa"/>
            </w:tcMar>
          </w:tcPr>
          <w:p w14:paraId="15E6CEB0" w14:textId="40EA82DF" w:rsidR="00011BA7" w:rsidRPr="00810C03" w:rsidRDefault="00445076" w:rsidP="006B3041">
            <w:pPr>
              <w:rPr>
                <w:highlight w:val="yellow"/>
              </w:rPr>
            </w:pPr>
            <w:r w:rsidRPr="00445076">
              <w:rPr>
                <w:rStyle w:val="akppaivays"/>
              </w:rPr>
              <w:t>15</w:t>
            </w:r>
            <w:r w:rsidR="00070214" w:rsidRPr="00445076">
              <w:rPr>
                <w:rStyle w:val="akppaivays"/>
              </w:rPr>
              <w:t>.11</w:t>
            </w:r>
            <w:r w:rsidR="00186396" w:rsidRPr="00445076">
              <w:rPr>
                <w:rStyle w:val="akppaivays"/>
              </w:rPr>
              <w:t>.2024</w:t>
            </w:r>
          </w:p>
        </w:tc>
        <w:tc>
          <w:tcPr>
            <w:tcW w:w="2688" w:type="dxa"/>
            <w:gridSpan w:val="2"/>
            <w:shd w:val="clear" w:color="auto" w:fill="auto"/>
            <w:tcMar>
              <w:top w:w="0" w:type="dxa"/>
              <w:left w:w="0" w:type="dxa"/>
              <w:bottom w:w="0" w:type="dxa"/>
              <w:right w:w="0" w:type="dxa"/>
            </w:tcMar>
          </w:tcPr>
          <w:p w14:paraId="5293ECDC" w14:textId="336BC04D" w:rsidR="00011BA7" w:rsidRPr="005C2853" w:rsidRDefault="005C2853" w:rsidP="006B3041">
            <w:pPr>
              <w:rPr>
                <w:b/>
                <w:bCs/>
                <w:highlight w:val="yellow"/>
              </w:rPr>
            </w:pPr>
            <w:r w:rsidRPr="005C2853">
              <w:rPr>
                <w:rStyle w:val="akptunniste"/>
              </w:rPr>
              <w:t>VN/33593/2024</w:t>
            </w:r>
          </w:p>
        </w:tc>
      </w:tr>
      <w:tr w:rsidR="00011BA7" w:rsidRPr="00887F02" w14:paraId="0220E9EA" w14:textId="77777777" w:rsidTr="006B3041">
        <w:trPr>
          <w:cantSplit/>
          <w:trHeight w:hRule="exact" w:val="284"/>
        </w:trPr>
        <w:tc>
          <w:tcPr>
            <w:tcW w:w="5142" w:type="dxa"/>
            <w:shd w:val="clear" w:color="auto" w:fill="auto"/>
            <w:tcMar>
              <w:top w:w="0" w:type="dxa"/>
              <w:left w:w="0" w:type="dxa"/>
              <w:bottom w:w="0" w:type="dxa"/>
              <w:right w:w="0" w:type="dxa"/>
            </w:tcMar>
          </w:tcPr>
          <w:p w14:paraId="68071A12" w14:textId="77777777" w:rsidR="00011BA7" w:rsidRPr="00FA2696" w:rsidRDefault="00011BA7" w:rsidP="006B3041">
            <w:pPr>
              <w:rPr>
                <w:highlight w:val="yellow"/>
              </w:rPr>
            </w:pPr>
            <w:r w:rsidRPr="00445076">
              <w:t>Erityisasiantuntija Hanna-Mari Kyllönen</w:t>
            </w:r>
          </w:p>
        </w:tc>
        <w:tc>
          <w:tcPr>
            <w:tcW w:w="2609" w:type="dxa"/>
            <w:shd w:val="clear" w:color="auto" w:fill="auto"/>
            <w:tcMar>
              <w:top w:w="0" w:type="dxa"/>
              <w:left w:w="0" w:type="dxa"/>
              <w:bottom w:w="0" w:type="dxa"/>
              <w:right w:w="0" w:type="dxa"/>
            </w:tcMar>
          </w:tcPr>
          <w:p w14:paraId="738003FF" w14:textId="77777777" w:rsidR="00011BA7" w:rsidRDefault="00011BA7" w:rsidP="006B3041">
            <w:pPr>
              <w:rPr>
                <w:rStyle w:val="akppaivays"/>
              </w:rPr>
            </w:pPr>
          </w:p>
        </w:tc>
        <w:tc>
          <w:tcPr>
            <w:tcW w:w="2688" w:type="dxa"/>
            <w:gridSpan w:val="2"/>
            <w:shd w:val="clear" w:color="auto" w:fill="auto"/>
            <w:tcMar>
              <w:top w:w="0" w:type="dxa"/>
              <w:left w:w="0" w:type="dxa"/>
              <w:bottom w:w="0" w:type="dxa"/>
              <w:right w:w="0" w:type="dxa"/>
            </w:tcMar>
          </w:tcPr>
          <w:p w14:paraId="11263737" w14:textId="77777777" w:rsidR="00011BA7" w:rsidRDefault="00011BA7" w:rsidP="006B3041">
            <w:pPr>
              <w:rPr>
                <w:rStyle w:val="akptunniste"/>
              </w:rPr>
            </w:pPr>
          </w:p>
        </w:tc>
      </w:tr>
      <w:tr w:rsidR="00011BA7" w:rsidRPr="00887F02" w14:paraId="7F8E4AF7" w14:textId="77777777" w:rsidTr="006B3041">
        <w:trPr>
          <w:cantSplit/>
          <w:trHeight w:hRule="exact" w:val="284"/>
        </w:trPr>
        <w:tc>
          <w:tcPr>
            <w:tcW w:w="5142" w:type="dxa"/>
            <w:shd w:val="clear" w:color="auto" w:fill="auto"/>
            <w:tcMar>
              <w:top w:w="0" w:type="dxa"/>
              <w:left w:w="0" w:type="dxa"/>
              <w:bottom w:w="0" w:type="dxa"/>
              <w:right w:w="0" w:type="dxa"/>
            </w:tcMar>
          </w:tcPr>
          <w:p w14:paraId="43BA5A93" w14:textId="77777777" w:rsidR="00011BA7" w:rsidRPr="00887F02" w:rsidRDefault="00011BA7" w:rsidP="006B3041"/>
        </w:tc>
        <w:tc>
          <w:tcPr>
            <w:tcW w:w="2609" w:type="dxa"/>
            <w:shd w:val="clear" w:color="auto" w:fill="auto"/>
            <w:tcMar>
              <w:top w:w="0" w:type="dxa"/>
              <w:left w:w="0" w:type="dxa"/>
              <w:bottom w:w="0" w:type="dxa"/>
              <w:right w:w="0" w:type="dxa"/>
            </w:tcMar>
          </w:tcPr>
          <w:p w14:paraId="5F318575" w14:textId="77777777" w:rsidR="00011BA7" w:rsidRDefault="00011BA7" w:rsidP="006B3041">
            <w:pPr>
              <w:rPr>
                <w:rStyle w:val="akppaivays"/>
              </w:rPr>
            </w:pPr>
          </w:p>
        </w:tc>
        <w:tc>
          <w:tcPr>
            <w:tcW w:w="2688" w:type="dxa"/>
            <w:gridSpan w:val="2"/>
            <w:shd w:val="clear" w:color="auto" w:fill="auto"/>
            <w:tcMar>
              <w:top w:w="0" w:type="dxa"/>
              <w:left w:w="0" w:type="dxa"/>
              <w:bottom w:w="0" w:type="dxa"/>
              <w:right w:w="0" w:type="dxa"/>
            </w:tcMar>
          </w:tcPr>
          <w:p w14:paraId="09D9B1FF" w14:textId="77777777" w:rsidR="00011BA7" w:rsidRDefault="00011BA7" w:rsidP="006B3041">
            <w:pPr>
              <w:rPr>
                <w:rStyle w:val="akptunniste"/>
              </w:rPr>
            </w:pPr>
          </w:p>
        </w:tc>
      </w:tr>
      <w:tr w:rsidR="00011BA7" w:rsidRPr="00887F02" w14:paraId="7081530C" w14:textId="77777777" w:rsidTr="006B3041">
        <w:trPr>
          <w:cantSplit/>
          <w:trHeight w:hRule="exact" w:val="284"/>
        </w:trPr>
        <w:tc>
          <w:tcPr>
            <w:tcW w:w="5142" w:type="dxa"/>
            <w:shd w:val="clear" w:color="auto" w:fill="auto"/>
            <w:tcMar>
              <w:top w:w="0" w:type="dxa"/>
              <w:left w:w="0" w:type="dxa"/>
              <w:bottom w:w="0" w:type="dxa"/>
              <w:right w:w="0" w:type="dxa"/>
            </w:tcMar>
          </w:tcPr>
          <w:p w14:paraId="10DEE2F0" w14:textId="77777777" w:rsidR="00011BA7" w:rsidRPr="00887F02" w:rsidRDefault="00011BA7" w:rsidP="006B3041"/>
        </w:tc>
        <w:tc>
          <w:tcPr>
            <w:tcW w:w="2609" w:type="dxa"/>
            <w:shd w:val="clear" w:color="auto" w:fill="auto"/>
            <w:tcMar>
              <w:top w:w="0" w:type="dxa"/>
              <w:left w:w="0" w:type="dxa"/>
              <w:bottom w:w="0" w:type="dxa"/>
              <w:right w:w="0" w:type="dxa"/>
            </w:tcMar>
          </w:tcPr>
          <w:p w14:paraId="51B4D8BE" w14:textId="77777777" w:rsidR="00011BA7" w:rsidRDefault="00011BA7" w:rsidP="006B3041">
            <w:pPr>
              <w:rPr>
                <w:rStyle w:val="akppaivays"/>
              </w:rPr>
            </w:pPr>
          </w:p>
        </w:tc>
        <w:tc>
          <w:tcPr>
            <w:tcW w:w="2688" w:type="dxa"/>
            <w:gridSpan w:val="2"/>
            <w:shd w:val="clear" w:color="auto" w:fill="auto"/>
            <w:tcMar>
              <w:top w:w="0" w:type="dxa"/>
              <w:left w:w="0" w:type="dxa"/>
              <w:bottom w:w="0" w:type="dxa"/>
              <w:right w:w="0" w:type="dxa"/>
            </w:tcMar>
          </w:tcPr>
          <w:p w14:paraId="21EBDCC6" w14:textId="77777777" w:rsidR="00011BA7" w:rsidRDefault="00011BA7" w:rsidP="006B3041">
            <w:pPr>
              <w:rPr>
                <w:rStyle w:val="akptunniste"/>
              </w:rPr>
            </w:pPr>
          </w:p>
        </w:tc>
      </w:tr>
      <w:tr w:rsidR="00011BA7" w:rsidRPr="00887F02" w14:paraId="5AAABA60" w14:textId="77777777" w:rsidTr="006B3041">
        <w:trPr>
          <w:cantSplit/>
          <w:trHeight w:val="448"/>
        </w:trPr>
        <w:tc>
          <w:tcPr>
            <w:tcW w:w="10439" w:type="dxa"/>
            <w:gridSpan w:val="4"/>
            <w:shd w:val="clear" w:color="auto" w:fill="auto"/>
            <w:tcMar>
              <w:top w:w="28" w:type="dxa"/>
              <w:left w:w="0" w:type="dxa"/>
              <w:bottom w:w="28" w:type="dxa"/>
              <w:right w:w="0" w:type="dxa"/>
            </w:tcMar>
          </w:tcPr>
          <w:p w14:paraId="2C5BD943" w14:textId="77777777" w:rsidR="00011BA7" w:rsidRPr="00887F02" w:rsidRDefault="00011BA7" w:rsidP="006B3041"/>
        </w:tc>
      </w:tr>
    </w:tbl>
    <w:p w14:paraId="62BCE950" w14:textId="77777777" w:rsidR="00011BA7" w:rsidRPr="00070214" w:rsidRDefault="00011BA7" w:rsidP="00011BA7">
      <w:pPr>
        <w:pStyle w:val="Otsikko1"/>
        <w:rPr>
          <w:rFonts w:ascii="Arial" w:hAnsi="Arial" w:cs="Arial"/>
          <w:b w:val="0"/>
          <w:color w:val="auto"/>
          <w:sz w:val="22"/>
          <w:szCs w:val="22"/>
        </w:rPr>
      </w:pPr>
      <w:r w:rsidRPr="00070214">
        <w:rPr>
          <w:rFonts w:ascii="Arial" w:hAnsi="Arial" w:cs="Arial"/>
          <w:color w:val="auto"/>
          <w:sz w:val="22"/>
          <w:szCs w:val="22"/>
        </w:rPr>
        <w:t>TYÖ- JA ELINKEINOMINISTERIÖN ASETUS YDINLAITOSTEN YMPÄRISTÖVAIKUTUSTEN ARVIOINTIMENETTELYYN KUULUVISTA TYÖ- JA ELINKEINOMINISTERIÖN MAKSULLISISTA SUORITTEISTA</w:t>
      </w:r>
    </w:p>
    <w:p w14:paraId="044F863F" w14:textId="77777777" w:rsidR="00011BA7" w:rsidRDefault="00011BA7" w:rsidP="00011BA7"/>
    <w:p w14:paraId="79DDCCBD" w14:textId="77777777" w:rsidR="00011BA7" w:rsidRPr="00B70842" w:rsidRDefault="00011BA7" w:rsidP="00011BA7">
      <w:pPr>
        <w:pStyle w:val="Otsikko2"/>
        <w:rPr>
          <w:b/>
          <w:lang w:val="fi-FI"/>
        </w:rPr>
      </w:pPr>
      <w:r w:rsidRPr="00BA7441">
        <w:rPr>
          <w:b/>
        </w:rPr>
        <w:t>E</w:t>
      </w:r>
      <w:r>
        <w:rPr>
          <w:b/>
          <w:lang w:val="fi-FI"/>
        </w:rPr>
        <w:t>sitys</w:t>
      </w:r>
    </w:p>
    <w:p w14:paraId="4D047528" w14:textId="77777777" w:rsidR="002D5F57" w:rsidRDefault="00011BA7" w:rsidP="0035765A">
      <w:pPr>
        <w:jc w:val="both"/>
      </w:pPr>
      <w:r>
        <w:t>Esitetään, että työ- ja elinkeinoministeriö antaa uuden asetuksen ydinlaitosten ympäristövaikutusten arviointimenettelyyn kuuluvista työ- ja elinkeinominister</w:t>
      </w:r>
      <w:r w:rsidR="00174714">
        <w:t xml:space="preserve">iön maksullisista suoritteista. </w:t>
      </w:r>
      <w:r w:rsidR="0035765A">
        <w:t>Nykyinen asetus (874/2023) on voimassa 28.2.2025 saakka. Uusi asetus esitetään tulevaksi voimaan 1.3.2025 ja asetus olisi voimassa 28.2.2027 saakka</w:t>
      </w:r>
      <w:r>
        <w:t>.</w:t>
      </w:r>
      <w:r w:rsidR="00174714">
        <w:t xml:space="preserve"> </w:t>
      </w:r>
      <w:r w:rsidR="00070214">
        <w:t xml:space="preserve">Asetus korvaisi </w:t>
      </w:r>
      <w:r w:rsidR="009434E6">
        <w:t>voimassa olevan</w:t>
      </w:r>
      <w:r w:rsidR="0035765A">
        <w:t xml:space="preserve"> asetuksen.</w:t>
      </w:r>
    </w:p>
    <w:p w14:paraId="3F0F5B2B" w14:textId="77777777" w:rsidR="00FA2696" w:rsidRDefault="00FA2696" w:rsidP="0035765A">
      <w:pPr>
        <w:jc w:val="both"/>
      </w:pPr>
    </w:p>
    <w:p w14:paraId="4B296014" w14:textId="77777777" w:rsidR="00FA2696" w:rsidRDefault="00FA2696" w:rsidP="00FA2696">
      <w:pPr>
        <w:jc w:val="both"/>
      </w:pPr>
      <w:r>
        <w:rPr>
          <w:szCs w:val="21"/>
        </w:rPr>
        <w:t xml:space="preserve">Maksuasetus vastaisi sisällöllisesti </w:t>
      </w:r>
      <w:r w:rsidR="009434E6">
        <w:rPr>
          <w:szCs w:val="21"/>
        </w:rPr>
        <w:t>voimassa olevaa</w:t>
      </w:r>
      <w:r>
        <w:rPr>
          <w:szCs w:val="21"/>
        </w:rPr>
        <w:t xml:space="preserve"> maksuasetusta, koska suoritteiden omakustannusarvon ei arvioida merkittävästi muuttuneen.</w:t>
      </w:r>
    </w:p>
    <w:p w14:paraId="0D57C8D8" w14:textId="77777777" w:rsidR="00011BA7" w:rsidRDefault="00011BA7" w:rsidP="00011BA7"/>
    <w:p w14:paraId="7BC0B752" w14:textId="77777777" w:rsidR="002D5F57" w:rsidRPr="002D5F57" w:rsidRDefault="00011BA7" w:rsidP="002D5F57">
      <w:pPr>
        <w:pStyle w:val="Otsikko2"/>
        <w:rPr>
          <w:b/>
        </w:rPr>
      </w:pPr>
      <w:r>
        <w:rPr>
          <w:b/>
          <w:lang w:val="fi-FI"/>
        </w:rPr>
        <w:t>Esityksen</w:t>
      </w:r>
      <w:r w:rsidRPr="00BA7441">
        <w:rPr>
          <w:b/>
        </w:rPr>
        <w:t xml:space="preserve"> tausta</w:t>
      </w:r>
    </w:p>
    <w:p w14:paraId="2B45AF1D" w14:textId="77777777" w:rsidR="0035765A" w:rsidRDefault="0035765A" w:rsidP="005C2853">
      <w:pPr>
        <w:pStyle w:val="Leipteksti"/>
        <w:ind w:left="0"/>
        <w:jc w:val="both"/>
      </w:pPr>
      <w:r>
        <w:rPr>
          <w:lang w:val="fi-FI"/>
        </w:rPr>
        <w:t xml:space="preserve">Asetus annetaan valtion maksuperustelain (150/1992) 8 §:n nojalla. </w:t>
      </w:r>
      <w:r w:rsidRPr="004F7725">
        <w:t>Julkisoikeudellisten suoritteiden tulee valtion maksuperustelain 6 §:n mukaan vastata suoritteen tuottamisesta valtiolle aiheutuvien kokonaiskustannusten määrää. Lain 4 §:n 1 momentissa säädetään suoritteista, joiden tulee olla maksullisia, jollei suoritteen maksuttomuudelle ole perusteltua syytä. Lain 4 §:n 2 momentin mukaan suoritteen tulee olla maksullinen etenkin silloin, kun suoritteen tuottaminen liittyy vastaanottajan taloudelliseen toimintaan.</w:t>
      </w:r>
    </w:p>
    <w:p w14:paraId="2B5BBBC9" w14:textId="77777777" w:rsidR="0035765A" w:rsidRDefault="0035765A" w:rsidP="005C2853">
      <w:pPr>
        <w:jc w:val="both"/>
      </w:pPr>
    </w:p>
    <w:p w14:paraId="793FD619" w14:textId="77777777" w:rsidR="0035765A" w:rsidRDefault="0035765A" w:rsidP="005C2853">
      <w:pPr>
        <w:jc w:val="both"/>
      </w:pPr>
      <w:r>
        <w:t xml:space="preserve">Ympäristövaikutusten arvioinnista annetun lain (252/2017, jäljempänä myös YVA-laki) 38 §:n 1 momentin mukaan tiedottamisen, kuulemisen ja ympäristövaikutusten arvioinnin kustannuksista vastaa hankkeesta vastaava. Edellä mainitun pykälän 2 momentin mukaan yhteysviranomaisen lausunto arviointiohjelmasta ja perusteltu päätelmä ovat maksullisia. </w:t>
      </w:r>
    </w:p>
    <w:p w14:paraId="2105733F" w14:textId="77777777" w:rsidR="0035765A" w:rsidRDefault="0035765A" w:rsidP="005C2853">
      <w:pPr>
        <w:jc w:val="both"/>
      </w:pPr>
    </w:p>
    <w:p w14:paraId="6922FC98" w14:textId="77777777" w:rsidR="0035765A" w:rsidRDefault="0035765A" w:rsidP="005C2853">
      <w:pPr>
        <w:jc w:val="both"/>
      </w:pPr>
      <w:r>
        <w:t xml:space="preserve">Maksujen perusteita on vuonna 2019 yhdenmukaistettu ELY-keskusten samankaltaisista suoritteista perittävien maksujen kanssa. Samassa yhteydessä suoritteiden kustannusvastaavuutta on tarkistettu. </w:t>
      </w:r>
      <w:r w:rsidR="009434E6">
        <w:t>On huomattava, että y</w:t>
      </w:r>
      <w:r>
        <w:t>dinlaitoksia koskevien YVA-hankkeiden kokoluokka on tyypillisesti suuri, mutta määrällisesti niitä tehdään vähän.</w:t>
      </w:r>
    </w:p>
    <w:p w14:paraId="7E4142B5" w14:textId="77777777" w:rsidR="00011BA7" w:rsidRDefault="00011BA7" w:rsidP="00011BA7"/>
    <w:p w14:paraId="28A924BF" w14:textId="77777777" w:rsidR="00011BA7" w:rsidRPr="00A25E0A" w:rsidRDefault="00011BA7" w:rsidP="00A25E0A">
      <w:pPr>
        <w:pStyle w:val="Otsikko2"/>
        <w:rPr>
          <w:b/>
        </w:rPr>
      </w:pPr>
      <w:r w:rsidRPr="00BA7441">
        <w:rPr>
          <w:b/>
        </w:rPr>
        <w:t>Maksujen suuruus</w:t>
      </w:r>
    </w:p>
    <w:p w14:paraId="7BF38B20" w14:textId="77777777" w:rsidR="00011BA7" w:rsidRDefault="00011BA7" w:rsidP="00924C90">
      <w:pPr>
        <w:jc w:val="both"/>
      </w:pPr>
      <w:r>
        <w:t xml:space="preserve">Maksuja sovelletaan hankkeisiin, joissa työ- ja elinkeinoministeriö </w:t>
      </w:r>
      <w:r w:rsidR="00AA21F6">
        <w:t>toimii ympäristövaikutusten arvi</w:t>
      </w:r>
      <w:r w:rsidR="00BD45A7">
        <w:t>ointimenettelystä annetun lain</w:t>
      </w:r>
      <w:r>
        <w:t xml:space="preserve"> </w:t>
      </w:r>
      <w:r w:rsidR="00AA21F6">
        <w:t>tarkoittamana</w:t>
      </w:r>
      <w:r>
        <w:t xml:space="preserve"> </w:t>
      </w:r>
      <w:r w:rsidR="00AA21F6">
        <w:t>yhteysviranomaisena</w:t>
      </w:r>
      <w:r>
        <w:t>.</w:t>
      </w:r>
    </w:p>
    <w:p w14:paraId="492D3F5D" w14:textId="77777777" w:rsidR="00011BA7" w:rsidRDefault="00011BA7" w:rsidP="00011BA7">
      <w:pPr>
        <w:ind w:left="1304"/>
        <w:jc w:val="both"/>
      </w:pPr>
    </w:p>
    <w:p w14:paraId="67E4AC9F" w14:textId="77777777" w:rsidR="00011BA7" w:rsidRDefault="00AA21F6" w:rsidP="00924C90">
      <w:pPr>
        <w:jc w:val="both"/>
      </w:pPr>
      <w:r>
        <w:t>M</w:t>
      </w:r>
      <w:r w:rsidR="00011BA7">
        <w:t>aksu</w:t>
      </w:r>
      <w:r>
        <w:t xml:space="preserve">t </w:t>
      </w:r>
      <w:r w:rsidR="00E0151B">
        <w:t>ovat porrastettu</w:t>
      </w:r>
      <w:r>
        <w:t xml:space="preserve"> kolmeen luokkaan </w:t>
      </w:r>
      <w:r w:rsidR="00011BA7">
        <w:t>ympäristöv</w:t>
      </w:r>
      <w:r w:rsidR="00E81682">
        <w:t>aikutusten arviointiohjelmasta annettavan</w:t>
      </w:r>
      <w:r w:rsidR="00011BA7">
        <w:t xml:space="preserve"> lausunnon </w:t>
      </w:r>
      <w:r>
        <w:t>sekä</w:t>
      </w:r>
      <w:r w:rsidR="00011BA7">
        <w:t xml:space="preserve"> arviointiselostuksesta annettavan perustellun päätelmän osalta. </w:t>
      </w:r>
    </w:p>
    <w:p w14:paraId="4ABF47CC" w14:textId="77777777" w:rsidR="00011BA7" w:rsidRDefault="00011BA7" w:rsidP="001F2023">
      <w:pPr>
        <w:jc w:val="both"/>
      </w:pPr>
    </w:p>
    <w:p w14:paraId="27323680" w14:textId="77777777" w:rsidR="001F2023" w:rsidRPr="001F2023" w:rsidRDefault="00011BA7" w:rsidP="00924C90">
      <w:pPr>
        <w:jc w:val="both"/>
      </w:pPr>
      <w:r w:rsidRPr="00623257">
        <w:t xml:space="preserve">Asetukseen </w:t>
      </w:r>
      <w:r>
        <w:t xml:space="preserve">esitetään </w:t>
      </w:r>
      <w:r w:rsidRPr="00623257">
        <w:t>seuraavia maksuluokkia:</w:t>
      </w:r>
    </w:p>
    <w:p w14:paraId="4C619ABA" w14:textId="77777777" w:rsidR="001F2023" w:rsidRDefault="001F2023" w:rsidP="001F2023">
      <w:pPr>
        <w:jc w:val="both"/>
        <w:rPr>
          <w:b/>
        </w:rPr>
      </w:pPr>
    </w:p>
    <w:p w14:paraId="57799D52" w14:textId="77777777" w:rsidR="00011BA7" w:rsidRDefault="00011BA7" w:rsidP="00924C90">
      <w:pPr>
        <w:jc w:val="both"/>
        <w:rPr>
          <w:b/>
        </w:rPr>
      </w:pPr>
      <w:r w:rsidRPr="00623257">
        <w:rPr>
          <w:b/>
        </w:rPr>
        <w:t>YVA-laissa tarkoitettu lausunto arviointiohjelmasta</w:t>
      </w:r>
    </w:p>
    <w:p w14:paraId="6F954521" w14:textId="77777777" w:rsidR="001F2023" w:rsidRDefault="001F2023" w:rsidP="00011BA7">
      <w:pPr>
        <w:ind w:firstLine="1304"/>
        <w:jc w:val="both"/>
        <w:rPr>
          <w:b/>
        </w:rPr>
      </w:pPr>
    </w:p>
    <w:p w14:paraId="4C89E3DF" w14:textId="77777777" w:rsidR="001F2023" w:rsidRPr="00623257" w:rsidRDefault="001F2023" w:rsidP="00011BA7">
      <w:pPr>
        <w:ind w:firstLine="1304"/>
        <w:jc w:val="both"/>
        <w:rPr>
          <w:b/>
        </w:rPr>
      </w:pPr>
    </w:p>
    <w:p w14:paraId="60F7B69B" w14:textId="77777777" w:rsidR="00011BA7" w:rsidRPr="00FA2696" w:rsidRDefault="00011BA7" w:rsidP="00444D33">
      <w:pPr>
        <w:jc w:val="both"/>
      </w:pPr>
      <w:r>
        <w:lastRenderedPageBreak/>
        <w:t>1. Suppeassa hankkeessa (5</w:t>
      </w:r>
      <w:r>
        <w:rPr>
          <w:rFonts w:cs="Arial"/>
        </w:rPr>
        <w:t>–</w:t>
      </w:r>
      <w:r>
        <w:t>15 henkilötyöpäivää)</w:t>
      </w:r>
      <w:r>
        <w:tab/>
      </w:r>
      <w:r>
        <w:tab/>
      </w:r>
      <w:r w:rsidRPr="00FA2696">
        <w:t>6 615 €</w:t>
      </w:r>
    </w:p>
    <w:p w14:paraId="1A2534EC" w14:textId="77777777" w:rsidR="00011BA7" w:rsidRPr="00FA2696" w:rsidRDefault="00011BA7" w:rsidP="00444D33">
      <w:pPr>
        <w:jc w:val="both"/>
      </w:pPr>
      <w:r w:rsidRPr="00FA2696">
        <w:t>2. Tavanomaisessa hankkeessa (16</w:t>
      </w:r>
      <w:r w:rsidRPr="00FA2696">
        <w:rPr>
          <w:rFonts w:cs="Arial"/>
        </w:rPr>
        <w:t>–</w:t>
      </w:r>
      <w:r w:rsidRPr="00FA2696">
        <w:t>25 henkilötyöpäivää)</w:t>
      </w:r>
      <w:r w:rsidRPr="00FA2696">
        <w:tab/>
        <w:t>13 230 €</w:t>
      </w:r>
    </w:p>
    <w:p w14:paraId="206C08B2" w14:textId="77777777" w:rsidR="00011BA7" w:rsidRDefault="00011BA7" w:rsidP="00444D33">
      <w:pPr>
        <w:ind w:left="6520" w:hanging="6520"/>
        <w:jc w:val="both"/>
      </w:pPr>
      <w:r w:rsidRPr="00FA2696">
        <w:t>3. Vaativassa hankkeessa (yli 25 henkilötyöpäivää)</w:t>
      </w:r>
      <w:r w:rsidRPr="00FA2696">
        <w:tab/>
        <w:t>13 230</w:t>
      </w:r>
      <w:r>
        <w:t xml:space="preserve"> € ja lisäksi </w:t>
      </w:r>
      <w:r w:rsidRPr="00FA2696">
        <w:t>90 €/h 25</w:t>
      </w:r>
      <w:r>
        <w:t xml:space="preserve"> työpäivää ylittävältä osalta, kuitenkin enintään </w:t>
      </w:r>
      <w:r w:rsidRPr="00FA2696">
        <w:t>36 380</w:t>
      </w:r>
      <w:r>
        <w:t xml:space="preserve"> €</w:t>
      </w:r>
    </w:p>
    <w:p w14:paraId="6B9648A9" w14:textId="77777777" w:rsidR="00011BA7" w:rsidRDefault="00011BA7" w:rsidP="00011BA7">
      <w:pPr>
        <w:ind w:left="7824" w:hanging="6520"/>
        <w:jc w:val="both"/>
      </w:pPr>
    </w:p>
    <w:p w14:paraId="7F6E7DD7" w14:textId="77777777" w:rsidR="00011BA7" w:rsidRDefault="00011BA7" w:rsidP="00011BA7">
      <w:pPr>
        <w:ind w:left="7824" w:hanging="6520"/>
        <w:jc w:val="both"/>
      </w:pPr>
    </w:p>
    <w:p w14:paraId="4CDEAA73" w14:textId="77777777" w:rsidR="00011BA7" w:rsidRDefault="00011BA7" w:rsidP="00444D33">
      <w:pPr>
        <w:jc w:val="both"/>
        <w:rPr>
          <w:b/>
        </w:rPr>
      </w:pPr>
      <w:r w:rsidRPr="00C96BE9">
        <w:rPr>
          <w:b/>
        </w:rPr>
        <w:t>YVA-laissa tarkoitettu yhteysviranomaisen perusteltu päätelmä</w:t>
      </w:r>
    </w:p>
    <w:p w14:paraId="153DD5AC" w14:textId="77777777" w:rsidR="001F2023" w:rsidRPr="00C96BE9" w:rsidRDefault="001F2023" w:rsidP="00011BA7">
      <w:pPr>
        <w:ind w:firstLine="1304"/>
        <w:jc w:val="both"/>
        <w:rPr>
          <w:b/>
        </w:rPr>
      </w:pPr>
    </w:p>
    <w:p w14:paraId="003ADD70" w14:textId="77777777" w:rsidR="00011BA7" w:rsidRPr="00FA2696" w:rsidRDefault="00011BA7" w:rsidP="00444D33">
      <w:pPr>
        <w:jc w:val="both"/>
      </w:pPr>
      <w:r w:rsidRPr="00C96BE9">
        <w:t>1. Suppeassa hank</w:t>
      </w:r>
      <w:r>
        <w:t>keessa (10</w:t>
      </w:r>
      <w:r>
        <w:rPr>
          <w:rFonts w:cs="Arial"/>
        </w:rPr>
        <w:t>–</w:t>
      </w:r>
      <w:r>
        <w:t>20 henkilötyöpäivää)</w:t>
      </w:r>
      <w:r>
        <w:tab/>
      </w:r>
      <w:r>
        <w:tab/>
      </w:r>
      <w:r w:rsidRPr="00FA2696">
        <w:t>9 920 €</w:t>
      </w:r>
    </w:p>
    <w:p w14:paraId="6D4DBCC5" w14:textId="77777777" w:rsidR="00011BA7" w:rsidRPr="00FA2696" w:rsidRDefault="00011BA7" w:rsidP="00444D33">
      <w:pPr>
        <w:jc w:val="both"/>
      </w:pPr>
      <w:r w:rsidRPr="00FA2696">
        <w:t>2. Tavanomaisessa hankkeessa (21</w:t>
      </w:r>
      <w:r w:rsidRPr="00FA2696">
        <w:rPr>
          <w:rFonts w:cs="Arial"/>
        </w:rPr>
        <w:t>–</w:t>
      </w:r>
      <w:r w:rsidRPr="00FA2696">
        <w:t>30 henkilötyöpäivää)</w:t>
      </w:r>
      <w:r w:rsidRPr="00FA2696">
        <w:tab/>
        <w:t>16 540 €</w:t>
      </w:r>
    </w:p>
    <w:p w14:paraId="5A4FBC6A" w14:textId="77777777" w:rsidR="00011BA7" w:rsidRDefault="00011BA7" w:rsidP="00444D33">
      <w:pPr>
        <w:ind w:left="6520" w:hanging="6520"/>
        <w:jc w:val="both"/>
      </w:pPr>
      <w:r w:rsidRPr="00FA2696">
        <w:t>3. Vaativassa hankkeessa (yli 30 henkilötyöpäivää)</w:t>
      </w:r>
      <w:r w:rsidRPr="00FA2696">
        <w:tab/>
        <w:t>16 540</w:t>
      </w:r>
      <w:r w:rsidRPr="00C96BE9">
        <w:t xml:space="preserve"> € ja</w:t>
      </w:r>
      <w:r>
        <w:t xml:space="preserve"> </w:t>
      </w:r>
      <w:r w:rsidRPr="00C96BE9">
        <w:t xml:space="preserve">lisäksi </w:t>
      </w:r>
      <w:r w:rsidRPr="00FA2696">
        <w:t>90 €/h 30</w:t>
      </w:r>
      <w:r>
        <w:t xml:space="preserve"> t</w:t>
      </w:r>
      <w:r w:rsidRPr="00C96BE9">
        <w:t>yöpäivää ylittävältä</w:t>
      </w:r>
      <w:r>
        <w:t xml:space="preserve"> </w:t>
      </w:r>
      <w:r w:rsidRPr="00C96BE9">
        <w:t>osalta, kuitenkin</w:t>
      </w:r>
      <w:r>
        <w:t xml:space="preserve"> </w:t>
      </w:r>
      <w:r w:rsidRPr="00C96BE9">
        <w:t xml:space="preserve">enintään </w:t>
      </w:r>
      <w:r w:rsidRPr="00FA2696">
        <w:t>47 630 €</w:t>
      </w:r>
    </w:p>
    <w:p w14:paraId="3FFC177C" w14:textId="77777777" w:rsidR="00BD45A7" w:rsidRDefault="00BD45A7" w:rsidP="00011BA7">
      <w:pPr>
        <w:ind w:left="7824" w:hanging="6520"/>
        <w:jc w:val="both"/>
        <w:rPr>
          <w:i/>
        </w:rPr>
      </w:pPr>
    </w:p>
    <w:p w14:paraId="451DB5E1" w14:textId="77777777" w:rsidR="00924C90" w:rsidRDefault="00924C90" w:rsidP="00FA2696">
      <w:pPr>
        <w:jc w:val="both"/>
      </w:pPr>
    </w:p>
    <w:p w14:paraId="1FD75DAB" w14:textId="77777777" w:rsidR="001F2023" w:rsidRDefault="001F2023" w:rsidP="00924C90">
      <w:pPr>
        <w:jc w:val="both"/>
      </w:pPr>
      <w:r>
        <w:t xml:space="preserve">Työ- ja elinkeinoministeriön suorittamat ympäristövaikutusten arviointimenettelystä annetun lain mukaiseen tiedottamiseen ja kuulemiseen liittyvien ostopalvelujen kustannukset sekä valtioiden rajat ylittävien vaikutusten arviointia varten tarvittavien käännösten kustannukset sisältyisivät nyt esittelyihin kustannusluokkiin. Edellä mainitut kustannukset kuitenkin huomioidaan maksuluokkaa arvioitaessa ja lopullisesti määrättäessä. </w:t>
      </w:r>
    </w:p>
    <w:p w14:paraId="2431364D" w14:textId="77777777" w:rsidR="00BD45A7" w:rsidRDefault="00BD45A7" w:rsidP="001F2023">
      <w:pPr>
        <w:jc w:val="both"/>
        <w:rPr>
          <w:i/>
        </w:rPr>
      </w:pPr>
    </w:p>
    <w:p w14:paraId="0EFCDEE6" w14:textId="77777777" w:rsidR="00011BA7" w:rsidRDefault="00011BA7" w:rsidP="00444D33">
      <w:pPr>
        <w:jc w:val="both"/>
        <w:rPr>
          <w:i/>
        </w:rPr>
      </w:pPr>
      <w:r w:rsidRPr="00EE5A18">
        <w:rPr>
          <w:i/>
        </w:rPr>
        <w:t>Lausuntoa koskeva suoritemaksu ydinlaitoksien arviointiohjelmasta</w:t>
      </w:r>
      <w:r w:rsidR="00444D33">
        <w:rPr>
          <w:i/>
        </w:rPr>
        <w:t xml:space="preserve"> </w:t>
      </w:r>
      <w:r w:rsidRPr="00EE5A18">
        <w:rPr>
          <w:i/>
        </w:rPr>
        <w:t>suppeassa YVA-hankkeessa</w:t>
      </w:r>
    </w:p>
    <w:p w14:paraId="15FFD681" w14:textId="77777777" w:rsidR="00011BA7" w:rsidRDefault="00011BA7" w:rsidP="00011BA7">
      <w:pPr>
        <w:ind w:left="7824" w:hanging="6520"/>
        <w:jc w:val="both"/>
      </w:pPr>
    </w:p>
    <w:p w14:paraId="12D4C824" w14:textId="77777777" w:rsidR="00011BA7" w:rsidRDefault="00011BA7" w:rsidP="00444D33">
      <w:pPr>
        <w:jc w:val="both"/>
      </w:pPr>
      <w:r>
        <w:t xml:space="preserve">Ydinlaitoksia koskevista YVA-hankkeista pieni osa todennäköisesti sijoittuu tähän maksuluokkaan, sillä usein hankkeet ovat kokoluokaltaan suuria. Tämän maksuluokan osalta kyseeseen voisi kuitenkin tulla esimerkiksi pienempi hankkeen muutosta koskeva YVA-menettely. Kuulemisen laajuus tällaisissa hankkeissa on toimialalle tyypillisesti melko laaja. </w:t>
      </w:r>
      <w:r w:rsidRPr="00A96759">
        <w:t>Arviointiasiakirjat</w:t>
      </w:r>
      <w:r>
        <w:t xml:space="preserve"> ovat tällaisissa hankkeissa esimerkiksi ydinvoimalaitoksen YVA-hanketta </w:t>
      </w:r>
      <w:r w:rsidRPr="00A96759">
        <w:t xml:space="preserve">merkittävästi </w:t>
      </w:r>
      <w:r w:rsidR="00AB3727">
        <w:t>suppeammat</w:t>
      </w:r>
      <w:r w:rsidRPr="00A96759">
        <w:t>.</w:t>
      </w:r>
    </w:p>
    <w:p w14:paraId="080EC62D" w14:textId="77777777" w:rsidR="00011BA7" w:rsidRDefault="00011BA7" w:rsidP="00011BA7">
      <w:pPr>
        <w:ind w:left="1304"/>
        <w:jc w:val="both"/>
      </w:pPr>
    </w:p>
    <w:p w14:paraId="39D56F8F" w14:textId="77777777" w:rsidR="00011BA7" w:rsidRDefault="00011BA7" w:rsidP="00444D33">
      <w:pPr>
        <w:jc w:val="both"/>
      </w:pPr>
      <w:r>
        <w:t>Arviointiohjelma</w:t>
      </w:r>
      <w:r w:rsidRPr="00FA2696">
        <w:t>: 6 615 €</w:t>
      </w:r>
    </w:p>
    <w:p w14:paraId="4C25982A" w14:textId="77777777" w:rsidR="00011BA7" w:rsidRDefault="00011BA7" w:rsidP="00444D33">
      <w:pPr>
        <w:jc w:val="both"/>
      </w:pPr>
      <w:r w:rsidRPr="00FA2696">
        <w:t>Keskimäärin 10 työpäivää</w:t>
      </w:r>
      <w:r>
        <w:t xml:space="preserve">. Työmäärä vaihtelee </w:t>
      </w:r>
      <w:r w:rsidRPr="00FA2696">
        <w:t>5</w:t>
      </w:r>
      <w:r w:rsidRPr="00FA2696">
        <w:rPr>
          <w:rFonts w:cs="Arial"/>
        </w:rPr>
        <w:t>–</w:t>
      </w:r>
      <w:r w:rsidRPr="00FA2696">
        <w:t>15 työpäivän</w:t>
      </w:r>
      <w:r>
        <w:t xml:space="preserve"> välillä.</w:t>
      </w:r>
    </w:p>
    <w:p w14:paraId="594B6D94" w14:textId="77777777" w:rsidR="00011BA7" w:rsidRDefault="00011BA7" w:rsidP="00011BA7">
      <w:pPr>
        <w:ind w:left="1304"/>
        <w:jc w:val="both"/>
      </w:pPr>
    </w:p>
    <w:p w14:paraId="3DB7BD4D" w14:textId="77777777" w:rsidR="00011BA7" w:rsidRPr="00EE5A18" w:rsidRDefault="00011BA7" w:rsidP="00444D33">
      <w:pPr>
        <w:jc w:val="both"/>
        <w:rPr>
          <w:i/>
        </w:rPr>
      </w:pPr>
      <w:r w:rsidRPr="00EE5A18">
        <w:rPr>
          <w:i/>
        </w:rPr>
        <w:t>Lausuntoa koskeva suoritemaksu ydinlaitoksien arviointiohjelmasta tavanomaisessa YVA-hankkeessa</w:t>
      </w:r>
    </w:p>
    <w:p w14:paraId="4CE61A73" w14:textId="77777777" w:rsidR="00011BA7" w:rsidRDefault="00011BA7" w:rsidP="00011BA7">
      <w:pPr>
        <w:ind w:left="1304"/>
        <w:jc w:val="both"/>
      </w:pPr>
    </w:p>
    <w:p w14:paraId="329181B3" w14:textId="77777777" w:rsidR="00011BA7" w:rsidRDefault="00011BA7" w:rsidP="00444D33">
      <w:pPr>
        <w:jc w:val="both"/>
      </w:pPr>
      <w:r w:rsidRPr="00F93E7C">
        <w:t>Tähän luokkaan kuuluvat YVA-hankkeet ovat toimintaympäristö huomioiden tavanomaisia hankkeita. Hankkeilla on lukuisia erilaisia vaikutuksia ja vaikutusalue voi olla suuri. Kuuleminen toteutetaan laajasti ja asiasta jä</w:t>
      </w:r>
      <w:r w:rsidR="00A96759" w:rsidRPr="00F93E7C">
        <w:t xml:space="preserve">rjestetään </w:t>
      </w:r>
      <w:r w:rsidR="00F00218">
        <w:t xml:space="preserve">mahdollisesti useampi </w:t>
      </w:r>
      <w:r w:rsidR="00A96759" w:rsidRPr="00F93E7C">
        <w:t xml:space="preserve">kuulemistilaisuus. </w:t>
      </w:r>
      <w:r w:rsidRPr="00F93E7C">
        <w:t xml:space="preserve">Annettuja lausuntoja ja mielipiteitä on määrällisesti paljon. Hankkeen asiakirjat ovat laajoja ja niiden laadun ja riittävyyden arviointiin kuluva työmäärä on melko suuri. Maksuluokkaan kuuluvat myös hankkeet, joilla voi olla vaikutuksia </w:t>
      </w:r>
      <w:r w:rsidR="00A96759" w:rsidRPr="00F93E7C">
        <w:t>yhden tai useamman</w:t>
      </w:r>
      <w:r w:rsidRPr="00F93E7C">
        <w:t xml:space="preserve"> valtion alueelle. </w:t>
      </w:r>
      <w:r w:rsidR="00F66436">
        <w:t>Tällainen hanke voisi olla esimerkiksi yksittäisen ydinlaitosyksikön tai muun ydinlaitoksen rakentaminen. Myös esimerkiksi hankkeen laajemmat muutokset voivat kuulua tähän luokkaan.</w:t>
      </w:r>
    </w:p>
    <w:p w14:paraId="1329744A" w14:textId="77777777" w:rsidR="00011BA7" w:rsidRDefault="00011BA7" w:rsidP="00011BA7">
      <w:pPr>
        <w:ind w:left="1304"/>
        <w:jc w:val="both"/>
      </w:pPr>
    </w:p>
    <w:p w14:paraId="385F0091" w14:textId="77777777" w:rsidR="00011BA7" w:rsidRDefault="00011BA7" w:rsidP="00444D33">
      <w:pPr>
        <w:jc w:val="both"/>
      </w:pPr>
      <w:r>
        <w:t>Arviointiohjelma: 13 230 euroa</w:t>
      </w:r>
    </w:p>
    <w:p w14:paraId="2FA591AB" w14:textId="77777777" w:rsidR="00011BA7" w:rsidRDefault="00011BA7" w:rsidP="00444D33">
      <w:pPr>
        <w:jc w:val="both"/>
      </w:pPr>
      <w:r>
        <w:t xml:space="preserve">Keskimäärin </w:t>
      </w:r>
      <w:r w:rsidRPr="00AB3727">
        <w:t>20 työpäivää.</w:t>
      </w:r>
      <w:r>
        <w:t xml:space="preserve"> Työmäärä vaihtelee 16</w:t>
      </w:r>
      <w:r>
        <w:rPr>
          <w:rFonts w:cs="Arial"/>
        </w:rPr>
        <w:t>–</w:t>
      </w:r>
      <w:r>
        <w:t>25 työpäivän välillä.</w:t>
      </w:r>
    </w:p>
    <w:p w14:paraId="7DD22289" w14:textId="77777777" w:rsidR="00011BA7" w:rsidRDefault="00011BA7" w:rsidP="00011BA7">
      <w:pPr>
        <w:ind w:left="7824" w:hanging="6520"/>
        <w:jc w:val="both"/>
      </w:pPr>
    </w:p>
    <w:p w14:paraId="0183E4AC" w14:textId="77777777" w:rsidR="00011BA7" w:rsidRDefault="00011BA7" w:rsidP="00444D33">
      <w:pPr>
        <w:jc w:val="both"/>
        <w:rPr>
          <w:i/>
        </w:rPr>
      </w:pPr>
      <w:r w:rsidRPr="00EE5A18">
        <w:rPr>
          <w:i/>
        </w:rPr>
        <w:t>Lausuntoa koskeva suoritemaksu ydinlaitoksien arviointiohjelmasta vaativassa hankkeessa</w:t>
      </w:r>
    </w:p>
    <w:p w14:paraId="3BE85A8C" w14:textId="77777777" w:rsidR="00011BA7" w:rsidRPr="00EE5A18" w:rsidRDefault="00011BA7" w:rsidP="00011BA7">
      <w:pPr>
        <w:ind w:left="1304"/>
        <w:jc w:val="both"/>
        <w:rPr>
          <w:i/>
        </w:rPr>
      </w:pPr>
    </w:p>
    <w:p w14:paraId="5BE69250" w14:textId="77777777" w:rsidR="00F93E7C" w:rsidRDefault="00011BA7" w:rsidP="00444D33">
      <w:pPr>
        <w:jc w:val="both"/>
      </w:pPr>
      <w:r>
        <w:t xml:space="preserve">Tähän maksuluokkaan kuuluvat YVA-hankkeet, </w:t>
      </w:r>
      <w:r w:rsidRPr="00F93E7C">
        <w:t>jotka ovat erittäin laajoja ja vaativia.</w:t>
      </w:r>
      <w:r>
        <w:t xml:space="preserve"> Maksuluokan hankkeilla on useita eri vaikutuksia ja vaikutusalue on laaja. </w:t>
      </w:r>
      <w:r w:rsidR="00F93E7C" w:rsidRPr="00F93E7C">
        <w:t xml:space="preserve">Kuuleminen toteutetaan laajasti ja asiasta järjestetään </w:t>
      </w:r>
      <w:r w:rsidR="00F00218">
        <w:t xml:space="preserve">mahdollisesti useampi </w:t>
      </w:r>
      <w:r w:rsidR="00F93E7C" w:rsidRPr="00F93E7C">
        <w:t>kuulemistilaisuus</w:t>
      </w:r>
      <w:r w:rsidR="00F93E7C">
        <w:t>. Annettuja lausuntoja ja mielipiteitä on määrällisesti paljon.</w:t>
      </w:r>
      <w:r w:rsidR="00F93E7C" w:rsidRPr="00F93E7C">
        <w:t xml:space="preserve"> Hankkeen asiakirjat ovat laajoja ja niiden laadun ja riittävyyden arviointiin kuluva työmäärä on suuri.</w:t>
      </w:r>
      <w:r w:rsidR="00F93E7C">
        <w:t xml:space="preserve"> </w:t>
      </w:r>
      <w:r w:rsidRPr="00F93E7C">
        <w:t>Tähän maks</w:t>
      </w:r>
      <w:r w:rsidR="00F93E7C">
        <w:t xml:space="preserve">uluokkaan kuuluvilla hankkeilla </w:t>
      </w:r>
      <w:r w:rsidRPr="00F93E7C">
        <w:t xml:space="preserve">voi olla myös valtion rajat ylittäviä vaikutuksia usean valtion alueelle. </w:t>
      </w:r>
      <w:r>
        <w:t xml:space="preserve">Tähän luokkaan kuuluva hanke voisi olla esimerkiksi kokonaan uusi </w:t>
      </w:r>
      <w:r w:rsidR="00F66436">
        <w:t>useamman yksikön ydinla</w:t>
      </w:r>
      <w:r w:rsidR="00A25E0A">
        <w:t>itoshanke</w:t>
      </w:r>
      <w:r w:rsidR="00924C90">
        <w:t xml:space="preserve"> </w:t>
      </w:r>
      <w:r w:rsidR="00A25E0A">
        <w:t>tai hanke, joka kattaa useampia ydinlaitoksia.</w:t>
      </w:r>
    </w:p>
    <w:p w14:paraId="3787EA1E" w14:textId="77777777" w:rsidR="00011BA7" w:rsidRDefault="00011BA7" w:rsidP="00F93E7C">
      <w:pPr>
        <w:jc w:val="both"/>
      </w:pPr>
    </w:p>
    <w:p w14:paraId="742D5FAE" w14:textId="77777777" w:rsidR="00011BA7" w:rsidRDefault="00011BA7" w:rsidP="00444D33">
      <w:pPr>
        <w:jc w:val="both"/>
      </w:pPr>
      <w:r>
        <w:lastRenderedPageBreak/>
        <w:t xml:space="preserve">Arviointiohjelma: tavanomaisen hankkeen perushinta </w:t>
      </w:r>
      <w:r w:rsidRPr="00AB3727">
        <w:t>13 230 € + 25</w:t>
      </w:r>
      <w:r>
        <w:t xml:space="preserve"> työpäivää ylittävältä osalta </w:t>
      </w:r>
      <w:r w:rsidRPr="00AB3727">
        <w:t>90 €/</w:t>
      </w:r>
      <w:r>
        <w:t xml:space="preserve">h, kuitenkin enintään </w:t>
      </w:r>
      <w:r w:rsidRPr="00AB3727">
        <w:t>36 380 €</w:t>
      </w:r>
      <w:r>
        <w:t xml:space="preserve"> (55 työpäivää)</w:t>
      </w:r>
    </w:p>
    <w:p w14:paraId="0BBC8DCD" w14:textId="77777777" w:rsidR="00011BA7" w:rsidRDefault="00011BA7" w:rsidP="00011BA7">
      <w:pPr>
        <w:ind w:left="1304"/>
        <w:jc w:val="both"/>
      </w:pPr>
    </w:p>
    <w:p w14:paraId="5B98A10D" w14:textId="77777777" w:rsidR="00011BA7" w:rsidRDefault="00011BA7" w:rsidP="00444D33">
      <w:pPr>
        <w:jc w:val="both"/>
        <w:rPr>
          <w:i/>
        </w:rPr>
      </w:pPr>
      <w:r w:rsidRPr="00EE5A18">
        <w:rPr>
          <w:i/>
        </w:rPr>
        <w:t>Yhteysviranomaisen perusteltu päätelmä</w:t>
      </w:r>
    </w:p>
    <w:p w14:paraId="096756AE" w14:textId="77777777" w:rsidR="00011BA7" w:rsidRPr="00EE5A18" w:rsidRDefault="00011BA7" w:rsidP="00011BA7">
      <w:pPr>
        <w:ind w:left="1304"/>
        <w:jc w:val="both"/>
        <w:rPr>
          <w:i/>
        </w:rPr>
      </w:pPr>
    </w:p>
    <w:p w14:paraId="5C74F45A" w14:textId="77777777" w:rsidR="00011BA7" w:rsidRDefault="00011BA7" w:rsidP="00444D33">
      <w:pPr>
        <w:jc w:val="both"/>
      </w:pPr>
      <w:r>
        <w:t>Yhteysviranomaisen perusteltua päätelmää koskevat maksuryhmien määritelmät ovat vastaavat kuin arviointiohjelmaa koskevassa lausunnossa. Yhteysviranomaisen perustellun päätelmän tekeminen on kuitenkin työmäärältään arviointiohjelman lausuntoa suurempi. Tästä syystä yhteysviranomaisen perusteltua päätelmää koskevien suoritteiden hinnat ovat arviointiohjelmasta annettua lausuntoa korkeammat.</w:t>
      </w:r>
    </w:p>
    <w:p w14:paraId="0DCF01CE" w14:textId="77777777" w:rsidR="00011BA7" w:rsidRDefault="00011BA7" w:rsidP="00011BA7">
      <w:pPr>
        <w:ind w:left="1304"/>
        <w:jc w:val="both"/>
      </w:pPr>
    </w:p>
    <w:p w14:paraId="5984FEE5" w14:textId="77777777" w:rsidR="00011BA7" w:rsidRDefault="00011BA7" w:rsidP="00444D33">
      <w:pPr>
        <w:jc w:val="both"/>
      </w:pPr>
      <w:r>
        <w:t xml:space="preserve">Perusteltu päätelmä suppeassa hankkeessa </w:t>
      </w:r>
      <w:r w:rsidRPr="00AB3727">
        <w:t>9 920 €</w:t>
      </w:r>
    </w:p>
    <w:p w14:paraId="5E3386D5" w14:textId="77777777" w:rsidR="00011BA7" w:rsidRDefault="00011BA7" w:rsidP="00444D33">
      <w:pPr>
        <w:jc w:val="both"/>
      </w:pPr>
      <w:r>
        <w:t xml:space="preserve">Keskimäärin </w:t>
      </w:r>
      <w:r w:rsidRPr="00AB3727">
        <w:t>15 työpäivää</w:t>
      </w:r>
      <w:r>
        <w:t>. Työmäärä vaihtelee 10</w:t>
      </w:r>
      <w:r>
        <w:rPr>
          <w:rFonts w:cs="Arial"/>
        </w:rPr>
        <w:t>–</w:t>
      </w:r>
      <w:r>
        <w:t>20 työpäivän välillä.</w:t>
      </w:r>
    </w:p>
    <w:p w14:paraId="79C88BF1" w14:textId="77777777" w:rsidR="00011BA7" w:rsidRDefault="00011BA7" w:rsidP="00011BA7">
      <w:pPr>
        <w:ind w:left="1304"/>
        <w:jc w:val="both"/>
      </w:pPr>
    </w:p>
    <w:p w14:paraId="1DAD9257" w14:textId="77777777" w:rsidR="00011BA7" w:rsidRDefault="00011BA7" w:rsidP="00444D33">
      <w:pPr>
        <w:jc w:val="both"/>
      </w:pPr>
      <w:r>
        <w:t xml:space="preserve">Perusteltu päätelmä tavanomaisessa hankkeessa </w:t>
      </w:r>
      <w:r w:rsidRPr="00AB3727">
        <w:t>16 540 €</w:t>
      </w:r>
    </w:p>
    <w:p w14:paraId="26D3DBC3" w14:textId="77777777" w:rsidR="00011BA7" w:rsidRDefault="00011BA7" w:rsidP="00444D33">
      <w:pPr>
        <w:jc w:val="both"/>
      </w:pPr>
      <w:r>
        <w:t xml:space="preserve">Keskimäärin </w:t>
      </w:r>
      <w:r w:rsidRPr="00AB3727">
        <w:t>25 työpäivää.</w:t>
      </w:r>
      <w:r>
        <w:t xml:space="preserve"> Työmäärä vaihtelee 21</w:t>
      </w:r>
      <w:r>
        <w:rPr>
          <w:rFonts w:cs="Arial"/>
        </w:rPr>
        <w:t>–</w:t>
      </w:r>
      <w:r>
        <w:t>30 työpäivän välillä.</w:t>
      </w:r>
    </w:p>
    <w:p w14:paraId="28A29E9C" w14:textId="77777777" w:rsidR="00011BA7" w:rsidRDefault="00011BA7" w:rsidP="00011BA7">
      <w:pPr>
        <w:ind w:left="1304"/>
        <w:jc w:val="both"/>
      </w:pPr>
    </w:p>
    <w:p w14:paraId="01AB8730" w14:textId="77777777" w:rsidR="00011BA7" w:rsidRDefault="00011BA7" w:rsidP="00444D33">
      <w:pPr>
        <w:jc w:val="both"/>
      </w:pPr>
      <w:r>
        <w:t xml:space="preserve">Perusteltu päätelmä vaativassa hankkeessa </w:t>
      </w:r>
      <w:r w:rsidRPr="00AB3727">
        <w:t>16 540 €</w:t>
      </w:r>
      <w:r>
        <w:t xml:space="preserve"> + 30 työpäivää ylittävältä osalta </w:t>
      </w:r>
      <w:r w:rsidRPr="00AB3727">
        <w:t>90</w:t>
      </w:r>
      <w:r>
        <w:t xml:space="preserve"> €/h, kuitenkin enintään </w:t>
      </w:r>
      <w:r w:rsidRPr="00AB3727">
        <w:t>47 630 €</w:t>
      </w:r>
      <w:r>
        <w:t xml:space="preserve"> (72 työpäivää)</w:t>
      </w:r>
    </w:p>
    <w:p w14:paraId="2C6DFEFA" w14:textId="77777777" w:rsidR="00011BA7" w:rsidRDefault="00011BA7" w:rsidP="00011BA7">
      <w:pPr>
        <w:ind w:left="1304"/>
      </w:pPr>
    </w:p>
    <w:p w14:paraId="12DB7BB1" w14:textId="77777777" w:rsidR="00011BA7" w:rsidRPr="00BA7441" w:rsidRDefault="00011BA7" w:rsidP="00011BA7">
      <w:pPr>
        <w:pStyle w:val="Otsikko2"/>
        <w:rPr>
          <w:b/>
        </w:rPr>
      </w:pPr>
      <w:r w:rsidRPr="00BA7441">
        <w:rPr>
          <w:b/>
        </w:rPr>
        <w:t>Maksun määräämismenettely</w:t>
      </w:r>
    </w:p>
    <w:p w14:paraId="0924E8A1" w14:textId="77777777" w:rsidR="00011BA7" w:rsidRDefault="00011BA7" w:rsidP="00444D33">
      <w:pPr>
        <w:jc w:val="both"/>
      </w:pPr>
      <w:r>
        <w:t>Työ- ja elinkeinoministeriö arvioi yhteysviranomaisena YVA-menettelyn lausuntovaiheen tai perustellun päätelmän laatimisen alkaessa, miten se soveltaa maksuasetuksen mukaisia maksuluokkia ja mihin maksuluokkaan hanke ja näin ollen myös lausunnosta perittävä maksu sijoittuvat. Maksuluokkien kriteerit ovat esimerkinomaisia, eikä kaikkien kriteerien tarvitse täyttyä, jotta hanketta voidaan pitää maksuluokkaan kuuluvana.</w:t>
      </w:r>
    </w:p>
    <w:p w14:paraId="67FD2C39" w14:textId="77777777" w:rsidR="00011BA7" w:rsidRDefault="00011BA7" w:rsidP="00011BA7">
      <w:pPr>
        <w:ind w:left="1304"/>
        <w:jc w:val="both"/>
      </w:pPr>
    </w:p>
    <w:p w14:paraId="76966856" w14:textId="77777777" w:rsidR="00011BA7" w:rsidRDefault="00011BA7" w:rsidP="00444D33">
      <w:pPr>
        <w:jc w:val="both"/>
      </w:pPr>
      <w:r>
        <w:t xml:space="preserve">Suoritemaksu vahvistetaan YVA-arviointiohjelmasta annettavan lausunnon tai yhteysviranomaisen perustellun päätelmän valmistuttua. Suoritemaksu voidaan asettaa alkuperäisestä arviosta poikkeavan suuruiseksi esimerkiksi silloin, </w:t>
      </w:r>
      <w:r w:rsidRPr="00F93E7C">
        <w:t>kun saadun palautteen määrä osoittautuu ennakoitua pienemmäksi tai suuremmaksi ja ennakkoon arvioidulle maksuluokalle määrältään ja laajuudeltaan epätyypilliseksi.</w:t>
      </w:r>
    </w:p>
    <w:p w14:paraId="032D9F16" w14:textId="77777777" w:rsidR="00011BA7" w:rsidRDefault="00011BA7" w:rsidP="00011BA7">
      <w:pPr>
        <w:ind w:left="1304"/>
        <w:jc w:val="both"/>
      </w:pPr>
    </w:p>
    <w:p w14:paraId="083CBB94" w14:textId="77777777" w:rsidR="00011BA7" w:rsidRDefault="00011BA7" w:rsidP="00444D33">
      <w:pPr>
        <w:jc w:val="both"/>
      </w:pPr>
      <w:r>
        <w:t>Samassa hankkeessa arviointiohjelmasta annettava lausunto ja arviointiselostuksesta annettava yhteysviranomaisen perusteltu päätelmä voivat sijoittua eri maksuluokkiin.</w:t>
      </w:r>
    </w:p>
    <w:p w14:paraId="1CF4D32B" w14:textId="77777777" w:rsidR="00011BA7" w:rsidRDefault="00011BA7" w:rsidP="00011BA7">
      <w:pPr>
        <w:ind w:left="1304"/>
        <w:jc w:val="both"/>
      </w:pPr>
    </w:p>
    <w:p w14:paraId="7755DE24" w14:textId="77777777" w:rsidR="00011BA7" w:rsidRDefault="00011BA7" w:rsidP="00444D33">
      <w:pPr>
        <w:jc w:val="both"/>
      </w:pPr>
      <w:r w:rsidRPr="008B79BE">
        <w:t xml:space="preserve">Työ- ja elinkeinoministeriö seuraa </w:t>
      </w:r>
      <w:r w:rsidRPr="00F93E7C">
        <w:t>lausuntoihin</w:t>
      </w:r>
      <w:r w:rsidRPr="008B79BE">
        <w:t xml:space="preserve"> käytettyä työaikaa hankekohtaisesti. Työajan seurantatietoa hyödynnetään,</w:t>
      </w:r>
      <w:r>
        <w:t xml:space="preserve"> kun yhteysviranomainen arvioi maksuluokkien soveltamista seuraaviin YVA-hankkeisiin. </w:t>
      </w:r>
      <w:r w:rsidRPr="00924C90">
        <w:t>Toteutuneita työaikoja hyödynnetään myös asetuksen maksuluokkien päivittämisessä joka toinen vuosi annettavan maksuasetuksen valmistelussa.</w:t>
      </w:r>
    </w:p>
    <w:p w14:paraId="3438119D" w14:textId="77777777" w:rsidR="00011BA7" w:rsidRDefault="00011BA7" w:rsidP="00011BA7"/>
    <w:p w14:paraId="66087FEF" w14:textId="77777777" w:rsidR="00011BA7" w:rsidRPr="00BA7441" w:rsidRDefault="00011BA7" w:rsidP="00011BA7">
      <w:pPr>
        <w:pStyle w:val="Otsikko2"/>
        <w:rPr>
          <w:b/>
        </w:rPr>
      </w:pPr>
      <w:proofErr w:type="spellStart"/>
      <w:r w:rsidRPr="00BA7441">
        <w:rPr>
          <w:b/>
        </w:rPr>
        <w:t>E</w:t>
      </w:r>
      <w:r>
        <w:rPr>
          <w:b/>
          <w:lang w:val="fi-FI"/>
        </w:rPr>
        <w:t>sity</w:t>
      </w:r>
      <w:r w:rsidRPr="00BA7441">
        <w:rPr>
          <w:b/>
        </w:rPr>
        <w:t>ksen</w:t>
      </w:r>
      <w:proofErr w:type="spellEnd"/>
      <w:r w:rsidRPr="00BA7441">
        <w:rPr>
          <w:b/>
        </w:rPr>
        <w:t xml:space="preserve"> vaikutukset</w:t>
      </w:r>
    </w:p>
    <w:p w14:paraId="6F20F419" w14:textId="3C74C687" w:rsidR="00924C90" w:rsidRDefault="00A25E0A" w:rsidP="00011BA7">
      <w:pPr>
        <w:rPr>
          <w:szCs w:val="21"/>
        </w:rPr>
      </w:pPr>
      <w:r>
        <w:rPr>
          <w:szCs w:val="21"/>
        </w:rPr>
        <w:t xml:space="preserve">Esityksessä ei esitetä muutoksia </w:t>
      </w:r>
      <w:r w:rsidR="005F02A5">
        <w:rPr>
          <w:szCs w:val="21"/>
        </w:rPr>
        <w:t>voimassa oleviin</w:t>
      </w:r>
      <w:r>
        <w:rPr>
          <w:szCs w:val="21"/>
        </w:rPr>
        <w:t xml:space="preserve"> maksuihin, joten esityksellä ei ole uusia vaikutuksia toiminnanharjoittajiin tai viranomaiseen.</w:t>
      </w:r>
    </w:p>
    <w:p w14:paraId="5E416215" w14:textId="77777777" w:rsidR="00A25E0A" w:rsidRDefault="00A25E0A" w:rsidP="00011BA7"/>
    <w:p w14:paraId="0D5CBB57" w14:textId="77777777" w:rsidR="00011BA7" w:rsidRDefault="00924C90" w:rsidP="00011BA7">
      <w:pPr>
        <w:rPr>
          <w:b/>
        </w:rPr>
      </w:pPr>
      <w:r>
        <w:rPr>
          <w:b/>
        </w:rPr>
        <w:t>Valmistelu</w:t>
      </w:r>
    </w:p>
    <w:p w14:paraId="398BA7D0" w14:textId="77777777" w:rsidR="00011BA7" w:rsidRDefault="00011BA7" w:rsidP="00011BA7">
      <w:pPr>
        <w:rPr>
          <w:b/>
        </w:rPr>
      </w:pPr>
    </w:p>
    <w:p w14:paraId="3DB19AAC" w14:textId="05607932" w:rsidR="00924C90" w:rsidRDefault="00924C90" w:rsidP="00924C90">
      <w:pPr>
        <w:jc w:val="both"/>
      </w:pPr>
      <w:r w:rsidRPr="00445076">
        <w:t>Asetus on valmisteltu virkatyönä työ- ja elinkeinoministeriössä. Luonnoksesta pyyde</w:t>
      </w:r>
      <w:r w:rsidR="00AB3727" w:rsidRPr="00445076">
        <w:t>t</w:t>
      </w:r>
      <w:r w:rsidRPr="00445076">
        <w:t xml:space="preserve">tiin lausunnot valtiovarainministeriöltä, </w:t>
      </w:r>
      <w:r w:rsidR="009C230B" w:rsidRPr="00445076">
        <w:t xml:space="preserve">Energiateollisuus ry:ltä, </w:t>
      </w:r>
      <w:r w:rsidRPr="00445076">
        <w:t xml:space="preserve">Teollisuuden Voima Oyj:ltä, Fortum Power and </w:t>
      </w:r>
      <w:proofErr w:type="spellStart"/>
      <w:r w:rsidRPr="00445076">
        <w:t>Heat</w:t>
      </w:r>
      <w:proofErr w:type="spellEnd"/>
      <w:r w:rsidRPr="00445076">
        <w:t xml:space="preserve"> Oy:ltä, </w:t>
      </w:r>
      <w:r w:rsidR="007E0A2C" w:rsidRPr="00445076">
        <w:t xml:space="preserve">Teknologian tutkimuskeskus </w:t>
      </w:r>
      <w:r w:rsidRPr="00445076">
        <w:t>VTT Oy:ltä sekä Posiva Oy:ltä.</w:t>
      </w:r>
      <w:r w:rsidR="00AB3727" w:rsidRPr="00445076">
        <w:t xml:space="preserve"> Lisäksi lausuntopyyntö </w:t>
      </w:r>
      <w:r w:rsidR="00A25E0A" w:rsidRPr="00445076">
        <w:t xml:space="preserve">on julkaista lausuntopalvelussa </w:t>
      </w:r>
      <w:r w:rsidR="00445076" w:rsidRPr="00445076">
        <w:t>29</w:t>
      </w:r>
      <w:r w:rsidR="00A25E0A" w:rsidRPr="00445076">
        <w:t>.</w:t>
      </w:r>
      <w:r w:rsidR="00445076" w:rsidRPr="00445076">
        <w:t>11</w:t>
      </w:r>
      <w:r w:rsidR="00A25E0A" w:rsidRPr="00445076">
        <w:t>.2024.</w:t>
      </w:r>
    </w:p>
    <w:p w14:paraId="61879698" w14:textId="77777777" w:rsidR="00011BA7" w:rsidRDefault="00011BA7" w:rsidP="00011BA7">
      <w:pPr>
        <w:rPr>
          <w:b/>
        </w:rPr>
      </w:pPr>
    </w:p>
    <w:p w14:paraId="29A92474" w14:textId="77777777" w:rsidR="00011BA7" w:rsidRPr="00BA7441" w:rsidRDefault="00011BA7" w:rsidP="00011BA7">
      <w:pPr>
        <w:pStyle w:val="Otsikko2"/>
        <w:rPr>
          <w:b/>
        </w:rPr>
      </w:pPr>
      <w:r w:rsidRPr="00BA7441">
        <w:rPr>
          <w:b/>
        </w:rPr>
        <w:t>Voimaantulo</w:t>
      </w:r>
    </w:p>
    <w:p w14:paraId="58E84ACF" w14:textId="77777777" w:rsidR="009B230C" w:rsidRPr="00562E6B" w:rsidRDefault="00011BA7" w:rsidP="00446E3A">
      <w:r>
        <w:t xml:space="preserve">Asetuksen esitetään tulevan voimaan </w:t>
      </w:r>
      <w:r w:rsidR="0050712E">
        <w:t>1.3.2025</w:t>
      </w:r>
      <w:r w:rsidRPr="0003537B">
        <w:t>.</w:t>
      </w:r>
    </w:p>
    <w:sectPr w:rsidR="009B230C"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574B" w14:textId="77777777" w:rsidR="007448BC" w:rsidRDefault="007448BC" w:rsidP="008E0F4A">
      <w:r>
        <w:separator/>
      </w:r>
    </w:p>
  </w:endnote>
  <w:endnote w:type="continuationSeparator" w:id="0">
    <w:p w14:paraId="3308DF93" w14:textId="77777777" w:rsidR="007448BC" w:rsidRDefault="007448B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8D2D"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CAC7" w14:textId="77777777" w:rsidR="007448BC" w:rsidRDefault="007448BC" w:rsidP="008E0F4A">
      <w:r>
        <w:separator/>
      </w:r>
    </w:p>
  </w:footnote>
  <w:footnote w:type="continuationSeparator" w:id="0">
    <w:p w14:paraId="5D824583" w14:textId="77777777" w:rsidR="007448BC" w:rsidRDefault="007448B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399"/>
      <w:docPartObj>
        <w:docPartGallery w:val="Page Numbers (Top of Page)"/>
        <w:docPartUnique/>
      </w:docPartObj>
    </w:sdtPr>
    <w:sdtEndPr/>
    <w:sdtContent>
      <w:p w14:paraId="21F61BE4" w14:textId="77777777" w:rsidR="008E0F4A" w:rsidRDefault="00F86B04" w:rsidP="00562E6B">
        <w:pPr>
          <w:ind w:right="-143" w:firstLine="8789"/>
          <w:jc w:val="center"/>
        </w:pPr>
        <w:r>
          <w:fldChar w:fldCharType="begin"/>
        </w:r>
        <w:r>
          <w:instrText xml:space="preserve"> PAGE   \* MERGEFORMAT </w:instrText>
        </w:r>
        <w:r>
          <w:fldChar w:fldCharType="separate"/>
        </w:r>
        <w:r w:rsidR="00A25E0A">
          <w:rPr>
            <w:noProof/>
          </w:rPr>
          <w:t>3</w:t>
        </w:r>
        <w:r>
          <w:rPr>
            <w:noProof/>
          </w:rPr>
          <w:fldChar w:fldCharType="end"/>
        </w:r>
        <w:r w:rsidR="008E0F4A">
          <w:t>(</w:t>
        </w:r>
        <w:fldSimple w:instr=" NUMPAGES   \* MERGEFORMAT ">
          <w:r w:rsidR="00A25E0A">
            <w:rPr>
              <w:noProof/>
            </w:rPr>
            <w:t>3</w:t>
          </w:r>
        </w:fldSimple>
        <w:r w:rsidR="008E0F4A">
          <w:t>)</w:t>
        </w:r>
      </w:p>
      <w:p w14:paraId="7998D16B" w14:textId="77777777" w:rsidR="008E0F4A" w:rsidRDefault="008E0F4A" w:rsidP="00562E6B">
        <w:pPr>
          <w:tabs>
            <w:tab w:val="left" w:pos="5245"/>
          </w:tabs>
        </w:pPr>
        <w:r>
          <w:tab/>
        </w:r>
      </w:p>
      <w:p w14:paraId="76A6DCAB" w14:textId="77777777" w:rsidR="00FA6ACE" w:rsidRDefault="00FA6ACE" w:rsidP="00562E6B"/>
      <w:p w14:paraId="7A6C946A" w14:textId="77777777" w:rsidR="008E0F4A" w:rsidRDefault="005C285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400"/>
      <w:docPartObj>
        <w:docPartGallery w:val="Page Numbers (Top of Page)"/>
        <w:docPartUnique/>
      </w:docPartObj>
    </w:sdtPr>
    <w:sdtEndPr/>
    <w:sdtContent>
      <w:p w14:paraId="78B5D98D" w14:textId="77777777" w:rsidR="00FA6ACE" w:rsidRDefault="00F86B04" w:rsidP="00562E6B">
        <w:pPr>
          <w:ind w:right="-143" w:firstLine="8789"/>
          <w:jc w:val="right"/>
        </w:pPr>
        <w:r>
          <w:fldChar w:fldCharType="begin"/>
        </w:r>
        <w:r>
          <w:instrText xml:space="preserve"> PAGE   \* MERGEFORMAT </w:instrText>
        </w:r>
        <w:r>
          <w:fldChar w:fldCharType="separate"/>
        </w:r>
        <w:r w:rsidR="00A25E0A">
          <w:rPr>
            <w:noProof/>
          </w:rPr>
          <w:t>1</w:t>
        </w:r>
        <w:r>
          <w:rPr>
            <w:noProof/>
          </w:rPr>
          <w:fldChar w:fldCharType="end"/>
        </w:r>
        <w:r w:rsidR="00FA6ACE">
          <w:t>(</w:t>
        </w:r>
        <w:fldSimple w:instr=" NUMPAGES   \* MERGEFORMAT ">
          <w:r w:rsidR="00A25E0A">
            <w:rPr>
              <w:noProof/>
            </w:rPr>
            <w:t>3</w:t>
          </w:r>
        </w:fldSimple>
        <w:r w:rsidR="00FA6ACE">
          <w:t>)</w:t>
        </w:r>
      </w:p>
      <w:p w14:paraId="7367F30D" w14:textId="77777777" w:rsidR="00FA6ACE" w:rsidRDefault="005C2853" w:rsidP="00CB4C78">
        <w:pPr>
          <w:ind w:left="5245"/>
        </w:pPr>
      </w:p>
    </w:sdtContent>
  </w:sdt>
  <w:p w14:paraId="75E42B3C" w14:textId="77777777" w:rsidR="00FA6ACE" w:rsidRDefault="00FA6ACE" w:rsidP="00CB4C78"/>
  <w:p w14:paraId="4D5BA431"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1670251768">
    <w:abstractNumId w:val="4"/>
  </w:num>
  <w:num w:numId="2" w16cid:durableId="2092313807">
    <w:abstractNumId w:val="6"/>
  </w:num>
  <w:num w:numId="3" w16cid:durableId="944074847">
    <w:abstractNumId w:val="0"/>
  </w:num>
  <w:num w:numId="4" w16cid:durableId="603532624">
    <w:abstractNumId w:val="1"/>
  </w:num>
  <w:num w:numId="5" w16cid:durableId="1895967346">
    <w:abstractNumId w:val="5"/>
  </w:num>
  <w:num w:numId="6" w16cid:durableId="1760249346">
    <w:abstractNumId w:val="3"/>
  </w:num>
  <w:num w:numId="7" w16cid:durableId="319650459">
    <w:abstractNumId w:val="3"/>
  </w:num>
  <w:num w:numId="8" w16cid:durableId="53446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7"/>
    <w:rsid w:val="00011BA7"/>
    <w:rsid w:val="00016E55"/>
    <w:rsid w:val="00020721"/>
    <w:rsid w:val="0003182E"/>
    <w:rsid w:val="00053D44"/>
    <w:rsid w:val="00063ECB"/>
    <w:rsid w:val="00070214"/>
    <w:rsid w:val="00075991"/>
    <w:rsid w:val="000B3024"/>
    <w:rsid w:val="000C272A"/>
    <w:rsid w:val="000D3235"/>
    <w:rsid w:val="001431B7"/>
    <w:rsid w:val="00144D34"/>
    <w:rsid w:val="00147111"/>
    <w:rsid w:val="00155F3B"/>
    <w:rsid w:val="00174714"/>
    <w:rsid w:val="001776E9"/>
    <w:rsid w:val="00186396"/>
    <w:rsid w:val="001B078B"/>
    <w:rsid w:val="001E5F86"/>
    <w:rsid w:val="001E7AD9"/>
    <w:rsid w:val="001F2023"/>
    <w:rsid w:val="001F70AF"/>
    <w:rsid w:val="00210152"/>
    <w:rsid w:val="002373F4"/>
    <w:rsid w:val="00292DED"/>
    <w:rsid w:val="002979F5"/>
    <w:rsid w:val="002A13C4"/>
    <w:rsid w:val="002D31CC"/>
    <w:rsid w:val="002D5F57"/>
    <w:rsid w:val="002D72CF"/>
    <w:rsid w:val="00307C47"/>
    <w:rsid w:val="003268C9"/>
    <w:rsid w:val="00346B03"/>
    <w:rsid w:val="0035765A"/>
    <w:rsid w:val="00367C90"/>
    <w:rsid w:val="00393411"/>
    <w:rsid w:val="003A2869"/>
    <w:rsid w:val="004063FF"/>
    <w:rsid w:val="00444D33"/>
    <w:rsid w:val="00445076"/>
    <w:rsid w:val="00446E3A"/>
    <w:rsid w:val="0047233E"/>
    <w:rsid w:val="00486BE8"/>
    <w:rsid w:val="004A196F"/>
    <w:rsid w:val="004C5212"/>
    <w:rsid w:val="004C6B33"/>
    <w:rsid w:val="0050712E"/>
    <w:rsid w:val="005146D4"/>
    <w:rsid w:val="0051596E"/>
    <w:rsid w:val="005512A4"/>
    <w:rsid w:val="00562E6B"/>
    <w:rsid w:val="005834E9"/>
    <w:rsid w:val="0059671F"/>
    <w:rsid w:val="005C2853"/>
    <w:rsid w:val="005F02A5"/>
    <w:rsid w:val="006131C2"/>
    <w:rsid w:val="006A4A91"/>
    <w:rsid w:val="006D40F8"/>
    <w:rsid w:val="006D6C2D"/>
    <w:rsid w:val="00722420"/>
    <w:rsid w:val="007448BC"/>
    <w:rsid w:val="0076257D"/>
    <w:rsid w:val="007729CF"/>
    <w:rsid w:val="00783B52"/>
    <w:rsid w:val="00785D97"/>
    <w:rsid w:val="007A74D4"/>
    <w:rsid w:val="007B4560"/>
    <w:rsid w:val="007B4E42"/>
    <w:rsid w:val="007C2B22"/>
    <w:rsid w:val="007E0A2C"/>
    <w:rsid w:val="00811D8D"/>
    <w:rsid w:val="008200A9"/>
    <w:rsid w:val="008559F2"/>
    <w:rsid w:val="00885EDF"/>
    <w:rsid w:val="008A0773"/>
    <w:rsid w:val="008A4280"/>
    <w:rsid w:val="008E0F4A"/>
    <w:rsid w:val="00906E49"/>
    <w:rsid w:val="00924C90"/>
    <w:rsid w:val="00924DA7"/>
    <w:rsid w:val="009434E6"/>
    <w:rsid w:val="009B230C"/>
    <w:rsid w:val="009B6311"/>
    <w:rsid w:val="009C230B"/>
    <w:rsid w:val="009D222E"/>
    <w:rsid w:val="00A135F7"/>
    <w:rsid w:val="00A24604"/>
    <w:rsid w:val="00A25E0A"/>
    <w:rsid w:val="00A612FC"/>
    <w:rsid w:val="00A64BD2"/>
    <w:rsid w:val="00A75231"/>
    <w:rsid w:val="00A90735"/>
    <w:rsid w:val="00A96759"/>
    <w:rsid w:val="00AA21F6"/>
    <w:rsid w:val="00AA5350"/>
    <w:rsid w:val="00AB3727"/>
    <w:rsid w:val="00AF2EBD"/>
    <w:rsid w:val="00AF3346"/>
    <w:rsid w:val="00B42986"/>
    <w:rsid w:val="00BD45A7"/>
    <w:rsid w:val="00BE4CA3"/>
    <w:rsid w:val="00BF06A8"/>
    <w:rsid w:val="00C21181"/>
    <w:rsid w:val="00CB4C78"/>
    <w:rsid w:val="00CD4A95"/>
    <w:rsid w:val="00D05785"/>
    <w:rsid w:val="00D129CE"/>
    <w:rsid w:val="00D25AD2"/>
    <w:rsid w:val="00D30EC2"/>
    <w:rsid w:val="00D35E49"/>
    <w:rsid w:val="00D44B33"/>
    <w:rsid w:val="00D60C53"/>
    <w:rsid w:val="00D76D7A"/>
    <w:rsid w:val="00D87C57"/>
    <w:rsid w:val="00DE107F"/>
    <w:rsid w:val="00DE217C"/>
    <w:rsid w:val="00E0151B"/>
    <w:rsid w:val="00E07440"/>
    <w:rsid w:val="00E2160A"/>
    <w:rsid w:val="00E330A7"/>
    <w:rsid w:val="00E44094"/>
    <w:rsid w:val="00E81682"/>
    <w:rsid w:val="00EE0105"/>
    <w:rsid w:val="00F00218"/>
    <w:rsid w:val="00F63379"/>
    <w:rsid w:val="00F66436"/>
    <w:rsid w:val="00F7177D"/>
    <w:rsid w:val="00F734F9"/>
    <w:rsid w:val="00F73B15"/>
    <w:rsid w:val="00F86B04"/>
    <w:rsid w:val="00F93E7C"/>
    <w:rsid w:val="00FA2696"/>
    <w:rsid w:val="00FA356E"/>
    <w:rsid w:val="00FA6ACE"/>
    <w:rsid w:val="00FB6ABF"/>
    <w:rsid w:val="00FF2A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78F53"/>
  <w15:chartTrackingRefBased/>
  <w15:docId w15:val="{C9464055-1131-4169-99AC-722F1BC2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11BA7"/>
    <w:pPr>
      <w:tabs>
        <w:tab w:val="left" w:pos="2608"/>
        <w:tab w:val="left" w:pos="3912"/>
      </w:tabs>
    </w:pPr>
    <w:rPr>
      <w:rFonts w:ascii="Arial" w:hAnsi="Arial"/>
      <w:sz w:val="21"/>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Leipteksti"/>
    <w:link w:val="Otsikko2Char"/>
    <w:qFormat/>
    <w:rsid w:val="00011BA7"/>
    <w:pPr>
      <w:keepNext/>
      <w:keepLines/>
      <w:spacing w:before="240" w:after="240" w:line="240" w:lineRule="atLeast"/>
      <w:outlineLvl w:val="1"/>
    </w:pPr>
    <w:rPr>
      <w:bCs/>
      <w:szCs w:val="26"/>
      <w:lang w:val="x-none" w:eastAsia="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2Char">
    <w:name w:val="Otsikko 2 Char"/>
    <w:basedOn w:val="Kappaleenoletusfontti"/>
    <w:link w:val="Otsikko2"/>
    <w:rsid w:val="00011BA7"/>
    <w:rPr>
      <w:rFonts w:ascii="Arial" w:hAnsi="Arial"/>
      <w:bCs/>
      <w:sz w:val="21"/>
      <w:szCs w:val="26"/>
      <w:lang w:val="x-none" w:eastAsia="x-none"/>
    </w:rPr>
  </w:style>
  <w:style w:type="paragraph" w:styleId="Leipteksti">
    <w:name w:val="Body Text"/>
    <w:basedOn w:val="Normaali"/>
    <w:link w:val="LeiptekstiChar"/>
    <w:qFormat/>
    <w:rsid w:val="00011BA7"/>
    <w:pPr>
      <w:spacing w:line="240" w:lineRule="atLeast"/>
      <w:ind w:left="2608"/>
    </w:pPr>
    <w:rPr>
      <w:lang w:val="x-none" w:eastAsia="x-none"/>
    </w:rPr>
  </w:style>
  <w:style w:type="character" w:customStyle="1" w:styleId="LeiptekstiChar">
    <w:name w:val="Leipäteksti Char"/>
    <w:basedOn w:val="Kappaleenoletusfontti"/>
    <w:link w:val="Leipteksti"/>
    <w:rsid w:val="00011BA7"/>
    <w:rPr>
      <w:rFonts w:ascii="Arial" w:hAnsi="Arial"/>
      <w:sz w:val="21"/>
      <w:lang w:val="x-none" w:eastAsia="x-none"/>
    </w:rPr>
  </w:style>
  <w:style w:type="character" w:customStyle="1" w:styleId="akptunniste">
    <w:name w:val="akptunniste"/>
    <w:semiHidden/>
    <w:rsid w:val="00011BA7"/>
    <w:rPr>
      <w:rFonts w:ascii="Arial" w:hAnsi="Arial"/>
      <w:color w:val="000000"/>
      <w:sz w:val="21"/>
    </w:rPr>
  </w:style>
  <w:style w:type="character" w:customStyle="1" w:styleId="akppaivays">
    <w:name w:val="akppaivays"/>
    <w:semiHidden/>
    <w:rsid w:val="00011BA7"/>
    <w:rPr>
      <w:rFonts w:ascii="Arial" w:hAnsi="Arial"/>
      <w:color w:val="000000"/>
      <w:sz w:val="21"/>
    </w:rPr>
  </w:style>
  <w:style w:type="character" w:customStyle="1" w:styleId="akpatyyppi">
    <w:name w:val="akpatyyppi"/>
    <w:semiHidden/>
    <w:rsid w:val="00011BA7"/>
    <w:rPr>
      <w:rFonts w:ascii="Arial" w:hAnsi="Arial"/>
      <w:color w:val="000000"/>
      <w:sz w:val="21"/>
    </w:rPr>
  </w:style>
  <w:style w:type="paragraph" w:customStyle="1" w:styleId="Default">
    <w:name w:val="Default"/>
    <w:rsid w:val="00FA26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4</Pages>
  <Words>926</Words>
  <Characters>7831</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Kyllönen Hanna-Mari (TEM)</dc:creator>
  <cp:keywords/>
  <dc:description/>
  <cp:lastModifiedBy>Raatikainen Taina (TEM)</cp:lastModifiedBy>
  <cp:revision>15</cp:revision>
  <dcterms:created xsi:type="dcterms:W3CDTF">2024-09-23T06:50:00Z</dcterms:created>
  <dcterms:modified xsi:type="dcterms:W3CDTF">2024-11-27T12:10:00Z</dcterms:modified>
</cp:coreProperties>
</file>