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997623"/>
    <w:p w:rsidR="00EF3AF3" w:rsidRDefault="00EF3AF3" w:rsidP="00825DF1">
      <w:pPr>
        <w:pStyle w:val="LLEsityksennimi"/>
      </w:pPr>
      <w:r>
        <w:t xml:space="preserve">Hallituksen esitys eduskunnalle </w:t>
      </w:r>
      <w:r w:rsidR="005B14FA">
        <w:t>laiksi Museovirastosta annetun lain muuttamisesta</w:t>
      </w:r>
    </w:p>
    <w:bookmarkStart w:id="0" w:name="_Toc20986704" w:displacedByCustomXml="next"/>
    <w:sdt>
      <w:sdtPr>
        <w:alias w:val="Otsikko"/>
        <w:tag w:val="CCOtsikko"/>
        <w:id w:val="-717274869"/>
        <w:lock w:val="sdtLocked"/>
        <w:placeholder>
          <w:docPart w:val="4A342FEAFE43421696DE1337491DE0C1"/>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D94940B1A1D342F2A422C0DD6DCF6F36"/>
        </w:placeholder>
        <w15:color w:val="00CCFF"/>
      </w:sdtPr>
      <w:sdtEndPr/>
      <w:sdtContent>
        <w:p w:rsidR="00A2544B" w:rsidRDefault="005B14FA" w:rsidP="00BC6172">
          <w:pPr>
            <w:pStyle w:val="LLPerustelujenkappalejako"/>
          </w:pPr>
          <w:r>
            <w:t>Esityksessä ehdotetaan muutettavaksi Museovirastosta annettua lakia</w:t>
          </w:r>
          <w:r w:rsidR="00A2544B">
            <w:t>.</w:t>
          </w:r>
          <w:r>
            <w:t xml:space="preserve"> </w:t>
          </w:r>
          <w:r w:rsidRPr="005B14FA">
            <w:t>Lailla täydennettäisiin Euroopan parlamentin ja neuvoston asetusta kulttuuriesineiden tullialueelle siirtämisestä ja tuonnista säätämällä</w:t>
          </w:r>
          <w:r w:rsidR="00A00604">
            <w:t xml:space="preserve"> asetuksessa tarkoitettujen tuontilupien myöntämisestä päättävästä toimivaltaisesta viranomaisesta</w:t>
          </w:r>
          <w:r w:rsidRPr="005B14FA">
            <w:t>.</w:t>
          </w:r>
          <w:r>
            <w:t xml:space="preserve"> Ehdotetun lain nojalla Museovirasto toimisi asetuksessa tarkoitettuna toimivaltaisena viranomaisena.</w:t>
          </w:r>
        </w:p>
        <w:p w:rsidR="005A0584" w:rsidRPr="00BC6172" w:rsidRDefault="00A2544B" w:rsidP="00BC6172">
          <w:pPr>
            <w:pStyle w:val="LLPerustelujenkappalejako"/>
          </w:pPr>
          <w:r w:rsidRPr="00A2544B">
            <w:t>Laki on tarkoitettu tulemaan voimaan</w:t>
          </w:r>
          <w:r w:rsidR="005B14FA">
            <w:t xml:space="preserve"> </w:t>
          </w:r>
          <w:r w:rsidR="00791839">
            <w:t>28 päivänä kesäkuuta</w:t>
          </w:r>
          <w:r w:rsidR="005B14FA">
            <w:t xml:space="preserve"> 2025</w:t>
          </w:r>
          <w:r w:rsidRPr="00A2544B">
            <w:t>.</w:t>
          </w:r>
        </w:p>
      </w:sdtContent>
    </w:sdt>
    <w:p w:rsidR="005A0584" w:rsidRPr="000852C2" w:rsidRDefault="0076114C" w:rsidP="00612C71">
      <w:pPr>
        <w:pStyle w:val="LLNormaali"/>
        <w:jc w:val="center"/>
      </w:pPr>
      <w:r w:rsidRPr="0076114C">
        <w:t>—————</w:t>
      </w:r>
      <w:r w:rsidR="005A0584" w:rsidRPr="000852C2">
        <w:br w:type="page"/>
      </w:r>
    </w:p>
    <w:p w:rsidR="005A0584" w:rsidRDefault="00A17195" w:rsidP="00612C71">
      <w:pPr>
        <w:pStyle w:val="LLSisllys"/>
      </w:pPr>
      <w:r w:rsidRPr="000852C2">
        <w:lastRenderedPageBreak/>
        <w:t>Sisällys</w:t>
      </w:r>
    </w:p>
    <w:p w:rsidR="008B1D29" w:rsidRDefault="00CD5667">
      <w:pPr>
        <w:pStyle w:val="Sisluet1"/>
        <w:rPr>
          <w:rFonts w:asciiTheme="minorHAnsi" w:eastAsiaTheme="minorEastAsia" w:hAnsiTheme="minorHAnsi" w:cstheme="minorBidi"/>
          <w:bCs w:val="0"/>
          <w:caps w:val="0"/>
          <w:noProof/>
          <w:szCs w:val="22"/>
          <w:lang w:eastAsia="zh-CN"/>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20986704" w:history="1">
        <w:r w:rsidR="008B1D29" w:rsidRPr="00C14DFD">
          <w:rPr>
            <w:rStyle w:val="Hyperlinkki"/>
            <w:noProof/>
          </w:rPr>
          <w:t>Esityksen pääasiallinen sisältö</w:t>
        </w:r>
        <w:r w:rsidR="008B1D29">
          <w:rPr>
            <w:noProof/>
            <w:webHidden/>
          </w:rPr>
          <w:tab/>
        </w:r>
        <w:r w:rsidR="008B1D29">
          <w:rPr>
            <w:noProof/>
            <w:webHidden/>
          </w:rPr>
          <w:fldChar w:fldCharType="begin"/>
        </w:r>
        <w:r w:rsidR="008B1D29">
          <w:rPr>
            <w:noProof/>
            <w:webHidden/>
          </w:rPr>
          <w:instrText xml:space="preserve"> PAGEREF _Toc20986704 \h </w:instrText>
        </w:r>
        <w:r w:rsidR="008B1D29">
          <w:rPr>
            <w:noProof/>
            <w:webHidden/>
          </w:rPr>
        </w:r>
        <w:r w:rsidR="008B1D29">
          <w:rPr>
            <w:noProof/>
            <w:webHidden/>
          </w:rPr>
          <w:fldChar w:fldCharType="separate"/>
        </w:r>
        <w:r w:rsidR="00775857">
          <w:rPr>
            <w:noProof/>
            <w:webHidden/>
          </w:rPr>
          <w:t>1</w:t>
        </w:r>
        <w:r w:rsidR="008B1D29">
          <w:rPr>
            <w:noProof/>
            <w:webHidden/>
          </w:rPr>
          <w:fldChar w:fldCharType="end"/>
        </w:r>
      </w:hyperlink>
    </w:p>
    <w:p w:rsidR="008B1D29" w:rsidRDefault="002226B0">
      <w:pPr>
        <w:pStyle w:val="Sisluet1"/>
        <w:rPr>
          <w:rFonts w:asciiTheme="minorHAnsi" w:eastAsiaTheme="minorEastAsia" w:hAnsiTheme="minorHAnsi" w:cstheme="minorBidi"/>
          <w:bCs w:val="0"/>
          <w:caps w:val="0"/>
          <w:noProof/>
          <w:szCs w:val="22"/>
          <w:lang w:eastAsia="zh-CN"/>
        </w:rPr>
      </w:pPr>
      <w:hyperlink w:anchor="_Toc20986705" w:history="1">
        <w:r w:rsidR="008B1D29" w:rsidRPr="00C14DFD">
          <w:rPr>
            <w:rStyle w:val="Hyperlinkki"/>
            <w:noProof/>
          </w:rPr>
          <w:t>PERUSTELUT</w:t>
        </w:r>
        <w:r w:rsidR="008B1D29">
          <w:rPr>
            <w:noProof/>
            <w:webHidden/>
          </w:rPr>
          <w:tab/>
        </w:r>
        <w:r w:rsidR="008B1D29">
          <w:rPr>
            <w:noProof/>
            <w:webHidden/>
          </w:rPr>
          <w:fldChar w:fldCharType="begin"/>
        </w:r>
        <w:r w:rsidR="008B1D29">
          <w:rPr>
            <w:noProof/>
            <w:webHidden/>
          </w:rPr>
          <w:instrText xml:space="preserve"> PAGEREF _Toc20986705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06" w:history="1">
        <w:r w:rsidR="008B1D29" w:rsidRPr="00C14DFD">
          <w:rPr>
            <w:rStyle w:val="Hyperlinkki"/>
          </w:rPr>
          <w:t>1 Asian tausta ja valmistelu</w:t>
        </w:r>
        <w:r w:rsidR="008B1D29">
          <w:rPr>
            <w:webHidden/>
          </w:rPr>
          <w:tab/>
        </w:r>
        <w:r w:rsidR="008B1D29">
          <w:rPr>
            <w:webHidden/>
          </w:rPr>
          <w:fldChar w:fldCharType="begin"/>
        </w:r>
        <w:r w:rsidR="008B1D29">
          <w:rPr>
            <w:webHidden/>
          </w:rPr>
          <w:instrText xml:space="preserve"> PAGEREF _Toc20986706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07" w:history="1">
        <w:r w:rsidR="008B1D29" w:rsidRPr="00C14DFD">
          <w:rPr>
            <w:rStyle w:val="Hyperlinkki"/>
            <w:noProof/>
          </w:rPr>
          <w:t>1.1 Tausta</w:t>
        </w:r>
        <w:r w:rsidR="008B1D29">
          <w:rPr>
            <w:noProof/>
            <w:webHidden/>
          </w:rPr>
          <w:tab/>
        </w:r>
        <w:r w:rsidR="008B1D29">
          <w:rPr>
            <w:noProof/>
            <w:webHidden/>
          </w:rPr>
          <w:fldChar w:fldCharType="begin"/>
        </w:r>
        <w:r w:rsidR="008B1D29">
          <w:rPr>
            <w:noProof/>
            <w:webHidden/>
          </w:rPr>
          <w:instrText xml:space="preserve"> PAGEREF _Toc20986707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08" w:history="1">
        <w:r w:rsidR="008B1D29" w:rsidRPr="00C14DFD">
          <w:rPr>
            <w:rStyle w:val="Hyperlinkki"/>
            <w:noProof/>
          </w:rPr>
          <w:t>1.2 Valmistelu</w:t>
        </w:r>
        <w:r w:rsidR="008B1D29">
          <w:rPr>
            <w:noProof/>
            <w:webHidden/>
          </w:rPr>
          <w:tab/>
        </w:r>
        <w:r w:rsidR="008B1D29">
          <w:rPr>
            <w:noProof/>
            <w:webHidden/>
          </w:rPr>
          <w:fldChar w:fldCharType="begin"/>
        </w:r>
        <w:r w:rsidR="008B1D29">
          <w:rPr>
            <w:noProof/>
            <w:webHidden/>
          </w:rPr>
          <w:instrText xml:space="preserve"> PAGEREF _Toc20986708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09" w:history="1">
        <w:r w:rsidR="008B1D29" w:rsidRPr="00C14DFD">
          <w:rPr>
            <w:rStyle w:val="Hyperlinkki"/>
          </w:rPr>
          <w:t>2 EU-säädöksen tavoitteet ja pääasiallinen sisältö</w:t>
        </w:r>
        <w:r w:rsidR="008B1D29">
          <w:rPr>
            <w:webHidden/>
          </w:rPr>
          <w:tab/>
        </w:r>
        <w:r w:rsidR="008B1D29">
          <w:rPr>
            <w:webHidden/>
          </w:rPr>
          <w:fldChar w:fldCharType="begin"/>
        </w:r>
        <w:r w:rsidR="008B1D29">
          <w:rPr>
            <w:webHidden/>
          </w:rPr>
          <w:instrText xml:space="preserve"> PAGEREF _Toc20986709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10" w:history="1">
        <w:r w:rsidR="008B1D29" w:rsidRPr="00C14DFD">
          <w:rPr>
            <w:rStyle w:val="Hyperlinkki"/>
          </w:rPr>
          <w:t>3 Nykytila ja sen arviointi</w:t>
        </w:r>
        <w:r w:rsidR="008B1D29">
          <w:rPr>
            <w:webHidden/>
          </w:rPr>
          <w:tab/>
        </w:r>
        <w:r w:rsidR="008B1D29">
          <w:rPr>
            <w:webHidden/>
          </w:rPr>
          <w:fldChar w:fldCharType="begin"/>
        </w:r>
        <w:r w:rsidR="008B1D29">
          <w:rPr>
            <w:webHidden/>
          </w:rPr>
          <w:instrText xml:space="preserve"> PAGEREF _Toc20986710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11" w:history="1">
        <w:r w:rsidR="008B1D29" w:rsidRPr="00C14DFD">
          <w:rPr>
            <w:rStyle w:val="Hyperlinkki"/>
          </w:rPr>
          <w:t>4 Ehdotukset ja niiden vaikutukset</w:t>
        </w:r>
        <w:r w:rsidR="008B1D29">
          <w:rPr>
            <w:webHidden/>
          </w:rPr>
          <w:tab/>
        </w:r>
        <w:r w:rsidR="008B1D29">
          <w:rPr>
            <w:webHidden/>
          </w:rPr>
          <w:fldChar w:fldCharType="begin"/>
        </w:r>
        <w:r w:rsidR="008B1D29">
          <w:rPr>
            <w:webHidden/>
          </w:rPr>
          <w:instrText xml:space="preserve"> PAGEREF _Toc20986711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12" w:history="1">
        <w:r w:rsidR="008B1D29" w:rsidRPr="00C14DFD">
          <w:rPr>
            <w:rStyle w:val="Hyperlinkki"/>
            <w:noProof/>
          </w:rPr>
          <w:t>4.1 Keskeiset ehdotukset</w:t>
        </w:r>
        <w:r w:rsidR="008B1D29">
          <w:rPr>
            <w:noProof/>
            <w:webHidden/>
          </w:rPr>
          <w:tab/>
        </w:r>
        <w:r w:rsidR="008B1D29">
          <w:rPr>
            <w:noProof/>
            <w:webHidden/>
          </w:rPr>
          <w:fldChar w:fldCharType="begin"/>
        </w:r>
        <w:r w:rsidR="008B1D29">
          <w:rPr>
            <w:noProof/>
            <w:webHidden/>
          </w:rPr>
          <w:instrText xml:space="preserve"> PAGEREF _Toc20986712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13" w:history="1">
        <w:r w:rsidR="008B1D29" w:rsidRPr="00C14DFD">
          <w:rPr>
            <w:rStyle w:val="Hyperlinkki"/>
            <w:noProof/>
          </w:rPr>
          <w:t>4.2 Pääasialliset vaikutukset</w:t>
        </w:r>
        <w:r w:rsidR="008B1D29">
          <w:rPr>
            <w:noProof/>
            <w:webHidden/>
          </w:rPr>
          <w:tab/>
        </w:r>
        <w:r w:rsidR="008B1D29">
          <w:rPr>
            <w:noProof/>
            <w:webHidden/>
          </w:rPr>
          <w:fldChar w:fldCharType="begin"/>
        </w:r>
        <w:r w:rsidR="008B1D29">
          <w:rPr>
            <w:noProof/>
            <w:webHidden/>
          </w:rPr>
          <w:instrText xml:space="preserve"> PAGEREF _Toc20986713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14" w:history="1">
        <w:r w:rsidR="008B1D29" w:rsidRPr="00C14DFD">
          <w:rPr>
            <w:rStyle w:val="Hyperlinkki"/>
          </w:rPr>
          <w:t>5 Muut toteuttamisvaihtoehdot</w:t>
        </w:r>
        <w:r w:rsidR="008B1D29">
          <w:rPr>
            <w:webHidden/>
          </w:rPr>
          <w:tab/>
        </w:r>
        <w:r w:rsidR="008B1D29">
          <w:rPr>
            <w:webHidden/>
          </w:rPr>
          <w:fldChar w:fldCharType="begin"/>
        </w:r>
        <w:r w:rsidR="008B1D29">
          <w:rPr>
            <w:webHidden/>
          </w:rPr>
          <w:instrText xml:space="preserve"> PAGEREF _Toc20986714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15" w:history="1">
        <w:r w:rsidR="008B1D29" w:rsidRPr="00C14DFD">
          <w:rPr>
            <w:rStyle w:val="Hyperlinkki"/>
            <w:noProof/>
          </w:rPr>
          <w:t>5.1 Vaihtoehdot ja niiden vaikutukset</w:t>
        </w:r>
        <w:r w:rsidR="008B1D29">
          <w:rPr>
            <w:noProof/>
            <w:webHidden/>
          </w:rPr>
          <w:tab/>
        </w:r>
        <w:r w:rsidR="008B1D29">
          <w:rPr>
            <w:noProof/>
            <w:webHidden/>
          </w:rPr>
          <w:fldChar w:fldCharType="begin"/>
        </w:r>
        <w:r w:rsidR="008B1D29">
          <w:rPr>
            <w:noProof/>
            <w:webHidden/>
          </w:rPr>
          <w:instrText xml:space="preserve"> PAGEREF _Toc20986715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16" w:history="1">
        <w:r w:rsidR="008B1D29" w:rsidRPr="00C14DFD">
          <w:rPr>
            <w:rStyle w:val="Hyperlinkki"/>
            <w:noProof/>
          </w:rPr>
          <w:t>5.2 Muiden jäsenvaltioiden suunnittelemat tai toteuttamat keinot</w:t>
        </w:r>
        <w:r w:rsidR="008B1D29">
          <w:rPr>
            <w:noProof/>
            <w:webHidden/>
          </w:rPr>
          <w:tab/>
        </w:r>
        <w:r w:rsidR="008B1D29">
          <w:rPr>
            <w:noProof/>
            <w:webHidden/>
          </w:rPr>
          <w:fldChar w:fldCharType="begin"/>
        </w:r>
        <w:r w:rsidR="008B1D29">
          <w:rPr>
            <w:noProof/>
            <w:webHidden/>
          </w:rPr>
          <w:instrText xml:space="preserve"> PAGEREF _Toc20986716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17" w:history="1">
        <w:r w:rsidR="008B1D29" w:rsidRPr="00C14DFD">
          <w:rPr>
            <w:rStyle w:val="Hyperlinkki"/>
          </w:rPr>
          <w:t>6 Lausuntopalaute</w:t>
        </w:r>
        <w:r w:rsidR="008B1D29">
          <w:rPr>
            <w:webHidden/>
          </w:rPr>
          <w:tab/>
        </w:r>
        <w:r w:rsidR="008B1D29">
          <w:rPr>
            <w:webHidden/>
          </w:rPr>
          <w:fldChar w:fldCharType="begin"/>
        </w:r>
        <w:r w:rsidR="008B1D29">
          <w:rPr>
            <w:webHidden/>
          </w:rPr>
          <w:instrText xml:space="preserve"> PAGEREF _Toc20986717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18" w:history="1">
        <w:r w:rsidR="008B1D29" w:rsidRPr="00C14DFD">
          <w:rPr>
            <w:rStyle w:val="Hyperlinkki"/>
          </w:rPr>
          <w:t>7 Säännöskohtaiset perustelut</w:t>
        </w:r>
        <w:r w:rsidR="008B1D29">
          <w:rPr>
            <w:webHidden/>
          </w:rPr>
          <w:tab/>
        </w:r>
        <w:r w:rsidR="008B1D29">
          <w:rPr>
            <w:webHidden/>
          </w:rPr>
          <w:fldChar w:fldCharType="begin"/>
        </w:r>
        <w:r w:rsidR="008B1D29">
          <w:rPr>
            <w:webHidden/>
          </w:rPr>
          <w:instrText xml:space="preserve"> PAGEREF _Toc20986718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19" w:history="1">
        <w:r w:rsidR="008B1D29" w:rsidRPr="00C14DFD">
          <w:rPr>
            <w:rStyle w:val="Hyperlinkki"/>
          </w:rPr>
          <w:t>8 Lakia alemman asteinen sääntely</w:t>
        </w:r>
        <w:r w:rsidR="008B1D29">
          <w:rPr>
            <w:webHidden/>
          </w:rPr>
          <w:tab/>
        </w:r>
        <w:r w:rsidR="008B1D29">
          <w:rPr>
            <w:webHidden/>
          </w:rPr>
          <w:fldChar w:fldCharType="begin"/>
        </w:r>
        <w:r w:rsidR="008B1D29">
          <w:rPr>
            <w:webHidden/>
          </w:rPr>
          <w:instrText xml:space="preserve"> PAGEREF _Toc20986719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20" w:history="1">
        <w:r w:rsidR="008B1D29" w:rsidRPr="00C14DFD">
          <w:rPr>
            <w:rStyle w:val="Hyperlinkki"/>
          </w:rPr>
          <w:t>9 Voimaantulo</w:t>
        </w:r>
        <w:r w:rsidR="008B1D29">
          <w:rPr>
            <w:webHidden/>
          </w:rPr>
          <w:tab/>
        </w:r>
        <w:r w:rsidR="008B1D29">
          <w:rPr>
            <w:webHidden/>
          </w:rPr>
          <w:fldChar w:fldCharType="begin"/>
        </w:r>
        <w:r w:rsidR="008B1D29">
          <w:rPr>
            <w:webHidden/>
          </w:rPr>
          <w:instrText xml:space="preserve"> PAGEREF _Toc20986720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21" w:history="1">
        <w:r w:rsidR="008B1D29" w:rsidRPr="00C14DFD">
          <w:rPr>
            <w:rStyle w:val="Hyperlinkki"/>
          </w:rPr>
          <w:t>10 Toimeenpano ja seuranta</w:t>
        </w:r>
        <w:r w:rsidR="008B1D29">
          <w:rPr>
            <w:webHidden/>
          </w:rPr>
          <w:tab/>
        </w:r>
        <w:r w:rsidR="008B1D29">
          <w:rPr>
            <w:webHidden/>
          </w:rPr>
          <w:fldChar w:fldCharType="begin"/>
        </w:r>
        <w:r w:rsidR="008B1D29">
          <w:rPr>
            <w:webHidden/>
          </w:rPr>
          <w:instrText xml:space="preserve"> PAGEREF _Toc20986721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22" w:history="1">
        <w:r w:rsidR="008B1D29" w:rsidRPr="00C14DFD">
          <w:rPr>
            <w:rStyle w:val="Hyperlinkki"/>
          </w:rPr>
          <w:t>11 Suhde muihin esityksiin</w:t>
        </w:r>
        <w:r w:rsidR="008B1D29">
          <w:rPr>
            <w:webHidden/>
          </w:rPr>
          <w:tab/>
        </w:r>
        <w:r w:rsidR="008B1D29">
          <w:rPr>
            <w:webHidden/>
          </w:rPr>
          <w:fldChar w:fldCharType="begin"/>
        </w:r>
        <w:r w:rsidR="008B1D29">
          <w:rPr>
            <w:webHidden/>
          </w:rPr>
          <w:instrText xml:space="preserve"> PAGEREF _Toc20986722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23" w:history="1">
        <w:r w:rsidR="008B1D29" w:rsidRPr="00C14DFD">
          <w:rPr>
            <w:rStyle w:val="Hyperlinkki"/>
            <w:noProof/>
          </w:rPr>
          <w:t>11.1 Esityksen riippuvuus muista esityksistä</w:t>
        </w:r>
        <w:r w:rsidR="008B1D29">
          <w:rPr>
            <w:noProof/>
            <w:webHidden/>
          </w:rPr>
          <w:tab/>
        </w:r>
        <w:r w:rsidR="008B1D29">
          <w:rPr>
            <w:noProof/>
            <w:webHidden/>
          </w:rPr>
          <w:fldChar w:fldCharType="begin"/>
        </w:r>
        <w:r w:rsidR="008B1D29">
          <w:rPr>
            <w:noProof/>
            <w:webHidden/>
          </w:rPr>
          <w:instrText xml:space="preserve"> PAGEREF _Toc20986723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24" w:history="1">
        <w:r w:rsidR="008B1D29" w:rsidRPr="00C14DFD">
          <w:rPr>
            <w:rStyle w:val="Hyperlinkki"/>
            <w:noProof/>
          </w:rPr>
          <w:t>11.2 Suhde talousarvioesitykseen</w:t>
        </w:r>
        <w:r w:rsidR="008B1D29">
          <w:rPr>
            <w:noProof/>
            <w:webHidden/>
          </w:rPr>
          <w:tab/>
        </w:r>
        <w:r w:rsidR="008B1D29">
          <w:rPr>
            <w:noProof/>
            <w:webHidden/>
          </w:rPr>
          <w:fldChar w:fldCharType="begin"/>
        </w:r>
        <w:r w:rsidR="008B1D29">
          <w:rPr>
            <w:noProof/>
            <w:webHidden/>
          </w:rPr>
          <w:instrText xml:space="preserve"> PAGEREF _Toc20986724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2"/>
        <w:rPr>
          <w:rFonts w:asciiTheme="minorHAnsi" w:eastAsiaTheme="minorEastAsia" w:hAnsiTheme="minorHAnsi" w:cstheme="minorBidi"/>
          <w:szCs w:val="22"/>
          <w:lang w:eastAsia="zh-CN"/>
        </w:rPr>
      </w:pPr>
      <w:hyperlink w:anchor="_Toc20986725" w:history="1">
        <w:r w:rsidR="008B1D29" w:rsidRPr="00C14DFD">
          <w:rPr>
            <w:rStyle w:val="Hyperlinkki"/>
          </w:rPr>
          <w:t>12 Suhde perustuslakiin ja säätämisjärjestys</w:t>
        </w:r>
        <w:r w:rsidR="008B1D29">
          <w:rPr>
            <w:webHidden/>
          </w:rPr>
          <w:tab/>
        </w:r>
        <w:r w:rsidR="008B1D29">
          <w:rPr>
            <w:webHidden/>
          </w:rPr>
          <w:fldChar w:fldCharType="begin"/>
        </w:r>
        <w:r w:rsidR="008B1D29">
          <w:rPr>
            <w:webHidden/>
          </w:rPr>
          <w:instrText xml:space="preserve"> PAGEREF _Toc20986725 \h </w:instrText>
        </w:r>
        <w:r w:rsidR="008B1D29">
          <w:rPr>
            <w:webHidden/>
          </w:rPr>
        </w:r>
        <w:r w:rsidR="008B1D29">
          <w:rPr>
            <w:webHidden/>
          </w:rPr>
          <w:fldChar w:fldCharType="separate"/>
        </w:r>
        <w:r w:rsidR="00775857">
          <w:rPr>
            <w:webHidden/>
          </w:rPr>
          <w:t>2</w:t>
        </w:r>
        <w:r w:rsidR="008B1D29">
          <w:rPr>
            <w:webHidden/>
          </w:rPr>
          <w:fldChar w:fldCharType="end"/>
        </w:r>
      </w:hyperlink>
    </w:p>
    <w:p w:rsidR="008B1D29" w:rsidRDefault="002226B0">
      <w:pPr>
        <w:pStyle w:val="Sisluet1"/>
        <w:rPr>
          <w:rFonts w:asciiTheme="minorHAnsi" w:eastAsiaTheme="minorEastAsia" w:hAnsiTheme="minorHAnsi" w:cstheme="minorBidi"/>
          <w:bCs w:val="0"/>
          <w:caps w:val="0"/>
          <w:noProof/>
          <w:szCs w:val="22"/>
          <w:lang w:eastAsia="zh-CN"/>
        </w:rPr>
      </w:pPr>
      <w:hyperlink w:anchor="_Toc20986726" w:history="1">
        <w:r w:rsidR="008B1D29" w:rsidRPr="00C14DFD">
          <w:rPr>
            <w:rStyle w:val="Hyperlinkki"/>
            <w:noProof/>
          </w:rPr>
          <w:t>Valitse kohde.</w:t>
        </w:r>
        <w:r w:rsidR="008B1D29">
          <w:rPr>
            <w:noProof/>
            <w:webHidden/>
          </w:rPr>
          <w:tab/>
        </w:r>
        <w:r w:rsidR="008B1D29">
          <w:rPr>
            <w:noProof/>
            <w:webHidden/>
          </w:rPr>
          <w:fldChar w:fldCharType="begin"/>
        </w:r>
        <w:r w:rsidR="008B1D29">
          <w:rPr>
            <w:noProof/>
            <w:webHidden/>
          </w:rPr>
          <w:instrText xml:space="preserve"> PAGEREF _Toc20986726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27" w:history="1">
        <w:r w:rsidR="008B1D29" w:rsidRPr="00C14DFD">
          <w:rPr>
            <w:rStyle w:val="Hyperlinkki"/>
            <w:noProof/>
          </w:rPr>
          <w:t>[Kirjoita säädöksen nimi tähän]</w:t>
        </w:r>
        <w:r w:rsidR="008B1D29">
          <w:rPr>
            <w:noProof/>
            <w:webHidden/>
          </w:rPr>
          <w:tab/>
        </w:r>
        <w:r w:rsidR="008B1D29">
          <w:rPr>
            <w:noProof/>
            <w:webHidden/>
          </w:rPr>
          <w:fldChar w:fldCharType="begin"/>
        </w:r>
        <w:r w:rsidR="008B1D29">
          <w:rPr>
            <w:noProof/>
            <w:webHidden/>
          </w:rPr>
          <w:instrText xml:space="preserve"> PAGEREF _Toc20986727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1"/>
        <w:rPr>
          <w:rFonts w:asciiTheme="minorHAnsi" w:eastAsiaTheme="minorEastAsia" w:hAnsiTheme="minorHAnsi" w:cstheme="minorBidi"/>
          <w:bCs w:val="0"/>
          <w:caps w:val="0"/>
          <w:noProof/>
          <w:szCs w:val="22"/>
          <w:lang w:eastAsia="zh-CN"/>
        </w:rPr>
      </w:pPr>
      <w:hyperlink w:anchor="_Toc20986728" w:history="1">
        <w:r w:rsidR="008B1D29" w:rsidRPr="00C14DFD">
          <w:rPr>
            <w:rStyle w:val="Hyperlinkki"/>
            <w:noProof/>
          </w:rPr>
          <w:t>Valitse kohde.</w:t>
        </w:r>
        <w:r w:rsidR="008B1D29">
          <w:rPr>
            <w:noProof/>
            <w:webHidden/>
          </w:rPr>
          <w:tab/>
        </w:r>
        <w:r w:rsidR="008B1D29">
          <w:rPr>
            <w:noProof/>
            <w:webHidden/>
          </w:rPr>
          <w:fldChar w:fldCharType="begin"/>
        </w:r>
        <w:r w:rsidR="008B1D29">
          <w:rPr>
            <w:noProof/>
            <w:webHidden/>
          </w:rPr>
          <w:instrText xml:space="preserve"> PAGEREF _Toc20986728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1"/>
        <w:rPr>
          <w:rFonts w:asciiTheme="minorHAnsi" w:eastAsiaTheme="minorEastAsia" w:hAnsiTheme="minorHAnsi" w:cstheme="minorBidi"/>
          <w:bCs w:val="0"/>
          <w:caps w:val="0"/>
          <w:noProof/>
          <w:szCs w:val="22"/>
          <w:lang w:eastAsia="zh-CN"/>
        </w:rPr>
      </w:pPr>
      <w:hyperlink w:anchor="_Toc20986729" w:history="1">
        <w:r w:rsidR="008B1D29" w:rsidRPr="00C14DFD">
          <w:rPr>
            <w:rStyle w:val="Hyperlinkki"/>
            <w:noProof/>
          </w:rPr>
          <w:t>Valitse kohde.</w:t>
        </w:r>
        <w:r w:rsidR="008B1D29">
          <w:rPr>
            <w:noProof/>
            <w:webHidden/>
          </w:rPr>
          <w:tab/>
        </w:r>
        <w:r w:rsidR="008B1D29">
          <w:rPr>
            <w:noProof/>
            <w:webHidden/>
          </w:rPr>
          <w:fldChar w:fldCharType="begin"/>
        </w:r>
        <w:r w:rsidR="008B1D29">
          <w:rPr>
            <w:noProof/>
            <w:webHidden/>
          </w:rPr>
          <w:instrText xml:space="preserve"> PAGEREF _Toc20986729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8B1D29" w:rsidRDefault="002226B0">
      <w:pPr>
        <w:pStyle w:val="Sisluet3"/>
        <w:rPr>
          <w:rFonts w:asciiTheme="minorHAnsi" w:eastAsiaTheme="minorEastAsia" w:hAnsiTheme="minorHAnsi" w:cstheme="minorBidi"/>
          <w:noProof/>
          <w:szCs w:val="22"/>
          <w:lang w:eastAsia="zh-CN"/>
        </w:rPr>
      </w:pPr>
      <w:hyperlink w:anchor="_Toc20986730" w:history="1">
        <w:r w:rsidR="008B1D29" w:rsidRPr="00C14DFD">
          <w:rPr>
            <w:rStyle w:val="Hyperlinkki"/>
            <w:noProof/>
          </w:rPr>
          <w:t>[Kopioi säädöksen nimi tähän]</w:t>
        </w:r>
        <w:r w:rsidR="008B1D29">
          <w:rPr>
            <w:noProof/>
            <w:webHidden/>
          </w:rPr>
          <w:tab/>
        </w:r>
        <w:r w:rsidR="008B1D29">
          <w:rPr>
            <w:noProof/>
            <w:webHidden/>
          </w:rPr>
          <w:fldChar w:fldCharType="begin"/>
        </w:r>
        <w:r w:rsidR="008B1D29">
          <w:rPr>
            <w:noProof/>
            <w:webHidden/>
          </w:rPr>
          <w:instrText xml:space="preserve"> PAGEREF _Toc20986730 \h </w:instrText>
        </w:r>
        <w:r w:rsidR="008B1D29">
          <w:rPr>
            <w:noProof/>
            <w:webHidden/>
          </w:rPr>
        </w:r>
        <w:r w:rsidR="008B1D29">
          <w:rPr>
            <w:noProof/>
            <w:webHidden/>
          </w:rPr>
          <w:fldChar w:fldCharType="separate"/>
        </w:r>
        <w:r w:rsidR="00775857">
          <w:rPr>
            <w:noProof/>
            <w:webHidden/>
          </w:rPr>
          <w:t>2</w:t>
        </w:r>
        <w:r w:rsidR="008B1D29">
          <w:rPr>
            <w:noProof/>
            <w:webHidden/>
          </w:rPr>
          <w:fldChar w:fldCharType="end"/>
        </w:r>
      </w:hyperlink>
    </w:p>
    <w:p w:rsidR="00A17195" w:rsidRPr="00A17195" w:rsidRDefault="00CD5667" w:rsidP="00A17195">
      <w:r>
        <w:rPr>
          <w:rFonts w:eastAsia="Times New Roman"/>
          <w:bCs/>
          <w:caps/>
          <w:szCs w:val="20"/>
          <w:lang w:eastAsia="fi-FI"/>
        </w:rPr>
        <w:fldChar w:fldCharType="end"/>
      </w:r>
    </w:p>
    <w:p w:rsidR="006E6F46" w:rsidRDefault="005A0584" w:rsidP="00EB0A9A">
      <w:pPr>
        <w:pStyle w:val="LLNormaali"/>
      </w:pPr>
      <w:r>
        <w:br w:type="page"/>
      </w:r>
    </w:p>
    <w:bookmarkStart w:id="1" w:name="_Toc20986705" w:displacedByCustomXml="next"/>
    <w:sdt>
      <w:sdtPr>
        <w:rPr>
          <w:rFonts w:eastAsia="Calibri"/>
          <w:b w:val="0"/>
          <w:caps w:val="0"/>
          <w:sz w:val="22"/>
          <w:szCs w:val="22"/>
          <w:lang w:eastAsia="en-US"/>
        </w:rPr>
        <w:alias w:val="Perustelut"/>
        <w:tag w:val="CCPerustelut"/>
        <w:id w:val="2058971695"/>
        <w:lock w:val="sdtLocked"/>
        <w:placeholder>
          <w:docPart w:val="BC6006A72F8A4A1FAC8E5A456AF315B4"/>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20986706"/>
          <w:r>
            <w:t>Asian tausta ja valmistelu</w:t>
          </w:r>
          <w:bookmarkEnd w:id="2"/>
        </w:p>
        <w:p w:rsidR="004D2778" w:rsidRDefault="007B4171" w:rsidP="008D714A">
          <w:pPr>
            <w:pStyle w:val="LLP2Otsikkotaso"/>
          </w:pPr>
          <w:bookmarkStart w:id="3" w:name="_Toc20986707"/>
          <w:r>
            <w:t>T</w:t>
          </w:r>
          <w:r w:rsidR="004D2778">
            <w:t>austa</w:t>
          </w:r>
          <w:bookmarkEnd w:id="3"/>
        </w:p>
        <w:p w:rsidR="006C2A50" w:rsidRDefault="00AD1DDE" w:rsidP="005A2BE8">
          <w:pPr>
            <w:pStyle w:val="LLPerustelujenkappalejako"/>
          </w:pPr>
          <w:r w:rsidRPr="00AD1DDE">
            <w:t xml:space="preserve">Esityksen taustalla on kansallista täytäntöönpanoa edellyttävä EU-säädös. Lähtökohtana EU-sääntelylle EU:n komissio ilmoitti vuonna 2015 annetun Euroopan turvallisuusagendan ja vuonna 2016 annetun terrorismin rahoituksen torjunnan vahvistamista koskevan toimintasuunnitelman yhteydessä aikovansa laatia säädösehdotuksen kulttuuriesineiden laittoman kaupan torjumiseksi. Asetuksella </w:t>
          </w:r>
          <w:r w:rsidR="0043044E">
            <w:t>pyritään</w:t>
          </w:r>
          <w:r w:rsidRPr="00AD1DDE">
            <w:t xml:space="preserve"> estämään laittomasti vietyjen kulttuuriesineiden tuonti ja varastointi unioniin ja siten estää näillä tavaroilla käytävä laiton kauppa sekä terrorismin rahoittaminen. Kulttuuriesineiden tullialueelle siirtämisestä ja tuonnista annettu Euroopan parlamentin ja neuvoston asetus (EU) </w:t>
          </w:r>
          <w:proofErr w:type="gramStart"/>
          <w:r w:rsidRPr="00AD1DDE">
            <w:t>N:o</w:t>
          </w:r>
          <w:proofErr w:type="gramEnd"/>
          <w:r w:rsidRPr="00AD1DDE">
            <w:t xml:space="preserve"> 2019/880 annettiin 17.4.2019.</w:t>
          </w:r>
        </w:p>
        <w:p w:rsidR="00AD1DDE" w:rsidRDefault="00AD1DDE" w:rsidP="005A2BE8">
          <w:pPr>
            <w:pStyle w:val="LLPerustelujenkappalejako"/>
          </w:pPr>
          <w:r w:rsidRPr="00AD1DDE">
            <w:t>Kulttuuriesineiden laittoman kaupan ehkäisemiseen on etenkin Lähi-Idän tapahtumien vuoksi kansainvälisesti kiinnitetty enenevissä määrin huomiota 2010-luvulla erityisesti terrorismin rahoittamisen estämisen näkökulmasta. YK:n turvallisuusneuvosto on lukuisissa päätöslauselmissaan (esim. S/RES/2462 (2019)) kehottanut jäsenvaltioita kiinnittämään huomiota mm. kulttuuriomaisuuden laittoman kauppaan terrorismin rahoittamisen estämiseksi. Myös Eurooppa-neuvosto on muistuttanut, että on tärkeää kiireellisesti parantaa kulttuuriomaisuuden laittoman kaupan torjuntaa (esim. päätelmät 12.2.2016). Pohjoismainen ministerineuvosto on myös antanut asiaa koskevia julkilausumia (12.5.2015 ja 30.10.2019 julkilausumat) ja kiinnittänyt huomiota pohjoismaiseen yhteistyöhön kulttuuriesineiden laittoman kaupan torjunnassa.</w:t>
          </w:r>
        </w:p>
        <w:p w:rsidR="00AD1DDE" w:rsidRDefault="00AD1DDE" w:rsidP="005A2BE8">
          <w:pPr>
            <w:pStyle w:val="LLPerustelujenkappalejako"/>
          </w:pPr>
          <w:r w:rsidRPr="00AD1DDE">
            <w:t xml:space="preserve">Asetuksen vaatimusten noudattamiseen kannustamiseksi ja niiden kiertämisen estämiseksi jäsenvaltioiden </w:t>
          </w:r>
          <w:r>
            <w:t>on</w:t>
          </w:r>
          <w:r w:rsidRPr="00AD1DDE">
            <w:t xml:space="preserve"> otettava käyttöön tehokkaita, oikeasuhteisia ja varoittavia seuraamuksia sellaisia tilanteita varten, joissa säännöksiä ei noudateta, ja annettava nämä seuraamukset tiedoksi komissiolle.</w:t>
          </w:r>
          <w:r>
            <w:t xml:space="preserve"> Suomessa tullilakiin (304/2016) on tämän johdosta lisätty säännökset seuraamusmaksusta. Säännökset tulivat voimaan samanaikaisesti asetuksen kanssa 28.12.2020.</w:t>
          </w:r>
        </w:p>
        <w:p w:rsidR="00AD1DDE" w:rsidRDefault="00AD1DDE" w:rsidP="005A2BE8">
          <w:pPr>
            <w:pStyle w:val="LLPerustelujenkappalejako"/>
          </w:pPr>
          <w:r w:rsidRPr="00AD1DDE">
            <w:t>Asetuksella säädettäviä tuontilupa- ja kirjallisen vakuutuksen vaatimismenettelyjä aletaan soveltaa päivästä, jolloin asetuksen 8 artiklassa tarkoitettu sähköinen järjestelmä on toimintavalmis, tai viimeistään 28 päivästä kesäkuuta 2025.</w:t>
          </w:r>
          <w:r>
            <w:t xml:space="preserve"> Asetuksen 4 artiklan 11 kohdan mukaan jäsenvaltioiden on nimettävä viipymättä toimivaltaiset viranomaiset, jotka myöntävät </w:t>
          </w:r>
          <w:r w:rsidR="001C483B">
            <w:t xml:space="preserve">tuontilupia artiklan mukaisesti. Jäsenvaltioiden on ilmoitettava toimivaltaisten viranomaisten tiedot ja mahdolliset niihin tehdyt muutokset komissiolle. </w:t>
          </w:r>
          <w:r w:rsidR="001C483B" w:rsidRPr="001C483B">
            <w:t>Komissio julkaisee toimivaltaisten viranomaisten tiedot sekä niihin tehdyt mahdolliset m</w:t>
          </w:r>
          <w:r w:rsidR="001C483B">
            <w:t>uutokset Euroopan unionin viral</w:t>
          </w:r>
          <w:r w:rsidR="001C483B" w:rsidRPr="001C483B">
            <w:t>lisen lehden C-sarjassa</w:t>
          </w:r>
          <w:r w:rsidR="001C483B">
            <w:t>.</w:t>
          </w:r>
        </w:p>
        <w:p w:rsidR="00A939B2" w:rsidRDefault="00A939B2" w:rsidP="00A939B2">
          <w:pPr>
            <w:pStyle w:val="LLP2Otsikkotaso"/>
          </w:pPr>
          <w:bookmarkStart w:id="4" w:name="_Toc20986708"/>
          <w:r>
            <w:t>Valmistelu</w:t>
          </w:r>
          <w:bookmarkEnd w:id="4"/>
        </w:p>
        <w:p w:rsidR="00A10B6D" w:rsidRDefault="00A10B6D" w:rsidP="001A009F">
          <w:pPr>
            <w:pStyle w:val="LLPValiotsikko"/>
          </w:pPr>
          <w:r w:rsidRPr="00CA1E2E">
            <w:t>EU-säädöksen valmistelu</w:t>
          </w:r>
        </w:p>
        <w:p w:rsidR="001C483B" w:rsidRDefault="001C483B" w:rsidP="001C483B">
          <w:pPr>
            <w:pStyle w:val="LLPerustelujenkappalejako"/>
          </w:pPr>
          <w:r>
            <w:t>Komission ehdotus (</w:t>
          </w:r>
          <w:proofErr w:type="gramStart"/>
          <w:r>
            <w:t>COM(</w:t>
          </w:r>
          <w:proofErr w:type="gramEnd"/>
          <w:r>
            <w:t xml:space="preserve">2017) 375 </w:t>
          </w:r>
          <w:proofErr w:type="spellStart"/>
          <w:r>
            <w:t>final</w:t>
          </w:r>
          <w:proofErr w:type="spellEnd"/>
          <w:r>
            <w:t>) esiteltiin neuvoston tulliliittotyöryhmälle 20.7.2017. Komissio julkaisi myös kattavan vaikutusanalyysin (</w:t>
          </w:r>
          <w:proofErr w:type="gramStart"/>
          <w:r>
            <w:t>SWD(</w:t>
          </w:r>
          <w:proofErr w:type="gramEnd"/>
          <w:r>
            <w:t xml:space="preserve">2017) 262 </w:t>
          </w:r>
          <w:proofErr w:type="spellStart"/>
          <w:r>
            <w:t>final</w:t>
          </w:r>
          <w:proofErr w:type="spellEnd"/>
          <w:r>
            <w:t>), jonka päätelminä mm. todetaan sääntelyvaatimusten ja tehokkaiden pelotteiden (seuraamusten) puuttumisen vaikeuttavan laittomuuksien torjuntaa.</w:t>
          </w:r>
        </w:p>
        <w:p w:rsidR="001C483B" w:rsidRDefault="001C483B" w:rsidP="001C483B">
          <w:pPr>
            <w:pStyle w:val="LLPerustelujenkappalejako"/>
          </w:pPr>
        </w:p>
        <w:p w:rsidR="001C483B" w:rsidRDefault="001C483B" w:rsidP="001C483B">
          <w:pPr>
            <w:pStyle w:val="LLPerustelujenkappalejako"/>
          </w:pPr>
          <w:r>
            <w:lastRenderedPageBreak/>
            <w:t>Jäsenvaltiot suhtautuivat tulliliittotyöryhmässä ehdotukseen pääasiassa myötämielisesti. Huolta aiheutti muun muassa ehdotuksen toteutuessaan aiheuttama taakka viranomaisille ja laillisesti toimiville maahantuojille. Keskusteluissa korostetiin myös sitä, että valvontamenettelyn on perustuttava nykyaikaiseen IT-järjestelmään. Lopputuloksena muun muassa päädyttiin varsinaisen maahantuonnin lisäksi kieltämään myös säännöstenvastaisesti lähtömaasta viedyn kulttuuriesineen siirtäminen EU:n tullialueelle. Tämä mahdollistaa kauttakulussa tai tullivarastoinnissa olevaan tavaraan puuttumisen. Muutos oli myös Suomen tavoitteiden mukainen.</w:t>
          </w:r>
        </w:p>
        <w:p w:rsidR="001C483B" w:rsidRDefault="001C483B" w:rsidP="001C483B">
          <w:pPr>
            <w:pStyle w:val="LLPerustelujenkappalejako"/>
          </w:pPr>
          <w:r>
            <w:t>EU:n toimielinten väliset kolmikantaneuvottelut saatiin päätökseen joulukuussa 2018 (WK 15611/2018 INIT). Valmistelun eri vaiheissa kuultiin myös keskeisiä sidosryhmiä eli opetus- ja kulttuuriministeriötä, Museovirastoa sekä Tullia.</w:t>
          </w:r>
        </w:p>
        <w:p w:rsidR="00C00385" w:rsidRPr="00C00385" w:rsidRDefault="001C483B" w:rsidP="001C483B">
          <w:pPr>
            <w:pStyle w:val="LLPerustelujenkappalejako"/>
          </w:pPr>
          <w:r>
            <w:t xml:space="preserve">Ehdotuksesta annettiin U-kirjelmä U 51/2017 vp Valtioneuvoston kirjelmä eduskunnalle komission ehdotuksesta Euroopan parlamentin ja neuvoston asetukseksi (laittomasti maasta vietyjen kulttuuriesineiden tuonnin valvonta), jonka johdosta hallintovaliokunta antoi lausunnon </w:t>
          </w:r>
          <w:proofErr w:type="spellStart"/>
          <w:r>
            <w:t>HaVL</w:t>
          </w:r>
          <w:proofErr w:type="spellEnd"/>
          <w:r>
            <w:t xml:space="preserve"> 31/2017 vp. Suuri valiokunta yhtyi erikoisvaliokunnan lausunnon mukaisesti valtioneuvoston kantaan. (</w:t>
          </w:r>
          <w:proofErr w:type="spellStart"/>
          <w:r>
            <w:t>SuVP</w:t>
          </w:r>
          <w:proofErr w:type="spellEnd"/>
          <w:r>
            <w:t xml:space="preserve"> 49/2017 vp).</w:t>
          </w:r>
        </w:p>
        <w:p w:rsidR="00A10B6D" w:rsidRDefault="00A10B6D" w:rsidP="001A009F">
          <w:pPr>
            <w:pStyle w:val="LLPValiotsikko"/>
          </w:pPr>
          <w:r>
            <w:t>Hallituksen esi</w:t>
          </w:r>
          <w:r w:rsidRPr="00CA1E2E">
            <w:t>tyksen valmistelu</w:t>
          </w:r>
        </w:p>
        <w:p w:rsidR="00C00385" w:rsidRDefault="001C483B" w:rsidP="00C00385">
          <w:pPr>
            <w:pStyle w:val="LLPerustelujenkappalejako"/>
          </w:pPr>
          <w:r>
            <w:t>Hallituksen esitys on valmisteltu opetus- ja kulttuuriministeriössä virkatyönä. Valmistelun eri vaiheissa on kuultu valtiovarainministeriön ja Museoviraston asiantuntijoita.</w:t>
          </w:r>
        </w:p>
        <w:p w:rsidR="001C483B" w:rsidRPr="00C00385" w:rsidRDefault="001C483B" w:rsidP="00C00385">
          <w:pPr>
            <w:pStyle w:val="LLPerustelujenkappalejako"/>
          </w:pPr>
          <w:r>
            <w:t>Hallituksen esityksen valmisteluasiakirjat ovat ju</w:t>
          </w:r>
          <w:r w:rsidR="003C5502">
            <w:t xml:space="preserve">lkisessa palvelussa osoitteessa </w:t>
          </w:r>
          <w:r w:rsidR="003C5502" w:rsidRPr="003C5502">
            <w:t>https://okm.fi/hanke?tunnus=OKM057:00/2024</w:t>
          </w:r>
          <w:r w:rsidR="003C5502">
            <w:t>.</w:t>
          </w:r>
          <w:bookmarkStart w:id="5" w:name="_GoBack"/>
          <w:bookmarkEnd w:id="5"/>
        </w:p>
        <w:p w:rsidR="008414FE" w:rsidRDefault="00CA1E2E" w:rsidP="00832D82">
          <w:pPr>
            <w:pStyle w:val="LLP1Otsikkotaso"/>
          </w:pPr>
          <w:bookmarkStart w:id="6" w:name="_Toc20986709"/>
          <w:r>
            <w:t>EU-säädöksen tavoitteet ja pääasiallinen sisältö</w:t>
          </w:r>
          <w:bookmarkEnd w:id="6"/>
        </w:p>
        <w:p w:rsidR="006B3568" w:rsidRDefault="006B3568" w:rsidP="006B3568">
          <w:pPr>
            <w:pStyle w:val="LLPerustelujenkappalejako"/>
          </w:pPr>
          <w:r>
            <w:t>EU-asetuksella luodaan kolmansista maista Euroopan unioniin tapahtuvalle asetuksessa määriteltyjen kulttuuriesineiden maahantuonnille valvontajärjestelmä. Asetuksen liitteen A osassa on lueteltu kulttuuriesineet, joita asetus koskee. Liitteen B osa sisältää sellaiset A osan kulttuuriesineet, joiden maahantuonti edellyttää erityistä lupaviranomaisten myöntämä lupaa. Liitteen C osa puolestaan sisältää A osan esineistä sellaiset, joita maahan tuotaessa on maahantuojan annettava esineen maahantuonnin yhteydessä kirjallinen vakuutus siitä, että esinettä ei ole viety sen ”alkuperämaasta” lakien vastaisesti. Vakuutusmenettelyn piiriin kuuluvat liitteen C osan kulttuuriesineet, kun ne ovat yli 200 vuoden ikäisiä ja vähintään 18 000 euron arvoisia.</w:t>
          </w:r>
        </w:p>
        <w:p w:rsidR="006B3568" w:rsidRDefault="006B3568" w:rsidP="006B3568">
          <w:pPr>
            <w:pStyle w:val="LLPerustelujenkappalejako"/>
          </w:pPr>
          <w:r>
            <w:t>Asetuksen yleisenä periaatteena on, että vientimaan lainsäädäntö määrittää laittomaksi katsottavan kulttuuriesineen kaupan. Laittomasti kolmannesta maasta vietyä asetuksen liitteen A osassa tarkoitettua kulttuuriesinettä ei saa asetuksen mukaan siirtää lainkaan EU:n tullialueelle. Asetuksen mukaan kielletään sellaisten kulttuuriesineiden tullialueelle siirtäminen, jotka ovat vastoin sen maan lakeja ja asetuksia, jossa ne luotiin tai josta ne löydettiin, poistettu kyseisen maan alueelta. Kiellon kohteena olevilta esineiltä ei edellytetä tiettyä ikää tai arvoa, vaan ratkaisevaa on se, onko niiden viennissä ”alkuperämaasta” rikottu lainsäädäntöä</w:t>
          </w:r>
          <w:r w:rsidR="00E52432">
            <w:t xml:space="preserve"> asetuksessa sanotulla tavalla.</w:t>
          </w:r>
        </w:p>
        <w:p w:rsidR="00CB7CCE" w:rsidRDefault="00CB7CCE" w:rsidP="00071A7E">
          <w:pPr>
            <w:pStyle w:val="LLPerustelujenkappalejako"/>
          </w:pPr>
          <w:r>
            <w:t>Tuontilupamenettelystä säädetään asetuksen 4 artiklassa. Tuontilupamenettely koskee asetuksen liitteessä olevassa B osassa tarkoitettujen kulttuuriesineiden tuontia lukuun ottamatta asetuksen 3 artiklan 4 ja 5 kohdassa tarkoitettuja tilanteita. B</w:t>
          </w:r>
          <w:r w:rsidR="00071A7E">
            <w:t xml:space="preserve"> osassa tarkoitettuja esineitä ovat arkeologisten kaivausten (luvallisten ja luvattomien) tulokset ja maan päällä tai veden alla tehdyt </w:t>
          </w:r>
          <w:r w:rsidR="00071A7E">
            <w:lastRenderedPageBreak/>
            <w:t xml:space="preserve">arkeologiset löydöt sekä taiteellisten tai historiallisten muistomerkkien tai kiinteiden muinaisjäännösten osat. Jälkimmäiseen ryhmään kuuluviksi luetaan liturgiset ikonit ja patsaat, myös erilliset teokset. </w:t>
          </w:r>
          <w:r w:rsidR="00A90B21">
            <w:t xml:space="preserve">Edellä mainitut esineet kuuluvat tuontilupamenettelyn piiriin, jos </w:t>
          </w:r>
          <w:r w:rsidR="00DB025F">
            <w:t xml:space="preserve">ne ovat yli 250 vuotta vanhoja. Tuontilupamenettelyn piiriin kuuluminen ei riipu esineen rahallisesta arvosta. </w:t>
          </w:r>
          <w:r w:rsidR="00071A7E">
            <w:t xml:space="preserve">Tuontilupamenettely ei koske 3 artiklan 4 kohdan nojalla </w:t>
          </w:r>
          <w:r w:rsidR="00071A7E" w:rsidRPr="00071A7E">
            <w:t>asetuksen (EU) N:o 952/2013 203 artiklassa tarkoitettuja palautettuja kulttuuriesineitä</w:t>
          </w:r>
          <w:r w:rsidR="00071A7E">
            <w:t xml:space="preserve">, kulttuuriesineiden tuontia, </w:t>
          </w:r>
          <w:r w:rsidR="00071A7E" w:rsidRPr="00071A7E">
            <w:t>jonka yksinomaisena tarkoituksena on varmistaa niiden turv</w:t>
          </w:r>
          <w:r w:rsidR="00071A7E">
            <w:t>allinen säilyttäminen viran</w:t>
          </w:r>
          <w:r w:rsidR="00071A7E" w:rsidRPr="00071A7E">
            <w:t>omaisen toimesta tai valvonnassa, kun tarkoituksena on palauttaa kysei</w:t>
          </w:r>
          <w:r w:rsidR="00071A7E">
            <w:t xml:space="preserve">set kulttuuriesineet tilanteen sen salliessa, eikä asetuksen (EU) N:o 952/2013 250 artiklassa tarkoitettuun kulttuuriesineiden väliaikaiseen maahantuontiin unionin tullialueelle kasvatuksellisiin, tieteellisiin, konservointi-, restaurointi-, näyttely-, digitointi- tai esittävien taiteiden tarkoituksiin, akateemisten laitosten toteuttaman tutkimuksen taikka museoiden tai vastaavien laitosten välisen yhteistyön tarkoituksiin. Edelleen 3 artiklan 5 kohdan nojalla tuontilupaa ei edellytetä kulttuuriesineiltä, jotka on asetettu asetuksen (EU) </w:t>
          </w:r>
          <w:proofErr w:type="gramStart"/>
          <w:r w:rsidR="00071A7E">
            <w:t>N:o</w:t>
          </w:r>
          <w:proofErr w:type="gramEnd"/>
          <w:r w:rsidR="00071A7E">
            <w:t xml:space="preserve"> 95</w:t>
          </w:r>
          <w:r w:rsidR="00701A4A">
            <w:t>2/2013 250 artiklassa tarkoitet</w:t>
          </w:r>
          <w:r w:rsidR="00071A7E">
            <w:t>tuun väliaikaisen maahantuonnin menettelyyn kaupallisilla taidemessuilla esiteltäväksi. Täll</w:t>
          </w:r>
          <w:r w:rsidR="00701A4A">
            <w:t>aisissa tapauksissa on toimitet</w:t>
          </w:r>
          <w:r w:rsidR="00071A7E">
            <w:t xml:space="preserve">tava </w:t>
          </w:r>
          <w:r w:rsidR="00701A4A">
            <w:t xml:space="preserve">asetuksen 5 artiklassa tarkoitettu </w:t>
          </w:r>
          <w:r w:rsidR="00071A7E">
            <w:t>tuojan vakuutus</w:t>
          </w:r>
          <w:r w:rsidR="00701A4A">
            <w:t>.</w:t>
          </w:r>
        </w:p>
        <w:p w:rsidR="00701A4A" w:rsidRDefault="00701A4A" w:rsidP="00071A7E">
          <w:pPr>
            <w:pStyle w:val="LLPerustelujenkappalejako"/>
          </w:pPr>
          <w:r>
            <w:t>Tuontiluvan myöntää sen jäsenvaltion toimivaltainen viranomainen, jossa kulttuuriesineet asetetaan johonkin 2 artiklan 3 alakohdassa tarkoitettuun tullimenettelyyn ensimmäistä kertaa. Jäsenvaltioiden toimivaltaisten viranomaisten myöntämät tuontiluvat ovat voimassa koko unionissa. Tuontilupaa ei katsota todisteeksi asianomaisten kulttuuriesineiden laillisesta alkuperästä tai omistuksesta.</w:t>
          </w:r>
        </w:p>
        <w:p w:rsidR="00701A4A" w:rsidRDefault="00701A4A" w:rsidP="00071A7E">
          <w:pPr>
            <w:pStyle w:val="LLPerustelujenkappalejako"/>
          </w:pPr>
          <w:r>
            <w:t>Tavaroiden haltijan on haettava tuontilupaa tämän toimivaltaiselta viranomaiselta keskitetyn sähköisen järjestelmän kautta. Hakemukseen on</w:t>
          </w:r>
          <w:r w:rsidR="00E041FF">
            <w:t xml:space="preserve"> 4 artiklan 4 kohdan mukaan</w:t>
          </w:r>
          <w:r>
            <w:t xml:space="preserve"> liitettävä mahdolliset liiteasiakirjat ja tiedot, joilla annetaan todisteet siitä, että kyseiset kulttuuriesineet on viety maasta, jossa ne luotiin tai josta ne löydettiin, kyseisen maan lakien ja asetusten mukaisesti, tai joilla annetaan todisteet tällaisten lakien ja asetusten puuttumisesta ajankohtana, jona kyseiset kulttuuriesineet poistettiin maan alueelta</w:t>
          </w:r>
          <w:r w:rsidR="00551248">
            <w:t xml:space="preserve">. Jos maata, jossa kulttuuriesineet luotiin tai josta ne löydettiin, ei voida luotettavasti määrittää tai jos kulttuuriesineet vietiin pois maasta, jossa ne luotiin tai löydettiin, ennen 24.4.1972, hakemukseen voidaan liittää liiteasiakirjat ja tiedot, joilla annetaan todisteet siitä, että kyseiset kulttuuriesineet on viety sen viimeisen maan lakien ja asetusten mukaisesti, jossa esineet sijaitsivat yli viiden vuoden ajan ja muuta tarkoitusta kuin väliaikaista käyttöä, passitusta, jälleenvientiä tai </w:t>
          </w:r>
          <w:proofErr w:type="spellStart"/>
          <w:r w:rsidR="00551248">
            <w:t>jälleenlaivausta</w:t>
          </w:r>
          <w:proofErr w:type="spellEnd"/>
          <w:r w:rsidR="00551248">
            <w:t xml:space="preserve"> varten.</w:t>
          </w:r>
          <w:r w:rsidR="008A72D7">
            <w:t xml:space="preserve"> </w:t>
          </w:r>
          <w:r w:rsidR="00E041FF">
            <w:t>Artiklan 5 kohdan mukaan t</w:t>
          </w:r>
          <w:r w:rsidR="008A72D7">
            <w:t>odisteet on annettava vientitodistusten tai vientilupien muodossa, jos kyseinen maa on laatinut tällaisia asiakirjoja kulttuuriesineiden vientiä varten niiden vientiajankohtana.</w:t>
          </w:r>
        </w:p>
        <w:p w:rsidR="00E041FF" w:rsidRDefault="00E041FF" w:rsidP="00071A7E">
          <w:pPr>
            <w:pStyle w:val="LLPerustelujenkappalejako"/>
          </w:pPr>
          <w:r>
            <w:t>Artiklan 6 kohdassa</w:t>
          </w:r>
          <w:r w:rsidR="00A90B21">
            <w:t xml:space="preserve"> säädetään lupa</w:t>
          </w:r>
          <w:r>
            <w:t>käsittelyn</w:t>
          </w:r>
          <w:r w:rsidR="00A90B21">
            <w:t xml:space="preserve"> </w:t>
          </w:r>
          <w:r>
            <w:t>määräaja</w:t>
          </w:r>
          <w:r w:rsidR="00A90B21">
            <w:t>sta. Toimivaltaisen viranomaisen on tarkistettava, onko hakemus täydellinen, ja pyydettävä mahdollisesti puuttuvat tiedot, lisätiedot tai asiakirjat hakijalta 21 päivän kuluessa</w:t>
          </w:r>
          <w:r>
            <w:t xml:space="preserve"> hakemuksen vastaanottamisesta.</w:t>
          </w:r>
        </w:p>
        <w:p w:rsidR="00544964" w:rsidRDefault="00E041FF" w:rsidP="00544964">
          <w:pPr>
            <w:pStyle w:val="LLPerustelujenkappalejako"/>
          </w:pPr>
          <w:r>
            <w:t>Artiklan 7 kohdan mukaan p</w:t>
          </w:r>
          <w:r w:rsidR="00A90B21">
            <w:t>äätös tuontiluvan myöntämisestä tai hakemuksen hylkäämisestä on tehtävä 90 päivän kuluessa täydellisen hakemuksen vastaanottamisesta.</w:t>
          </w:r>
          <w:r>
            <w:t xml:space="preserve"> </w:t>
          </w:r>
          <w:r w:rsidR="00544964">
            <w:t xml:space="preserve">Toimivaltaisen viranomaisen tulee hylätä hakemus ensinnäkin silloin, jos sillä on tietoa siitä tai perusteltuja syitä uskoa, että kulttuuriesineet poistettiin sen maan alueelta, jossa kulttuuriesineet luotiin tai josta ne löydettiin, vastoin kyseisen maan lakeja ja asetuksia. Hakemus on hylättävä myös, jos viranomaiselle ei ole toimitettu </w:t>
          </w:r>
          <w:r>
            <w:t>4 artiklan 4 kohdassa tarkoitettuja todisteita</w:t>
          </w:r>
          <w:r w:rsidR="00544964">
            <w:t xml:space="preserve">. </w:t>
          </w:r>
          <w:r>
            <w:t>Samoin hakemus on hylättävä, jos viranomaisella</w:t>
          </w:r>
          <w:r w:rsidR="00456285">
            <w:t xml:space="preserve"> on tietoa siitä tai perusteltuja syitä uskoa, että tavaroiden haltija ei ole hankkinut niitä laillisesti</w:t>
          </w:r>
          <w:r>
            <w:t>.</w:t>
          </w:r>
          <w:r w:rsidR="00456285">
            <w:t xml:space="preserve"> </w:t>
          </w:r>
          <w:r>
            <w:t>Edelleen hakemus on hylättävä, jos viranomaiselle</w:t>
          </w:r>
          <w:r w:rsidR="00456285">
            <w:t xml:space="preserve"> on ilmoitettu, että sen maan viranomaiset, jossa kulttuuriesineet luotiin tai josta ne löydettiin, ovat esittäneet niiden palauttamista koskevia vaateita, joiden käsittely on vireillä</w:t>
          </w:r>
          <w:r>
            <w:t>.</w:t>
          </w:r>
        </w:p>
        <w:p w:rsidR="00A91245" w:rsidRDefault="00A91245" w:rsidP="00A91245">
          <w:pPr>
            <w:pStyle w:val="LLPerustelujenkappalejako"/>
          </w:pPr>
          <w:r>
            <w:lastRenderedPageBreak/>
            <w:t>Jos hakemus hylätään, päätös samoin kuin perustelut sekä valitusmenettelyä koskevat tiedot on viipymättä annettava hakijalle. Jos tuontilupahakemus koskee sellaisia kulttuuriesineitä, joiden osalta tällainen hakemus on aikaisemmin hylätty, hakijan on ilmoitettava aiemmasta hylkäyspäätöksestä sille toimivaltaiselle viranomaiselle, jolle hakemus toimitetaan. Jos jäsenvaltio hylkää hakemuksen, sen on toimitettava hylkäyspäätös ja sen perustelut muille jäsenvaltioille ja komissiolle 8 artiklassa tarkoitetun sähköisen järjestelmän kautta.</w:t>
          </w:r>
        </w:p>
        <w:p w:rsidR="00A91245" w:rsidRDefault="00A91245" w:rsidP="00A91245">
          <w:pPr>
            <w:pStyle w:val="LLPerustelujenkappalejako"/>
          </w:pPr>
          <w:r>
            <w:t xml:space="preserve">Artiklan 12 kohdan mukaan komissio vahvistaa täytäntöönpanosäädöksillä tuontilupahakemuksen mallin ja muodon ja ilmoittaa mahdolliset liiteasiakirjat kyseisten kulttuuriesineiden laillisen alkuperän todistamiseksi sekä menettelysäännöt tällaisen hakemuksen toimittamista ja käsittelyä varten. </w:t>
          </w:r>
          <w:r w:rsidR="00D4681B">
            <w:t>Kohdassa tarkoitetut yksityiskohtaisemmat määräykset on annettu k</w:t>
          </w:r>
          <w:r>
            <w:t>ulttuuriesineiden tullialueelle siirtämisestä ja tuonnista annetun Euroopan parlamentin ja neuvoston asetuksen (EU) 2019/880 tiettyjen säännösten täytäntöönpanoa koskevista yksityiskohtaisista säännöistä</w:t>
          </w:r>
          <w:r w:rsidR="00D4681B">
            <w:t xml:space="preserve"> annetun komission täytäntöönpanoasetuksen</w:t>
          </w:r>
          <w:r>
            <w:t xml:space="preserve"> (EU) 2021/1079</w:t>
          </w:r>
          <w:r w:rsidR="00D4681B">
            <w:t xml:space="preserve"> 6 – 10 artiklassa.</w:t>
          </w:r>
        </w:p>
        <w:p w:rsidR="00A939B2" w:rsidRDefault="006B3568" w:rsidP="006B3568">
          <w:pPr>
            <w:pStyle w:val="LLPerustelujenkappalejako"/>
          </w:pPr>
          <w:r>
            <w:t xml:space="preserve">Asetuksella säädettäviä tuontilupa- ja kirjallisen vakuutuksen vaatimismenettelyjä aletaan soveltaa päivästä, jolloin asetuksen 8 artiklassa tarkoitettu sähköinen järjestelmä on toimintavalmis, tai viimeistään 28 päivästä kesäkuuta 2025. Kieltoa siirtää EU:n tullialueelle lainsäädännön vastaisesti vietyjä asetuksen tarkoittamia kulttuuriesineitä sekä kieltoa koskevaa sanktiointivelvoitetta </w:t>
          </w:r>
          <w:r w:rsidR="00A90B21">
            <w:t>on alettu</w:t>
          </w:r>
          <w:r>
            <w:t xml:space="preserve"> kuitenkin soveltaa jo 28 päivästä joulukuuta 2020.</w:t>
          </w:r>
        </w:p>
        <w:p w:rsidR="000E61DF" w:rsidRDefault="005622B1" w:rsidP="00A95059">
          <w:pPr>
            <w:pStyle w:val="LLP1Otsikkotaso"/>
          </w:pPr>
          <w:bookmarkStart w:id="7" w:name="_Toc20986710"/>
          <w:r>
            <w:t>Nykytila ja sen arviointi</w:t>
          </w:r>
          <w:bookmarkEnd w:id="7"/>
        </w:p>
        <w:p w:rsidR="00EA4139" w:rsidRDefault="00E52432" w:rsidP="00EA4139">
          <w:pPr>
            <w:pStyle w:val="LLPerustelujenkappalejako"/>
          </w:pPr>
          <w:r>
            <w:t xml:space="preserve">Kulttuuriesineiden tuontia EU:n ulkopuolelta eli ns. kolmansista maista ei ole aiemmin säännelty lukuun ottamatta eräitä erityisrajoituksia (pakotteet) sekä tilanteita, joissa </w:t>
          </w:r>
          <w:r w:rsidRPr="00E52432">
            <w:t>kulttuuriesineisiin kohdistuu muun valtion esittämiä palautusvaatimuksia tai pyyntöjä.</w:t>
          </w:r>
          <w:r>
            <w:t xml:space="preserve"> Kulttuuriesineiden tuontia ei ole siten aiemmin valvottu, eikä Suomeen tuoduista kulttuuriesineistä tehtyjä havaintoja ole raportoitu lähtömaahan, ellei lähtömaasta käsin ole tehty asiassa aloitetta.</w:t>
          </w:r>
        </w:p>
        <w:p w:rsidR="00E52432" w:rsidRDefault="00E52432" w:rsidP="00E52432">
          <w:pPr>
            <w:pStyle w:val="LLPerustelujenkappalejako"/>
          </w:pPr>
          <w:r>
            <w:t xml:space="preserve">Tieteellisesti, taiteellisesti ja historiallisesti arvokkaiden esineiden maastavientiä Suomesta on rajoitettu, jotta arvokkain kulttuuriomaisuus säilyisi Suomessa osana historiaa ja kulttuuri-identiteettiä. Vastaavasti kulttuuriesineiden vientiä Unionin tullialueelta on rajoitettu EU-lainsäädännöllä. Kulttuuriesineiden maastaviennin rajoittamisesta annettu laki (933/2016), neuvoston asetus (EY) 116/2009 ja komission täytäntöönpanoasetus (EU) </w:t>
          </w:r>
          <w:proofErr w:type="gramStart"/>
          <w:r>
            <w:t>N:o</w:t>
          </w:r>
          <w:proofErr w:type="gramEnd"/>
          <w:r>
            <w:t xml:space="preserve"> 1081/2012 sisältävät säännökset kulttuuriesineiden maastavientiä koskevasta lupamenettelystä, luvatonta vientiä koskevista rangaistusseuraamuksista sekä Tullille säädetystä valvontavelvollisuudesta.</w:t>
          </w:r>
        </w:p>
        <w:p w:rsidR="00E52432" w:rsidRDefault="00E52432" w:rsidP="00E52432">
          <w:pPr>
            <w:pStyle w:val="LLPerustelujenkappalejako"/>
          </w:pPr>
          <w:r>
            <w:t>Kulttuuriesineiden maahantuontiin liittyviä kysymyksiä on käsitelty lisäksi mm. opetusministeriön selvityksessä Kulttuuriesineisiin kohdistuvien laittomuuksien ehkäiseminen (Opetusministeriön työryhmämuistioita ja selvityksiä 2008:22). Selvityksen keskeinen johtopäätös oli, että tuontilainsäädännön puute vaikeuttaa UNESCO 1970 yleissopimuksen päämäärien toteuttamista. Kyseessä on yleissopimus kulttuuriomaisuuden luvattoman tuonnin, viennin ja omistusoikeuden siirron kieltämiseksi ja ehkäisemiseksi.</w:t>
          </w:r>
        </w:p>
        <w:p w:rsidR="00A939B2" w:rsidRDefault="006D3C8B" w:rsidP="00A939B2">
          <w:pPr>
            <w:pStyle w:val="LLP1Otsikkotaso"/>
          </w:pPr>
          <w:bookmarkStart w:id="8" w:name="_Toc20986711"/>
          <w:r>
            <w:t>Ehdotukset ja nii</w:t>
          </w:r>
          <w:r w:rsidR="00A939B2">
            <w:t>den vaikutukset</w:t>
          </w:r>
          <w:bookmarkEnd w:id="8"/>
        </w:p>
        <w:p w:rsidR="00B432A8" w:rsidRDefault="00554E4E" w:rsidP="00554E4E">
          <w:pPr>
            <w:pStyle w:val="LLPerustelujenkappalejako"/>
          </w:pPr>
          <w:r w:rsidRPr="00554E4E">
            <w:t xml:space="preserve">EU-säädöstä ehdotetaan täydennettäväksi säätämällä toimivaltaisesta viranomaisesta, joka </w:t>
          </w:r>
          <w:r w:rsidR="007B767C">
            <w:t>p</w:t>
          </w:r>
          <w:r w:rsidR="00B432A8">
            <w:t>äättää</w:t>
          </w:r>
          <w:r w:rsidR="007B767C">
            <w:t xml:space="preserve"> kulttuuriesineiden </w:t>
          </w:r>
          <w:r w:rsidR="00827FCF">
            <w:t>maahantuonti</w:t>
          </w:r>
          <w:r w:rsidR="007B767C">
            <w:t>luvista</w:t>
          </w:r>
          <w:r w:rsidRPr="00554E4E">
            <w:t>. Tehtävä säädettäisiin Museovirastolle, joka myöntää myös</w:t>
          </w:r>
          <w:r>
            <w:t xml:space="preserve"> kulttuuriesineiden vientiluvat ja jolla on tehtävässä tarvittavaa kulttuuriperinnön asiantuntemusta. Säännös ehdotetaan lisättäväksi uutena 2 a §:nä Museovirastosta annettuun lakiin.</w:t>
          </w:r>
          <w:r w:rsidR="00170E9E">
            <w:t xml:space="preserve"> Pykälän 1 momentin mukaan Museovirasto toimisi asetuksen 4 artiklassa tarkoitettuna</w:t>
          </w:r>
          <w:r w:rsidR="00B432A8">
            <w:t xml:space="preserve"> toimivaltaisena viranomaisena.</w:t>
          </w:r>
        </w:p>
        <w:p w:rsidR="00A939B2" w:rsidRDefault="007B767C" w:rsidP="00554E4E">
          <w:pPr>
            <w:pStyle w:val="LLPerustelujenkappalejako"/>
          </w:pPr>
          <w:r>
            <w:lastRenderedPageBreak/>
            <w:t>Pykälän 2 momentissa säädettäisiin oikaisuvaatimusmenettelyn soveltamisesta Museoviraston asetuksen 4 artiklan nojalla tekemiin päätöksiin.</w:t>
          </w:r>
          <w:r w:rsidR="00B432A8">
            <w:t xml:space="preserve"> </w:t>
          </w:r>
          <w:r w:rsidR="00DB025F">
            <w:t xml:space="preserve">Yleisenä tavoitteena </w:t>
          </w:r>
          <w:r w:rsidR="00B432A8">
            <w:t>on</w:t>
          </w:r>
          <w:r w:rsidR="00DB025F">
            <w:t xml:space="preserve"> pidetty</w:t>
          </w:r>
          <w:r w:rsidR="00B432A8">
            <w:t xml:space="preserve">, että </w:t>
          </w:r>
          <w:r w:rsidR="00B432A8" w:rsidRPr="00B432A8">
            <w:t>oikaisuvaatimus olisi muutoksenhaun ensi vaiheena mahdollisimman laajasti.</w:t>
          </w:r>
          <w:r w:rsidR="00B432A8">
            <w:t xml:space="preserve"> Museoviraston vientilupa-asioissa tekemiin päätöksiin ei liity sellaisia erityisiä syitä, joiden vuoksi oikaisuvaatimusmenettely ei niihin soveltuisi, joten oikaisuvaatimusmenettely on perusteltua ottaa niissä käyttöön. </w:t>
          </w:r>
        </w:p>
        <w:p w:rsidR="006D7904" w:rsidRDefault="005E1488" w:rsidP="00554E4E">
          <w:pPr>
            <w:pStyle w:val="LLPerustelujenkappalejako"/>
          </w:pPr>
          <w:r>
            <w:t>Ehdotukse</w:t>
          </w:r>
          <w:r w:rsidR="00FD64AB">
            <w:t xml:space="preserve">lla </w:t>
          </w:r>
          <w:r w:rsidR="00734F68">
            <w:t>ei ole</w:t>
          </w:r>
          <w:r w:rsidR="00FD64AB">
            <w:t xml:space="preserve"> arvioitu olevan </w:t>
          </w:r>
          <w:r w:rsidR="00734F68">
            <w:t xml:space="preserve">olennaisia vaikutuksia </w:t>
          </w:r>
          <w:r w:rsidR="00FD64AB">
            <w:t>valtion talouteen</w:t>
          </w:r>
          <w:r w:rsidR="00445589">
            <w:t xml:space="preserve">. </w:t>
          </w:r>
          <w:r w:rsidR="00903F38">
            <w:t xml:space="preserve">Tilastotietoa tuontilupamenettelyn piiriin kuuluvien esineiden tuontimääristä ei ole käytettävissä, mutta voidaan pitää todennäköistä, että </w:t>
          </w:r>
          <w:r w:rsidR="00EA7537">
            <w:t>menettelyn piiriin kuuluvia yli 250 vuotta vanhoja esineitä</w:t>
          </w:r>
          <w:r w:rsidR="00903F38">
            <w:t xml:space="preserve"> tuotaisiin Suomeen </w:t>
          </w:r>
          <w:r w:rsidR="006C1A41">
            <w:t>lähinnä</w:t>
          </w:r>
          <w:r w:rsidR="00EA7537">
            <w:t xml:space="preserve"> satunnaisesti</w:t>
          </w:r>
          <w:r w:rsidR="00903F38">
            <w:t xml:space="preserve">. Kulttuuriesineiden kaupassa Suomen kautta on aiemmin tapahtunut jonkin verran kauttakulkua Venäjälle ja Venäjältä, mutta tällä hetkellä </w:t>
          </w:r>
          <w:r w:rsidR="007D1C18">
            <w:t>myös tällainen kauppa on pakotteiden johdosta pysähtynyt eikä sen voida olettaa elpyvän lähitulevaisuudessa.</w:t>
          </w:r>
        </w:p>
        <w:p w:rsidR="007D1C18" w:rsidRDefault="007D1C18" w:rsidP="00554E4E">
          <w:pPr>
            <w:pStyle w:val="LLPerustelujenkappalejako"/>
          </w:pPr>
          <w:r>
            <w:t xml:space="preserve">Täytäntöönpanoasetuksen mukaan tuontiluvan hakijan on vastattava kaikista kustannuksista. </w:t>
          </w:r>
          <w:proofErr w:type="gramStart"/>
          <w:r>
            <w:t>Lupaan sovellettaisiin</w:t>
          </w:r>
          <w:proofErr w:type="gramEnd"/>
          <w:r>
            <w:t xml:space="preserve"> valtion maksuperustelain (150/1992) 6 §:n julkisoikeudellisia suoritteita koskevia säännöksiä. Lähtökohtana olisi</w:t>
          </w:r>
          <w:r w:rsidR="00EA7537">
            <w:t>,</w:t>
          </w:r>
          <w:r>
            <w:t xml:space="preserve"> että suoritteesta perittäisiin valtiolle aiheutuvien kokonaiskustannusten määrää eli omakustannusarvoa vastaava maksu.</w:t>
          </w:r>
        </w:p>
        <w:p w:rsidR="00EA7537" w:rsidRDefault="00734F68" w:rsidP="00554E4E">
          <w:pPr>
            <w:pStyle w:val="LLPerustelujenkappalejako"/>
          </w:pPr>
          <w:r>
            <w:t xml:space="preserve">Myös vaikutusten Museoviraston toimintaan arvioidaan jäävän vähäisiksi. </w:t>
          </w:r>
          <w:r w:rsidR="00EA7537">
            <w:t>Museoviraston arvioidaan suoriutuvan tehtävästä nykyisten resurssien puitteissa.</w:t>
          </w:r>
        </w:p>
        <w:p w:rsidR="007E0CB1" w:rsidRDefault="007E0CB1" w:rsidP="007E0CB1">
          <w:pPr>
            <w:pStyle w:val="LLP1Otsikkotaso"/>
          </w:pPr>
          <w:bookmarkStart w:id="9" w:name="_Toc20986720"/>
          <w:r>
            <w:t>Voimaantulo</w:t>
          </w:r>
          <w:bookmarkEnd w:id="9"/>
        </w:p>
        <w:p w:rsidR="007E0CB1" w:rsidRDefault="00B432A8" w:rsidP="007E0CB1">
          <w:pPr>
            <w:pStyle w:val="LLPerustelujenkappalejako"/>
          </w:pPr>
          <w:r>
            <w:t xml:space="preserve">Laki ehdotetaan tulemaan voimaan samanaikaisesti kuin asetuksen 8 artiklassa tarkoitettu keskitetty tietojärjestelmä otetaan käyttöön. </w:t>
          </w:r>
          <w:r w:rsidR="00660427">
            <w:t xml:space="preserve">Komission viidennen vuotuisen edistymiskertomuksen (Komission kertomus Euroopan parlamentille ja neuvostolle kulttuuriesineiden tullialueelle siirtämisestä ja tuonnista 17 päivänä huhtikuuta 2019 annetun Euroopan parlamentin ja neuvoston asetuksen (EU) 2019/880 14 artiklan 3 kohdan mukaisesti (28. kesäkuuta 2023–29. kesäkuuta 2024), COM(2024) 458 </w:t>
          </w:r>
          <w:proofErr w:type="spellStart"/>
          <w:r w:rsidR="00660427">
            <w:t>final</w:t>
          </w:r>
          <w:proofErr w:type="spellEnd"/>
          <w:r w:rsidR="00660427">
            <w:t>) mukaan järjestelmä otetaan käyttöön ja asetuksen (EU) 2019/</w:t>
          </w:r>
          <w:r w:rsidR="00791839">
            <w:t>880 täysi soveltaminen alkaa 28.6.</w:t>
          </w:r>
          <w:r w:rsidR="00660427">
            <w:t>2025</w:t>
          </w:r>
          <w:r w:rsidR="00E47142">
            <w:t>.</w:t>
          </w:r>
        </w:p>
        <w:p w:rsidR="008414FE" w:rsidRPr="0007388F" w:rsidRDefault="002226B0" w:rsidP="0007388F">
          <w:pPr>
            <w:pStyle w:val="LLPerustelujenkappalejako"/>
            <w:rPr>
              <w:lang w:val="en-US"/>
            </w:rPr>
          </w:pPr>
        </w:p>
      </w:sdtContent>
    </w:sdt>
    <w:p w:rsidR="004A648F" w:rsidRDefault="004A648F" w:rsidP="004A648F">
      <w:pPr>
        <w:pStyle w:val="LLNormaali"/>
      </w:pPr>
    </w:p>
    <w:p w:rsidR="003F7893" w:rsidRPr="004766BD" w:rsidRDefault="003F7893" w:rsidP="004766BD">
      <w:pPr>
        <w:pStyle w:val="LLPonsi"/>
        <w:rPr>
          <w:i/>
        </w:rPr>
      </w:pPr>
      <w:r w:rsidRPr="004766BD">
        <w:rPr>
          <w:i/>
        </w:rPr>
        <w:t>Ponsi</w:t>
      </w:r>
    </w:p>
    <w:p w:rsidR="003F7893" w:rsidRDefault="003F7893" w:rsidP="00A841CE">
      <w:pPr>
        <w:pStyle w:val="LLPonsi"/>
      </w:pPr>
      <w:r>
        <w:t xml:space="preserve">Koska </w:t>
      </w:r>
      <w:r w:rsidR="00170E9E" w:rsidRPr="00170E9E">
        <w:t xml:space="preserve">kulttuuriesineiden tullialueelle siirtämisestä ja tuonnista annetussa Euroopan parlamentin ja neuvoston asetuksessa (EU) </w:t>
      </w:r>
      <w:proofErr w:type="gramStart"/>
      <w:r w:rsidR="00170E9E" w:rsidRPr="00170E9E">
        <w:t>N:o</w:t>
      </w:r>
      <w:proofErr w:type="gramEnd"/>
      <w:r w:rsidR="00170E9E" w:rsidRPr="00170E9E">
        <w:t xml:space="preserve"> 2019/880</w:t>
      </w:r>
      <w:r w:rsidR="00170E9E">
        <w:t xml:space="preserve"> </w:t>
      </w:r>
      <w:r>
        <w:t>on säännöksiä, joita ehdotetaan täydennettäviksi lailla, annetaan eduskunnan hyväksyttäväksi 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0" w:name="_Toc20986726"/>
    <w:p w:rsidR="00646DE3" w:rsidRDefault="002226B0" w:rsidP="00646DE3">
      <w:pPr>
        <w:pStyle w:val="LLLakiehdotukset"/>
      </w:pPr>
      <w:sdt>
        <w:sdtPr>
          <w:alias w:val="Lakiehdotukset"/>
          <w:tag w:val="CCLakiehdotukset"/>
          <w:id w:val="1834638829"/>
          <w:placeholder>
            <w:docPart w:val="F667E218032C49D395026C2A417E8710"/>
          </w:placeholder>
          <w15:color w:val="00FFFF"/>
          <w:dropDownList>
            <w:listItem w:value="Valitse kohde."/>
            <w:listItem w:displayText="Lakiehdotus" w:value="Lakiehdotus"/>
            <w:listItem w:displayText="Lakiehdotukset" w:value="Lakiehdotukset"/>
          </w:dropDownList>
        </w:sdtPr>
        <w:sdtEndPr/>
        <w:sdtContent>
          <w:r w:rsidR="00170E9E">
            <w:t>Lakiehdotus</w:t>
          </w:r>
        </w:sdtContent>
      </w:sdt>
      <w:bookmarkEnd w:id="10"/>
    </w:p>
    <w:sdt>
      <w:sdtPr>
        <w:alias w:val="Lakiehdotus"/>
        <w:tag w:val="CCLakiehdotus"/>
        <w:id w:val="1695884352"/>
        <w:placeholder>
          <w:docPart w:val="30D3A52B7C6B40BDBBAD50E1E6E41950"/>
        </w:placeholder>
        <w15:color w:val="00FFFF"/>
      </w:sdtPr>
      <w:sdtEndPr/>
      <w:sdtContent>
        <w:p w:rsidR="009167E1" w:rsidRPr="009167E1" w:rsidRDefault="009167E1" w:rsidP="00D4030C">
          <w:pPr>
            <w:pStyle w:val="LLNormaali"/>
          </w:pPr>
        </w:p>
        <w:p w:rsidR="009167E1" w:rsidRPr="00F36633" w:rsidRDefault="009167E1" w:rsidP="009732F5">
          <w:pPr>
            <w:pStyle w:val="LLLaki"/>
          </w:pPr>
          <w:r w:rsidRPr="00F36633">
            <w:t>Laki</w:t>
          </w:r>
        </w:p>
        <w:p w:rsidR="009167E1" w:rsidRPr="009167E1" w:rsidRDefault="00775857" w:rsidP="0082264A">
          <w:pPr>
            <w:pStyle w:val="LLSaadoksenNimi"/>
          </w:pPr>
          <w:r>
            <w:t>Museovirastosta annetun lain muuttamisesta</w:t>
          </w:r>
          <w:r w:rsidR="009167E1" w:rsidRPr="009167E1">
            <w:t xml:space="preserve"> </w:t>
          </w:r>
        </w:p>
        <w:p w:rsidR="009167E1" w:rsidRPr="009167E1" w:rsidRDefault="009167E1" w:rsidP="009167E1">
          <w:pPr>
            <w:pStyle w:val="LLJohtolauseKappaleet"/>
          </w:pPr>
          <w:r w:rsidRPr="009167E1">
            <w:t xml:space="preserve">Eduskunnan päätöksen mukaisesti </w:t>
          </w:r>
        </w:p>
        <w:p w:rsidR="00DD46C1" w:rsidRDefault="009167E1" w:rsidP="009167E1">
          <w:pPr>
            <w:pStyle w:val="LLJohtolauseKappaleet"/>
          </w:pPr>
          <w:r w:rsidRPr="009167E1">
            <w:rPr>
              <w:i/>
            </w:rPr>
            <w:t>lisätään</w:t>
          </w:r>
          <w:r w:rsidRPr="009167E1">
            <w:t xml:space="preserve"> </w:t>
          </w:r>
          <w:r w:rsidR="00775857">
            <w:t xml:space="preserve">Museovirastosta annettuun lakiin uusi 2 a § </w:t>
          </w:r>
          <w:r w:rsidRPr="009167E1">
            <w:t>seuraavasti:</w:t>
          </w:r>
        </w:p>
        <w:p w:rsidR="0000497A" w:rsidRDefault="0000497A" w:rsidP="00426EAE">
          <w:pPr>
            <w:pStyle w:val="LLNormaali"/>
          </w:pPr>
        </w:p>
        <w:p w:rsidR="009167E1" w:rsidRDefault="00775857" w:rsidP="00BA71BD">
          <w:pPr>
            <w:pStyle w:val="LLPykala"/>
          </w:pPr>
          <w:r>
            <w:t>2 a</w:t>
          </w:r>
          <w:r w:rsidR="009167E1" w:rsidRPr="009167E1">
            <w:t xml:space="preserve"> §</w:t>
          </w:r>
        </w:p>
        <w:p w:rsidR="00D4030C" w:rsidRPr="00D4030C" w:rsidRDefault="00D4030C" w:rsidP="00D4030C">
          <w:pPr>
            <w:pStyle w:val="LLNormaali"/>
            <w:rPr>
              <w:lang w:eastAsia="fi-FI"/>
            </w:rPr>
          </w:pPr>
        </w:p>
        <w:p w:rsidR="00927125" w:rsidRDefault="00775857" w:rsidP="00BA71BD">
          <w:pPr>
            <w:pStyle w:val="LLNormaali"/>
            <w:jc w:val="center"/>
            <w:rPr>
              <w:rFonts w:eastAsia="Times New Roman"/>
              <w:szCs w:val="24"/>
              <w:lang w:eastAsia="fi-FI"/>
            </w:rPr>
          </w:pPr>
          <w:r w:rsidRPr="00775857">
            <w:rPr>
              <w:rFonts w:eastAsia="Times New Roman"/>
              <w:szCs w:val="24"/>
              <w:lang w:eastAsia="fi-FI"/>
            </w:rPr>
            <w:t>Museovirasto toimii kulttuuriesineiden tullialueelle siirtämisestä ja tuonnista 17.4.2019 annetun Euroopan parlamentin ja neuvoston asetuksen (EU) 2019/880 4 artiklassa tarkoitettuna toimivaltaisena viranomaisena.</w:t>
          </w:r>
        </w:p>
        <w:p w:rsidR="00927125" w:rsidRDefault="00927125" w:rsidP="00BA71BD">
          <w:pPr>
            <w:pStyle w:val="LLNormaali"/>
            <w:jc w:val="center"/>
            <w:rPr>
              <w:rFonts w:eastAsia="Times New Roman"/>
              <w:szCs w:val="24"/>
              <w:lang w:eastAsia="fi-FI"/>
            </w:rPr>
          </w:pPr>
          <w:r>
            <w:rPr>
              <w:rFonts w:eastAsia="Times New Roman"/>
              <w:szCs w:val="24"/>
              <w:lang w:eastAsia="fi-FI"/>
            </w:rPr>
            <w:t>Museoviraston 1 momentissa tarkoitetun asetuksen nojalla tekemään päätökseen saa vaatia oikaisua. Oikaisuvaatimuksesta säädetään hallintolaissa (434/2003).</w:t>
          </w:r>
        </w:p>
        <w:p w:rsidR="00BA71BD" w:rsidRPr="009167E1" w:rsidRDefault="00775857" w:rsidP="00BA71BD">
          <w:pPr>
            <w:pStyle w:val="LLNormaali"/>
            <w:jc w:val="center"/>
          </w:pPr>
          <w:r w:rsidRPr="00775857">
            <w:rPr>
              <w:rFonts w:eastAsia="Times New Roman"/>
              <w:szCs w:val="24"/>
              <w:lang w:eastAsia="fi-FI"/>
            </w:rPr>
            <w:t xml:space="preserve"> </w:t>
          </w:r>
          <w:r w:rsidR="00BA71BD">
            <w:t>———</w:t>
          </w:r>
        </w:p>
        <w:p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w:t>
          </w:r>
          <w:proofErr w:type="gramStart"/>
          <w:r w:rsidRPr="009167E1">
            <w:t>20</w:t>
          </w:r>
          <w:r w:rsidR="00DF1266">
            <w:t xml:space="preserve"> </w:t>
          </w:r>
          <w:r w:rsidR="00BC6172">
            <w:t>.</w:t>
          </w:r>
          <w:proofErr w:type="gramEnd"/>
        </w:p>
        <w:p w:rsidR="004A648F" w:rsidRDefault="00BA71BD" w:rsidP="00BA71BD">
          <w:pPr>
            <w:pStyle w:val="LLNormaali"/>
            <w:jc w:val="center"/>
          </w:pPr>
          <w:r>
            <w:t>—————</w:t>
          </w:r>
        </w:p>
        <w:p w:rsidR="007D0F65" w:rsidRDefault="002226B0" w:rsidP="007D0F65">
          <w:pPr>
            <w:pStyle w:val="LLNormaali"/>
          </w:pPr>
        </w:p>
      </w:sdtContent>
    </w:sdt>
    <w:p w:rsidR="00BC6172" w:rsidRDefault="00BC6172" w:rsidP="004A648F">
      <w:pPr>
        <w:pStyle w:val="LLNormaali"/>
      </w:pPr>
    </w:p>
    <w:p w:rsidR="00FA1AD3" w:rsidRDefault="00FA1AD3" w:rsidP="004A648F">
      <w:pPr>
        <w:pStyle w:val="LLNormaali"/>
      </w:pPr>
    </w:p>
    <w:p w:rsidR="00137260" w:rsidRPr="00FA1AD3" w:rsidRDefault="00137260" w:rsidP="00FA1AD3">
      <w:pPr>
        <w:pStyle w:val="LLNormaali"/>
      </w:pPr>
    </w:p>
    <w:sdt>
      <w:sdtPr>
        <w:alias w:val="Päiväys"/>
        <w:tag w:val="CCPaivays"/>
        <w:id w:val="-857742363"/>
        <w:lock w:val="sdtLocked"/>
        <w:placeholder>
          <w:docPart w:val="4A342FEAFE43421696DE1337491DE0C1"/>
        </w:placeholder>
        <w15:color w:val="33CCCC"/>
        <w:text/>
      </w:sdtPr>
      <w:sdtEndPr/>
      <w:sdtContent>
        <w:p w:rsidR="005F6E65" w:rsidRPr="00030BA9" w:rsidRDefault="001401B3" w:rsidP="005F6E65">
          <w:pPr>
            <w:pStyle w:val="LLPaivays"/>
          </w:pPr>
          <w:r>
            <w:t xml:space="preserve">Helsingissä </w:t>
          </w:r>
          <w:r w:rsidR="00222597">
            <w:t>x</w:t>
          </w:r>
          <w:r>
            <w:t>.</w:t>
          </w:r>
          <w:r w:rsidR="00222597">
            <w:t>x</w:t>
          </w:r>
          <w:r>
            <w:t>.20</w:t>
          </w:r>
          <w:r w:rsidR="000C60A4">
            <w:t>xx</w:t>
          </w:r>
        </w:p>
      </w:sdtContent>
    </w:sdt>
    <w:p w:rsidR="005F6E65" w:rsidRPr="00030BA9" w:rsidRDefault="005F6E65" w:rsidP="00267E16">
      <w:pPr>
        <w:pStyle w:val="LLNormaali"/>
      </w:pPr>
    </w:p>
    <w:sdt>
      <w:sdtPr>
        <w:alias w:val="Allekirjoittajan asema"/>
        <w:tag w:val="CCAllekirjoitus"/>
        <w:id w:val="1565067034"/>
        <w:lock w:val="sdtLocked"/>
        <w:placeholder>
          <w:docPart w:val="4A342FEAFE43421696DE1337491DE0C1"/>
        </w:placeholder>
        <w15:color w:val="00FFFF"/>
      </w:sdtPr>
      <w:sdtEndPr/>
      <w:sdtContent>
        <w:p w:rsidR="005F6E65" w:rsidRPr="008D7BC7" w:rsidRDefault="0087446D" w:rsidP="005F6E65">
          <w:pPr>
            <w:pStyle w:val="LLAllekirjoitus"/>
          </w:pPr>
          <w:r>
            <w:t>Pääministeri</w:t>
          </w:r>
        </w:p>
      </w:sdtContent>
    </w:sdt>
    <w:p w:rsidR="005F6E65" w:rsidRPr="00385A06" w:rsidRDefault="00A841CE" w:rsidP="00385A06">
      <w:pPr>
        <w:pStyle w:val="LLNimenselvennys"/>
      </w:pPr>
      <w:r>
        <w:t>Etunimi Sukunimi</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rsidR="005C478D" w:rsidRDefault="005C478D" w:rsidP="00E47142">
      <w:pPr>
        <w:pStyle w:val="LLNormaali"/>
      </w:pPr>
    </w:p>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B0" w:rsidRDefault="002226B0">
      <w:r>
        <w:separator/>
      </w:r>
    </w:p>
  </w:endnote>
  <w:endnote w:type="continuationSeparator" w:id="0">
    <w:p w:rsidR="002226B0" w:rsidRDefault="0022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C5502">
            <w:rPr>
              <w:rStyle w:val="Sivunumero"/>
              <w:noProof/>
              <w:sz w:val="22"/>
            </w:rPr>
            <w:t>8</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B0" w:rsidRDefault="002226B0">
      <w:r>
        <w:separator/>
      </w:r>
    </w:p>
  </w:footnote>
  <w:footnote w:type="continuationSeparator" w:id="0">
    <w:p w:rsidR="002226B0" w:rsidRDefault="0022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CE" w:rsidRDefault="00A841C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1096DD1"/>
    <w:multiLevelType w:val="hybridMultilevel"/>
    <w:tmpl w:val="38661406"/>
    <w:lvl w:ilvl="0" w:tplc="6346F19A">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42B5FC3"/>
    <w:multiLevelType w:val="hybridMultilevel"/>
    <w:tmpl w:val="607AB158"/>
    <w:lvl w:ilvl="0" w:tplc="007CF7C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1"/>
  </w:num>
  <w:num w:numId="22">
    <w:abstractNumId w:val="11"/>
  </w:num>
  <w:num w:numId="23">
    <w:abstractNumId w:val="2"/>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57"/>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1A7E"/>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0A4"/>
    <w:rsid w:val="000C6EC7"/>
    <w:rsid w:val="000C702E"/>
    <w:rsid w:val="000D0AA3"/>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61DF"/>
    <w:rsid w:val="000E73C2"/>
    <w:rsid w:val="000F02E2"/>
    <w:rsid w:val="000F06B2"/>
    <w:rsid w:val="000F1313"/>
    <w:rsid w:val="000F1A50"/>
    <w:rsid w:val="000F1AE5"/>
    <w:rsid w:val="000F1F95"/>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0E9E"/>
    <w:rsid w:val="00171AEB"/>
    <w:rsid w:val="001729CF"/>
    <w:rsid w:val="00172F9D"/>
    <w:rsid w:val="0017311E"/>
    <w:rsid w:val="001737ED"/>
    <w:rsid w:val="00173F89"/>
    <w:rsid w:val="00174FCA"/>
    <w:rsid w:val="00175AD6"/>
    <w:rsid w:val="00177976"/>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83B"/>
    <w:rsid w:val="001C4A97"/>
    <w:rsid w:val="001C5331"/>
    <w:rsid w:val="001C6C94"/>
    <w:rsid w:val="001C77EA"/>
    <w:rsid w:val="001D0443"/>
    <w:rsid w:val="001D07D2"/>
    <w:rsid w:val="001D0B90"/>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2597"/>
    <w:rsid w:val="002226B0"/>
    <w:rsid w:val="002233F1"/>
    <w:rsid w:val="00223FC3"/>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2D32"/>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02C2"/>
    <w:rsid w:val="00272D80"/>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3ECD"/>
    <w:rsid w:val="002F47BF"/>
    <w:rsid w:val="002F486D"/>
    <w:rsid w:val="002F5A3F"/>
    <w:rsid w:val="002F66DD"/>
    <w:rsid w:val="002F690F"/>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8C5"/>
    <w:rsid w:val="003206A2"/>
    <w:rsid w:val="0032557F"/>
    <w:rsid w:val="00326029"/>
    <w:rsid w:val="0032663D"/>
    <w:rsid w:val="00327C20"/>
    <w:rsid w:val="0033013E"/>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3D4A"/>
    <w:rsid w:val="003540B1"/>
    <w:rsid w:val="003569FE"/>
    <w:rsid w:val="00360341"/>
    <w:rsid w:val="00360460"/>
    <w:rsid w:val="00360578"/>
    <w:rsid w:val="00360E69"/>
    <w:rsid w:val="00362079"/>
    <w:rsid w:val="0036367F"/>
    <w:rsid w:val="00365E6E"/>
    <w:rsid w:val="0036727A"/>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14"/>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0C"/>
    <w:rsid w:val="003C224C"/>
    <w:rsid w:val="003C2B7B"/>
    <w:rsid w:val="003C2EFC"/>
    <w:rsid w:val="003C37B9"/>
    <w:rsid w:val="003C47C4"/>
    <w:rsid w:val="003C4DCC"/>
    <w:rsid w:val="003C5502"/>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44E"/>
    <w:rsid w:val="0043081A"/>
    <w:rsid w:val="00431A47"/>
    <w:rsid w:val="004340A9"/>
    <w:rsid w:val="004341D8"/>
    <w:rsid w:val="004348C9"/>
    <w:rsid w:val="004357BA"/>
    <w:rsid w:val="00436A88"/>
    <w:rsid w:val="00436DE1"/>
    <w:rsid w:val="00437F5E"/>
    <w:rsid w:val="00440C37"/>
    <w:rsid w:val="004417F1"/>
    <w:rsid w:val="00442197"/>
    <w:rsid w:val="004422B3"/>
    <w:rsid w:val="00442C18"/>
    <w:rsid w:val="0044376A"/>
    <w:rsid w:val="00443949"/>
    <w:rsid w:val="00445534"/>
    <w:rsid w:val="00445589"/>
    <w:rsid w:val="00445B1B"/>
    <w:rsid w:val="00446423"/>
    <w:rsid w:val="004465E7"/>
    <w:rsid w:val="0045072D"/>
    <w:rsid w:val="00451B3B"/>
    <w:rsid w:val="00452280"/>
    <w:rsid w:val="004556A2"/>
    <w:rsid w:val="004558C8"/>
    <w:rsid w:val="00456285"/>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6BD"/>
    <w:rsid w:val="004768CC"/>
    <w:rsid w:val="004808A8"/>
    <w:rsid w:val="00482025"/>
    <w:rsid w:val="00482E87"/>
    <w:rsid w:val="00483449"/>
    <w:rsid w:val="00483E5F"/>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5AC8"/>
    <w:rsid w:val="004F6D83"/>
    <w:rsid w:val="0050389C"/>
    <w:rsid w:val="005045AC"/>
    <w:rsid w:val="00505460"/>
    <w:rsid w:val="00507067"/>
    <w:rsid w:val="005078C4"/>
    <w:rsid w:val="00507AB7"/>
    <w:rsid w:val="00510785"/>
    <w:rsid w:val="005112AE"/>
    <w:rsid w:val="005121CA"/>
    <w:rsid w:val="00512DBE"/>
    <w:rsid w:val="00513B2F"/>
    <w:rsid w:val="00513BE7"/>
    <w:rsid w:val="005149B1"/>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4964"/>
    <w:rsid w:val="00546C4C"/>
    <w:rsid w:val="00547F07"/>
    <w:rsid w:val="00550702"/>
    <w:rsid w:val="00551096"/>
    <w:rsid w:val="00551248"/>
    <w:rsid w:val="00553833"/>
    <w:rsid w:val="0055413D"/>
    <w:rsid w:val="005546EC"/>
    <w:rsid w:val="00554D30"/>
    <w:rsid w:val="00554E4E"/>
    <w:rsid w:val="00555017"/>
    <w:rsid w:val="00556BBA"/>
    <w:rsid w:val="00561BD6"/>
    <w:rsid w:val="005622B1"/>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B14"/>
    <w:rsid w:val="005B0BF3"/>
    <w:rsid w:val="005B14FA"/>
    <w:rsid w:val="005B2871"/>
    <w:rsid w:val="005B468B"/>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488"/>
    <w:rsid w:val="005E2844"/>
    <w:rsid w:val="005E491F"/>
    <w:rsid w:val="005E4ED4"/>
    <w:rsid w:val="005E7444"/>
    <w:rsid w:val="005F35B9"/>
    <w:rsid w:val="005F428D"/>
    <w:rsid w:val="005F466A"/>
    <w:rsid w:val="005F4DD8"/>
    <w:rsid w:val="005F6E65"/>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5341"/>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427"/>
    <w:rsid w:val="00660696"/>
    <w:rsid w:val="00660FA6"/>
    <w:rsid w:val="00661C40"/>
    <w:rsid w:val="00661CDA"/>
    <w:rsid w:val="006622BD"/>
    <w:rsid w:val="00663687"/>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12C9"/>
    <w:rsid w:val="00683309"/>
    <w:rsid w:val="006834AF"/>
    <w:rsid w:val="00683843"/>
    <w:rsid w:val="00683F3E"/>
    <w:rsid w:val="0068454F"/>
    <w:rsid w:val="0068492B"/>
    <w:rsid w:val="00685B6B"/>
    <w:rsid w:val="0068734E"/>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3568"/>
    <w:rsid w:val="006B4D2D"/>
    <w:rsid w:val="006B525A"/>
    <w:rsid w:val="006B557C"/>
    <w:rsid w:val="006B557E"/>
    <w:rsid w:val="006B62C1"/>
    <w:rsid w:val="006B6985"/>
    <w:rsid w:val="006B7B0A"/>
    <w:rsid w:val="006C070F"/>
    <w:rsid w:val="006C170E"/>
    <w:rsid w:val="006C1A41"/>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D7904"/>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A4A"/>
    <w:rsid w:val="00701EDC"/>
    <w:rsid w:val="0070214C"/>
    <w:rsid w:val="00702977"/>
    <w:rsid w:val="00702F51"/>
    <w:rsid w:val="00703CD6"/>
    <w:rsid w:val="00704DA4"/>
    <w:rsid w:val="0070655B"/>
    <w:rsid w:val="00710840"/>
    <w:rsid w:val="00711F7C"/>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4F68"/>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857"/>
    <w:rsid w:val="00775B66"/>
    <w:rsid w:val="0077641D"/>
    <w:rsid w:val="00780BBD"/>
    <w:rsid w:val="00780FAA"/>
    <w:rsid w:val="0078170F"/>
    <w:rsid w:val="007845C1"/>
    <w:rsid w:val="00784F86"/>
    <w:rsid w:val="00785D7E"/>
    <w:rsid w:val="00786460"/>
    <w:rsid w:val="007914C8"/>
    <w:rsid w:val="00791839"/>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B767C"/>
    <w:rsid w:val="007C05F6"/>
    <w:rsid w:val="007C1B99"/>
    <w:rsid w:val="007C3721"/>
    <w:rsid w:val="007C4D61"/>
    <w:rsid w:val="007C5DA4"/>
    <w:rsid w:val="007C6E98"/>
    <w:rsid w:val="007C7399"/>
    <w:rsid w:val="007C7A83"/>
    <w:rsid w:val="007D0F65"/>
    <w:rsid w:val="007D1C18"/>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E4D"/>
    <w:rsid w:val="00800ADC"/>
    <w:rsid w:val="00801EDC"/>
    <w:rsid w:val="00803E18"/>
    <w:rsid w:val="00807643"/>
    <w:rsid w:val="0081171D"/>
    <w:rsid w:val="00814E3D"/>
    <w:rsid w:val="00815458"/>
    <w:rsid w:val="00815D87"/>
    <w:rsid w:val="00816AFB"/>
    <w:rsid w:val="008208B7"/>
    <w:rsid w:val="00820D4A"/>
    <w:rsid w:val="00821567"/>
    <w:rsid w:val="00822509"/>
    <w:rsid w:val="0082264A"/>
    <w:rsid w:val="00825DF1"/>
    <w:rsid w:val="00826432"/>
    <w:rsid w:val="00827FCF"/>
    <w:rsid w:val="0083016B"/>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A72D7"/>
    <w:rsid w:val="008B0045"/>
    <w:rsid w:val="008B0F37"/>
    <w:rsid w:val="008B10BB"/>
    <w:rsid w:val="008B1700"/>
    <w:rsid w:val="008B1D29"/>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545A"/>
    <w:rsid w:val="008F57CF"/>
    <w:rsid w:val="008F6A51"/>
    <w:rsid w:val="008F6AC8"/>
    <w:rsid w:val="0090165C"/>
    <w:rsid w:val="009033B5"/>
    <w:rsid w:val="00903F38"/>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1B81"/>
    <w:rsid w:val="009227B4"/>
    <w:rsid w:val="00922AA7"/>
    <w:rsid w:val="009231B9"/>
    <w:rsid w:val="009234AB"/>
    <w:rsid w:val="00923FB2"/>
    <w:rsid w:val="00925A7D"/>
    <w:rsid w:val="00925BA7"/>
    <w:rsid w:val="00926F01"/>
    <w:rsid w:val="00927125"/>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623"/>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5F9C"/>
    <w:rsid w:val="009D7B40"/>
    <w:rsid w:val="009D7D94"/>
    <w:rsid w:val="009E0EB6"/>
    <w:rsid w:val="009E166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604"/>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19C"/>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672B"/>
    <w:rsid w:val="00A87584"/>
    <w:rsid w:val="00A877C7"/>
    <w:rsid w:val="00A90B21"/>
    <w:rsid w:val="00A90D5A"/>
    <w:rsid w:val="00A91245"/>
    <w:rsid w:val="00A9153D"/>
    <w:rsid w:val="00A931F0"/>
    <w:rsid w:val="00A939B2"/>
    <w:rsid w:val="00A95059"/>
    <w:rsid w:val="00A95673"/>
    <w:rsid w:val="00A95921"/>
    <w:rsid w:val="00A95B62"/>
    <w:rsid w:val="00AA1334"/>
    <w:rsid w:val="00AA28B3"/>
    <w:rsid w:val="00AA30CA"/>
    <w:rsid w:val="00AA34DE"/>
    <w:rsid w:val="00AA4121"/>
    <w:rsid w:val="00AA5644"/>
    <w:rsid w:val="00AA6E8E"/>
    <w:rsid w:val="00AB1EEB"/>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1DDE"/>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B7E"/>
    <w:rsid w:val="00AF7CBD"/>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2A8"/>
    <w:rsid w:val="00B433F9"/>
    <w:rsid w:val="00B43BC5"/>
    <w:rsid w:val="00B46941"/>
    <w:rsid w:val="00B47E8A"/>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5869"/>
    <w:rsid w:val="00BA71BD"/>
    <w:rsid w:val="00BB1043"/>
    <w:rsid w:val="00BB1577"/>
    <w:rsid w:val="00BB30DF"/>
    <w:rsid w:val="00BB3BF0"/>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1E83"/>
    <w:rsid w:val="00BF28A9"/>
    <w:rsid w:val="00BF29D9"/>
    <w:rsid w:val="00BF42DA"/>
    <w:rsid w:val="00BF51C5"/>
    <w:rsid w:val="00BF7B61"/>
    <w:rsid w:val="00C00385"/>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7116"/>
    <w:rsid w:val="00C20617"/>
    <w:rsid w:val="00C227C1"/>
    <w:rsid w:val="00C22CBF"/>
    <w:rsid w:val="00C26932"/>
    <w:rsid w:val="00C26AE9"/>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3B3"/>
    <w:rsid w:val="00C854FD"/>
    <w:rsid w:val="00C8577D"/>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B7CCE"/>
    <w:rsid w:val="00CC16DD"/>
    <w:rsid w:val="00CC1BB0"/>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664C"/>
    <w:rsid w:val="00D366BD"/>
    <w:rsid w:val="00D3687F"/>
    <w:rsid w:val="00D4030C"/>
    <w:rsid w:val="00D4041C"/>
    <w:rsid w:val="00D40A31"/>
    <w:rsid w:val="00D40ACA"/>
    <w:rsid w:val="00D43329"/>
    <w:rsid w:val="00D440DF"/>
    <w:rsid w:val="00D441EB"/>
    <w:rsid w:val="00D44217"/>
    <w:rsid w:val="00D44710"/>
    <w:rsid w:val="00D44FBB"/>
    <w:rsid w:val="00D4681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4D65"/>
    <w:rsid w:val="00DA6196"/>
    <w:rsid w:val="00DA77AE"/>
    <w:rsid w:val="00DB025F"/>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1266"/>
    <w:rsid w:val="00DF3BBD"/>
    <w:rsid w:val="00DF5083"/>
    <w:rsid w:val="00DF5087"/>
    <w:rsid w:val="00DF655E"/>
    <w:rsid w:val="00E00A0C"/>
    <w:rsid w:val="00E012B8"/>
    <w:rsid w:val="00E01CF0"/>
    <w:rsid w:val="00E041FF"/>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4146"/>
    <w:rsid w:val="00E25A1B"/>
    <w:rsid w:val="00E261DA"/>
    <w:rsid w:val="00E26380"/>
    <w:rsid w:val="00E26CB0"/>
    <w:rsid w:val="00E27C6D"/>
    <w:rsid w:val="00E31481"/>
    <w:rsid w:val="00E314F3"/>
    <w:rsid w:val="00E32223"/>
    <w:rsid w:val="00E345E3"/>
    <w:rsid w:val="00E34637"/>
    <w:rsid w:val="00E347B9"/>
    <w:rsid w:val="00E34954"/>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7142"/>
    <w:rsid w:val="00E471A5"/>
    <w:rsid w:val="00E477E3"/>
    <w:rsid w:val="00E479DD"/>
    <w:rsid w:val="00E52237"/>
    <w:rsid w:val="00E52432"/>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45DA"/>
    <w:rsid w:val="00E7545F"/>
    <w:rsid w:val="00E8048E"/>
    <w:rsid w:val="00E81D6E"/>
    <w:rsid w:val="00E82D11"/>
    <w:rsid w:val="00E8300F"/>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D03"/>
    <w:rsid w:val="00EA1DE3"/>
    <w:rsid w:val="00EA2351"/>
    <w:rsid w:val="00EA2B73"/>
    <w:rsid w:val="00EA4139"/>
    <w:rsid w:val="00EA5FF7"/>
    <w:rsid w:val="00EA6D0E"/>
    <w:rsid w:val="00EA7537"/>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4606"/>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64AB"/>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6DEAC8"/>
  <w15:docId w15:val="{95A4396B-737D-455D-9B12-3762C441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658270952">
      <w:bodyDiv w:val="1"/>
      <w:marLeft w:val="0"/>
      <w:marRight w:val="0"/>
      <w:marTop w:val="0"/>
      <w:marBottom w:val="0"/>
      <w:divBdr>
        <w:top w:val="none" w:sz="0" w:space="0" w:color="auto"/>
        <w:left w:val="none" w:sz="0" w:space="0" w:color="auto"/>
        <w:bottom w:val="none" w:sz="0" w:space="0" w:color="auto"/>
        <w:right w:val="none" w:sz="0" w:space="0" w:color="auto"/>
      </w:divBdr>
    </w:div>
    <w:div w:id="705444034">
      <w:bodyDiv w:val="1"/>
      <w:marLeft w:val="0"/>
      <w:marRight w:val="0"/>
      <w:marTop w:val="0"/>
      <w:marBottom w:val="0"/>
      <w:divBdr>
        <w:top w:val="none" w:sz="0" w:space="0" w:color="auto"/>
        <w:left w:val="none" w:sz="0" w:space="0" w:color="auto"/>
        <w:bottom w:val="none" w:sz="0" w:space="0" w:color="auto"/>
        <w:right w:val="none" w:sz="0" w:space="0" w:color="auto"/>
      </w:divBdr>
    </w:div>
    <w:div w:id="85546215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53594743">
      <w:bodyDiv w:val="1"/>
      <w:marLeft w:val="0"/>
      <w:marRight w:val="0"/>
      <w:marTop w:val="0"/>
      <w:marBottom w:val="0"/>
      <w:divBdr>
        <w:top w:val="none" w:sz="0" w:space="0" w:color="auto"/>
        <w:left w:val="none" w:sz="0" w:space="0" w:color="auto"/>
        <w:bottom w:val="none" w:sz="0" w:space="0" w:color="auto"/>
        <w:right w:val="none" w:sz="0" w:space="0" w:color="auto"/>
      </w:divBdr>
      <w:divsChild>
        <w:div w:id="780566329">
          <w:marLeft w:val="418"/>
          <w:marRight w:val="0"/>
          <w:marTop w:val="28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6960891">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0014\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342FEAFE43421696DE1337491DE0C1"/>
        <w:category>
          <w:name w:val="Yleiset"/>
          <w:gallery w:val="placeholder"/>
        </w:category>
        <w:types>
          <w:type w:val="bbPlcHdr"/>
        </w:types>
        <w:behaviors>
          <w:behavior w:val="content"/>
        </w:behaviors>
        <w:guid w:val="{7FBF6500-3D6C-434A-9431-6D2515BC17EB}"/>
      </w:docPartPr>
      <w:docPartBody>
        <w:p w:rsidR="009764B2" w:rsidRDefault="007360C2">
          <w:pPr>
            <w:pStyle w:val="4A342FEAFE43421696DE1337491DE0C1"/>
          </w:pPr>
          <w:r w:rsidRPr="005D3E42">
            <w:rPr>
              <w:rStyle w:val="Paikkamerkkiteksti"/>
            </w:rPr>
            <w:t>Click or tap here to enter text.</w:t>
          </w:r>
        </w:p>
      </w:docPartBody>
    </w:docPart>
    <w:docPart>
      <w:docPartPr>
        <w:name w:val="D94940B1A1D342F2A422C0DD6DCF6F36"/>
        <w:category>
          <w:name w:val="Yleiset"/>
          <w:gallery w:val="placeholder"/>
        </w:category>
        <w:types>
          <w:type w:val="bbPlcHdr"/>
        </w:types>
        <w:behaviors>
          <w:behavior w:val="content"/>
        </w:behaviors>
        <w:guid w:val="{D8653B35-DAC0-4A81-BFD2-50B74A67C94D}"/>
      </w:docPartPr>
      <w:docPartBody>
        <w:p w:rsidR="009764B2" w:rsidRDefault="007360C2">
          <w:pPr>
            <w:pStyle w:val="D94940B1A1D342F2A422C0DD6DCF6F36"/>
          </w:pPr>
          <w:r w:rsidRPr="005D3E42">
            <w:rPr>
              <w:rStyle w:val="Paikkamerkkiteksti"/>
            </w:rPr>
            <w:t>Click or tap here to enter text.</w:t>
          </w:r>
        </w:p>
      </w:docPartBody>
    </w:docPart>
    <w:docPart>
      <w:docPartPr>
        <w:name w:val="BC6006A72F8A4A1FAC8E5A456AF315B4"/>
        <w:category>
          <w:name w:val="Yleiset"/>
          <w:gallery w:val="placeholder"/>
        </w:category>
        <w:types>
          <w:type w:val="bbPlcHdr"/>
        </w:types>
        <w:behaviors>
          <w:behavior w:val="content"/>
        </w:behaviors>
        <w:guid w:val="{AEE59329-A435-43A3-B293-9718A7F42060}"/>
      </w:docPartPr>
      <w:docPartBody>
        <w:p w:rsidR="009764B2" w:rsidRDefault="007360C2">
          <w:pPr>
            <w:pStyle w:val="BC6006A72F8A4A1FAC8E5A456AF315B4"/>
          </w:pPr>
          <w:r w:rsidRPr="002B458A">
            <w:rPr>
              <w:rStyle w:val="Paikkamerkkiteksti"/>
            </w:rPr>
            <w:t>Kirjoita tekstiä napsauttamalla tai napauttamalla tätä.</w:t>
          </w:r>
        </w:p>
      </w:docPartBody>
    </w:docPart>
    <w:docPart>
      <w:docPartPr>
        <w:name w:val="F667E218032C49D395026C2A417E8710"/>
        <w:category>
          <w:name w:val="Yleiset"/>
          <w:gallery w:val="placeholder"/>
        </w:category>
        <w:types>
          <w:type w:val="bbPlcHdr"/>
        </w:types>
        <w:behaviors>
          <w:behavior w:val="content"/>
        </w:behaviors>
        <w:guid w:val="{20981406-4255-4A10-8D7A-DE392AFF7D0B}"/>
      </w:docPartPr>
      <w:docPartBody>
        <w:p w:rsidR="009764B2" w:rsidRDefault="007360C2">
          <w:pPr>
            <w:pStyle w:val="F667E218032C49D395026C2A417E8710"/>
          </w:pPr>
          <w:r w:rsidRPr="00E27C6D">
            <w:t>Valitse kohde.</w:t>
          </w:r>
        </w:p>
      </w:docPartBody>
    </w:docPart>
    <w:docPart>
      <w:docPartPr>
        <w:name w:val="30D3A52B7C6B40BDBBAD50E1E6E41950"/>
        <w:category>
          <w:name w:val="Yleiset"/>
          <w:gallery w:val="placeholder"/>
        </w:category>
        <w:types>
          <w:type w:val="bbPlcHdr"/>
        </w:types>
        <w:behaviors>
          <w:behavior w:val="content"/>
        </w:behaviors>
        <w:guid w:val="{3C083EED-C4BC-4155-B16C-581B80CD17E8}"/>
      </w:docPartPr>
      <w:docPartBody>
        <w:p w:rsidR="009764B2" w:rsidRDefault="007360C2">
          <w:pPr>
            <w:pStyle w:val="30D3A52B7C6B40BDBBAD50E1E6E4195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C2"/>
    <w:rsid w:val="000272FD"/>
    <w:rsid w:val="00185056"/>
    <w:rsid w:val="005651E6"/>
    <w:rsid w:val="00590913"/>
    <w:rsid w:val="007360C2"/>
    <w:rsid w:val="009764B2"/>
    <w:rsid w:val="00A762A9"/>
    <w:rsid w:val="00B315EA"/>
    <w:rsid w:val="00F41F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15EA"/>
    <w:rPr>
      <w:color w:val="808080"/>
    </w:rPr>
  </w:style>
  <w:style w:type="paragraph" w:customStyle="1" w:styleId="4A342FEAFE43421696DE1337491DE0C1">
    <w:name w:val="4A342FEAFE43421696DE1337491DE0C1"/>
  </w:style>
  <w:style w:type="paragraph" w:customStyle="1" w:styleId="D94940B1A1D342F2A422C0DD6DCF6F36">
    <w:name w:val="D94940B1A1D342F2A422C0DD6DCF6F36"/>
  </w:style>
  <w:style w:type="paragraph" w:customStyle="1" w:styleId="BC6006A72F8A4A1FAC8E5A456AF315B4">
    <w:name w:val="BC6006A72F8A4A1FAC8E5A456AF315B4"/>
  </w:style>
  <w:style w:type="paragraph" w:customStyle="1" w:styleId="F667E218032C49D395026C2A417E8710">
    <w:name w:val="F667E218032C49D395026C2A417E8710"/>
  </w:style>
  <w:style w:type="paragraph" w:customStyle="1" w:styleId="30D3A52B7C6B40BDBBAD50E1E6E41950">
    <w:name w:val="30D3A52B7C6B40BDBBAD50E1E6E41950"/>
  </w:style>
  <w:style w:type="paragraph" w:customStyle="1" w:styleId="7F0DD7A4DD2F41988C7C52FA0450DC0C">
    <w:name w:val="7F0DD7A4DD2F41988C7C52FA0450DC0C"/>
  </w:style>
  <w:style w:type="paragraph" w:customStyle="1" w:styleId="E2610587C652450684BA36B2B83739C6">
    <w:name w:val="E2610587C652450684BA36B2B83739C6"/>
    <w:rsid w:val="00B3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1FE9-1068-48BF-9B35-40FDE5B4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540</TotalTime>
  <Pages>8</Pages>
  <Words>2313</Words>
  <Characters>18744</Characters>
  <Application>Microsoft Office Word</Application>
  <DocSecurity>0</DocSecurity>
  <Lines>156</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Hiitola Joni (OKM)</dc:creator>
  <cp:keywords/>
  <dc:description/>
  <cp:lastModifiedBy>Hiitola Joni (OKM)</cp:lastModifiedBy>
  <cp:revision>31</cp:revision>
  <cp:lastPrinted>2017-12-04T10:02:00Z</cp:lastPrinted>
  <dcterms:created xsi:type="dcterms:W3CDTF">2024-06-07T10:16:00Z</dcterms:created>
  <dcterms:modified xsi:type="dcterms:W3CDTF">2024-12-03T07:09:00Z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