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F7" w:rsidRDefault="00D31DF7" w:rsidP="00570187">
      <w:pPr>
        <w:ind w:left="5216"/>
      </w:pPr>
    </w:p>
    <w:p w:rsidR="00570187" w:rsidRDefault="00570187" w:rsidP="00570187">
      <w:pPr>
        <w:ind w:left="5216"/>
      </w:pPr>
      <w:r>
        <w:t xml:space="preserve">LUONNOS </w:t>
      </w:r>
      <w:r w:rsidR="00D31DF7">
        <w:t>2</w:t>
      </w:r>
      <w:r>
        <w:t xml:space="preserve"> -MÄÄRÄYS STUK S/2/2017</w:t>
      </w:r>
    </w:p>
    <w:p w:rsidR="00570187" w:rsidRDefault="00570187" w:rsidP="00570187"/>
    <w:p w:rsidR="00570187" w:rsidRDefault="00570187" w:rsidP="00570187"/>
    <w:p w:rsidR="00570187" w:rsidRPr="00133D97" w:rsidRDefault="00570187" w:rsidP="00570187">
      <w:pPr>
        <w:jc w:val="center"/>
        <w:rPr>
          <w:b/>
          <w:color w:val="0070C0"/>
          <w:sz w:val="32"/>
          <w:szCs w:val="32"/>
        </w:rPr>
      </w:pPr>
      <w:r w:rsidRPr="00133D97">
        <w:rPr>
          <w:b/>
          <w:color w:val="0070C0"/>
          <w:sz w:val="32"/>
          <w:szCs w:val="32"/>
        </w:rPr>
        <w:t>Säteilyturvakeskuksen määräys</w:t>
      </w:r>
    </w:p>
    <w:p w:rsidR="00570187" w:rsidRPr="00082C20" w:rsidRDefault="00570187" w:rsidP="00570187">
      <w:pPr>
        <w:jc w:val="center"/>
        <w:rPr>
          <w:b/>
          <w:color w:val="0070C0"/>
          <w:sz w:val="32"/>
          <w:szCs w:val="32"/>
        </w:rPr>
      </w:pPr>
      <w:r>
        <w:rPr>
          <w:b/>
          <w:color w:val="0070C0"/>
          <w:sz w:val="32"/>
          <w:szCs w:val="32"/>
        </w:rPr>
        <w:t xml:space="preserve">työntekijään kohdistuvan säteilyaltistuksen selvittämisestä, </w:t>
      </w:r>
      <w:r w:rsidRPr="00082C20">
        <w:rPr>
          <w:b/>
          <w:color w:val="0070C0"/>
          <w:sz w:val="32"/>
          <w:szCs w:val="32"/>
        </w:rPr>
        <w:t xml:space="preserve">altistusolosuhteiden </w:t>
      </w:r>
      <w:bookmarkStart w:id="0" w:name="_GoBack"/>
      <w:bookmarkEnd w:id="0"/>
      <w:r w:rsidRPr="00082C20">
        <w:rPr>
          <w:b/>
          <w:color w:val="0070C0"/>
          <w:sz w:val="32"/>
          <w:szCs w:val="32"/>
        </w:rPr>
        <w:t>tarkkailusta, henkilökohtaisesta annostarkkailusta ja tulosten ilmoittamisesta</w:t>
      </w:r>
      <w:r>
        <w:rPr>
          <w:b/>
          <w:color w:val="0070C0"/>
          <w:sz w:val="32"/>
          <w:szCs w:val="32"/>
        </w:rPr>
        <w:t xml:space="preserve"> työntekijöiden annosrekisteriin</w:t>
      </w:r>
    </w:p>
    <w:p w:rsidR="00570187" w:rsidRDefault="00570187" w:rsidP="00570187">
      <w:pPr>
        <w:rPr>
          <w:b/>
        </w:rPr>
      </w:pPr>
    </w:p>
    <w:p w:rsidR="00570187" w:rsidRPr="0006703D" w:rsidRDefault="00570187" w:rsidP="00570187">
      <w:r>
        <w:t xml:space="preserve">Säteilyturvakeskuksen päätöksen mukaisesti määrätään </w:t>
      </w:r>
      <w:r w:rsidRPr="0091450E">
        <w:t>säteilylain ( / ) 88 §:</w:t>
      </w:r>
      <w:r>
        <w:t>n</w:t>
      </w:r>
      <w:r w:rsidRPr="0091450E">
        <w:t xml:space="preserve"> 3 momentin, 89 §:n 3 momentin ja 92 §:n 6 momentin</w:t>
      </w:r>
      <w:r>
        <w:t xml:space="preserve">, 101 §:n 3 momentin ja 133 §:n 5 momentin </w:t>
      </w:r>
      <w:r w:rsidRPr="0091450E">
        <w:t>nojalla:</w:t>
      </w:r>
    </w:p>
    <w:p w:rsidR="00570187" w:rsidRDefault="00570187" w:rsidP="00570187"/>
    <w:p w:rsidR="00570187" w:rsidRPr="00FA07C7" w:rsidRDefault="00570187" w:rsidP="00570187">
      <w:pPr>
        <w:jc w:val="center"/>
      </w:pPr>
      <w:r>
        <w:t>1</w:t>
      </w:r>
      <w:r w:rsidRPr="00FA07C7">
        <w:t xml:space="preserve"> §</w:t>
      </w:r>
    </w:p>
    <w:p w:rsidR="00570187" w:rsidRDefault="00570187" w:rsidP="00570187">
      <w:pPr>
        <w:jc w:val="center"/>
        <w:rPr>
          <w:i/>
        </w:rPr>
      </w:pPr>
      <w:r w:rsidRPr="00AE4F10">
        <w:rPr>
          <w:i/>
        </w:rPr>
        <w:t>Työntekijän säteilyaltistuksen selvittäminen ja arvioiminen ennalta</w:t>
      </w:r>
    </w:p>
    <w:p w:rsidR="00570187" w:rsidRPr="00FA07C7" w:rsidRDefault="00570187" w:rsidP="00570187"/>
    <w:p w:rsidR="00570187" w:rsidRDefault="00570187" w:rsidP="00570187">
      <w:pPr>
        <w:jc w:val="left"/>
      </w:pPr>
      <w:r>
        <w:t xml:space="preserve">Säteilylain 89 §:ssä tarkoitetussa selvityksessä on ennen työn aloittamista arvioitava </w:t>
      </w:r>
      <w:r w:rsidRPr="00F87815">
        <w:t xml:space="preserve">työntekijälle aiheutuvan efektiivisen annoksen </w:t>
      </w:r>
      <w:r>
        <w:t xml:space="preserve">sekä elimien ekvivalenttiannosten </w:t>
      </w:r>
      <w:r w:rsidRPr="00F87815">
        <w:t xml:space="preserve">suuruus. </w:t>
      </w:r>
    </w:p>
    <w:p w:rsidR="00570187" w:rsidRDefault="00570187" w:rsidP="00570187">
      <w:pPr>
        <w:jc w:val="left"/>
      </w:pPr>
    </w:p>
    <w:p w:rsidR="00570187" w:rsidRDefault="00570187" w:rsidP="00570187">
      <w:pPr>
        <w:jc w:val="left"/>
      </w:pPr>
      <w:r w:rsidRPr="006A4DF5">
        <w:t xml:space="preserve">Työntekijälle työstä aiheutuneet aiemmat säteilyannokset on </w:t>
      </w:r>
      <w:r>
        <w:t>selvitettävä</w:t>
      </w:r>
      <w:r w:rsidRPr="006A4DF5">
        <w:t xml:space="preserve"> </w:t>
      </w:r>
      <w:r>
        <w:t>työntekijöiden</w:t>
      </w:r>
      <w:r w:rsidRPr="006A4DF5">
        <w:t xml:space="preserve"> annosrekisteristä. Jos työntekijän kaikki aiemmat säteilyannokset eivät ole saatavissa annosrekisteristä, on aiemmat annokset selvitettävä työntekijältä itseltään tai hänen aiemmalta työnantajaltaan.</w:t>
      </w:r>
      <w:r>
        <w:t xml:space="preserve"> Aiemmat säteilyannokset on arvioitava siltä osin, kuin niistä ei ole saatavissa luotettavaa selvitystä.</w:t>
      </w:r>
    </w:p>
    <w:p w:rsidR="00570187" w:rsidRPr="00704402" w:rsidRDefault="00570187" w:rsidP="00570187">
      <w:pPr>
        <w:jc w:val="left"/>
      </w:pPr>
    </w:p>
    <w:p w:rsidR="00570187" w:rsidRPr="00FA07C7" w:rsidRDefault="00570187" w:rsidP="00570187">
      <w:pPr>
        <w:jc w:val="center"/>
      </w:pPr>
      <w:r>
        <w:t>2</w:t>
      </w:r>
      <w:r w:rsidRPr="00FA07C7">
        <w:t xml:space="preserve"> §</w:t>
      </w:r>
    </w:p>
    <w:p w:rsidR="00570187" w:rsidRDefault="00570187" w:rsidP="00570187">
      <w:pPr>
        <w:jc w:val="center"/>
        <w:rPr>
          <w:i/>
        </w:rPr>
      </w:pPr>
      <w:r w:rsidRPr="00AE4F10">
        <w:rPr>
          <w:i/>
        </w:rPr>
        <w:t>Altistusolosuhteiden tarkkailun järjestäminen</w:t>
      </w:r>
    </w:p>
    <w:p w:rsidR="00570187" w:rsidRPr="00FA07C7" w:rsidRDefault="00570187" w:rsidP="00570187"/>
    <w:p w:rsidR="00570187" w:rsidRDefault="00570187" w:rsidP="00570187">
      <w:pPr>
        <w:jc w:val="left"/>
      </w:pPr>
      <w:r w:rsidRPr="00F87815">
        <w:t xml:space="preserve">Altistusolosuhteiden tarkkailussa on </w:t>
      </w:r>
      <w:r>
        <w:t xml:space="preserve">tehtävä </w:t>
      </w:r>
      <w:r w:rsidRPr="00F87815">
        <w:t>mitta</w:t>
      </w:r>
      <w:r>
        <w:t>ukset</w:t>
      </w:r>
      <w:r w:rsidRPr="00F87815">
        <w:t xml:space="preserve"> tai määrit</w:t>
      </w:r>
      <w:r>
        <w:t>ykset, joilla voidaan varmistua siitä, että työntekijöiden altistusolosuhteet eivät ole muuttuneet.</w:t>
      </w:r>
    </w:p>
    <w:p w:rsidR="00570187" w:rsidRDefault="00570187" w:rsidP="00570187">
      <w:pPr>
        <w:jc w:val="left"/>
      </w:pPr>
    </w:p>
    <w:p w:rsidR="00570187" w:rsidRPr="00BB6EE8" w:rsidRDefault="00570187" w:rsidP="00570187">
      <w:r>
        <w:t xml:space="preserve">Toiminnassa, jossa työperäisen altistuksen luokka on 3 sekä </w:t>
      </w:r>
      <w:r w:rsidRPr="00BB6EE8">
        <w:t>terveydenhuollon röntgentoimin</w:t>
      </w:r>
      <w:r>
        <w:t>nassa</w:t>
      </w:r>
      <w:r w:rsidRPr="00BB6EE8">
        <w:t xml:space="preserve"> ja sädehoitokiihdyttimien käyt</w:t>
      </w:r>
      <w:r>
        <w:t>össä</w:t>
      </w:r>
      <w:r w:rsidRPr="00BB6EE8">
        <w:t>, on toimintaa aloitettaessa ja sen muuttuessa määrite</w:t>
      </w:r>
      <w:r>
        <w:t>ttävä</w:t>
      </w:r>
      <w:r w:rsidRPr="00BB6EE8">
        <w:t xml:space="preserve"> altistusolosuhteet annosnopeusmittauksin. Tämän jälkeen altistusolosuhteiden tarkkailuksi riittää altistusolosuhteiden vakioisuuden seuranta.</w:t>
      </w:r>
    </w:p>
    <w:p w:rsidR="00570187" w:rsidRDefault="00570187" w:rsidP="00570187">
      <w:pPr>
        <w:jc w:val="left"/>
      </w:pPr>
    </w:p>
    <w:p w:rsidR="00570187" w:rsidRDefault="00570187" w:rsidP="00570187">
      <w:r>
        <w:t xml:space="preserve">Muussa kuin 2 momentissa tarkoitetussa toiminnassa altistusolosuhteiden tarkkailuun kuuluvat säännöllinen ulkoisen säteilyn annosnopeuden mittaus sekä </w:t>
      </w:r>
      <w:proofErr w:type="spellStart"/>
      <w:r>
        <w:t>kontaminoivien</w:t>
      </w:r>
      <w:proofErr w:type="spellEnd"/>
      <w:r>
        <w:t xml:space="preserve"> radionuklidien aktiivisuuspitoisuuden määrittäminen ilmassa ja radionuklidien aiheuttaman pintakontaminaation määrittäminen, jos se toiminnan laadun mukaan on mahdollista. </w:t>
      </w:r>
    </w:p>
    <w:p w:rsidR="00570187" w:rsidRDefault="00570187" w:rsidP="00570187">
      <w:pPr>
        <w:pStyle w:val="Luettelokappale"/>
        <w:ind w:left="0"/>
      </w:pPr>
    </w:p>
    <w:p w:rsidR="00570187" w:rsidRPr="00FA07C7" w:rsidRDefault="00570187" w:rsidP="00570187">
      <w:pPr>
        <w:jc w:val="center"/>
      </w:pPr>
      <w:r>
        <w:t>3</w:t>
      </w:r>
      <w:r w:rsidRPr="00FA07C7">
        <w:t xml:space="preserve"> §</w:t>
      </w:r>
    </w:p>
    <w:p w:rsidR="00570187" w:rsidRPr="00903C25" w:rsidRDefault="00570187" w:rsidP="00570187">
      <w:pPr>
        <w:jc w:val="center"/>
        <w:rPr>
          <w:i/>
        </w:rPr>
      </w:pPr>
      <w:r>
        <w:rPr>
          <w:i/>
        </w:rPr>
        <w:t>Pintakontaminaation määrittäminen</w:t>
      </w:r>
    </w:p>
    <w:p w:rsidR="00570187" w:rsidRDefault="00570187" w:rsidP="00570187"/>
    <w:p w:rsidR="00570187" w:rsidRDefault="00570187" w:rsidP="00570187">
      <w:r>
        <w:t xml:space="preserve">Avolähteitä käytettäessä on työn päätyttyä päivittäin mitattava pinnoilta radionuklidien aiheuttama pintakontaminaatio. </w:t>
      </w:r>
    </w:p>
    <w:p w:rsidR="00570187" w:rsidRDefault="00570187" w:rsidP="00570187"/>
    <w:p w:rsidR="00570187" w:rsidRDefault="00570187" w:rsidP="00570187">
      <w:r>
        <w:lastRenderedPageBreak/>
        <w:t>Aktiivisuuskate määritetään irtoavien ja kiinni tarttuneiden radioaktiivisten aineiden määrästä. Aktiivisuuskate määritetään keskimääräisenä aktiivisuutena 100 cm</w:t>
      </w:r>
      <w:r w:rsidRPr="00953791">
        <w:rPr>
          <w:vertAlign w:val="superscript"/>
        </w:rPr>
        <w:t>2</w:t>
      </w:r>
      <w:r>
        <w:t>:n suuruiselta alueelta, jos se on mahdollista.</w:t>
      </w:r>
    </w:p>
    <w:p w:rsidR="00570187" w:rsidRPr="00FA07C7" w:rsidRDefault="00570187" w:rsidP="00570187">
      <w:pPr>
        <w:jc w:val="center"/>
      </w:pPr>
      <w:r>
        <w:t>4</w:t>
      </w:r>
      <w:r w:rsidRPr="00FA07C7">
        <w:t xml:space="preserve"> §</w:t>
      </w:r>
    </w:p>
    <w:p w:rsidR="00570187" w:rsidRPr="00903C25" w:rsidRDefault="00570187" w:rsidP="00570187">
      <w:pPr>
        <w:jc w:val="center"/>
        <w:rPr>
          <w:i/>
        </w:rPr>
      </w:pPr>
      <w:r>
        <w:rPr>
          <w:i/>
        </w:rPr>
        <w:t>Toimet pintakontaminaation johdosta</w:t>
      </w:r>
    </w:p>
    <w:p w:rsidR="00570187" w:rsidRDefault="00570187" w:rsidP="00570187">
      <w:pPr>
        <w:rPr>
          <w:b/>
        </w:rPr>
      </w:pPr>
    </w:p>
    <w:p w:rsidR="00570187" w:rsidRDefault="00570187" w:rsidP="00570187">
      <w:r>
        <w:t>Toimiin kontaminaation poistamiseksi tai eristämiseksi on ryhdyttävä, jos aktiivisuuskate säteilyn käyttöpaikalla ylittää liitteen 1 taulukossa 1 esitetyt rajat.</w:t>
      </w:r>
    </w:p>
    <w:p w:rsidR="00570187" w:rsidRDefault="00570187" w:rsidP="00570187"/>
    <w:p w:rsidR="00570187" w:rsidRDefault="00570187" w:rsidP="00570187">
      <w:r>
        <w:t>Edellä 1 momenttia ei sovelleta vetokaapp</w:t>
      </w:r>
      <w:r w:rsidR="002B1511">
        <w:t>ien</w:t>
      </w:r>
      <w:r>
        <w:t xml:space="preserve"> ja mui</w:t>
      </w:r>
      <w:r w:rsidR="002B1511">
        <w:t>den</w:t>
      </w:r>
      <w:r>
        <w:t xml:space="preserve"> vastaavanlais</w:t>
      </w:r>
      <w:r w:rsidR="002B1511">
        <w:t>ten</w:t>
      </w:r>
      <w:r>
        <w:t xml:space="preserve"> käsittelytilojen sisäpintoihin eikä kontaminaatiosuojaimiin, joita käytetään tavanomaisten suojavaatteidenlisäksi työskenneltäessä kontaminoituneissa tiloissa. </w:t>
      </w:r>
    </w:p>
    <w:p w:rsidR="00570187" w:rsidRDefault="00570187" w:rsidP="00570187">
      <w:pPr>
        <w:jc w:val="left"/>
      </w:pPr>
    </w:p>
    <w:p w:rsidR="00570187" w:rsidRDefault="00570187" w:rsidP="00570187">
      <w:r>
        <w:t>Jos työpaikkaa, työvälineitä tai vaatteita ei voida puhdistaa riittävästi, on niiden käyttöä rajoitettava ja radioaktiivisten aineiden kulkeutuminen kehoon ja leviäminen ympäristöön estettävä muilla keinoin.</w:t>
      </w:r>
    </w:p>
    <w:p w:rsidR="00570187" w:rsidRDefault="00570187" w:rsidP="00570187">
      <w:pPr>
        <w:rPr>
          <w:b/>
        </w:rPr>
      </w:pPr>
    </w:p>
    <w:p w:rsidR="00570187" w:rsidRPr="00E347BA" w:rsidRDefault="00570187" w:rsidP="00570187">
      <w:pPr>
        <w:jc w:val="center"/>
      </w:pPr>
      <w:r>
        <w:t>5</w:t>
      </w:r>
      <w:r w:rsidRPr="00E347BA">
        <w:t xml:space="preserve"> §</w:t>
      </w:r>
    </w:p>
    <w:p w:rsidR="00570187" w:rsidRPr="00AE4F10" w:rsidRDefault="00570187" w:rsidP="00570187">
      <w:pPr>
        <w:jc w:val="center"/>
        <w:rPr>
          <w:i/>
        </w:rPr>
      </w:pPr>
      <w:r>
        <w:rPr>
          <w:i/>
        </w:rPr>
        <w:t>H</w:t>
      </w:r>
      <w:r w:rsidRPr="00AE4F10">
        <w:rPr>
          <w:i/>
        </w:rPr>
        <w:t>enkilökohtainen annostarkkailu</w:t>
      </w:r>
      <w:r>
        <w:rPr>
          <w:i/>
        </w:rPr>
        <w:t xml:space="preserve"> ulkoisen säteilyaltistuksen johdosta</w:t>
      </w:r>
    </w:p>
    <w:p w:rsidR="00570187" w:rsidRDefault="00570187" w:rsidP="00570187"/>
    <w:p w:rsidR="00570187" w:rsidRDefault="00570187" w:rsidP="00570187">
      <w:r w:rsidRPr="00F87815">
        <w:t xml:space="preserve">Jos työntekijälle aiheutuu ulkoista säteilyaltistusta, henkilökohtaisessa annostarkkailussa on </w:t>
      </w:r>
      <w:r w:rsidR="006E6553">
        <w:t>mitattava</w:t>
      </w:r>
      <w:r w:rsidRPr="00F87815">
        <w:t xml:space="preserve"> työntekijälle a</w:t>
      </w:r>
      <w:r>
        <w:t>iheutunut henkilöannosekvivalentti.</w:t>
      </w:r>
    </w:p>
    <w:p w:rsidR="00570187" w:rsidRDefault="00570187" w:rsidP="00570187"/>
    <w:p w:rsidR="00570187" w:rsidRDefault="00570187" w:rsidP="00570187">
      <w:r>
        <w:t xml:space="preserve">Silmän mykiön ekvivalenttiannoksen määrittämiseksi on tehtävä erillinen mittaus, jollei </w:t>
      </w:r>
      <w:r w:rsidRPr="00F87815">
        <w:t>silmän mykiön annosta</w:t>
      </w:r>
      <w:r>
        <w:t xml:space="preserve"> </w:t>
      </w:r>
      <w:r w:rsidRPr="00F87815">
        <w:t xml:space="preserve">voida </w:t>
      </w:r>
      <w:r>
        <w:t xml:space="preserve">arvioida </w:t>
      </w:r>
      <w:r w:rsidRPr="00F87815">
        <w:t xml:space="preserve">riittävän tarkasti </w:t>
      </w:r>
      <w:r>
        <w:t>suojaesiliinan päältä mitatusta annoksesta</w:t>
      </w:r>
      <w:r w:rsidRPr="00F87815">
        <w:t xml:space="preserve"> </w:t>
      </w:r>
      <w:r>
        <w:t>.</w:t>
      </w:r>
    </w:p>
    <w:p w:rsidR="00570187" w:rsidRDefault="00570187" w:rsidP="00570187"/>
    <w:p w:rsidR="00570187" w:rsidRDefault="00570187" w:rsidP="00570187">
      <w:r>
        <w:rPr>
          <w:rFonts w:eastAsia="Times New Roman"/>
        </w:rPr>
        <w:t xml:space="preserve">Käsien tai sormien iholle aiheutuneet annokset on arvioitava tai mitattava, kun käyttöön otetaan uusia työmenetelmiä tai radioaktiivisia aineita, joista aiheutuvasta altistumisesta ei ole ennestään riittävästi tietoa henkilökohtaisen annostarkkailun järjestämisen tarpeellisuuden arvioimiseksi. </w:t>
      </w:r>
      <w:r w:rsidRPr="00F87815">
        <w:t>Käsien tai sormien annokset on selvitettävä myös silloin, kun uusi työntekijä aloittaa työskentelyn avolähteillä.</w:t>
      </w:r>
    </w:p>
    <w:p w:rsidR="00570187" w:rsidRPr="00E347BA" w:rsidRDefault="00570187" w:rsidP="00570187"/>
    <w:p w:rsidR="00570187" w:rsidRPr="00E347BA" w:rsidRDefault="00570187" w:rsidP="00570187">
      <w:pPr>
        <w:jc w:val="center"/>
      </w:pPr>
      <w:r>
        <w:t>6</w:t>
      </w:r>
      <w:r w:rsidRPr="00E347BA">
        <w:t xml:space="preserve"> §</w:t>
      </w:r>
    </w:p>
    <w:p w:rsidR="00570187" w:rsidRDefault="00570187" w:rsidP="00570187">
      <w:pPr>
        <w:jc w:val="center"/>
        <w:rPr>
          <w:i/>
        </w:rPr>
      </w:pPr>
      <w:r>
        <w:rPr>
          <w:i/>
        </w:rPr>
        <w:t>H</w:t>
      </w:r>
      <w:r w:rsidRPr="00BC6D07">
        <w:rPr>
          <w:i/>
        </w:rPr>
        <w:t>enkilökohtainen annostarkkailu</w:t>
      </w:r>
      <w:r>
        <w:rPr>
          <w:i/>
        </w:rPr>
        <w:t xml:space="preserve"> sisäisen altistuksen johdosta</w:t>
      </w:r>
    </w:p>
    <w:p w:rsidR="00570187" w:rsidRPr="00E347BA" w:rsidRDefault="00570187" w:rsidP="00570187"/>
    <w:p w:rsidR="00570187" w:rsidRDefault="00570187" w:rsidP="00570187">
      <w:pPr>
        <w:jc w:val="left"/>
      </w:pPr>
      <w:r w:rsidRPr="00DC6181">
        <w:t>Jos työntekijän iholle tai keho</w:t>
      </w:r>
      <w:r w:rsidR="002B1511">
        <w:t>o</w:t>
      </w:r>
      <w:r>
        <w:t>n</w:t>
      </w:r>
      <w:r w:rsidR="002B1511">
        <w:t xml:space="preserve"> </w:t>
      </w:r>
      <w:r w:rsidRPr="00DC6181">
        <w:t>on joutunut tai epäillään joutuneen radionuklideja</w:t>
      </w:r>
      <w:r>
        <w:t>, voidaan</w:t>
      </w:r>
      <w:r w:rsidRPr="00DC6181">
        <w:t xml:space="preserve"> työntekijän elimistössä oleva aktiivisuus määritettävä tarkoitukseen sopivalla mittauslaitteistolla</w:t>
      </w:r>
      <w:r>
        <w:t>.</w:t>
      </w:r>
      <w:r w:rsidRPr="00DC6181">
        <w:t xml:space="preserve"> </w:t>
      </w:r>
      <w:r>
        <w:t>M</w:t>
      </w:r>
      <w:r w:rsidRPr="00DC6181">
        <w:t>ittaustuloksen perusteella on arvioitava työntekijälle aiheutunut efektiivisen annoksen kertymä. Mittauksen ja arvioinnin tulokset on ilmoitettava Säteilyturvakeskukseen.</w:t>
      </w:r>
    </w:p>
    <w:p w:rsidR="002B1511" w:rsidRDefault="002B1511" w:rsidP="00570187"/>
    <w:p w:rsidR="00570187" w:rsidRPr="00704402" w:rsidRDefault="00570187" w:rsidP="00570187">
      <w:r>
        <w:t xml:space="preserve">Sisäisestä säteilyaltistuksesta aiheutuvat annokset </w:t>
      </w:r>
      <w:r w:rsidRPr="00F87815">
        <w:t>on arvioitava tai mitattava</w:t>
      </w:r>
      <w:r>
        <w:t xml:space="preserve">, jos </w:t>
      </w:r>
      <w:r w:rsidRPr="00F87815">
        <w:t>käyttöön</w:t>
      </w:r>
      <w:r>
        <w:t xml:space="preserve"> otetaan</w:t>
      </w:r>
      <w:r w:rsidRPr="00F87815">
        <w:t xml:space="preserve"> uusia työmenetelmiä tai radioaktiivisia aineita</w:t>
      </w:r>
      <w:r>
        <w:t xml:space="preserve"> tai niitä sisältäviä materiaaleja</w:t>
      </w:r>
      <w:r w:rsidRPr="00F87815">
        <w:t xml:space="preserve">, joista aiheutuvasta </w:t>
      </w:r>
      <w:r>
        <w:t xml:space="preserve">sisäisestä </w:t>
      </w:r>
      <w:r w:rsidRPr="00F87815">
        <w:t>altistuksesta ei ole ennestään riittävästi tietoa.</w:t>
      </w:r>
    </w:p>
    <w:p w:rsidR="00570187" w:rsidRDefault="00570187" w:rsidP="00570187">
      <w:pPr>
        <w:jc w:val="left"/>
        <w:rPr>
          <w:b/>
        </w:rPr>
      </w:pPr>
    </w:p>
    <w:p w:rsidR="00570187" w:rsidRPr="004A0644" w:rsidRDefault="00570187" w:rsidP="00570187">
      <w:pPr>
        <w:jc w:val="center"/>
      </w:pPr>
      <w:r>
        <w:t>7</w:t>
      </w:r>
      <w:r w:rsidRPr="004A0644">
        <w:t xml:space="preserve"> §</w:t>
      </w:r>
    </w:p>
    <w:p w:rsidR="00570187" w:rsidRPr="00903C25" w:rsidRDefault="00570187" w:rsidP="00570187">
      <w:pPr>
        <w:jc w:val="center"/>
        <w:rPr>
          <w:i/>
        </w:rPr>
      </w:pPr>
      <w:r>
        <w:rPr>
          <w:i/>
        </w:rPr>
        <w:t>Kilpirauhasen ekvivalenttiannos</w:t>
      </w:r>
    </w:p>
    <w:p w:rsidR="00570187" w:rsidRDefault="00570187" w:rsidP="00570187">
      <w:pPr>
        <w:jc w:val="left"/>
        <w:rPr>
          <w:b/>
        </w:rPr>
      </w:pPr>
    </w:p>
    <w:p w:rsidR="00570187" w:rsidRDefault="00570187" w:rsidP="00570187">
      <w:pPr>
        <w:jc w:val="left"/>
      </w:pPr>
      <w:r>
        <w:t>Käsiteltäessä</w:t>
      </w:r>
      <w:r w:rsidRPr="00F87815">
        <w:t xml:space="preserve"> helposti haihtuvassa muodossa olevia jodin isotooppeja, työntekijän kilpirauhaseen kertyneiden radioaktiivisten aineiden määrää</w:t>
      </w:r>
      <w:r>
        <w:t xml:space="preserve"> on</w:t>
      </w:r>
      <w:r w:rsidRPr="00F87815">
        <w:t xml:space="preserve"> tarkkailtava.</w:t>
      </w:r>
    </w:p>
    <w:p w:rsidR="00570187" w:rsidRDefault="00570187" w:rsidP="00570187">
      <w:pPr>
        <w:jc w:val="left"/>
      </w:pPr>
    </w:p>
    <w:p w:rsidR="00570187" w:rsidRPr="00704402" w:rsidRDefault="00570187" w:rsidP="00570187">
      <w:pPr>
        <w:jc w:val="left"/>
      </w:pPr>
      <w:r w:rsidRPr="00F87815">
        <w:t xml:space="preserve">Jos työntekijän kilpirauhasessa todettu aktiivisuus on suurempi kuin 5 </w:t>
      </w:r>
      <w:proofErr w:type="spellStart"/>
      <w:r w:rsidRPr="00F87815">
        <w:t>kBq</w:t>
      </w:r>
      <w:proofErr w:type="spellEnd"/>
      <w:r w:rsidRPr="00F87815">
        <w:t xml:space="preserve">, tästä aiheutuva kilpirauhasen ekvivalenttiannos on määritettävä ja tulos on ilmoitettava </w:t>
      </w:r>
      <w:r>
        <w:t>työntekijöiden annosrekisteriin</w:t>
      </w:r>
      <w:r w:rsidRPr="00F87815">
        <w:t>.</w:t>
      </w:r>
    </w:p>
    <w:p w:rsidR="00570187" w:rsidRPr="004A0644" w:rsidRDefault="00570187" w:rsidP="00570187">
      <w:pPr>
        <w:jc w:val="center"/>
      </w:pPr>
      <w:r>
        <w:lastRenderedPageBreak/>
        <w:t>8</w:t>
      </w:r>
      <w:r w:rsidRPr="004A0644">
        <w:t xml:space="preserve"> §</w:t>
      </w:r>
    </w:p>
    <w:p w:rsidR="00570187" w:rsidRPr="00903C25" w:rsidRDefault="00570187" w:rsidP="00570187">
      <w:pPr>
        <w:jc w:val="center"/>
        <w:rPr>
          <w:i/>
        </w:rPr>
      </w:pPr>
      <w:r>
        <w:rPr>
          <w:i/>
        </w:rPr>
        <w:t>Henkilökohtaisen annoksen määrittäminen</w:t>
      </w:r>
    </w:p>
    <w:p w:rsidR="00570187" w:rsidRDefault="00570187" w:rsidP="00570187">
      <w:pPr>
        <w:jc w:val="left"/>
        <w:rPr>
          <w:b/>
        </w:rPr>
      </w:pPr>
    </w:p>
    <w:p w:rsidR="00570187" w:rsidRDefault="00570187" w:rsidP="00570187">
      <w:pPr>
        <w:jc w:val="left"/>
      </w:pPr>
      <w:r w:rsidRPr="00F87815">
        <w:t>Terveydenhuollon röntgen</w:t>
      </w:r>
      <w:r>
        <w:t>toiminnassa</w:t>
      </w:r>
      <w:r w:rsidRPr="00F87815">
        <w:t xml:space="preserve">, jossa työntekijän käyttämän suojaesiliinan päältä mitattuna henkilökohtaisen annosmittarin lukema voi olla suurempi kuin 20 </w:t>
      </w:r>
      <w:proofErr w:type="spellStart"/>
      <w:r w:rsidRPr="00F87815">
        <w:t>mSv</w:t>
      </w:r>
      <w:proofErr w:type="spellEnd"/>
      <w:r w:rsidRPr="00F87815">
        <w:t xml:space="preserve"> vuodessa, on toiminnanharjoittajan arvioitava työntekijälle aiheutunut efektiivi</w:t>
      </w:r>
      <w:r>
        <w:t>n</w:t>
      </w:r>
      <w:r w:rsidRPr="00F87815">
        <w:t>en annos.</w:t>
      </w:r>
    </w:p>
    <w:p w:rsidR="00570187" w:rsidRDefault="00570187" w:rsidP="00570187">
      <w:pPr>
        <w:jc w:val="left"/>
      </w:pPr>
    </w:p>
    <w:p w:rsidR="00570187" w:rsidRDefault="00570187" w:rsidP="00570187">
      <w:r>
        <w:t>Jos työntekijälle voi aiheutua ihokontaminaatiota, silmän mykiön tai käsien, käsivarsien, jalkaterien tai nilkkojen altistusta, altistuneen kehonosan ekvivalenttiannos on määritettävä.</w:t>
      </w:r>
    </w:p>
    <w:p w:rsidR="00570187" w:rsidRDefault="00570187" w:rsidP="00570187">
      <w:pPr>
        <w:jc w:val="left"/>
        <w:rPr>
          <w:b/>
        </w:rPr>
      </w:pPr>
    </w:p>
    <w:p w:rsidR="00570187" w:rsidRPr="00704402" w:rsidRDefault="00570187" w:rsidP="00570187">
      <w:r w:rsidRPr="00787A81">
        <w:t xml:space="preserve">Jos työntekijälle voi aiheutua </w:t>
      </w:r>
      <w:r>
        <w:t>sisäistä altistusta, on määritettävä sisäisestä säteilystä aiheutuvan efektiivisen annoksen kertymä tai sellaisten elinten ekvivalenttiannos, johon radioaktiivinen aine kertyy.</w:t>
      </w:r>
    </w:p>
    <w:p w:rsidR="00570187" w:rsidRDefault="00570187" w:rsidP="00570187">
      <w:pPr>
        <w:jc w:val="left"/>
        <w:rPr>
          <w:b/>
        </w:rPr>
      </w:pPr>
    </w:p>
    <w:p w:rsidR="00570187" w:rsidRPr="004A0644" w:rsidRDefault="00570187" w:rsidP="00570187">
      <w:pPr>
        <w:jc w:val="center"/>
      </w:pPr>
      <w:r>
        <w:t>9</w:t>
      </w:r>
      <w:r w:rsidRPr="004A0644">
        <w:t xml:space="preserve"> §</w:t>
      </w:r>
    </w:p>
    <w:p w:rsidR="00570187" w:rsidRPr="00903C25" w:rsidRDefault="00570187" w:rsidP="00570187">
      <w:pPr>
        <w:jc w:val="center"/>
        <w:rPr>
          <w:i/>
        </w:rPr>
      </w:pPr>
      <w:r>
        <w:rPr>
          <w:i/>
        </w:rPr>
        <w:t>Henkilökohtaisen annoksen määrittäminen laskennallisesti</w:t>
      </w:r>
    </w:p>
    <w:p w:rsidR="00570187" w:rsidRDefault="00570187" w:rsidP="00570187">
      <w:pPr>
        <w:rPr>
          <w:b/>
        </w:rPr>
      </w:pPr>
    </w:p>
    <w:p w:rsidR="00570187" w:rsidRDefault="00570187" w:rsidP="00570187">
      <w:pPr>
        <w:jc w:val="left"/>
      </w:pPr>
      <w:r w:rsidRPr="00F87815">
        <w:t xml:space="preserve">Jos henkilökohtaista annosmittausta ei voida tehdä tai sopivaa mittausmenetelmää ei ole, työntekijälle aiheutuneet annokset </w:t>
      </w:r>
      <w:r>
        <w:t xml:space="preserve">on </w:t>
      </w:r>
      <w:r w:rsidRPr="00F87815">
        <w:t>arvioitava laskennallisesti muiden henkilökohtaisessa annostarkkailussa olleiden työntekijöiden mittaustulosten perusteella, altistusolosuhteiden tarkkailu</w:t>
      </w:r>
      <w:r>
        <w:t>n</w:t>
      </w:r>
      <w:r w:rsidRPr="00F87815">
        <w:t xml:space="preserve"> tulosten avulla tai </w:t>
      </w:r>
      <w:r>
        <w:t>luotettavalla</w:t>
      </w:r>
      <w:r w:rsidRPr="00F87815">
        <w:t xml:space="preserve"> laskentamenetelmällä. Annosarvion tekemisestä vastaa toiminnanharjoittaja. Arvioitu annos ja se, kuinka arviointi on tehty, on ilmoitettava </w:t>
      </w:r>
      <w:r>
        <w:t>työntekijöiden annosrekisteriin</w:t>
      </w:r>
      <w:r w:rsidRPr="00F87815">
        <w:t>.</w:t>
      </w:r>
    </w:p>
    <w:p w:rsidR="00570187" w:rsidRDefault="00570187" w:rsidP="00570187"/>
    <w:p w:rsidR="00570187" w:rsidRPr="004A0644" w:rsidRDefault="00570187" w:rsidP="00570187">
      <w:pPr>
        <w:jc w:val="center"/>
      </w:pPr>
      <w:r w:rsidRPr="004A0644">
        <w:t>1</w:t>
      </w:r>
      <w:r>
        <w:t>0</w:t>
      </w:r>
      <w:r w:rsidRPr="004A0644">
        <w:t xml:space="preserve"> §</w:t>
      </w:r>
    </w:p>
    <w:p w:rsidR="00570187" w:rsidRPr="00903C25" w:rsidRDefault="00570187" w:rsidP="00570187">
      <w:pPr>
        <w:jc w:val="center"/>
        <w:rPr>
          <w:i/>
        </w:rPr>
      </w:pPr>
      <w:r w:rsidRPr="00BC6D07">
        <w:rPr>
          <w:i/>
        </w:rPr>
        <w:t>Altistusolosuhteiden tarkkailun ja henkilökohtaisen annostarkkailun tulosten vertaaminen annosrajoihin</w:t>
      </w:r>
    </w:p>
    <w:p w:rsidR="00570187" w:rsidRPr="004A0644" w:rsidRDefault="00570187" w:rsidP="00570187"/>
    <w:p w:rsidR="00570187" w:rsidRDefault="00570187" w:rsidP="00570187">
      <w:pPr>
        <w:jc w:val="left"/>
      </w:pPr>
      <w:r w:rsidRPr="00D730B9">
        <w:t xml:space="preserve">Altistusolosuhteiden tarkkailun ja henkilökohtaisen annostarkkailun mittaustuloksena saatujen vapaan ja suunnatun annosekvivalentin sekä henkilöannosekvivalentin arvoja on verrattava </w:t>
      </w:r>
      <w:r>
        <w:t xml:space="preserve">työntekijän </w:t>
      </w:r>
      <w:r w:rsidRPr="00D730B9">
        <w:t>annosrajojen arvoihin.</w:t>
      </w:r>
    </w:p>
    <w:p w:rsidR="00570187" w:rsidRDefault="00570187" w:rsidP="00570187">
      <w:pPr>
        <w:jc w:val="left"/>
      </w:pPr>
    </w:p>
    <w:p w:rsidR="00570187" w:rsidRDefault="00570187" w:rsidP="00570187">
      <w:pPr>
        <w:jc w:val="left"/>
      </w:pPr>
      <w:r>
        <w:t>Laskennallisesti määritettyä radonista, hengitysilman pölystä ja muusta sisäisestä altistuksesta aiheutuvaa efektiivistä annosta on verrattava annosrajojen arvoihin.</w:t>
      </w:r>
    </w:p>
    <w:p w:rsidR="00570187" w:rsidRDefault="00570187" w:rsidP="00570187"/>
    <w:p w:rsidR="00570187" w:rsidRPr="004A0644" w:rsidRDefault="00570187" w:rsidP="00570187">
      <w:pPr>
        <w:jc w:val="center"/>
      </w:pPr>
      <w:r w:rsidRPr="004A0644">
        <w:t>1</w:t>
      </w:r>
      <w:r>
        <w:t>1</w:t>
      </w:r>
      <w:r w:rsidRPr="004A0644">
        <w:t xml:space="preserve"> §</w:t>
      </w:r>
    </w:p>
    <w:p w:rsidR="00570187" w:rsidRDefault="00570187" w:rsidP="00570187">
      <w:pPr>
        <w:jc w:val="center"/>
        <w:rPr>
          <w:i/>
        </w:rPr>
      </w:pPr>
      <w:r>
        <w:rPr>
          <w:i/>
        </w:rPr>
        <w:t>Altistuksen seuranta h</w:t>
      </w:r>
      <w:r w:rsidRPr="00BC6D07">
        <w:rPr>
          <w:i/>
        </w:rPr>
        <w:t>enkilökohtais</w:t>
      </w:r>
      <w:r>
        <w:rPr>
          <w:i/>
        </w:rPr>
        <w:t>ta annostarkkailua varten</w:t>
      </w:r>
    </w:p>
    <w:p w:rsidR="00570187" w:rsidRDefault="00570187" w:rsidP="00570187"/>
    <w:p w:rsidR="00570187" w:rsidRDefault="00570187" w:rsidP="00570187">
      <w:pPr>
        <w:jc w:val="left"/>
      </w:pPr>
      <w:r>
        <w:t xml:space="preserve">Sisäisen säteilyaltistuksen osalta toiminnanharjoittajan on </w:t>
      </w:r>
      <w:r w:rsidRPr="002540B4">
        <w:t>määriteltävä säteilyaltistuksen säännöllisen seurannan määrävälit. Tätä sovelletaan myös, kun henkilökohtainen ann</w:t>
      </w:r>
      <w:r>
        <w:t>ostarkkailu järjestetään radonille altistumisen vuoksi.</w:t>
      </w:r>
    </w:p>
    <w:p w:rsidR="00570187" w:rsidRPr="00EC3222" w:rsidRDefault="00570187" w:rsidP="00570187">
      <w:pPr>
        <w:jc w:val="left"/>
      </w:pPr>
    </w:p>
    <w:p w:rsidR="00570187" w:rsidRPr="004A0644" w:rsidRDefault="00570187" w:rsidP="00570187">
      <w:pPr>
        <w:jc w:val="center"/>
      </w:pPr>
      <w:r>
        <w:t>12</w:t>
      </w:r>
      <w:r w:rsidRPr="004A0644">
        <w:t xml:space="preserve"> §</w:t>
      </w:r>
    </w:p>
    <w:p w:rsidR="00570187" w:rsidRDefault="00570187" w:rsidP="00570187">
      <w:pPr>
        <w:jc w:val="center"/>
        <w:rPr>
          <w:i/>
        </w:rPr>
      </w:pPr>
      <w:r w:rsidRPr="001D059D">
        <w:rPr>
          <w:i/>
        </w:rPr>
        <w:t>Säteilyhälyttimen tai hälyttävän säteilymittarin käyttäminen</w:t>
      </w:r>
    </w:p>
    <w:p w:rsidR="00570187" w:rsidRDefault="00570187" w:rsidP="00570187"/>
    <w:p w:rsidR="00570187" w:rsidRDefault="00570187" w:rsidP="00EB6C51">
      <w:pPr>
        <w:jc w:val="left"/>
      </w:pPr>
      <w:r>
        <w:t>Säteilyhälytintä tai hälyttävää säteilymittaria on käytettävä henkilökohtaisen annosmittarin lisäksi työssä, jossa työntekijälle voi aiheutua äkillisesti suuri säteilyannos säteilyturvallisuuspoikkeamassa.</w:t>
      </w:r>
    </w:p>
    <w:p w:rsidR="00570187" w:rsidRDefault="00570187" w:rsidP="00EB6C51">
      <w:pPr>
        <w:jc w:val="left"/>
      </w:pPr>
    </w:p>
    <w:p w:rsidR="00570187" w:rsidRDefault="00570187" w:rsidP="00570187">
      <w:r>
        <w:t>S</w:t>
      </w:r>
      <w:r w:rsidRPr="00D974FD">
        <w:t>äteilyhälyttimen ja hälyttävän säteilymittarin hälyty</w:t>
      </w:r>
      <w:r>
        <w:t>k</w:t>
      </w:r>
      <w:r w:rsidRPr="00D974FD">
        <w:t>s</w:t>
      </w:r>
      <w:r>
        <w:t>en</w:t>
      </w:r>
      <w:r w:rsidRPr="00D974FD">
        <w:t xml:space="preserve"> on</w:t>
      </w:r>
      <w:r>
        <w:t xml:space="preserve"> oltava</w:t>
      </w:r>
      <w:r w:rsidRPr="00D974FD">
        <w:t xml:space="preserve"> niin selkeä, että se varmuudella havaitaan ympäristöolosuhteista ja suojavarusteiden käytöstä huolimatta.</w:t>
      </w:r>
    </w:p>
    <w:p w:rsidR="00570187" w:rsidRDefault="00570187" w:rsidP="00570187"/>
    <w:p w:rsidR="00570187" w:rsidRDefault="00570187" w:rsidP="00570187">
      <w:pPr>
        <w:jc w:val="left"/>
      </w:pPr>
      <w:r>
        <w:br w:type="page"/>
      </w:r>
    </w:p>
    <w:p w:rsidR="00570187" w:rsidRPr="004A0644" w:rsidRDefault="00570187" w:rsidP="00570187">
      <w:pPr>
        <w:jc w:val="center"/>
      </w:pPr>
      <w:r w:rsidRPr="004A0644">
        <w:lastRenderedPageBreak/>
        <w:t>1</w:t>
      </w:r>
      <w:r>
        <w:t>3</w:t>
      </w:r>
      <w:r w:rsidRPr="004A0644">
        <w:t xml:space="preserve"> §</w:t>
      </w:r>
    </w:p>
    <w:p w:rsidR="00570187" w:rsidRDefault="00570187" w:rsidP="00570187">
      <w:pPr>
        <w:jc w:val="center"/>
        <w:rPr>
          <w:i/>
        </w:rPr>
      </w:pPr>
      <w:r>
        <w:rPr>
          <w:i/>
        </w:rPr>
        <w:t>Tietojen toimittaminen työntekijöiden annosrekisteriin</w:t>
      </w:r>
    </w:p>
    <w:p w:rsidR="00570187" w:rsidRPr="006501EA" w:rsidRDefault="00570187" w:rsidP="00570187">
      <w:pPr>
        <w:jc w:val="left"/>
        <w:rPr>
          <w:rFonts w:eastAsia="Times New Roman" w:cs="Times New Roman"/>
          <w:lang w:eastAsia="fi-FI"/>
        </w:rPr>
      </w:pPr>
    </w:p>
    <w:p w:rsidR="00570187" w:rsidRDefault="00570187" w:rsidP="00570187">
      <w:pPr>
        <w:jc w:val="left"/>
        <w:rPr>
          <w:rFonts w:eastAsia="Times New Roman" w:cs="Times New Roman"/>
          <w:lang w:eastAsia="fi-FI"/>
        </w:rPr>
      </w:pPr>
      <w:r w:rsidRPr="006501EA">
        <w:rPr>
          <w:rFonts w:eastAsia="Times New Roman" w:cs="Times New Roman"/>
          <w:lang w:eastAsia="fi-FI"/>
        </w:rPr>
        <w:t xml:space="preserve">Annostarkkailun tulokset on toimitettava </w:t>
      </w:r>
      <w:r>
        <w:rPr>
          <w:rFonts w:eastAsia="Times New Roman" w:cs="Times New Roman"/>
          <w:lang w:eastAsia="fi-FI"/>
        </w:rPr>
        <w:t>työntekijöiden annosrekisteriin</w:t>
      </w:r>
      <w:r w:rsidRPr="006501EA">
        <w:rPr>
          <w:rFonts w:eastAsia="Times New Roman" w:cs="Times New Roman"/>
          <w:lang w:eastAsia="fi-FI"/>
        </w:rPr>
        <w:t xml:space="preserve"> viimeistään kuukauden kuluttua mittausjakson päättymisestä.</w:t>
      </w:r>
      <w:r w:rsidRPr="006501EA">
        <w:rPr>
          <w:rFonts w:eastAsia="Times New Roman" w:cs="Times New Roman"/>
          <w:lang w:eastAsia="fi-FI"/>
        </w:rPr>
        <w:br/>
      </w:r>
    </w:p>
    <w:p w:rsidR="00570187" w:rsidRPr="006501EA" w:rsidRDefault="00570187" w:rsidP="00570187">
      <w:pPr>
        <w:jc w:val="left"/>
        <w:rPr>
          <w:rFonts w:eastAsia="Times New Roman" w:cs="Times New Roman"/>
          <w:lang w:eastAsia="fi-FI"/>
        </w:rPr>
      </w:pPr>
      <w:r>
        <w:rPr>
          <w:rFonts w:eastAsia="Times New Roman" w:cs="Times New Roman"/>
          <w:lang w:eastAsia="fi-FI"/>
        </w:rPr>
        <w:t xml:space="preserve">Tiedot </w:t>
      </w:r>
      <w:r w:rsidRPr="006501EA">
        <w:rPr>
          <w:rFonts w:eastAsia="Times New Roman" w:cs="Times New Roman"/>
          <w:lang w:eastAsia="fi-FI"/>
        </w:rPr>
        <w:t xml:space="preserve"> on toimitettava </w:t>
      </w:r>
      <w:r>
        <w:rPr>
          <w:rFonts w:eastAsia="Times New Roman" w:cs="Times New Roman"/>
          <w:lang w:eastAsia="fi-FI"/>
        </w:rPr>
        <w:t xml:space="preserve">työntekijöiden </w:t>
      </w:r>
      <w:r w:rsidRPr="006501EA">
        <w:rPr>
          <w:rFonts w:eastAsia="Times New Roman" w:cs="Times New Roman"/>
          <w:lang w:eastAsia="fi-FI"/>
        </w:rPr>
        <w:t xml:space="preserve">annosrekisteriin </w:t>
      </w:r>
      <w:r>
        <w:rPr>
          <w:rFonts w:eastAsia="Times New Roman" w:cs="Times New Roman"/>
          <w:lang w:eastAsia="fi-FI"/>
        </w:rPr>
        <w:t xml:space="preserve">Säteilyturvakeskuksen määrittelemän teknisen käyttöyhteyden avulla. </w:t>
      </w:r>
      <w:r w:rsidRPr="006501EA">
        <w:rPr>
          <w:rFonts w:eastAsia="Times New Roman" w:cs="Times New Roman"/>
          <w:lang w:eastAsia="fi-FI"/>
        </w:rPr>
        <w:t>Yksittäi</w:t>
      </w:r>
      <w:r>
        <w:rPr>
          <w:rFonts w:eastAsia="Times New Roman" w:cs="Times New Roman"/>
          <w:lang w:eastAsia="fi-FI"/>
        </w:rPr>
        <w:t xml:space="preserve">siä </w:t>
      </w:r>
      <w:r w:rsidRPr="006501EA">
        <w:rPr>
          <w:rFonts w:eastAsia="Times New Roman" w:cs="Times New Roman"/>
          <w:lang w:eastAsia="fi-FI"/>
        </w:rPr>
        <w:t>tietoja voidaan</w:t>
      </w:r>
      <w:r>
        <w:rPr>
          <w:rFonts w:eastAsia="Times New Roman" w:cs="Times New Roman"/>
          <w:lang w:eastAsia="fi-FI"/>
        </w:rPr>
        <w:t xml:space="preserve"> erityisestä syystä</w:t>
      </w:r>
      <w:r w:rsidRPr="006501EA">
        <w:rPr>
          <w:rFonts w:eastAsia="Times New Roman" w:cs="Times New Roman"/>
          <w:lang w:eastAsia="fi-FI"/>
        </w:rPr>
        <w:t xml:space="preserve"> toimittaa myös muilla tavoin.</w:t>
      </w:r>
    </w:p>
    <w:p w:rsidR="00570187" w:rsidRPr="006501EA"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 xml:space="preserve">Säteilyturvallisuuspoikkeaman yhteydessä aiheutuva säteilyannos on ilmoitettava erillään muusta säteilytyöstä aiheutuvasta annoksesta. Lisäksi on </w:t>
      </w:r>
      <w:r>
        <w:rPr>
          <w:rFonts w:eastAsia="Times New Roman" w:cs="Times New Roman"/>
          <w:lang w:eastAsia="fi-FI"/>
        </w:rPr>
        <w:t>ilmoitettava</w:t>
      </w:r>
      <w:r w:rsidRPr="006501EA">
        <w:rPr>
          <w:rFonts w:eastAsia="Times New Roman" w:cs="Times New Roman"/>
          <w:lang w:eastAsia="fi-FI"/>
        </w:rPr>
        <w:t xml:space="preserve"> , miten annos on määritetty. </w:t>
      </w:r>
    </w:p>
    <w:p w:rsidR="00570187"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p>
    <w:p w:rsidR="00570187" w:rsidRPr="009920A2" w:rsidRDefault="00570187" w:rsidP="00570187">
      <w:pPr>
        <w:jc w:val="center"/>
      </w:pPr>
      <w:r w:rsidRPr="009920A2">
        <w:t>1</w:t>
      </w:r>
      <w:r>
        <w:t>4</w:t>
      </w:r>
      <w:r w:rsidRPr="009920A2">
        <w:t xml:space="preserve"> §</w:t>
      </w:r>
    </w:p>
    <w:p w:rsidR="00570187" w:rsidRDefault="00570187" w:rsidP="00570187">
      <w:pPr>
        <w:jc w:val="center"/>
        <w:rPr>
          <w:i/>
        </w:rPr>
      </w:pPr>
      <w:r>
        <w:rPr>
          <w:i/>
        </w:rPr>
        <w:t>Annosten ilmoittaminen</w:t>
      </w:r>
    </w:p>
    <w:p w:rsidR="00570187" w:rsidRDefault="00570187" w:rsidP="00570187">
      <w:pPr>
        <w:jc w:val="left"/>
        <w:rPr>
          <w:rFonts w:ascii="Times New Roman" w:eastAsia="Times New Roman" w:hAnsi="Times New Roman" w:cs="Times New Roman"/>
          <w:sz w:val="24"/>
          <w:szCs w:val="24"/>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 xml:space="preserve">Ulkoisesta säteilystä aiheutunut annos on ilmoitettava </w:t>
      </w:r>
      <w:r>
        <w:rPr>
          <w:rFonts w:eastAsia="Times New Roman" w:cs="Times New Roman"/>
          <w:lang w:eastAsia="fi-FI"/>
        </w:rPr>
        <w:t xml:space="preserve">työntekijöiden </w:t>
      </w:r>
      <w:r w:rsidRPr="006501EA">
        <w:rPr>
          <w:rFonts w:eastAsia="Times New Roman" w:cs="Times New Roman"/>
          <w:lang w:eastAsia="fi-FI"/>
        </w:rPr>
        <w:t xml:space="preserve">annosrekisteriin käyttäen suureita syväannos Hp(10), pinta-annos Hp(0,07) ja silmän </w:t>
      </w:r>
      <w:r>
        <w:rPr>
          <w:rFonts w:eastAsia="Times New Roman" w:cs="Times New Roman"/>
          <w:lang w:eastAsia="fi-FI"/>
        </w:rPr>
        <w:t>mykiön</w:t>
      </w:r>
      <w:r w:rsidRPr="006501EA">
        <w:rPr>
          <w:rFonts w:eastAsia="Times New Roman" w:cs="Times New Roman"/>
          <w:lang w:eastAsia="fi-FI"/>
        </w:rPr>
        <w:t xml:space="preserve"> ekvivalenttiannos Hp(3).</w:t>
      </w:r>
    </w:p>
    <w:p w:rsidR="00570187" w:rsidRPr="006501EA"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Neutronisäteilystä aiheutunut syväannos on ilmoitettava erillään fotonisäteilyn aiheuttamasta syväannoksesta.</w:t>
      </w:r>
    </w:p>
    <w:p w:rsidR="00570187" w:rsidRPr="006501EA"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Sormiannosmittarilla mitattu annos ja muu käsille aiheutunut annos on ilmoitettava pinta-annoksena.</w:t>
      </w:r>
    </w:p>
    <w:p w:rsidR="00570187" w:rsidRPr="006501EA"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Laskennallisella menetelmällä määritetty annos on ilmoitettava efektiivisenä annoksena.</w:t>
      </w:r>
    </w:p>
    <w:p w:rsidR="00570187" w:rsidRPr="006501EA"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Sisäisestä säteilystä aiheutunut annos on ilmoitettava efektiivisen annoksen kertymänä tai kilpirauhasen ekvivalenttiannoksena.</w:t>
      </w:r>
    </w:p>
    <w:p w:rsidR="00570187" w:rsidRPr="006501EA" w:rsidRDefault="00570187" w:rsidP="00570187">
      <w:pPr>
        <w:jc w:val="left"/>
        <w:rPr>
          <w:rFonts w:eastAsia="Times New Roman" w:cs="Times New Roman"/>
          <w:lang w:eastAsia="fi-FI"/>
        </w:rPr>
      </w:pPr>
    </w:p>
    <w:p w:rsidR="00570187" w:rsidRPr="006501EA" w:rsidRDefault="00570187" w:rsidP="00570187">
      <w:pPr>
        <w:jc w:val="left"/>
        <w:rPr>
          <w:rFonts w:eastAsia="Times New Roman" w:cs="Times New Roman"/>
          <w:lang w:eastAsia="fi-FI"/>
        </w:rPr>
      </w:pPr>
      <w:r w:rsidRPr="006501EA">
        <w:rPr>
          <w:rFonts w:eastAsia="Times New Roman" w:cs="Times New Roman"/>
          <w:lang w:eastAsia="fi-FI"/>
        </w:rPr>
        <w:t xml:space="preserve">Annokset on ilmoitettava käyttäen yksikköä </w:t>
      </w:r>
      <w:proofErr w:type="spellStart"/>
      <w:r w:rsidRPr="006501EA">
        <w:rPr>
          <w:rFonts w:eastAsia="Times New Roman" w:cs="Times New Roman"/>
          <w:lang w:eastAsia="fi-FI"/>
        </w:rPr>
        <w:t>millisievert</w:t>
      </w:r>
      <w:proofErr w:type="spellEnd"/>
      <w:r w:rsidRPr="006501EA">
        <w:rPr>
          <w:rFonts w:eastAsia="Times New Roman" w:cs="Times New Roman"/>
          <w:lang w:eastAsia="fi-FI"/>
        </w:rPr>
        <w:t xml:space="preserve">. Ilmoitustarkkuus on 0,01 </w:t>
      </w:r>
      <w:proofErr w:type="spellStart"/>
      <w:r w:rsidRPr="006501EA">
        <w:rPr>
          <w:rFonts w:eastAsia="Times New Roman" w:cs="Times New Roman"/>
          <w:lang w:eastAsia="fi-FI"/>
        </w:rPr>
        <w:t>mSv</w:t>
      </w:r>
      <w:proofErr w:type="spellEnd"/>
      <w:r w:rsidRPr="006501EA">
        <w:rPr>
          <w:rFonts w:eastAsia="Times New Roman" w:cs="Times New Roman"/>
          <w:lang w:eastAsia="fi-FI"/>
        </w:rPr>
        <w:t xml:space="preserve">. </w:t>
      </w:r>
    </w:p>
    <w:p w:rsidR="00570187" w:rsidRPr="009920A2" w:rsidRDefault="00570187" w:rsidP="00570187"/>
    <w:p w:rsidR="00570187" w:rsidRPr="009920A2" w:rsidRDefault="00570187" w:rsidP="00570187">
      <w:pPr>
        <w:jc w:val="center"/>
      </w:pPr>
      <w:r w:rsidRPr="009920A2">
        <w:t>1</w:t>
      </w:r>
      <w:r>
        <w:t>5</w:t>
      </w:r>
      <w:r w:rsidRPr="009920A2">
        <w:t xml:space="preserve"> §</w:t>
      </w:r>
    </w:p>
    <w:p w:rsidR="00570187" w:rsidRPr="00903C25" w:rsidRDefault="00570187" w:rsidP="00570187">
      <w:pPr>
        <w:jc w:val="center"/>
        <w:rPr>
          <w:i/>
        </w:rPr>
      </w:pPr>
      <w:r w:rsidRPr="00903C25">
        <w:rPr>
          <w:i/>
        </w:rPr>
        <w:t>Voimaantulo</w:t>
      </w:r>
    </w:p>
    <w:p w:rsidR="00570187" w:rsidRDefault="00570187" w:rsidP="00570187">
      <w:pPr>
        <w:rPr>
          <w:b/>
        </w:rPr>
      </w:pPr>
    </w:p>
    <w:p w:rsidR="00570187" w:rsidRDefault="00570187" w:rsidP="00570187">
      <w:pPr>
        <w:jc w:val="left"/>
      </w:pPr>
      <w:r>
        <w:t xml:space="preserve">Tämä määräys tulee voimaan  </w:t>
      </w:r>
      <w:r>
        <w:softHyphen/>
        <w:t xml:space="preserve"> päivänä  kuuta 201  ja on voimassa toistaiseksi.</w:t>
      </w:r>
    </w:p>
    <w:p w:rsidR="00570187" w:rsidRDefault="00570187" w:rsidP="00570187"/>
    <w:p w:rsidR="00570187" w:rsidRDefault="00570187" w:rsidP="00570187">
      <w:pPr>
        <w:tabs>
          <w:tab w:val="left" w:pos="0"/>
          <w:tab w:val="left" w:pos="284"/>
        </w:tabs>
        <w:jc w:val="left"/>
      </w:pPr>
      <w:r w:rsidRPr="002F50FD">
        <w:t>Tämän määräyksen voimaan tullessa vireillä oleviin asioihin sovelletaan tätä määräystä</w:t>
      </w:r>
      <w:r>
        <w:t>.</w:t>
      </w:r>
    </w:p>
    <w:p w:rsidR="00570187" w:rsidRDefault="00570187" w:rsidP="00570187">
      <w:pPr>
        <w:jc w:val="left"/>
      </w:pPr>
    </w:p>
    <w:p w:rsidR="00570187" w:rsidRDefault="00570187" w:rsidP="00570187">
      <w:pPr>
        <w:jc w:val="left"/>
      </w:pPr>
    </w:p>
    <w:p w:rsidR="00570187" w:rsidRDefault="00570187" w:rsidP="00570187">
      <w:pPr>
        <w:jc w:val="left"/>
      </w:pPr>
      <w:r>
        <w:t xml:space="preserve">Helsingissä  </w:t>
      </w:r>
      <w:r w:rsidRPr="00116F6B">
        <w:t xml:space="preserve">päivänä </w:t>
      </w:r>
      <w:r>
        <w:t xml:space="preserve"> </w:t>
      </w:r>
      <w:r w:rsidRPr="00116F6B">
        <w:t>kuuta 201</w:t>
      </w:r>
    </w:p>
    <w:p w:rsidR="00570187" w:rsidRDefault="00570187" w:rsidP="00570187">
      <w:pPr>
        <w:jc w:val="left"/>
      </w:pPr>
    </w:p>
    <w:p w:rsidR="00570187" w:rsidRDefault="00570187" w:rsidP="00570187">
      <w:pPr>
        <w:jc w:val="left"/>
      </w:pPr>
    </w:p>
    <w:p w:rsidR="00570187" w:rsidRDefault="00570187" w:rsidP="00570187">
      <w:pPr>
        <w:jc w:val="left"/>
      </w:pPr>
    </w:p>
    <w:p w:rsidR="00570187" w:rsidRDefault="00570187" w:rsidP="00570187">
      <w:pPr>
        <w:jc w:val="left"/>
      </w:pPr>
      <w:r>
        <w:t>Pääjohtaja</w:t>
      </w:r>
      <w:r>
        <w:tab/>
      </w:r>
      <w:r>
        <w:tab/>
        <w:t xml:space="preserve">Petteri </w:t>
      </w:r>
      <w:proofErr w:type="spellStart"/>
      <w:r>
        <w:t>Tiippana</w:t>
      </w:r>
      <w:proofErr w:type="spellEnd"/>
    </w:p>
    <w:p w:rsidR="00570187" w:rsidRDefault="00570187" w:rsidP="00570187">
      <w:pPr>
        <w:jc w:val="left"/>
      </w:pPr>
    </w:p>
    <w:p w:rsidR="00570187" w:rsidRDefault="00570187" w:rsidP="00570187">
      <w:pPr>
        <w:jc w:val="left"/>
      </w:pPr>
    </w:p>
    <w:p w:rsidR="00570187" w:rsidRDefault="00570187" w:rsidP="00570187">
      <w:pPr>
        <w:jc w:val="left"/>
      </w:pPr>
    </w:p>
    <w:p w:rsidR="00570187" w:rsidRDefault="00570187" w:rsidP="00570187">
      <w:pPr>
        <w:jc w:val="left"/>
      </w:pPr>
      <w:r>
        <w:t>Johtaja</w:t>
      </w:r>
      <w:r>
        <w:tab/>
      </w:r>
      <w:r>
        <w:tab/>
        <w:t>Eero Kettunen</w:t>
      </w:r>
    </w:p>
    <w:p w:rsidR="00570187" w:rsidRDefault="00570187" w:rsidP="00570187">
      <w:pPr>
        <w:pStyle w:val="Leipteksti"/>
        <w:ind w:left="0"/>
        <w:rPr>
          <w:b/>
          <w:sz w:val="20"/>
          <w:szCs w:val="20"/>
        </w:rPr>
      </w:pPr>
    </w:p>
    <w:p w:rsidR="00570187" w:rsidRDefault="00570187" w:rsidP="00570187">
      <w:pPr>
        <w:jc w:val="left"/>
        <w:rPr>
          <w:b/>
          <w:sz w:val="20"/>
          <w:szCs w:val="20"/>
        </w:rPr>
      </w:pPr>
      <w:r>
        <w:rPr>
          <w:b/>
          <w:sz w:val="20"/>
          <w:szCs w:val="20"/>
        </w:rPr>
        <w:br w:type="page"/>
      </w:r>
    </w:p>
    <w:p w:rsidR="00570187" w:rsidRPr="0035014C" w:rsidRDefault="00570187" w:rsidP="00570187">
      <w:pPr>
        <w:pStyle w:val="Leipteksti"/>
        <w:ind w:left="0"/>
        <w:rPr>
          <w:b/>
          <w:sz w:val="20"/>
          <w:szCs w:val="20"/>
        </w:rPr>
      </w:pPr>
      <w:r w:rsidRPr="0035014C">
        <w:rPr>
          <w:b/>
          <w:sz w:val="20"/>
          <w:szCs w:val="20"/>
        </w:rPr>
        <w:lastRenderedPageBreak/>
        <w:t>Määräyksen saatavuus, ohjaus ja neuvonta</w:t>
      </w:r>
    </w:p>
    <w:p w:rsidR="00570187" w:rsidRPr="0035014C" w:rsidRDefault="00570187" w:rsidP="00570187">
      <w:pPr>
        <w:pStyle w:val="Leipteksti"/>
        <w:ind w:left="0"/>
        <w:jc w:val="left"/>
        <w:rPr>
          <w:sz w:val="20"/>
          <w:szCs w:val="20"/>
        </w:rPr>
      </w:pPr>
      <w:r w:rsidRPr="0035014C">
        <w:rPr>
          <w:sz w:val="20"/>
          <w:szCs w:val="20"/>
        </w:rPr>
        <w:t xml:space="preserve">Tämä määräys on julkaistu Säteilyturvakeskuksen määräyskokoelmassa </w:t>
      </w:r>
      <w:r w:rsidRPr="0035014C">
        <w:rPr>
          <w:sz w:val="20"/>
          <w:szCs w:val="20"/>
        </w:rPr>
        <w:br/>
        <w:t xml:space="preserve">ja se on saatavissa Säteilyturvakeskuksesta. </w:t>
      </w:r>
    </w:p>
    <w:p w:rsidR="00570187" w:rsidRDefault="00570187" w:rsidP="00570187">
      <w:pPr>
        <w:pStyle w:val="Leipteksti"/>
        <w:spacing w:after="0"/>
        <w:ind w:left="0"/>
        <w:rPr>
          <w:sz w:val="20"/>
          <w:szCs w:val="20"/>
        </w:rPr>
      </w:pPr>
      <w:r w:rsidRPr="0035014C">
        <w:rPr>
          <w:sz w:val="20"/>
          <w:szCs w:val="20"/>
        </w:rPr>
        <w:t xml:space="preserve">Käyntiosoite: Laippatie 4, 00880 Helsinki </w:t>
      </w:r>
    </w:p>
    <w:p w:rsidR="00570187" w:rsidRPr="0035014C" w:rsidRDefault="00570187" w:rsidP="00570187">
      <w:pPr>
        <w:pStyle w:val="Leipteksti"/>
        <w:spacing w:after="0"/>
        <w:ind w:left="0"/>
        <w:rPr>
          <w:sz w:val="20"/>
          <w:szCs w:val="20"/>
        </w:rPr>
      </w:pPr>
      <w:r w:rsidRPr="0035014C">
        <w:rPr>
          <w:sz w:val="20"/>
          <w:szCs w:val="20"/>
        </w:rPr>
        <w:t xml:space="preserve">Postiosoite: PL 14, 00881 Helsinki </w:t>
      </w:r>
    </w:p>
    <w:p w:rsidR="00570187" w:rsidRPr="0035014C" w:rsidRDefault="00570187" w:rsidP="00570187">
      <w:pPr>
        <w:pStyle w:val="Leipteksti"/>
        <w:spacing w:after="0"/>
        <w:ind w:left="0"/>
        <w:rPr>
          <w:sz w:val="20"/>
          <w:szCs w:val="20"/>
        </w:rPr>
      </w:pPr>
      <w:r w:rsidRPr="0035014C">
        <w:rPr>
          <w:sz w:val="20"/>
          <w:szCs w:val="20"/>
        </w:rPr>
        <w:t>Puhelin: 09-759 881</w:t>
      </w:r>
    </w:p>
    <w:p w:rsidR="00570187" w:rsidRDefault="00570187" w:rsidP="00570187">
      <w:pPr>
        <w:pStyle w:val="Leipteksti"/>
        <w:spacing w:after="0"/>
        <w:ind w:left="0"/>
        <w:rPr>
          <w:sz w:val="20"/>
          <w:szCs w:val="20"/>
        </w:rPr>
      </w:pPr>
      <w:r w:rsidRPr="0035014C">
        <w:rPr>
          <w:sz w:val="20"/>
          <w:szCs w:val="20"/>
        </w:rPr>
        <w:t xml:space="preserve">Määräyskokoelma: </w:t>
      </w:r>
      <w:hyperlink r:id="rId8" w:history="1">
        <w:r w:rsidRPr="00434450">
          <w:rPr>
            <w:rStyle w:val="Hyperlinkki"/>
            <w:sz w:val="20"/>
            <w:szCs w:val="20"/>
          </w:rPr>
          <w:t>http://www.finlex.fi/fi/viranomaiset/normi/555001/</w:t>
        </w:r>
      </w:hyperlink>
    </w:p>
    <w:p w:rsidR="00570187" w:rsidRDefault="00570187" w:rsidP="00570187">
      <w:pPr>
        <w:jc w:val="left"/>
        <w:rPr>
          <w:sz w:val="20"/>
          <w:szCs w:val="20"/>
        </w:rPr>
      </w:pPr>
      <w:r>
        <w:rPr>
          <w:sz w:val="20"/>
          <w:szCs w:val="20"/>
        </w:rPr>
        <w:br w:type="page"/>
      </w:r>
    </w:p>
    <w:p w:rsidR="00570187" w:rsidRPr="008200FF" w:rsidRDefault="00570187" w:rsidP="00570187">
      <w:pPr>
        <w:jc w:val="left"/>
        <w:rPr>
          <w:b/>
        </w:rPr>
      </w:pPr>
      <w:r w:rsidRPr="008200FF">
        <w:rPr>
          <w:b/>
        </w:rPr>
        <w:lastRenderedPageBreak/>
        <w:t>Liite</w:t>
      </w:r>
      <w:r>
        <w:rPr>
          <w:b/>
        </w:rPr>
        <w:t xml:space="preserve"> 1</w:t>
      </w:r>
    </w:p>
    <w:p w:rsidR="00570187" w:rsidRPr="00E37D0D" w:rsidRDefault="00570187" w:rsidP="00570187"/>
    <w:p w:rsidR="00570187" w:rsidRPr="00F477D2" w:rsidRDefault="00570187" w:rsidP="00570187">
      <w:pPr>
        <w:rPr>
          <w:b/>
        </w:rPr>
      </w:pPr>
      <w:r>
        <w:rPr>
          <w:b/>
        </w:rPr>
        <w:t xml:space="preserve">Taulukko 1. </w:t>
      </w:r>
      <w:r>
        <w:t>Aktiivisuuskatteen rajat avolähteiden käytössä.</w:t>
      </w:r>
    </w:p>
    <w:tbl>
      <w:tblPr>
        <w:tblStyle w:val="TaulukkoRuudukko"/>
        <w:tblW w:w="0" w:type="auto"/>
        <w:tblLook w:val="04A0" w:firstRow="1" w:lastRow="0" w:firstColumn="1" w:lastColumn="0" w:noHBand="0" w:noVBand="1"/>
      </w:tblPr>
      <w:tblGrid>
        <w:gridCol w:w="1819"/>
        <w:gridCol w:w="1486"/>
        <w:gridCol w:w="1764"/>
        <w:gridCol w:w="1833"/>
        <w:gridCol w:w="1476"/>
        <w:gridCol w:w="1476"/>
      </w:tblGrid>
      <w:tr w:rsidR="00570187" w:rsidTr="00954DBC">
        <w:tc>
          <w:tcPr>
            <w:tcW w:w="1819" w:type="dxa"/>
          </w:tcPr>
          <w:p w:rsidR="00570187" w:rsidRDefault="00570187" w:rsidP="00954DBC">
            <w:r>
              <w:t>Radioaktiivinen aine</w:t>
            </w:r>
          </w:p>
        </w:tc>
        <w:tc>
          <w:tcPr>
            <w:tcW w:w="5083" w:type="dxa"/>
            <w:gridSpan w:val="3"/>
          </w:tcPr>
          <w:p w:rsidR="00570187" w:rsidRDefault="00570187" w:rsidP="00954DBC">
            <w:r>
              <w:t>Työpaikat ja työvälineet</w:t>
            </w:r>
          </w:p>
        </w:tc>
        <w:tc>
          <w:tcPr>
            <w:tcW w:w="2952" w:type="dxa"/>
            <w:gridSpan w:val="2"/>
          </w:tcPr>
          <w:p w:rsidR="00570187" w:rsidRDefault="00570187" w:rsidP="00954DBC">
            <w:r>
              <w:t>Työntekijät</w:t>
            </w:r>
          </w:p>
        </w:tc>
      </w:tr>
      <w:tr w:rsidR="00570187" w:rsidTr="00954DBC">
        <w:tc>
          <w:tcPr>
            <w:tcW w:w="1819" w:type="dxa"/>
          </w:tcPr>
          <w:p w:rsidR="00570187" w:rsidRDefault="00570187" w:rsidP="00954DBC"/>
        </w:tc>
        <w:tc>
          <w:tcPr>
            <w:tcW w:w="1486" w:type="dxa"/>
          </w:tcPr>
          <w:p w:rsidR="00570187" w:rsidRDefault="00570187" w:rsidP="00954DBC">
            <w:r>
              <w:t>Valvonta-alue*</w:t>
            </w:r>
          </w:p>
          <w:p w:rsidR="00570187" w:rsidRDefault="00570187" w:rsidP="00954DBC">
            <w:r>
              <w:t>(Bq/cm</w:t>
            </w:r>
            <w:r>
              <w:rPr>
                <w:vertAlign w:val="superscript"/>
              </w:rPr>
              <w:t>2</w:t>
            </w:r>
            <w:r>
              <w:t>)</w:t>
            </w:r>
          </w:p>
        </w:tc>
        <w:tc>
          <w:tcPr>
            <w:tcW w:w="1764" w:type="dxa"/>
          </w:tcPr>
          <w:p w:rsidR="00570187" w:rsidRPr="00030EF4" w:rsidRDefault="00570187" w:rsidP="00954DBC">
            <w:r>
              <w:t>Tarkkailualue* (Bq/cm</w:t>
            </w:r>
            <w:r>
              <w:rPr>
                <w:vertAlign w:val="superscript"/>
              </w:rPr>
              <w:t>2</w:t>
            </w:r>
            <w:r>
              <w:t>)</w:t>
            </w:r>
          </w:p>
        </w:tc>
        <w:tc>
          <w:tcPr>
            <w:tcW w:w="1833" w:type="dxa"/>
          </w:tcPr>
          <w:p w:rsidR="00570187" w:rsidRDefault="00570187" w:rsidP="00954DBC">
            <w:r>
              <w:t>Muu luokittelematon alue</w:t>
            </w:r>
          </w:p>
        </w:tc>
        <w:tc>
          <w:tcPr>
            <w:tcW w:w="1476" w:type="dxa"/>
          </w:tcPr>
          <w:p w:rsidR="00570187" w:rsidRDefault="00570187" w:rsidP="00954DBC">
            <w:r>
              <w:t>Vaatteet</w:t>
            </w:r>
          </w:p>
          <w:p w:rsidR="00570187" w:rsidRDefault="00570187" w:rsidP="00954DBC">
            <w:r>
              <w:t>(Bq/cm</w:t>
            </w:r>
            <w:r>
              <w:rPr>
                <w:vertAlign w:val="superscript"/>
              </w:rPr>
              <w:t>2</w:t>
            </w:r>
            <w:r>
              <w:t>)</w:t>
            </w:r>
          </w:p>
        </w:tc>
        <w:tc>
          <w:tcPr>
            <w:tcW w:w="1476" w:type="dxa"/>
          </w:tcPr>
          <w:p w:rsidR="00570187" w:rsidRDefault="00570187" w:rsidP="00954DBC">
            <w:r>
              <w:t>Iho</w:t>
            </w:r>
          </w:p>
          <w:p w:rsidR="00570187" w:rsidRDefault="00570187" w:rsidP="00954DBC">
            <w:r>
              <w:t>(Bq/cm</w:t>
            </w:r>
            <w:r>
              <w:rPr>
                <w:vertAlign w:val="superscript"/>
              </w:rPr>
              <w:t>2</w:t>
            </w:r>
            <w:r>
              <w:t>)</w:t>
            </w:r>
          </w:p>
        </w:tc>
      </w:tr>
      <w:tr w:rsidR="00570187" w:rsidTr="00954DBC">
        <w:tc>
          <w:tcPr>
            <w:tcW w:w="1819" w:type="dxa"/>
          </w:tcPr>
          <w:p w:rsidR="00570187" w:rsidRDefault="00570187" w:rsidP="00954DBC">
            <w:r>
              <w:t>Alfasäteilijät</w:t>
            </w:r>
          </w:p>
        </w:tc>
        <w:tc>
          <w:tcPr>
            <w:tcW w:w="1486" w:type="dxa"/>
          </w:tcPr>
          <w:p w:rsidR="00570187" w:rsidRDefault="00570187" w:rsidP="00954DBC">
            <w:r>
              <w:t>4</w:t>
            </w:r>
          </w:p>
        </w:tc>
        <w:tc>
          <w:tcPr>
            <w:tcW w:w="1764" w:type="dxa"/>
          </w:tcPr>
          <w:p w:rsidR="00570187" w:rsidRDefault="00570187" w:rsidP="00954DBC">
            <w:r>
              <w:t>0,4</w:t>
            </w:r>
          </w:p>
        </w:tc>
        <w:tc>
          <w:tcPr>
            <w:tcW w:w="1833" w:type="dxa"/>
          </w:tcPr>
          <w:p w:rsidR="00570187" w:rsidRDefault="00570187" w:rsidP="00954DBC">
            <w:r>
              <w:t>0,4</w:t>
            </w:r>
          </w:p>
        </w:tc>
        <w:tc>
          <w:tcPr>
            <w:tcW w:w="1476" w:type="dxa"/>
          </w:tcPr>
          <w:p w:rsidR="00570187" w:rsidRDefault="00570187" w:rsidP="00954DBC">
            <w:r>
              <w:t>0,4</w:t>
            </w:r>
          </w:p>
        </w:tc>
        <w:tc>
          <w:tcPr>
            <w:tcW w:w="1476" w:type="dxa"/>
          </w:tcPr>
          <w:p w:rsidR="00570187" w:rsidRDefault="00570187" w:rsidP="00954DBC">
            <w:r>
              <w:t>0,2</w:t>
            </w:r>
          </w:p>
        </w:tc>
      </w:tr>
      <w:tr w:rsidR="00570187" w:rsidTr="00954DBC">
        <w:tc>
          <w:tcPr>
            <w:tcW w:w="1819" w:type="dxa"/>
          </w:tcPr>
          <w:p w:rsidR="00570187" w:rsidRDefault="00570187" w:rsidP="00954DBC">
            <w:r>
              <w:t>Beeta- ja gammasäteilijät</w:t>
            </w:r>
          </w:p>
        </w:tc>
        <w:tc>
          <w:tcPr>
            <w:tcW w:w="1486" w:type="dxa"/>
          </w:tcPr>
          <w:p w:rsidR="00570187" w:rsidRDefault="00570187" w:rsidP="00954DBC">
            <w:r>
              <w:t>40</w:t>
            </w:r>
          </w:p>
        </w:tc>
        <w:tc>
          <w:tcPr>
            <w:tcW w:w="1764" w:type="dxa"/>
          </w:tcPr>
          <w:p w:rsidR="00570187" w:rsidRDefault="00570187" w:rsidP="00954DBC">
            <w:r>
              <w:t>4</w:t>
            </w:r>
          </w:p>
        </w:tc>
        <w:tc>
          <w:tcPr>
            <w:tcW w:w="1833" w:type="dxa"/>
          </w:tcPr>
          <w:p w:rsidR="00570187" w:rsidRDefault="00570187" w:rsidP="00954DBC">
            <w:r>
              <w:t>1</w:t>
            </w:r>
          </w:p>
        </w:tc>
        <w:tc>
          <w:tcPr>
            <w:tcW w:w="1476" w:type="dxa"/>
          </w:tcPr>
          <w:p w:rsidR="00570187" w:rsidRDefault="00570187" w:rsidP="00954DBC">
            <w:r>
              <w:t>4</w:t>
            </w:r>
          </w:p>
        </w:tc>
        <w:tc>
          <w:tcPr>
            <w:tcW w:w="1476" w:type="dxa"/>
          </w:tcPr>
          <w:p w:rsidR="00570187" w:rsidRDefault="00570187" w:rsidP="00954DBC">
            <w:r>
              <w:t>2</w:t>
            </w:r>
          </w:p>
        </w:tc>
      </w:tr>
    </w:tbl>
    <w:p w:rsidR="00570187" w:rsidRPr="00E37D0D" w:rsidRDefault="00570187" w:rsidP="00570187">
      <w:pPr>
        <w:jc w:val="left"/>
      </w:pPr>
    </w:p>
    <w:p w:rsidR="00570187" w:rsidRPr="00322182" w:rsidRDefault="00570187" w:rsidP="00570187">
      <w:pPr>
        <w:pStyle w:val="Leipteksti"/>
        <w:spacing w:after="0"/>
        <w:ind w:left="0"/>
        <w:rPr>
          <w:sz w:val="20"/>
          <w:szCs w:val="20"/>
        </w:rPr>
      </w:pPr>
    </w:p>
    <w:p w:rsidR="00570187" w:rsidRDefault="00570187" w:rsidP="00570187">
      <w:pPr>
        <w:jc w:val="center"/>
      </w:pPr>
    </w:p>
    <w:p w:rsidR="00570187" w:rsidRDefault="00570187" w:rsidP="00570187">
      <w:pPr>
        <w:jc w:val="center"/>
        <w:rPr>
          <w:b/>
        </w:rPr>
      </w:pPr>
    </w:p>
    <w:p w:rsidR="00570187" w:rsidRDefault="00570187" w:rsidP="00570187"/>
    <w:p w:rsidR="00570187" w:rsidRPr="00E37D0D" w:rsidRDefault="00570187" w:rsidP="00570187">
      <w:bookmarkStart w:id="1" w:name="zF5"/>
      <w:bookmarkEnd w:id="1"/>
    </w:p>
    <w:p w:rsidR="00257975" w:rsidRPr="00956538" w:rsidRDefault="00257975" w:rsidP="00956538"/>
    <w:sectPr w:rsidR="00257975" w:rsidRPr="00956538" w:rsidSect="00787975">
      <w:headerReference w:type="default" r:id="rId9"/>
      <w:pgSz w:w="11906" w:h="16838"/>
      <w:pgMar w:top="1134" w:right="1134" w:bottom="170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B9" w:rsidRDefault="005F6291">
      <w:r>
        <w:separator/>
      </w:r>
    </w:p>
  </w:endnote>
  <w:endnote w:type="continuationSeparator" w:id="0">
    <w:p w:rsidR="007C70B9" w:rsidRDefault="005F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B9" w:rsidRDefault="005F6291">
      <w:r>
        <w:separator/>
      </w:r>
    </w:p>
  </w:footnote>
  <w:footnote w:type="continuationSeparator" w:id="0">
    <w:p w:rsidR="007C70B9" w:rsidRDefault="005F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unaton"/>
      <w:tblW w:w="4276" w:type="pct"/>
      <w:tblLook w:val="04A0" w:firstRow="1" w:lastRow="0" w:firstColumn="1" w:lastColumn="0" w:noHBand="0" w:noVBand="1"/>
    </w:tblPr>
    <w:tblGrid>
      <w:gridCol w:w="4969"/>
      <w:gridCol w:w="2484"/>
      <w:gridCol w:w="974"/>
    </w:tblGrid>
    <w:tr w:rsidR="00704402" w:rsidTr="00D37AC6">
      <w:tc>
        <w:tcPr>
          <w:tcW w:w="2948" w:type="pct"/>
        </w:tcPr>
        <w:p w:rsidR="00704402" w:rsidRPr="004008A8" w:rsidRDefault="002B7017" w:rsidP="005046D3">
          <w:pPr>
            <w:pStyle w:val="Yltunniste"/>
            <w:rPr>
              <w:b/>
            </w:rPr>
          </w:pPr>
          <w:r w:rsidRPr="00392CF0">
            <w:rPr>
              <w:b/>
              <w:noProof/>
              <w:lang w:eastAsia="fi-FI"/>
            </w:rPr>
            <w:drawing>
              <wp:anchor distT="0" distB="0" distL="114300" distR="114300" simplePos="0" relativeHeight="251659264" behindDoc="0" locked="1" layoutInCell="1" allowOverlap="1" wp14:anchorId="743D30C4" wp14:editId="6A84B926">
                <wp:simplePos x="0" y="0"/>
                <wp:positionH relativeFrom="column">
                  <wp:posOffset>22860</wp:posOffset>
                </wp:positionH>
                <wp:positionV relativeFrom="paragraph">
                  <wp:posOffset>-151765</wp:posOffset>
                </wp:positionV>
                <wp:extent cx="1257300" cy="325755"/>
                <wp:effectExtent l="19050" t="0" r="0" b="0"/>
                <wp:wrapNone/>
                <wp:docPr id="5" name="Picture 0" descr="STUK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_logo.emf"/>
                        <pic:cNvPicPr/>
                      </pic:nvPicPr>
                      <pic:blipFill>
                        <a:blip r:embed="rId1"/>
                        <a:stretch>
                          <a:fillRect/>
                        </a:stretch>
                      </pic:blipFill>
                      <pic:spPr>
                        <a:xfrm>
                          <a:off x="0" y="0"/>
                          <a:ext cx="1257300" cy="325755"/>
                        </a:xfrm>
                        <a:prstGeom prst="rect">
                          <a:avLst/>
                        </a:prstGeom>
                      </pic:spPr>
                    </pic:pic>
                  </a:graphicData>
                </a:graphic>
              </wp:anchor>
            </w:drawing>
          </w:r>
        </w:p>
      </w:tc>
      <w:tc>
        <w:tcPr>
          <w:tcW w:w="1474" w:type="pct"/>
        </w:tcPr>
        <w:p w:rsidR="00704402" w:rsidRPr="00030EF4" w:rsidRDefault="00A074DE" w:rsidP="00030EF4">
          <w:pPr>
            <w:pStyle w:val="Yltunniste"/>
            <w:rPr>
              <w:b/>
            </w:rPr>
          </w:pPr>
          <w:r>
            <w:t>#1740001</w:t>
          </w:r>
        </w:p>
      </w:tc>
      <w:tc>
        <w:tcPr>
          <w:tcW w:w="578" w:type="pct"/>
        </w:tcPr>
        <w:p w:rsidR="00704402" w:rsidRDefault="002B7017" w:rsidP="00F83356">
          <w:pPr>
            <w:pStyle w:val="Yltunniste"/>
            <w:jc w:val="right"/>
          </w:pPr>
          <w:r>
            <w:fldChar w:fldCharType="begin"/>
          </w:r>
          <w:r>
            <w:instrText xml:space="preserve"> PAGE   \* MERGEFORMAT </w:instrText>
          </w:r>
          <w:r>
            <w:fldChar w:fldCharType="separate"/>
          </w:r>
          <w:r w:rsidR="00A074DE">
            <w:rPr>
              <w:noProof/>
            </w:rPr>
            <w:t>1</w:t>
          </w:r>
          <w:r>
            <w:rPr>
              <w:noProof/>
            </w:rPr>
            <w:fldChar w:fldCharType="end"/>
          </w:r>
          <w:r>
            <w:t xml:space="preserve"> (</w:t>
          </w:r>
          <w:r w:rsidR="00A074DE">
            <w:fldChar w:fldCharType="begin"/>
          </w:r>
          <w:r w:rsidR="00A074DE">
            <w:instrText xml:space="preserve"> NUMPAGES   \* MERGEFORMAT </w:instrText>
          </w:r>
          <w:r w:rsidR="00A074DE">
            <w:fldChar w:fldCharType="separate"/>
          </w:r>
          <w:r w:rsidR="00A074DE">
            <w:rPr>
              <w:noProof/>
            </w:rPr>
            <w:t>6</w:t>
          </w:r>
          <w:r w:rsidR="00A074DE">
            <w:rPr>
              <w:noProof/>
            </w:rPr>
            <w:fldChar w:fldCharType="end"/>
          </w:r>
          <w:r>
            <w:t>)</w:t>
          </w:r>
        </w:p>
      </w:tc>
    </w:tr>
    <w:tr w:rsidR="00704402" w:rsidTr="00D37AC6">
      <w:trPr>
        <w:gridAfter w:val="1"/>
        <w:wAfter w:w="578" w:type="pct"/>
      </w:trPr>
      <w:tc>
        <w:tcPr>
          <w:tcW w:w="2948" w:type="pct"/>
        </w:tcPr>
        <w:p w:rsidR="00704402" w:rsidRPr="001D19F9" w:rsidRDefault="002B7017" w:rsidP="00E77AE1">
          <w:pPr>
            <w:pStyle w:val="Yltunniste"/>
            <w:tabs>
              <w:tab w:val="left" w:pos="3319"/>
            </w:tabs>
          </w:pPr>
          <w:r>
            <w:tab/>
          </w:r>
        </w:p>
      </w:tc>
      <w:tc>
        <w:tcPr>
          <w:tcW w:w="1474" w:type="pct"/>
        </w:tcPr>
        <w:p w:rsidR="00704402" w:rsidRPr="00030EF4" w:rsidRDefault="00A074DE" w:rsidP="00133D97">
          <w:pPr>
            <w:pStyle w:val="Yltunniste"/>
          </w:pPr>
          <w:r>
            <w:t>1.12.2017</w:t>
          </w:r>
        </w:p>
      </w:tc>
    </w:tr>
    <w:tr w:rsidR="00704402" w:rsidTr="00D37AC6">
      <w:trPr>
        <w:gridAfter w:val="1"/>
        <w:wAfter w:w="578" w:type="pct"/>
      </w:trPr>
      <w:tc>
        <w:tcPr>
          <w:tcW w:w="2948" w:type="pct"/>
        </w:tcPr>
        <w:p w:rsidR="00704402" w:rsidRPr="001D19F9" w:rsidRDefault="00A074DE" w:rsidP="00133D97">
          <w:pPr>
            <w:pStyle w:val="Yltunniste"/>
          </w:pPr>
        </w:p>
      </w:tc>
      <w:tc>
        <w:tcPr>
          <w:tcW w:w="1474" w:type="pct"/>
        </w:tcPr>
        <w:p w:rsidR="00704402" w:rsidRPr="00030EF4" w:rsidRDefault="00A074DE" w:rsidP="004008A8">
          <w:pPr>
            <w:pStyle w:val="Yltunniste"/>
            <w:rPr>
              <w:highlight w:val="yellow"/>
            </w:rPr>
          </w:pPr>
        </w:p>
      </w:tc>
    </w:tr>
  </w:tbl>
  <w:p w:rsidR="00704402" w:rsidRDefault="00A074DE" w:rsidP="006318E6">
    <w:pPr>
      <w:pStyle w:val="Yltunnis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2CA6C0"/>
    <w:lvl w:ilvl="0">
      <w:start w:val="1"/>
      <w:numFmt w:val="decimal"/>
      <w:lvlText w:val="%1."/>
      <w:lvlJc w:val="left"/>
      <w:pPr>
        <w:tabs>
          <w:tab w:val="num" w:pos="643"/>
        </w:tabs>
        <w:ind w:left="643" w:hanging="360"/>
      </w:pPr>
    </w:lvl>
  </w:abstractNum>
  <w:abstractNum w:abstractNumId="1">
    <w:nsid w:val="FFFFFF83"/>
    <w:multiLevelType w:val="singleLevel"/>
    <w:tmpl w:val="BCE2DC2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31480748"/>
    <w:lvl w:ilvl="0">
      <w:start w:val="1"/>
      <w:numFmt w:val="decimal"/>
      <w:lvlText w:val="%1."/>
      <w:lvlJc w:val="left"/>
      <w:pPr>
        <w:tabs>
          <w:tab w:val="num" w:pos="360"/>
        </w:tabs>
        <w:ind w:left="360" w:hanging="360"/>
      </w:pPr>
    </w:lvl>
  </w:abstractNum>
  <w:abstractNum w:abstractNumId="3">
    <w:nsid w:val="FFFFFF89"/>
    <w:multiLevelType w:val="singleLevel"/>
    <w:tmpl w:val="7A2C8A26"/>
    <w:lvl w:ilvl="0">
      <w:start w:val="1"/>
      <w:numFmt w:val="bullet"/>
      <w:lvlText w:val=""/>
      <w:lvlJc w:val="left"/>
      <w:pPr>
        <w:tabs>
          <w:tab w:val="num" w:pos="360"/>
        </w:tabs>
        <w:ind w:left="360" w:hanging="360"/>
      </w:pPr>
      <w:rPr>
        <w:rFonts w:ascii="Symbol" w:hAnsi="Symbol" w:hint="default"/>
      </w:rPr>
    </w:lvl>
  </w:abstractNum>
  <w:abstractNum w:abstractNumId="4">
    <w:nsid w:val="07585C5F"/>
    <w:multiLevelType w:val="multilevel"/>
    <w:tmpl w:val="4014A3D0"/>
    <w:numStyleLink w:val="MerkittyluetteloSTUK"/>
  </w:abstractNum>
  <w:abstractNum w:abstractNumId="5">
    <w:nsid w:val="0B1A0977"/>
    <w:multiLevelType w:val="multilevel"/>
    <w:tmpl w:val="B664C2E2"/>
    <w:styleLink w:val="NumeroituluetteloSTUK"/>
    <w:lvl w:ilvl="0">
      <w:start w:val="1"/>
      <w:numFmt w:val="decimal"/>
      <w:pStyle w:val="Numeroituluettelo"/>
      <w:lvlText w:val="%1."/>
      <w:lvlJc w:val="left"/>
      <w:pPr>
        <w:tabs>
          <w:tab w:val="num" w:pos="1304"/>
        </w:tabs>
        <w:ind w:left="1701" w:hanging="397"/>
      </w:pPr>
      <w:rPr>
        <w:rFonts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6">
    <w:nsid w:val="0BE635A1"/>
    <w:multiLevelType w:val="multilevel"/>
    <w:tmpl w:val="4014A3D0"/>
    <w:styleLink w:val="MerkittyluetteloSTUK"/>
    <w:lvl w:ilvl="0">
      <w:start w:val="1"/>
      <w:numFmt w:val="bullet"/>
      <w:pStyle w:val="Merkittyluettelo"/>
      <w:lvlText w:val="•"/>
      <w:lvlJc w:val="left"/>
      <w:pPr>
        <w:tabs>
          <w:tab w:val="num" w:pos="1304"/>
        </w:tabs>
        <w:ind w:left="1701" w:hanging="397"/>
      </w:pPr>
      <w:rPr>
        <w:rFonts w:ascii="Cambria" w:hAnsi="Cambria"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7">
    <w:nsid w:val="18996B71"/>
    <w:multiLevelType w:val="multilevel"/>
    <w:tmpl w:val="447CD28E"/>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8">
    <w:nsid w:val="2CC70FD9"/>
    <w:multiLevelType w:val="multilevel"/>
    <w:tmpl w:val="BE8A5FD2"/>
    <w:numStyleLink w:val="Stukmerkittyluettelo2"/>
  </w:abstractNum>
  <w:abstractNum w:abstractNumId="9">
    <w:nsid w:val="48F516DB"/>
    <w:multiLevelType w:val="multilevel"/>
    <w:tmpl w:val="4014A3D0"/>
    <w:numStyleLink w:val="MerkittyluetteloSTUK"/>
  </w:abstractNum>
  <w:abstractNum w:abstractNumId="10">
    <w:nsid w:val="4AA84E5A"/>
    <w:multiLevelType w:val="multilevel"/>
    <w:tmpl w:val="BE8A5FD2"/>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11">
    <w:nsid w:val="4FB34551"/>
    <w:multiLevelType w:val="multilevel"/>
    <w:tmpl w:val="447CD28E"/>
    <w:numStyleLink w:val="Stuknumeroituluettelo2"/>
  </w:abstractNum>
  <w:abstractNum w:abstractNumId="12">
    <w:nsid w:val="62A22655"/>
    <w:multiLevelType w:val="multilevel"/>
    <w:tmpl w:val="BE8A5FD2"/>
    <w:numStyleLink w:val="Stukmerkittyluettelo2"/>
  </w:abstractNum>
  <w:abstractNum w:abstractNumId="13">
    <w:nsid w:val="75D405BE"/>
    <w:multiLevelType w:val="multilevel"/>
    <w:tmpl w:val="447CD28E"/>
    <w:numStyleLink w:val="Stuknumeroituluettelo2"/>
  </w:abstractNum>
  <w:abstractNum w:abstractNumId="14">
    <w:nsid w:val="7BD854F4"/>
    <w:multiLevelType w:val="multilevel"/>
    <w:tmpl w:val="B664C2E2"/>
    <w:numStyleLink w:val="NumeroituluetteloSTUK"/>
  </w:abstractNum>
  <w:num w:numId="1">
    <w:abstractNumId w:val="3"/>
  </w:num>
  <w:num w:numId="2">
    <w:abstractNumId w:val="6"/>
  </w:num>
  <w:num w:numId="3">
    <w:abstractNumId w:val="2"/>
  </w:num>
  <w:num w:numId="4">
    <w:abstractNumId w:val="5"/>
  </w:num>
  <w:num w:numId="5">
    <w:abstractNumId w:val="6"/>
  </w:num>
  <w:num w:numId="6">
    <w:abstractNumId w:val="5"/>
  </w:num>
  <w:num w:numId="7">
    <w:abstractNumId w:val="4"/>
  </w:num>
  <w:num w:numId="8">
    <w:abstractNumId w:val="1"/>
  </w:num>
  <w:num w:numId="9">
    <w:abstractNumId w:val="8"/>
  </w:num>
  <w:num w:numId="10">
    <w:abstractNumId w:val="14"/>
  </w:num>
  <w:num w:numId="11">
    <w:abstractNumId w:val="0"/>
  </w:num>
  <w:num w:numId="12">
    <w:abstractNumId w:val="13"/>
  </w:num>
  <w:num w:numId="13">
    <w:abstractNumId w:val="6"/>
  </w:num>
  <w:num w:numId="14">
    <w:abstractNumId w:val="5"/>
  </w:num>
  <w:num w:numId="15">
    <w:abstractNumId w:val="10"/>
  </w:num>
  <w:num w:numId="16">
    <w:abstractNumId w:val="7"/>
  </w:num>
  <w:num w:numId="17">
    <w:abstractNumId w:val="4"/>
  </w:num>
  <w:num w:numId="18">
    <w:abstractNumId w:val="8"/>
  </w:num>
  <w:num w:numId="19">
    <w:abstractNumId w:val="14"/>
  </w:num>
  <w:num w:numId="20">
    <w:abstractNumId w:val="13"/>
  </w:num>
  <w:num w:numId="21">
    <w:abstractNumId w:val="6"/>
  </w:num>
  <w:num w:numId="22">
    <w:abstractNumId w:val="5"/>
  </w:num>
  <w:num w:numId="23">
    <w:abstractNumId w:val="10"/>
  </w:num>
  <w:num w:numId="24">
    <w:abstractNumId w:val="7"/>
  </w:num>
  <w:num w:numId="25">
    <w:abstractNumId w:val="9"/>
  </w:num>
  <w:num w:numId="26">
    <w:abstractNumId w:val="12"/>
  </w:num>
  <w:num w:numId="27">
    <w:abstractNumId w:val="5"/>
  </w:num>
  <w:num w:numId="28">
    <w:abstractNumId w:val="11"/>
  </w:num>
  <w:num w:numId="29">
    <w:abstractNumId w:val="6"/>
  </w:num>
  <w:num w:numId="30">
    <w:abstractNumId w:val="5"/>
  </w:num>
  <w:num w:numId="31">
    <w:abstractNumId w:val="10"/>
  </w:num>
  <w:num w:numId="32">
    <w:abstractNumId w:val="7"/>
  </w:num>
  <w:num w:numId="33">
    <w:abstractNumId w:val="6"/>
  </w:num>
  <w:num w:numId="34">
    <w:abstractNumId w:val="10"/>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C7"/>
    <w:rsid w:val="00134B56"/>
    <w:rsid w:val="00212611"/>
    <w:rsid w:val="00217F27"/>
    <w:rsid w:val="00257975"/>
    <w:rsid w:val="002B1511"/>
    <w:rsid w:val="002B7017"/>
    <w:rsid w:val="00317105"/>
    <w:rsid w:val="00570187"/>
    <w:rsid w:val="005F6291"/>
    <w:rsid w:val="00604A2A"/>
    <w:rsid w:val="00660640"/>
    <w:rsid w:val="006954FF"/>
    <w:rsid w:val="006E6553"/>
    <w:rsid w:val="007C70B9"/>
    <w:rsid w:val="008C3AED"/>
    <w:rsid w:val="00937213"/>
    <w:rsid w:val="00956538"/>
    <w:rsid w:val="009603C2"/>
    <w:rsid w:val="009909C7"/>
    <w:rsid w:val="00A074DE"/>
    <w:rsid w:val="00B16234"/>
    <w:rsid w:val="00BD1B0A"/>
    <w:rsid w:val="00D31DF7"/>
    <w:rsid w:val="00E01F2C"/>
    <w:rsid w:val="00E223C1"/>
    <w:rsid w:val="00EB6C51"/>
    <w:rsid w:val="00EC5B69"/>
    <w:rsid w:val="00F613B6"/>
    <w:rsid w:val="00FC15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List Bullet 2" w:qFormat="1"/>
    <w:lsdException w:name="List Number 2" w:qFormat="1"/>
    <w:lsdException w:name="Title" w:semiHidden="0" w:uiPriority="10" w:unhideWhenUsed="0" w:qFormat="1"/>
    <w:lsdException w:name="Default Paragraph Font" w:uiPriority="1"/>
    <w:lsdException w:name="Body Text" w:uiPriority="0" w:qFormat="1"/>
    <w:lsdException w:name="Subtitle"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ali">
    <w:name w:val="Normal"/>
    <w:qFormat/>
    <w:rsid w:val="00570187"/>
    <w:pPr>
      <w:spacing w:after="0" w:line="240" w:lineRule="auto"/>
      <w:jc w:val="both"/>
    </w:pPr>
    <w:rPr>
      <w:rFonts w:cstheme="minorHAnsi"/>
    </w:rPr>
  </w:style>
  <w:style w:type="paragraph" w:styleId="Otsikko1">
    <w:name w:val="heading 1"/>
    <w:basedOn w:val="Normaali"/>
    <w:next w:val="Leipteksti"/>
    <w:link w:val="Otsikko1Char"/>
    <w:uiPriority w:val="9"/>
    <w:qFormat/>
    <w:rsid w:val="00FC1525"/>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C1525"/>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FC1525"/>
    <w:pPr>
      <w:spacing w:after="220"/>
      <w:ind w:left="1304"/>
    </w:pPr>
  </w:style>
  <w:style w:type="character" w:customStyle="1" w:styleId="LeiptekstiChar">
    <w:name w:val="Leipäteksti Char"/>
    <w:basedOn w:val="Kappaleenoletusfontti"/>
    <w:link w:val="Leipteksti"/>
    <w:rsid w:val="00B16234"/>
    <w:rPr>
      <w:rFonts w:cstheme="minorHAnsi"/>
    </w:rPr>
  </w:style>
  <w:style w:type="paragraph" w:styleId="Alatunniste">
    <w:name w:val="footer"/>
    <w:basedOn w:val="Normaali"/>
    <w:link w:val="AlatunnisteChar"/>
    <w:uiPriority w:val="99"/>
    <w:rsid w:val="00FC1525"/>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rsid w:val="00FC1525"/>
    <w:pPr>
      <w:tabs>
        <w:tab w:val="left" w:pos="5216"/>
        <w:tab w:val="left" w:pos="7825"/>
        <w:tab w:val="left" w:pos="9129"/>
      </w:tabs>
      <w:suppressAutoHyphens/>
      <w:jc w:val="left"/>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B16234"/>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B16234"/>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33"/>
      </w:numPr>
      <w:spacing w:after="220"/>
      <w:contextualSpacing/>
    </w:pPr>
  </w:style>
  <w:style w:type="paragraph" w:styleId="Numeroituluettelo">
    <w:name w:val="List Number"/>
    <w:basedOn w:val="Normaali"/>
    <w:uiPriority w:val="99"/>
    <w:qFormat/>
    <w:rsid w:val="00257975"/>
    <w:pPr>
      <w:numPr>
        <w:numId w:val="35"/>
      </w:numPr>
      <w:spacing w:after="220"/>
      <w:contextualSpacing/>
    </w:pPr>
  </w:style>
  <w:style w:type="numbering" w:customStyle="1" w:styleId="MerkittyluetteloSTUK">
    <w:name w:val="Merkitty luettelo STUK"/>
    <w:uiPriority w:val="99"/>
    <w:rsid w:val="00257975"/>
    <w:pPr>
      <w:numPr>
        <w:numId w:val="2"/>
      </w:numPr>
    </w:pPr>
  </w:style>
  <w:style w:type="paragraph" w:styleId="Eivli">
    <w:name w:val="No Spacing"/>
    <w:uiPriority w:val="1"/>
    <w:qFormat/>
    <w:rsid w:val="00FC1525"/>
    <w:pPr>
      <w:spacing w:after="0" w:line="240" w:lineRule="auto"/>
      <w:ind w:left="1304"/>
      <w:jc w:val="both"/>
    </w:pPr>
    <w:rPr>
      <w:rFonts w:cstheme="minorHAnsi"/>
    </w:rPr>
  </w:style>
  <w:style w:type="numbering" w:customStyle="1" w:styleId="NumeroituluetteloSTUK">
    <w:name w:val="Numeroitu luettelo STUK"/>
    <w:uiPriority w:val="99"/>
    <w:rsid w:val="00257975"/>
    <w:pPr>
      <w:numPr>
        <w:numId w:val="4"/>
      </w:numPr>
    </w:pPr>
  </w:style>
  <w:style w:type="character" w:styleId="Paikkamerkkiteksti">
    <w:name w:val="Placeholder Text"/>
    <w:basedOn w:val="Kappaleenoletusfontti"/>
    <w:uiPriority w:val="99"/>
    <w:semiHidden/>
    <w:rsid w:val="00FC1525"/>
    <w:rPr>
      <w:color w:val="auto"/>
    </w:rPr>
  </w:style>
  <w:style w:type="table" w:customStyle="1" w:styleId="reunaton">
    <w:name w:val="reunaton"/>
    <w:basedOn w:val="Normaalitaulukko"/>
    <w:uiPriority w:val="99"/>
    <w:qFormat/>
    <w:rsid w:val="00FC1525"/>
    <w:pPr>
      <w:spacing w:after="0" w:line="240" w:lineRule="auto"/>
    </w:pPr>
    <w:rPr>
      <w:rFonts w:cstheme="minorHAnsi"/>
    </w:rPr>
    <w:tblPr/>
  </w:style>
  <w:style w:type="table" w:styleId="TaulukkoRuudukko">
    <w:name w:val="Table Grid"/>
    <w:basedOn w:val="Normaalitaulukko"/>
    <w:uiPriority w:val="59"/>
    <w:rsid w:val="00FC1525"/>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Normaali"/>
    <w:next w:val="Leipteksti"/>
    <w:link w:val="OtsikkoChar"/>
    <w:uiPriority w:val="10"/>
    <w:qFormat/>
    <w:rsid w:val="00FC1525"/>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B16234"/>
    <w:rPr>
      <w:rFonts w:asciiTheme="majorHAnsi" w:eastAsiaTheme="majorEastAsia" w:hAnsiTheme="majorHAnsi" w:cstheme="majorBidi"/>
      <w:b/>
      <w:spacing w:val="5"/>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semiHidden/>
    <w:rsid w:val="00FC1525"/>
    <w:pPr>
      <w:spacing w:after="100"/>
    </w:pPr>
  </w:style>
  <w:style w:type="paragraph" w:styleId="Sisllysluettelonotsikko">
    <w:name w:val="TOC Heading"/>
    <w:basedOn w:val="Otsikko1"/>
    <w:next w:val="Normaali"/>
    <w:uiPriority w:val="39"/>
    <w:semiHidden/>
    <w:unhideWhenUsed/>
    <w:qFormat/>
    <w:rsid w:val="00FC1525"/>
    <w:pPr>
      <w:spacing w:before="480" w:after="0"/>
      <w:outlineLvl w:val="9"/>
    </w:pPr>
  </w:style>
  <w:style w:type="paragraph" w:styleId="Merkittyluettelo2">
    <w:name w:val="List Bullet 2"/>
    <w:basedOn w:val="Normaali"/>
    <w:uiPriority w:val="99"/>
    <w:qFormat/>
    <w:rsid w:val="00257975"/>
    <w:pPr>
      <w:numPr>
        <w:numId w:val="34"/>
      </w:numPr>
      <w:spacing w:after="220"/>
      <w:contextualSpacing/>
    </w:pPr>
  </w:style>
  <w:style w:type="paragraph" w:styleId="Numeroituluettelo2">
    <w:name w:val="List Number 2"/>
    <w:basedOn w:val="Normaali"/>
    <w:uiPriority w:val="99"/>
    <w:unhideWhenUsed/>
    <w:qFormat/>
    <w:rsid w:val="00257975"/>
    <w:pPr>
      <w:numPr>
        <w:numId w:val="32"/>
      </w:numPr>
      <w:spacing w:after="220"/>
      <w:contextualSpacing/>
    </w:pPr>
  </w:style>
  <w:style w:type="numbering" w:customStyle="1" w:styleId="Stukmerkittyluettelo2">
    <w:name w:val="Stuk merkitty luettelo 2"/>
    <w:uiPriority w:val="99"/>
    <w:rsid w:val="00257975"/>
    <w:pPr>
      <w:numPr>
        <w:numId w:val="15"/>
      </w:numPr>
    </w:pPr>
  </w:style>
  <w:style w:type="numbering" w:customStyle="1" w:styleId="Stuknumeroituluettelo2">
    <w:name w:val="Stuk numeroitu luettelo 2"/>
    <w:uiPriority w:val="99"/>
    <w:rsid w:val="00257975"/>
    <w:pPr>
      <w:numPr>
        <w:numId w:val="16"/>
      </w:numPr>
    </w:pPr>
  </w:style>
  <w:style w:type="character" w:styleId="Kommentinviite">
    <w:name w:val="annotation reference"/>
    <w:basedOn w:val="Kappaleenoletusfontti"/>
    <w:uiPriority w:val="99"/>
    <w:semiHidden/>
    <w:unhideWhenUsed/>
    <w:rsid w:val="00570187"/>
    <w:rPr>
      <w:sz w:val="16"/>
      <w:szCs w:val="16"/>
    </w:rPr>
  </w:style>
  <w:style w:type="paragraph" w:styleId="Kommentinteksti">
    <w:name w:val="annotation text"/>
    <w:basedOn w:val="Normaali"/>
    <w:link w:val="KommentintekstiChar"/>
    <w:uiPriority w:val="99"/>
    <w:unhideWhenUsed/>
    <w:rsid w:val="00570187"/>
    <w:rPr>
      <w:sz w:val="20"/>
      <w:szCs w:val="20"/>
    </w:rPr>
  </w:style>
  <w:style w:type="character" w:customStyle="1" w:styleId="KommentintekstiChar">
    <w:name w:val="Kommentin teksti Char"/>
    <w:basedOn w:val="Kappaleenoletusfontti"/>
    <w:link w:val="Kommentinteksti"/>
    <w:uiPriority w:val="99"/>
    <w:rsid w:val="00570187"/>
    <w:rPr>
      <w:rFonts w:cstheme="minorHAnsi"/>
      <w:sz w:val="20"/>
      <w:szCs w:val="20"/>
    </w:rPr>
  </w:style>
  <w:style w:type="paragraph" w:styleId="Luettelokappale">
    <w:name w:val="List Paragraph"/>
    <w:basedOn w:val="Normaali"/>
    <w:uiPriority w:val="34"/>
    <w:qFormat/>
    <w:rsid w:val="00570187"/>
    <w:pPr>
      <w:ind w:left="720"/>
      <w:contextualSpacing/>
    </w:pPr>
  </w:style>
  <w:style w:type="character" w:styleId="Hyperlinkki">
    <w:name w:val="Hyperlink"/>
    <w:basedOn w:val="Kappaleenoletusfontti"/>
    <w:uiPriority w:val="99"/>
    <w:unhideWhenUsed/>
    <w:rsid w:val="00570187"/>
    <w:rPr>
      <w:color w:val="004C9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List Bullet 2" w:qFormat="1"/>
    <w:lsdException w:name="List Number 2" w:qFormat="1"/>
    <w:lsdException w:name="Title" w:semiHidden="0" w:uiPriority="10" w:unhideWhenUsed="0" w:qFormat="1"/>
    <w:lsdException w:name="Default Paragraph Font" w:uiPriority="1"/>
    <w:lsdException w:name="Body Text" w:uiPriority="0" w:qFormat="1"/>
    <w:lsdException w:name="Subtitle"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ali">
    <w:name w:val="Normal"/>
    <w:qFormat/>
    <w:rsid w:val="00570187"/>
    <w:pPr>
      <w:spacing w:after="0" w:line="240" w:lineRule="auto"/>
      <w:jc w:val="both"/>
    </w:pPr>
    <w:rPr>
      <w:rFonts w:cstheme="minorHAnsi"/>
    </w:rPr>
  </w:style>
  <w:style w:type="paragraph" w:styleId="Otsikko1">
    <w:name w:val="heading 1"/>
    <w:basedOn w:val="Normaali"/>
    <w:next w:val="Leipteksti"/>
    <w:link w:val="Otsikko1Char"/>
    <w:uiPriority w:val="9"/>
    <w:qFormat/>
    <w:rsid w:val="00FC1525"/>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C1525"/>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FC1525"/>
    <w:pPr>
      <w:spacing w:after="220"/>
      <w:ind w:left="1304"/>
    </w:pPr>
  </w:style>
  <w:style w:type="character" w:customStyle="1" w:styleId="LeiptekstiChar">
    <w:name w:val="Leipäteksti Char"/>
    <w:basedOn w:val="Kappaleenoletusfontti"/>
    <w:link w:val="Leipteksti"/>
    <w:rsid w:val="00B16234"/>
    <w:rPr>
      <w:rFonts w:cstheme="minorHAnsi"/>
    </w:rPr>
  </w:style>
  <w:style w:type="paragraph" w:styleId="Alatunniste">
    <w:name w:val="footer"/>
    <w:basedOn w:val="Normaali"/>
    <w:link w:val="AlatunnisteChar"/>
    <w:uiPriority w:val="99"/>
    <w:rsid w:val="00FC1525"/>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rsid w:val="00FC1525"/>
    <w:pPr>
      <w:tabs>
        <w:tab w:val="left" w:pos="5216"/>
        <w:tab w:val="left" w:pos="7825"/>
        <w:tab w:val="left" w:pos="9129"/>
      </w:tabs>
      <w:suppressAutoHyphens/>
      <w:jc w:val="left"/>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B16234"/>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B16234"/>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33"/>
      </w:numPr>
      <w:spacing w:after="220"/>
      <w:contextualSpacing/>
    </w:pPr>
  </w:style>
  <w:style w:type="paragraph" w:styleId="Numeroituluettelo">
    <w:name w:val="List Number"/>
    <w:basedOn w:val="Normaali"/>
    <w:uiPriority w:val="99"/>
    <w:qFormat/>
    <w:rsid w:val="00257975"/>
    <w:pPr>
      <w:numPr>
        <w:numId w:val="35"/>
      </w:numPr>
      <w:spacing w:after="220"/>
      <w:contextualSpacing/>
    </w:pPr>
  </w:style>
  <w:style w:type="numbering" w:customStyle="1" w:styleId="MerkittyluetteloSTUK">
    <w:name w:val="Merkitty luettelo STUK"/>
    <w:uiPriority w:val="99"/>
    <w:rsid w:val="00257975"/>
    <w:pPr>
      <w:numPr>
        <w:numId w:val="2"/>
      </w:numPr>
    </w:pPr>
  </w:style>
  <w:style w:type="paragraph" w:styleId="Eivli">
    <w:name w:val="No Spacing"/>
    <w:uiPriority w:val="1"/>
    <w:qFormat/>
    <w:rsid w:val="00FC1525"/>
    <w:pPr>
      <w:spacing w:after="0" w:line="240" w:lineRule="auto"/>
      <w:ind w:left="1304"/>
      <w:jc w:val="both"/>
    </w:pPr>
    <w:rPr>
      <w:rFonts w:cstheme="minorHAnsi"/>
    </w:rPr>
  </w:style>
  <w:style w:type="numbering" w:customStyle="1" w:styleId="NumeroituluetteloSTUK">
    <w:name w:val="Numeroitu luettelo STUK"/>
    <w:uiPriority w:val="99"/>
    <w:rsid w:val="00257975"/>
    <w:pPr>
      <w:numPr>
        <w:numId w:val="4"/>
      </w:numPr>
    </w:pPr>
  </w:style>
  <w:style w:type="character" w:styleId="Paikkamerkkiteksti">
    <w:name w:val="Placeholder Text"/>
    <w:basedOn w:val="Kappaleenoletusfontti"/>
    <w:uiPriority w:val="99"/>
    <w:semiHidden/>
    <w:rsid w:val="00FC1525"/>
    <w:rPr>
      <w:color w:val="auto"/>
    </w:rPr>
  </w:style>
  <w:style w:type="table" w:customStyle="1" w:styleId="reunaton">
    <w:name w:val="reunaton"/>
    <w:basedOn w:val="Normaalitaulukko"/>
    <w:uiPriority w:val="99"/>
    <w:qFormat/>
    <w:rsid w:val="00FC1525"/>
    <w:pPr>
      <w:spacing w:after="0" w:line="240" w:lineRule="auto"/>
    </w:pPr>
    <w:rPr>
      <w:rFonts w:cstheme="minorHAnsi"/>
    </w:rPr>
    <w:tblPr/>
  </w:style>
  <w:style w:type="table" w:styleId="TaulukkoRuudukko">
    <w:name w:val="Table Grid"/>
    <w:basedOn w:val="Normaalitaulukko"/>
    <w:uiPriority w:val="59"/>
    <w:rsid w:val="00FC1525"/>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Normaali"/>
    <w:next w:val="Leipteksti"/>
    <w:link w:val="OtsikkoChar"/>
    <w:uiPriority w:val="10"/>
    <w:qFormat/>
    <w:rsid w:val="00FC1525"/>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B16234"/>
    <w:rPr>
      <w:rFonts w:asciiTheme="majorHAnsi" w:eastAsiaTheme="majorEastAsia" w:hAnsiTheme="majorHAnsi" w:cstheme="majorBidi"/>
      <w:b/>
      <w:spacing w:val="5"/>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semiHidden/>
    <w:rsid w:val="00FC1525"/>
    <w:pPr>
      <w:spacing w:after="100"/>
    </w:pPr>
  </w:style>
  <w:style w:type="paragraph" w:styleId="Sisllysluettelonotsikko">
    <w:name w:val="TOC Heading"/>
    <w:basedOn w:val="Otsikko1"/>
    <w:next w:val="Normaali"/>
    <w:uiPriority w:val="39"/>
    <w:semiHidden/>
    <w:unhideWhenUsed/>
    <w:qFormat/>
    <w:rsid w:val="00FC1525"/>
    <w:pPr>
      <w:spacing w:before="480" w:after="0"/>
      <w:outlineLvl w:val="9"/>
    </w:pPr>
  </w:style>
  <w:style w:type="paragraph" w:styleId="Merkittyluettelo2">
    <w:name w:val="List Bullet 2"/>
    <w:basedOn w:val="Normaali"/>
    <w:uiPriority w:val="99"/>
    <w:qFormat/>
    <w:rsid w:val="00257975"/>
    <w:pPr>
      <w:numPr>
        <w:numId w:val="34"/>
      </w:numPr>
      <w:spacing w:after="220"/>
      <w:contextualSpacing/>
    </w:pPr>
  </w:style>
  <w:style w:type="paragraph" w:styleId="Numeroituluettelo2">
    <w:name w:val="List Number 2"/>
    <w:basedOn w:val="Normaali"/>
    <w:uiPriority w:val="99"/>
    <w:unhideWhenUsed/>
    <w:qFormat/>
    <w:rsid w:val="00257975"/>
    <w:pPr>
      <w:numPr>
        <w:numId w:val="32"/>
      </w:numPr>
      <w:spacing w:after="220"/>
      <w:contextualSpacing/>
    </w:pPr>
  </w:style>
  <w:style w:type="numbering" w:customStyle="1" w:styleId="Stukmerkittyluettelo2">
    <w:name w:val="Stuk merkitty luettelo 2"/>
    <w:uiPriority w:val="99"/>
    <w:rsid w:val="00257975"/>
    <w:pPr>
      <w:numPr>
        <w:numId w:val="15"/>
      </w:numPr>
    </w:pPr>
  </w:style>
  <w:style w:type="numbering" w:customStyle="1" w:styleId="Stuknumeroituluettelo2">
    <w:name w:val="Stuk numeroitu luettelo 2"/>
    <w:uiPriority w:val="99"/>
    <w:rsid w:val="00257975"/>
    <w:pPr>
      <w:numPr>
        <w:numId w:val="16"/>
      </w:numPr>
    </w:pPr>
  </w:style>
  <w:style w:type="character" w:styleId="Kommentinviite">
    <w:name w:val="annotation reference"/>
    <w:basedOn w:val="Kappaleenoletusfontti"/>
    <w:uiPriority w:val="99"/>
    <w:semiHidden/>
    <w:unhideWhenUsed/>
    <w:rsid w:val="00570187"/>
    <w:rPr>
      <w:sz w:val="16"/>
      <w:szCs w:val="16"/>
    </w:rPr>
  </w:style>
  <w:style w:type="paragraph" w:styleId="Kommentinteksti">
    <w:name w:val="annotation text"/>
    <w:basedOn w:val="Normaali"/>
    <w:link w:val="KommentintekstiChar"/>
    <w:uiPriority w:val="99"/>
    <w:unhideWhenUsed/>
    <w:rsid w:val="00570187"/>
    <w:rPr>
      <w:sz w:val="20"/>
      <w:szCs w:val="20"/>
    </w:rPr>
  </w:style>
  <w:style w:type="character" w:customStyle="1" w:styleId="KommentintekstiChar">
    <w:name w:val="Kommentin teksti Char"/>
    <w:basedOn w:val="Kappaleenoletusfontti"/>
    <w:link w:val="Kommentinteksti"/>
    <w:uiPriority w:val="99"/>
    <w:rsid w:val="00570187"/>
    <w:rPr>
      <w:rFonts w:cstheme="minorHAnsi"/>
      <w:sz w:val="20"/>
      <w:szCs w:val="20"/>
    </w:rPr>
  </w:style>
  <w:style w:type="paragraph" w:styleId="Luettelokappale">
    <w:name w:val="List Paragraph"/>
    <w:basedOn w:val="Normaali"/>
    <w:uiPriority w:val="34"/>
    <w:qFormat/>
    <w:rsid w:val="00570187"/>
    <w:pPr>
      <w:ind w:left="720"/>
      <w:contextualSpacing/>
    </w:pPr>
  </w:style>
  <w:style w:type="character" w:styleId="Hyperlinkki">
    <w:name w:val="Hyperlink"/>
    <w:basedOn w:val="Kappaleenoletusfontti"/>
    <w:uiPriority w:val="99"/>
    <w:unhideWhenUsed/>
    <w:rsid w:val="00570187"/>
    <w:rPr>
      <w:color w:val="004C9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viranomaiset/normi/5550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TUK">
  <a:themeElements>
    <a:clrScheme name="_STUK colors">
      <a:dk1>
        <a:sysClr val="windowText" lastClr="000000"/>
      </a:dk1>
      <a:lt1>
        <a:sysClr val="window" lastClr="FFFFFF"/>
      </a:lt1>
      <a:dk2>
        <a:srgbClr val="004C98"/>
      </a:dk2>
      <a:lt2>
        <a:srgbClr val="D8D090"/>
      </a:lt2>
      <a:accent1>
        <a:srgbClr val="004C98"/>
      </a:accent1>
      <a:accent2>
        <a:srgbClr val="00822D"/>
      </a:accent2>
      <a:accent3>
        <a:srgbClr val="CB1815"/>
      </a:accent3>
      <a:accent4>
        <a:srgbClr val="FB8B00"/>
      </a:accent4>
      <a:accent5>
        <a:srgbClr val="424A52"/>
      </a:accent5>
      <a:accent6>
        <a:srgbClr val="D8D090"/>
      </a:accent6>
      <a:hlink>
        <a:srgbClr val="004C98"/>
      </a:hlink>
      <a:folHlink>
        <a:srgbClr val="800080"/>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1069</Words>
  <Characters>8660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Säteilyturvakeskus</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Ritva Bly</dc:creator>
  <cp:lastModifiedBy>Jaana Sinisalo</cp:lastModifiedBy>
  <cp:revision>3</cp:revision>
  <dcterms:created xsi:type="dcterms:W3CDTF">2017-12-04T11:02:00Z</dcterms:created>
  <dcterms:modified xsi:type="dcterms:W3CDTF">2017-12-05T06:54:00Z</dcterms:modified>
</cp:coreProperties>
</file>