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55D" w:rsidRDefault="0054455D" w:rsidP="00193404">
      <w:pPr>
        <w:pStyle w:val="Luettelokappale"/>
        <w:ind w:left="0"/>
        <w:rPr>
          <w:b/>
        </w:rPr>
      </w:pPr>
    </w:p>
    <w:p w:rsidR="0054455D" w:rsidRDefault="008F3AB4" w:rsidP="00193404">
      <w:pPr>
        <w:pStyle w:val="Luettelokappale"/>
        <w:ind w:left="0"/>
        <w:rPr>
          <w:b/>
        </w:rPr>
      </w:pPr>
      <w:r>
        <w:rPr>
          <w:b/>
        </w:rPr>
        <w:t xml:space="preserve">Utkast </w:t>
      </w:r>
      <w:r w:rsidR="00D41FEC">
        <w:rPr>
          <w:b/>
        </w:rPr>
        <w:t>10.4.</w:t>
      </w:r>
      <w:r>
        <w:rPr>
          <w:b/>
        </w:rPr>
        <w:t>2018</w:t>
      </w:r>
    </w:p>
    <w:p w:rsidR="008F3AB4" w:rsidRDefault="008F3AB4" w:rsidP="008F3AB4">
      <w:pPr>
        <w:rPr>
          <w:b/>
        </w:rPr>
      </w:pPr>
      <w:r>
        <w:rPr>
          <w:b/>
        </w:rPr>
        <w:t xml:space="preserve">Regeringens proposition till riksdagen med förslag till lagar om ändring av miljöskyddslagen och lagen om animaliska biprodukter </w:t>
      </w:r>
    </w:p>
    <w:p w:rsidR="008F3AB4" w:rsidRDefault="008F3AB4" w:rsidP="008F3AB4">
      <w:pPr>
        <w:rPr>
          <w:b/>
        </w:rPr>
      </w:pPr>
    </w:p>
    <w:p w:rsidR="008F3AB4" w:rsidRDefault="008F3AB4" w:rsidP="008F3AB4">
      <w:pPr>
        <w:rPr>
          <w:b/>
        </w:rPr>
      </w:pPr>
      <w:r>
        <w:rPr>
          <w:b/>
        </w:rPr>
        <w:t>PROPOSITIONENS HUVUDSAKLIGA INNEHÅLL</w:t>
      </w:r>
    </w:p>
    <w:p w:rsidR="00FF22DA" w:rsidRDefault="00FF22DA" w:rsidP="00FF22DA">
      <w:r>
        <w:br/>
        <w:t>I propositionen föreslås det att det utfärdas lagar om ändring av lagen om miljöskyddslagen och lagen om animaliska biprodukter.  Syftet med propositionen är att genomföra den ändring av unionens biproduktsförordning enligt vilken naturgödsel från produktionsdjur kan användas som bränsle utan att omfattas av kraven för avfallsförbränning.</w:t>
      </w:r>
      <w:r w:rsidR="006E5458">
        <w:t xml:space="preserve"> </w:t>
      </w:r>
      <w:r w:rsidR="006E5458" w:rsidRPr="006E5458">
        <w:t>Förslaget verkställer samtidigt målet att användning av hästgödsel ska tillåtas inom energiproduktionen. Detta mål har ställts för det spetsprogram i regeringsprogrammet för statsminister Juha Sipiläs regering vilket gäller biokemi och rena lösningar.</w:t>
      </w:r>
    </w:p>
    <w:p w:rsidR="00FF22DA" w:rsidRDefault="00FF22DA" w:rsidP="00FF22DA"/>
    <w:p w:rsidR="0064186F" w:rsidRDefault="00FF22DA" w:rsidP="00FF22DA">
      <w:r>
        <w:t xml:space="preserve">De föreslagna lagarna ska omfatta de undantag som möjliggörs av unionens biproduktsförordning och som gäller användning av naturgödsel från produktionsdjur, samt arbetsfördelningen mellan de tillsynsmyndigheter som avses i förordningen om animaliska biprodukter och i miljöskyddslagen. Miljöskyddslagen och förordningen om animaliska biprodukter hör samman med användningen av naturgödsel från produktionsdjur som bränsle. </w:t>
      </w:r>
    </w:p>
    <w:p w:rsidR="0064186F" w:rsidRDefault="0064186F" w:rsidP="00FF22DA"/>
    <w:p w:rsidR="00FF22DA" w:rsidRDefault="00FF22DA" w:rsidP="00FF22DA">
      <w:r>
        <w:t xml:space="preserve">Lagarna avses träda i kraft så snart som möjligt.  </w:t>
      </w:r>
    </w:p>
    <w:p w:rsidR="001F1F73" w:rsidRDefault="001F1F73" w:rsidP="00FF22DA"/>
    <w:p w:rsidR="001F1F73" w:rsidRDefault="001F1F73" w:rsidP="00FF22DA"/>
    <w:p w:rsidR="0054455D" w:rsidRDefault="00B66C2F" w:rsidP="00B66C2F">
      <w:pPr>
        <w:rPr>
          <w:b/>
        </w:rPr>
      </w:pPr>
      <w:r>
        <w:rPr>
          <w:b/>
        </w:rPr>
        <w:t xml:space="preserve">1. Lag om ändring av miljöskyddslagen </w:t>
      </w:r>
    </w:p>
    <w:p w:rsidR="00B66C2F" w:rsidRDefault="00B66C2F" w:rsidP="00B66C2F">
      <w:pPr>
        <w:rPr>
          <w:b/>
        </w:rPr>
      </w:pPr>
    </w:p>
    <w:p w:rsidR="000A3857" w:rsidRDefault="000A3857" w:rsidP="000A3857">
      <w:r>
        <w:t>I enlighet med riksdagens beslut</w:t>
      </w:r>
    </w:p>
    <w:p w:rsidR="000D123D" w:rsidRDefault="000D123D" w:rsidP="000D123D">
      <w:pPr>
        <w:jc w:val="both"/>
      </w:pPr>
      <w:r>
        <w:rPr>
          <w:i/>
          <w:iCs/>
        </w:rPr>
        <w:t>ändras</w:t>
      </w:r>
      <w:r>
        <w:t xml:space="preserve"> i miljöskyddslagen (527/2014) 5 § 1 mom. 15 punkten samt</w:t>
      </w:r>
    </w:p>
    <w:p w:rsidR="000A3857" w:rsidRDefault="000A3857" w:rsidP="007E5F37">
      <w:r>
        <w:rPr>
          <w:i/>
          <w:iCs/>
        </w:rPr>
        <w:t>fogas</w:t>
      </w:r>
      <w:r>
        <w:t xml:space="preserve"> till 5 § 1</w:t>
      </w:r>
      <w:r>
        <w:rPr>
          <w:rFonts w:ascii="Arial" w:hAnsi="Arial"/>
          <w:sz w:val="20"/>
          <w:szCs w:val="20"/>
        </w:rPr>
        <w:t xml:space="preserve"> </w:t>
      </w:r>
      <w:r>
        <w:t xml:space="preserve">mom. i miljöskyddslagen nya 16 och 17 punkter samt till lagen nya 221 c – 221 f §, som följer: </w:t>
      </w:r>
    </w:p>
    <w:p w:rsidR="00A75254" w:rsidRDefault="00A75254" w:rsidP="00193404">
      <w:pPr>
        <w:rPr>
          <w:b/>
        </w:rPr>
      </w:pPr>
    </w:p>
    <w:p w:rsidR="00193404" w:rsidRDefault="00193404" w:rsidP="00193404">
      <w:pPr>
        <w:rPr>
          <w:b/>
        </w:rPr>
      </w:pPr>
      <w:r>
        <w:rPr>
          <w:b/>
        </w:rPr>
        <w:t>5 § Definitioner</w:t>
      </w:r>
    </w:p>
    <w:p w:rsidR="00FF22DA" w:rsidRPr="000A3857" w:rsidRDefault="00FF22DA" w:rsidP="00193404">
      <w:pPr>
        <w:rPr>
          <w:b/>
        </w:rPr>
      </w:pPr>
    </w:p>
    <w:p w:rsidR="00193404" w:rsidRPr="00193404" w:rsidRDefault="00193404" w:rsidP="00193404">
      <w:r>
        <w:t>I denna lag avses med</w:t>
      </w:r>
    </w:p>
    <w:p w:rsidR="007E5F37" w:rsidRDefault="007E5F37" w:rsidP="007E5F37">
      <w:r>
        <w:t>----------------------------</w:t>
      </w:r>
    </w:p>
    <w:p w:rsidR="00B6591C" w:rsidRDefault="00B6591C" w:rsidP="007E5F37"/>
    <w:p w:rsidR="00AF4440" w:rsidRDefault="00AF4440" w:rsidP="007E5F37">
      <w:r>
        <w:t xml:space="preserve">15) </w:t>
      </w:r>
      <w:r>
        <w:rPr>
          <w:i/>
          <w:iCs/>
        </w:rPr>
        <w:t>avstjälpningsplats</w:t>
      </w:r>
      <w:r>
        <w:t xml:space="preserve"> en plats för bortskaffande av avfall på vilken avfall deponeras på eller under markytan, dock inte en plats som endast är avsedd för deponering av utvinningsavfall,</w:t>
      </w:r>
    </w:p>
    <w:p w:rsidR="00193404" w:rsidRPr="00193404" w:rsidRDefault="007E5F37" w:rsidP="00193404">
      <w:r>
        <w:t xml:space="preserve">16) </w:t>
      </w:r>
      <w:r>
        <w:rPr>
          <w:i/>
          <w:iCs/>
        </w:rPr>
        <w:t>biproduktsförordningen</w:t>
      </w:r>
      <w:r>
        <w:t xml:space="preserve"> Europaparlamentets och rådets förordning (EG) nr 1069/2009 om hälsobestämmelser för animaliska biprodukter och därav framställda produkter som inte är avsedda att användas som livsmedel och om upphävande av förordning (EG) nr 1774/2002,</w:t>
      </w:r>
    </w:p>
    <w:p w:rsidR="00193404" w:rsidRPr="00193404" w:rsidRDefault="00193404" w:rsidP="00193404">
      <w:r>
        <w:t xml:space="preserve">17) </w:t>
      </w:r>
      <w:r>
        <w:rPr>
          <w:i/>
          <w:iCs/>
        </w:rPr>
        <w:t xml:space="preserve">genomförandeförordningen </w:t>
      </w:r>
      <w:r>
        <w:t xml:space="preserve">EU-kommissionens förordning (EU) nr 142/2011 om genomförande av biproduktsförordningen, jämte ändringar.   </w:t>
      </w:r>
      <w:r>
        <w:br/>
      </w:r>
    </w:p>
    <w:p w:rsidR="00B01683" w:rsidRDefault="00B01683" w:rsidP="00B01683">
      <w:r>
        <w:t>----------------------------</w:t>
      </w:r>
    </w:p>
    <w:p w:rsidR="00193404" w:rsidRPr="00193404" w:rsidRDefault="00193404" w:rsidP="00193404"/>
    <w:p w:rsidR="00193404" w:rsidRPr="009E6A89" w:rsidRDefault="00193404" w:rsidP="00193404">
      <w:pPr>
        <w:rPr>
          <w:b/>
        </w:rPr>
      </w:pPr>
      <w:r>
        <w:rPr>
          <w:b/>
        </w:rPr>
        <w:t>221 c § Särskilda krav samt myndighetsförfaranden som gäller användning av gödsel som bränsle</w:t>
      </w:r>
    </w:p>
    <w:p w:rsidR="00193404" w:rsidRPr="00193404" w:rsidRDefault="00193404" w:rsidP="00193404"/>
    <w:p w:rsidR="00193404" w:rsidRPr="00193404" w:rsidRDefault="00193404" w:rsidP="00193404">
      <w:r>
        <w:t>Vid användning vid en förbränningsanläggning med en bränsleeffekt på högst 50 megawatt av sådan naturgödsel från produktionsdjur vilken avses i kapitel V led C i bilaga III till genomförandeförordningen utgörs verksamheten inte av i punkt 13 i tabell 1 eller 2 i bilaga 1 till denna lag avsedd avfallsförbränning eller annan behandling av avfall som sker yrkesmässigt eller i en anläggning. Det är fråga om energiproduktion där förbränningen a</w:t>
      </w:r>
      <w:r w:rsidR="0099398C">
        <w:t xml:space="preserve">v gödsel ska uppfylla följande </w:t>
      </w:r>
      <w:r>
        <w:t>krav i genomförandeförordningen:</w:t>
      </w:r>
    </w:p>
    <w:p w:rsidR="00193404" w:rsidRPr="00193404" w:rsidRDefault="00193404" w:rsidP="00193404">
      <w:r>
        <w:t>1) kravet i kapitel IV avsnitt 2 punkt 2 i bilaga III vilket gäller temperatur och uppehållstid för den gas som uppkommer vid förbränningen samt kravet i punkt 4 som gäller temperaturmätvärden,</w:t>
      </w:r>
    </w:p>
    <w:p w:rsidR="00193404" w:rsidRPr="00193404" w:rsidRDefault="00193404" w:rsidP="00193404">
      <w:r>
        <w:t xml:space="preserve">2) kravet i kapitel V led B punkt 3.b ii i bilaga III vilket gäller hjälpbrännare, </w:t>
      </w:r>
    </w:p>
    <w:p w:rsidR="00193404" w:rsidRPr="00193404" w:rsidRDefault="00193404" w:rsidP="00193404">
      <w:r>
        <w:t>3) kraven i kapitel V led B punkt 4.a i bilaga III vilka gäller utsläppsgränsvärden samt kravet i punkt 4.b vilket gäller de utsläppsmätningar som ska göras en gång om året.</w:t>
      </w:r>
    </w:p>
    <w:p w:rsidR="00193404" w:rsidRPr="00193404" w:rsidRDefault="00193404" w:rsidP="00193404"/>
    <w:p w:rsidR="00193404" w:rsidRPr="00193404" w:rsidRDefault="00193404" w:rsidP="00193404">
      <w:r>
        <w:t xml:space="preserve">Den miljötillståndsplikt eller registreringsskyldighet för förbränningsanläggningar vilken avses i 1 mom. bestäms i enlighet med bestämmelserna om energiproduktion i denna lag. Dessutom kan verksamheten vid enheten förutsätta godkännande enligt lagen om animaliska biprodukter (517/2015), nedan </w:t>
      </w:r>
      <w:r>
        <w:rPr>
          <w:i/>
          <w:iCs/>
        </w:rPr>
        <w:t>lagen om animaliska biprodukter</w:t>
      </w:r>
      <w:r>
        <w:t xml:space="preserve">. </w:t>
      </w:r>
    </w:p>
    <w:p w:rsidR="00193404" w:rsidRPr="00193404" w:rsidRDefault="00193404" w:rsidP="00193404"/>
    <w:p w:rsidR="00193404" w:rsidRPr="00193404" w:rsidRDefault="00193404" w:rsidP="00193404">
      <w:pPr>
        <w:rPr>
          <w:b/>
        </w:rPr>
      </w:pPr>
      <w:r>
        <w:rPr>
          <w:b/>
        </w:rPr>
        <w:t xml:space="preserve">221 d § Undantag i fråga om särskilda krav som gäller användning av gödsel som bränsle </w:t>
      </w:r>
    </w:p>
    <w:p w:rsidR="00193404" w:rsidRPr="00193404" w:rsidRDefault="00193404" w:rsidP="00193404"/>
    <w:p w:rsidR="00193404" w:rsidRPr="00193404" w:rsidRDefault="00193404" w:rsidP="00193404">
      <w:r>
        <w:t>Vid tillämpning av de i 221 c § 1 mom. avsedda särskilda krav som gäller förbränning av gödsel ska göras följande undantag som genomförandeförordningen möjliggör:</w:t>
      </w:r>
    </w:p>
    <w:p w:rsidR="00193404" w:rsidRPr="00193404" w:rsidRDefault="00193404" w:rsidP="00193404">
      <w:r>
        <w:t xml:space="preserve">1) kravet i kapitel IV avsnitt 2 punkt 2 i bilaga III till genomförandeförordningen vilket gäller temperatur och uppehållstid för den gas som uppkommer vid förbränningen samt det därtill hörande kravet vilket gäller hjälpbrännare tillämpas i fråga om förbränningsanläggningar som är i drift den xx </w:t>
      </w:r>
      <w:proofErr w:type="spellStart"/>
      <w:r>
        <w:t>xx</w:t>
      </w:r>
      <w:proofErr w:type="spellEnd"/>
      <w:r>
        <w:t xml:space="preserve"> 2018 ELLER då denna lag träder i kraft först sex år från den dagen, </w:t>
      </w:r>
    </w:p>
    <w:p w:rsidR="00193404" w:rsidRPr="00193404" w:rsidRDefault="00193404" w:rsidP="00193404">
      <w:r>
        <w:t xml:space="preserve">2) med avvikelse från det som föreskrivs i kapitel V led B punkt 4.a i bilaga III till genomförandeförordningen får utsläpp av partiklar från förbränningsanläggningar med en bränsleeffekt på högst 5 megawatt vara högst 50 mg/m3n vid en syrehalt på 11 % och, </w:t>
      </w:r>
    </w:p>
    <w:p w:rsidR="00193404" w:rsidRPr="00193404" w:rsidRDefault="00193404" w:rsidP="00193404">
      <w:r>
        <w:t xml:space="preserve">3) med avvikelse från det som föreskrivs i kapitel V led B punkt 3.a i </w:t>
      </w:r>
      <w:proofErr w:type="spellStart"/>
      <w:r>
        <w:t>i</w:t>
      </w:r>
      <w:proofErr w:type="spellEnd"/>
      <w:r>
        <w:t xml:space="preserve"> bilaga III till genomförandeförordningen får hästgödsel föras in manuellt i förbränningskammaren vid förbränningsanläggningar med en bränsleeffekt på högst 0,5 megawatt. </w:t>
      </w:r>
    </w:p>
    <w:p w:rsidR="00193404" w:rsidRPr="00193404" w:rsidRDefault="00193404" w:rsidP="00193404"/>
    <w:p w:rsidR="00193404" w:rsidRPr="00193404" w:rsidRDefault="00193404" w:rsidP="00193404">
      <w:pPr>
        <w:rPr>
          <w:b/>
        </w:rPr>
      </w:pPr>
      <w:r>
        <w:rPr>
          <w:b/>
        </w:rPr>
        <w:t>221 e § Utsläppsgränsvärden i fråga om användning av gödsel som bränsle vid flerbränsleanläggningar</w:t>
      </w:r>
    </w:p>
    <w:p w:rsidR="00193404" w:rsidRPr="00193404" w:rsidRDefault="00193404" w:rsidP="00193404"/>
    <w:p w:rsidR="00193404" w:rsidRPr="00193404" w:rsidRDefault="00193404" w:rsidP="00193404">
      <w:r>
        <w:t>Vid användning vid en förbränningsanläggning med en bränsleeffekt på högst 50 megawatt av sådan naturgödsel från produktionsdjur vilken avses i kapitel V avsnitt C i bilaga III till genomförandeförordningen samtidigt med annat bränsle (</w:t>
      </w:r>
      <w:r>
        <w:rPr>
          <w:i/>
          <w:iCs/>
        </w:rPr>
        <w:t>flerbränsleanläggning</w:t>
      </w:r>
      <w:r>
        <w:t xml:space="preserve">) ska utsläppsgränsvärdena fastställas  </w:t>
      </w:r>
    </w:p>
    <w:p w:rsidR="00193404" w:rsidRPr="00193404" w:rsidRDefault="00193404" w:rsidP="00193404"/>
    <w:p w:rsidR="00193404" w:rsidRPr="00193404" w:rsidRDefault="00193404" w:rsidP="00193404">
      <w:r>
        <w:t xml:space="preserve">1) enligt de skalor med utsläppsgränsvärden och enligt den formel i statsrådets förordning som utfärdats med stöd av 9 eller 10 § i denna lag för flerbränsleanläggningar med en bränsleeffekt på minst 1 men högst 50 megawatt, och  </w:t>
      </w:r>
    </w:p>
    <w:p w:rsidR="00193404" w:rsidRPr="00193404" w:rsidRDefault="00193404" w:rsidP="00193404">
      <w:r>
        <w:t xml:space="preserve">2) enligt de skalor med utsläppsgränsvärden och enligt den formel i statsrådets förordning som utfärdats med stöd av 10 § i denna lag som om det är fråga om en enhet med en bränsleeffekt på 1 megawatt för flerbränsleanläggningar med en bränsleeffekt på under 1 megawatt. </w:t>
      </w:r>
    </w:p>
    <w:p w:rsidR="00193404" w:rsidRPr="00193404" w:rsidRDefault="00193404" w:rsidP="00193404"/>
    <w:p w:rsidR="00193404" w:rsidRPr="00193404" w:rsidRDefault="00193404" w:rsidP="00193404">
      <w:r>
        <w:t>Vid tillämpning av 1 mom. ska inte start- och stopperioder beaktas när utsläppsgränsvärden för flerbränsleanläggningar fastställs.</w:t>
      </w:r>
    </w:p>
    <w:p w:rsidR="00193404" w:rsidRPr="00193404" w:rsidRDefault="00193404" w:rsidP="00193404"/>
    <w:p w:rsidR="00193404" w:rsidRPr="00193404" w:rsidRDefault="00193404" w:rsidP="00193404">
      <w:r>
        <w:t xml:space="preserve">För den behöriga myndighet som svarar för biproduktstillsynen i enlighet med lagen om animaliska biprodukter ska den kommunala miljövårdsmyndigheten på begäran fastställa utsläppsgränsvärden för en flerbränsleanläggning. </w:t>
      </w:r>
    </w:p>
    <w:p w:rsidR="00193404" w:rsidRPr="00193404" w:rsidRDefault="00193404" w:rsidP="00193404">
      <w:pPr>
        <w:pStyle w:val="Luettelokappale"/>
        <w:rPr>
          <w:b/>
        </w:rPr>
      </w:pPr>
    </w:p>
    <w:p w:rsidR="00193404" w:rsidRPr="00193404" w:rsidRDefault="00193404" w:rsidP="00193404">
      <w:pPr>
        <w:rPr>
          <w:b/>
        </w:rPr>
      </w:pPr>
      <w:r>
        <w:rPr>
          <w:b/>
        </w:rPr>
        <w:t xml:space="preserve">221 f § Tillsyn som hänför sig till användning av gödsel som bränsle  </w:t>
      </w:r>
    </w:p>
    <w:p w:rsidR="00193404" w:rsidRPr="00193404" w:rsidRDefault="00193404" w:rsidP="00193404"/>
    <w:p w:rsidR="00193404" w:rsidRPr="00193404" w:rsidRDefault="00193404" w:rsidP="00193404">
      <w:r>
        <w:t xml:space="preserve">Om det är fråga om en förbränningsanläggning som omfattas av de bestämmelser i denna lag vilka gäller tillstånds- och registreringsplikt ska som en del av tillsynen enligt denna lag övervakas att kraven i 221 c – e § uppfylls, även om enheten också omfattas av tillämpningsområdet för biproduktstillsynen i enlighet med lagen om animaliska biprodukter. </w:t>
      </w:r>
    </w:p>
    <w:p w:rsidR="00193404" w:rsidRPr="00193404" w:rsidRDefault="00193404" w:rsidP="00193404"/>
    <w:p w:rsidR="00193404" w:rsidRDefault="00193404" w:rsidP="00193404">
      <w:r>
        <w:t xml:space="preserve">Om det är fråga om en förbränningsanläggning som inte omfattas av de bestämmelser i denna lag vilka gäller tillstånds- och registreringsplikt i fråga om energiproduktion ska som en del av biproduktstillsynen enligt lagen om animaliska biprodukter övervakas att kraven i 221 c – e § uppfylls. Den kommunala miljövårdsmyndigheten ska dock på begäran bistå den behöriga myndighet som svarar för biproduktstillsynen med expertkunskaper. </w:t>
      </w:r>
    </w:p>
    <w:p w:rsidR="00157DAA" w:rsidRDefault="00157DAA" w:rsidP="00193404"/>
    <w:p w:rsidR="00157DAA" w:rsidRDefault="00762ED4" w:rsidP="00193404">
      <w:r>
        <w:t>-----------------------------</w:t>
      </w:r>
    </w:p>
    <w:p w:rsidR="00762ED4" w:rsidRDefault="00762ED4" w:rsidP="00193404"/>
    <w:p w:rsidR="00762ED4" w:rsidRDefault="00F64F00" w:rsidP="00F64F00">
      <w:r>
        <w:t xml:space="preserve">Denna lag träder i kraft </w:t>
      </w:r>
      <w:proofErr w:type="gramStart"/>
      <w:r>
        <w:t>den</w:t>
      </w:r>
      <w:proofErr w:type="gramEnd"/>
      <w:r>
        <w:t xml:space="preserve"> x </w:t>
      </w:r>
      <w:proofErr w:type="spellStart"/>
      <w:r>
        <w:t>x</w:t>
      </w:r>
      <w:proofErr w:type="spellEnd"/>
      <w:r>
        <w:t xml:space="preserve"> 20xx. Sådana ansökningar om miljötillstånd som är anhängiga vid ikraftträdandet av denna lag och som gäller förbränning vid en förbränningsanläggning med en bränsleeffekt på högst 50 megawatt av sådan naturgödsel från produktionsdjur vilken avses i kapitel V led C i bilaga III till genomförandeförordningen ska behandlas och avgöras slutligt med iakttagande av denna lag.</w:t>
      </w:r>
    </w:p>
    <w:p w:rsidR="00157DAA" w:rsidRPr="00193404" w:rsidRDefault="00157DAA" w:rsidP="00193404"/>
    <w:p w:rsidR="0001017B" w:rsidRDefault="0001017B" w:rsidP="00B66C2F">
      <w:pPr>
        <w:rPr>
          <w:b/>
        </w:rPr>
      </w:pPr>
    </w:p>
    <w:p w:rsidR="00520C70" w:rsidRDefault="00B66C2F" w:rsidP="00B66C2F">
      <w:pPr>
        <w:rPr>
          <w:b/>
        </w:rPr>
      </w:pPr>
      <w:r>
        <w:rPr>
          <w:b/>
        </w:rPr>
        <w:t>2. Lag om ändring av lagen om animaliska biprodukter</w:t>
      </w:r>
    </w:p>
    <w:p w:rsidR="00B66C2F" w:rsidRPr="009442D3" w:rsidRDefault="00B66C2F" w:rsidP="00B66C2F">
      <w:pPr>
        <w:rPr>
          <w:b/>
        </w:rPr>
      </w:pPr>
    </w:p>
    <w:p w:rsidR="00520C70" w:rsidRDefault="00520C70" w:rsidP="00193404">
      <w:r>
        <w:t>I enlighet med riksdagens beslut</w:t>
      </w:r>
    </w:p>
    <w:p w:rsidR="00520C70" w:rsidRDefault="00520C70" w:rsidP="00193404">
      <w:r>
        <w:rPr>
          <w:i/>
          <w:iCs/>
        </w:rPr>
        <w:t>fogas</w:t>
      </w:r>
      <w:r>
        <w:t xml:space="preserve"> till 33 § i lagen om animaliska biprodukter (517/2015) ett nytt 4 mom., varvid de nuvarande 4 och 5 mom. blir 5 och 6 mom., samt till lagen nya 35 a och 35 b §, som följer: </w:t>
      </w:r>
    </w:p>
    <w:p w:rsidR="00520C70" w:rsidRDefault="00520C70" w:rsidP="00193404"/>
    <w:p w:rsidR="00520C70" w:rsidRPr="00193404" w:rsidRDefault="007345BC" w:rsidP="00193404">
      <w:pPr>
        <w:rPr>
          <w:b/>
        </w:rPr>
      </w:pPr>
      <w:r>
        <w:rPr>
          <w:b/>
        </w:rPr>
        <w:t xml:space="preserve">33 § </w:t>
      </w:r>
      <w:r w:rsidRPr="007345BC">
        <w:rPr>
          <w:b/>
        </w:rPr>
        <w:t>Registrering av driftansvariga och anläggningar samt godkännande av anläggningar</w:t>
      </w:r>
      <w:r w:rsidR="00520C70">
        <w:rPr>
          <w:b/>
        </w:rPr>
        <w:t xml:space="preserve"> </w:t>
      </w:r>
    </w:p>
    <w:p w:rsidR="00520C70" w:rsidRPr="00EA088C" w:rsidRDefault="00520C70" w:rsidP="00193404">
      <w:pPr>
        <w:rPr>
          <w:b/>
        </w:rPr>
      </w:pPr>
    </w:p>
    <w:p w:rsidR="007F3E56" w:rsidRDefault="00520C70" w:rsidP="00193404">
      <w:r>
        <w:t>----------------------------</w:t>
      </w:r>
    </w:p>
    <w:p w:rsidR="00520C70" w:rsidRDefault="007F3E56" w:rsidP="00193404">
      <w:r>
        <w:t>Vad som föreskrivs i 1 mom. tillämpas i enlighet med miljöskyddslagen (527/2014) inte på sådana tillståndspliktiga eller registreringspliktiga anläggningar som använder naturgödsel från produktionsdjur som bränsle och i anslutning till vilka det inte hålls produktionsdjur.</w:t>
      </w:r>
    </w:p>
    <w:p w:rsidR="009A3B61" w:rsidRDefault="009A3B61" w:rsidP="009A3B61">
      <w:r>
        <w:t>----------------------------</w:t>
      </w:r>
    </w:p>
    <w:p w:rsidR="00520C70" w:rsidRPr="0029731D" w:rsidRDefault="00520C70" w:rsidP="00193404">
      <w:pPr>
        <w:rPr>
          <w:b/>
        </w:rPr>
      </w:pPr>
    </w:p>
    <w:p w:rsidR="00520C70" w:rsidRPr="0029731D" w:rsidRDefault="00520C70" w:rsidP="00193404">
      <w:pPr>
        <w:rPr>
          <w:b/>
        </w:rPr>
      </w:pPr>
      <w:r>
        <w:rPr>
          <w:b/>
        </w:rPr>
        <w:t xml:space="preserve">35 a § Användning av gödsel som bränsle vid andra anläggningar än sådana anläggningar som är tillståndspliktiga eller registreringspliktiga enligt miljöskyddslagen </w:t>
      </w:r>
    </w:p>
    <w:p w:rsidR="00520C70" w:rsidRPr="00EA088C" w:rsidRDefault="00520C70" w:rsidP="00193404">
      <w:pPr>
        <w:rPr>
          <w:color w:val="FF0000"/>
        </w:rPr>
      </w:pPr>
    </w:p>
    <w:p w:rsidR="00520C70" w:rsidRPr="00EA088C" w:rsidRDefault="00520C70" w:rsidP="00193404">
      <w:pPr>
        <w:pStyle w:val="Kommentinteksti"/>
        <w:rPr>
          <w:rFonts w:ascii="Times New Roman" w:hAnsi="Times New Roman" w:cs="Times New Roman"/>
          <w:sz w:val="24"/>
          <w:szCs w:val="24"/>
        </w:rPr>
      </w:pPr>
      <w:r>
        <w:rPr>
          <w:rFonts w:ascii="Times New Roman" w:hAnsi="Times New Roman"/>
          <w:sz w:val="24"/>
          <w:szCs w:val="24"/>
        </w:rPr>
        <w:t xml:space="preserve">Kommunalveterinären </w:t>
      </w:r>
      <w:r w:rsidR="00EB2540">
        <w:rPr>
          <w:rFonts w:ascii="Times New Roman" w:hAnsi="Times New Roman"/>
          <w:sz w:val="24"/>
          <w:szCs w:val="24"/>
        </w:rPr>
        <w:t xml:space="preserve">ska godkänna </w:t>
      </w:r>
      <w:r>
        <w:rPr>
          <w:rFonts w:ascii="Times New Roman" w:hAnsi="Times New Roman"/>
          <w:sz w:val="24"/>
          <w:szCs w:val="24"/>
        </w:rPr>
        <w:t xml:space="preserve">en sådan anläggning som använder naturgödsel från produktionsdjur som bränsle. I fråga om det undantag och den övergångsperiod som avses i kapitel V led C punkt 4 i bilaga III till genomförandeförordningen tillämpas vad som föreskrivs i 221 d § i miljöskyddslagen. </w:t>
      </w:r>
    </w:p>
    <w:p w:rsidR="00520C70" w:rsidRPr="00EA088C" w:rsidRDefault="00520C70" w:rsidP="00193404">
      <w:pPr>
        <w:pStyle w:val="Kommentinteksti"/>
        <w:rPr>
          <w:rFonts w:ascii="Times New Roman" w:hAnsi="Times New Roman" w:cs="Times New Roman"/>
          <w:sz w:val="24"/>
          <w:szCs w:val="24"/>
        </w:rPr>
      </w:pPr>
      <w:r>
        <w:rPr>
          <w:rFonts w:ascii="Times New Roman" w:hAnsi="Times New Roman"/>
          <w:sz w:val="24"/>
          <w:szCs w:val="24"/>
        </w:rPr>
        <w:t xml:space="preserve">Före godkännandet av anläggningen ska miljövårdsmyndigheten fastställa utsläppsgränsvärden för anläggningen i enlighet med 221 e § i miljöskyddslagen. </w:t>
      </w:r>
    </w:p>
    <w:p w:rsidR="00520C70" w:rsidRPr="00EA088C" w:rsidRDefault="00520C70" w:rsidP="00193404">
      <w:pPr>
        <w:rPr>
          <w:b/>
        </w:rPr>
      </w:pPr>
    </w:p>
    <w:p w:rsidR="00520C70" w:rsidRPr="00193404" w:rsidRDefault="00520C70" w:rsidP="00193404">
      <w:pPr>
        <w:rPr>
          <w:b/>
        </w:rPr>
      </w:pPr>
      <w:r>
        <w:rPr>
          <w:b/>
        </w:rPr>
        <w:t>35 b § Användning av gödsel som bränsle i en sådan anläggning som ligger i anslutning till en djurhållningsplats</w:t>
      </w:r>
      <w:r w:rsidR="00BC3F9C">
        <w:rPr>
          <w:b/>
        </w:rPr>
        <w:t xml:space="preserve"> </w:t>
      </w:r>
      <w:r w:rsidR="00BC3F9C" w:rsidRPr="00BC3F9C">
        <w:rPr>
          <w:b/>
        </w:rPr>
        <w:t>och som är tillståndspliktig eller registreringspliktig enligt miljöskyddslagen</w:t>
      </w:r>
    </w:p>
    <w:p w:rsidR="00921CC6" w:rsidRPr="00921CC6" w:rsidRDefault="00921CC6" w:rsidP="00193404"/>
    <w:p w:rsidR="00520C70" w:rsidRPr="00921CC6" w:rsidRDefault="00EB2540" w:rsidP="00193404">
      <w:pPr>
        <w:pStyle w:val="Kommentinteksti"/>
        <w:rPr>
          <w:rFonts w:ascii="Times New Roman" w:hAnsi="Times New Roman" w:cs="Times New Roman"/>
          <w:sz w:val="24"/>
          <w:szCs w:val="24"/>
        </w:rPr>
      </w:pPr>
      <w:r>
        <w:rPr>
          <w:rFonts w:ascii="Times New Roman" w:hAnsi="Times New Roman"/>
          <w:sz w:val="24"/>
          <w:szCs w:val="24"/>
        </w:rPr>
        <w:t>Kommunalveterinären ska godkänna</w:t>
      </w:r>
      <w:r w:rsidR="00520C70">
        <w:rPr>
          <w:rFonts w:ascii="Times New Roman" w:hAnsi="Times New Roman"/>
          <w:sz w:val="24"/>
          <w:szCs w:val="24"/>
        </w:rPr>
        <w:t xml:space="preserve"> en sådan tillståndspliktig eller registreringspliktig anläggning som använder naturgödsel från produktionsdjur som bränsle, om det i anslutning till anläggningen hålls produktionsdjur. Förutsättningen för godkännande är att användningen av naturgödsel från produktionsdjur som bränsle har beaktats i miljötillståndet eller vid registreringen.</w:t>
      </w:r>
    </w:p>
    <w:p w:rsidR="00520C70" w:rsidRPr="00921CC6" w:rsidRDefault="00520C70" w:rsidP="00193404"/>
    <w:p w:rsidR="00520C70" w:rsidRDefault="00A05839" w:rsidP="00193404">
      <w:r>
        <w:t>-----------------</w:t>
      </w:r>
    </w:p>
    <w:p w:rsidR="00A05839" w:rsidRDefault="00A05839" w:rsidP="00193404"/>
    <w:p w:rsidR="00520C70" w:rsidRDefault="00A05839" w:rsidP="00A05839">
      <w:r>
        <w:t xml:space="preserve">Denna lag träder i kraft </w:t>
      </w:r>
      <w:proofErr w:type="gramStart"/>
      <w:r>
        <w:t>den</w:t>
      </w:r>
      <w:proofErr w:type="gramEnd"/>
      <w:r>
        <w:t xml:space="preserve"> x </w:t>
      </w:r>
      <w:proofErr w:type="spellStart"/>
      <w:r>
        <w:t>x</w:t>
      </w:r>
      <w:proofErr w:type="spellEnd"/>
      <w:r>
        <w:t xml:space="preserve"> 20xx.</w:t>
      </w:r>
    </w:p>
    <w:p w:rsidR="00520C70" w:rsidRDefault="00520C70" w:rsidP="00193404"/>
    <w:p w:rsidR="00520C70" w:rsidRDefault="00520C70" w:rsidP="00193404"/>
    <w:p w:rsidR="006F74FF" w:rsidRDefault="006F74FF" w:rsidP="00193404"/>
    <w:sectPr w:rsidR="006F74FF">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CDC" w:rsidRDefault="00343CDC" w:rsidP="000A3857">
      <w:r>
        <w:separator/>
      </w:r>
    </w:p>
  </w:endnote>
  <w:endnote w:type="continuationSeparator" w:id="0">
    <w:p w:rsidR="00343CDC" w:rsidRDefault="00343CDC" w:rsidP="000A3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CDC" w:rsidRDefault="00343CDC" w:rsidP="000A3857">
      <w:r>
        <w:separator/>
      </w:r>
    </w:p>
  </w:footnote>
  <w:footnote w:type="continuationSeparator" w:id="0">
    <w:p w:rsidR="00343CDC" w:rsidRDefault="00343CDC" w:rsidP="000A3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912078"/>
      <w:docPartObj>
        <w:docPartGallery w:val="Page Numbers (Top of Page)"/>
        <w:docPartUnique/>
      </w:docPartObj>
    </w:sdtPr>
    <w:sdtEndPr/>
    <w:sdtContent>
      <w:p w:rsidR="000A3857" w:rsidRDefault="000A3857">
        <w:pPr>
          <w:pStyle w:val="Yltunniste"/>
          <w:jc w:val="right"/>
        </w:pPr>
        <w:r>
          <w:fldChar w:fldCharType="begin"/>
        </w:r>
        <w:r>
          <w:instrText>PAGE   \* MERGEFORMAT</w:instrText>
        </w:r>
        <w:r>
          <w:fldChar w:fldCharType="separate"/>
        </w:r>
        <w:r w:rsidR="006333AD">
          <w:rPr>
            <w:noProof/>
          </w:rPr>
          <w:t>4</w:t>
        </w:r>
        <w:r>
          <w:fldChar w:fldCharType="end"/>
        </w:r>
      </w:p>
    </w:sdtContent>
  </w:sdt>
  <w:p w:rsidR="000A3857" w:rsidRDefault="000A3857">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8A2E35"/>
    <w:multiLevelType w:val="hybridMultilevel"/>
    <w:tmpl w:val="10E2FDA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70"/>
    <w:rsid w:val="000015B2"/>
    <w:rsid w:val="0001017B"/>
    <w:rsid w:val="00087F2D"/>
    <w:rsid w:val="000A3857"/>
    <w:rsid w:val="000D123D"/>
    <w:rsid w:val="000E2C0E"/>
    <w:rsid w:val="000F0AB9"/>
    <w:rsid w:val="00127B1C"/>
    <w:rsid w:val="00157DAA"/>
    <w:rsid w:val="00172808"/>
    <w:rsid w:val="00193404"/>
    <w:rsid w:val="001F1F73"/>
    <w:rsid w:val="002178E7"/>
    <w:rsid w:val="00255C92"/>
    <w:rsid w:val="00267DA1"/>
    <w:rsid w:val="0027654D"/>
    <w:rsid w:val="0028231E"/>
    <w:rsid w:val="0029731D"/>
    <w:rsid w:val="003028CC"/>
    <w:rsid w:val="00343CDC"/>
    <w:rsid w:val="00375AC5"/>
    <w:rsid w:val="003C19E6"/>
    <w:rsid w:val="003F2261"/>
    <w:rsid w:val="00445B1D"/>
    <w:rsid w:val="004A61AA"/>
    <w:rsid w:val="004F1305"/>
    <w:rsid w:val="00520C70"/>
    <w:rsid w:val="005216A4"/>
    <w:rsid w:val="00526555"/>
    <w:rsid w:val="0054455D"/>
    <w:rsid w:val="006333AD"/>
    <w:rsid w:val="0064186F"/>
    <w:rsid w:val="006561FF"/>
    <w:rsid w:val="006C1D2F"/>
    <w:rsid w:val="006E5458"/>
    <w:rsid w:val="006F74FF"/>
    <w:rsid w:val="007122A2"/>
    <w:rsid w:val="00712B2C"/>
    <w:rsid w:val="007174A4"/>
    <w:rsid w:val="00732499"/>
    <w:rsid w:val="007345BC"/>
    <w:rsid w:val="00762ED4"/>
    <w:rsid w:val="007B158A"/>
    <w:rsid w:val="007E5F37"/>
    <w:rsid w:val="007F3E56"/>
    <w:rsid w:val="00820B3D"/>
    <w:rsid w:val="00850ACC"/>
    <w:rsid w:val="00877F20"/>
    <w:rsid w:val="008F3AB4"/>
    <w:rsid w:val="00921CC6"/>
    <w:rsid w:val="0097133F"/>
    <w:rsid w:val="0099398C"/>
    <w:rsid w:val="009A3B61"/>
    <w:rsid w:val="009A4297"/>
    <w:rsid w:val="009B5787"/>
    <w:rsid w:val="009E6A89"/>
    <w:rsid w:val="00A05839"/>
    <w:rsid w:val="00A22003"/>
    <w:rsid w:val="00A60636"/>
    <w:rsid w:val="00A74C2C"/>
    <w:rsid w:val="00A75254"/>
    <w:rsid w:val="00AF4440"/>
    <w:rsid w:val="00B01683"/>
    <w:rsid w:val="00B04C2A"/>
    <w:rsid w:val="00B6591C"/>
    <w:rsid w:val="00B66C2F"/>
    <w:rsid w:val="00BA3247"/>
    <w:rsid w:val="00BC3C30"/>
    <w:rsid w:val="00BC3F9C"/>
    <w:rsid w:val="00BE0E56"/>
    <w:rsid w:val="00C04477"/>
    <w:rsid w:val="00CF3318"/>
    <w:rsid w:val="00D41FEC"/>
    <w:rsid w:val="00D61024"/>
    <w:rsid w:val="00DE2239"/>
    <w:rsid w:val="00E13FB4"/>
    <w:rsid w:val="00E2441B"/>
    <w:rsid w:val="00E438CA"/>
    <w:rsid w:val="00EB2540"/>
    <w:rsid w:val="00ED2133"/>
    <w:rsid w:val="00EE6FA9"/>
    <w:rsid w:val="00F4299C"/>
    <w:rsid w:val="00F5064E"/>
    <w:rsid w:val="00F64F00"/>
    <w:rsid w:val="00FF22D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53D96"/>
  <w15:docId w15:val="{1336A182-9FC2-45C9-AFF1-5106CC6E7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520C70"/>
    <w:pPr>
      <w:spacing w:after="0" w:line="240" w:lineRule="auto"/>
    </w:pPr>
    <w:rPr>
      <w:rFonts w:ascii="Times New Roman" w:eastAsia="Times New Roman" w:hAnsi="Times New Roman" w:cs="Times New Roman"/>
      <w:sz w:val="24"/>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520C70"/>
    <w:pPr>
      <w:spacing w:after="200" w:line="276" w:lineRule="auto"/>
      <w:ind w:left="720"/>
      <w:contextualSpacing/>
    </w:pPr>
    <w:rPr>
      <w:rFonts w:asciiTheme="minorHAnsi" w:eastAsiaTheme="minorHAnsi" w:hAnsiTheme="minorHAnsi" w:cstheme="minorBidi"/>
      <w:sz w:val="22"/>
      <w:szCs w:val="22"/>
      <w:lang w:eastAsia="en-US"/>
    </w:rPr>
  </w:style>
  <w:style w:type="paragraph" w:styleId="Kommentinteksti">
    <w:name w:val="annotation text"/>
    <w:basedOn w:val="Normaali"/>
    <w:link w:val="KommentintekstiChar"/>
    <w:uiPriority w:val="99"/>
    <w:unhideWhenUsed/>
    <w:rsid w:val="00520C70"/>
    <w:pPr>
      <w:spacing w:after="200"/>
    </w:pPr>
    <w:rPr>
      <w:rFonts w:asciiTheme="minorHAnsi" w:eastAsiaTheme="minorHAnsi" w:hAnsiTheme="minorHAnsi" w:cstheme="minorBidi"/>
      <w:sz w:val="20"/>
      <w:szCs w:val="20"/>
      <w:lang w:eastAsia="en-US"/>
    </w:rPr>
  </w:style>
  <w:style w:type="character" w:customStyle="1" w:styleId="KommentintekstiChar">
    <w:name w:val="Kommentin teksti Char"/>
    <w:basedOn w:val="Kappaleenoletusfontti"/>
    <w:link w:val="Kommentinteksti"/>
    <w:uiPriority w:val="99"/>
    <w:rsid w:val="00520C70"/>
    <w:rPr>
      <w:sz w:val="20"/>
      <w:szCs w:val="20"/>
    </w:rPr>
  </w:style>
  <w:style w:type="character" w:styleId="Kommentinviite">
    <w:name w:val="annotation reference"/>
    <w:basedOn w:val="Kappaleenoletusfontti"/>
    <w:uiPriority w:val="99"/>
    <w:semiHidden/>
    <w:unhideWhenUsed/>
    <w:rsid w:val="00DE2239"/>
    <w:rPr>
      <w:sz w:val="16"/>
      <w:szCs w:val="16"/>
    </w:rPr>
  </w:style>
  <w:style w:type="paragraph" w:styleId="Kommentinotsikko">
    <w:name w:val="annotation subject"/>
    <w:basedOn w:val="Kommentinteksti"/>
    <w:next w:val="Kommentinteksti"/>
    <w:link w:val="KommentinotsikkoChar"/>
    <w:uiPriority w:val="99"/>
    <w:semiHidden/>
    <w:unhideWhenUsed/>
    <w:rsid w:val="00DE2239"/>
    <w:pPr>
      <w:spacing w:after="0"/>
    </w:pPr>
    <w:rPr>
      <w:rFonts w:ascii="Times New Roman" w:eastAsia="Times New Roman" w:hAnsi="Times New Roman" w:cs="Times New Roman"/>
      <w:b/>
      <w:bCs/>
      <w:lang w:eastAsia="fi-FI"/>
    </w:rPr>
  </w:style>
  <w:style w:type="character" w:customStyle="1" w:styleId="KommentinotsikkoChar">
    <w:name w:val="Kommentin otsikko Char"/>
    <w:basedOn w:val="KommentintekstiChar"/>
    <w:link w:val="Kommentinotsikko"/>
    <w:uiPriority w:val="99"/>
    <w:semiHidden/>
    <w:rsid w:val="00DE2239"/>
    <w:rPr>
      <w:rFonts w:ascii="Times New Roman" w:eastAsia="Times New Roman" w:hAnsi="Times New Roman" w:cs="Times New Roman"/>
      <w:b/>
      <w:bCs/>
      <w:sz w:val="20"/>
      <w:szCs w:val="20"/>
      <w:lang w:eastAsia="fi-FI"/>
    </w:rPr>
  </w:style>
  <w:style w:type="paragraph" w:styleId="Seliteteksti">
    <w:name w:val="Balloon Text"/>
    <w:basedOn w:val="Normaali"/>
    <w:link w:val="SelitetekstiChar"/>
    <w:uiPriority w:val="99"/>
    <w:semiHidden/>
    <w:unhideWhenUsed/>
    <w:rsid w:val="00DE2239"/>
    <w:rPr>
      <w:rFonts w:ascii="Tahoma" w:hAnsi="Tahoma" w:cs="Tahoma"/>
      <w:sz w:val="16"/>
      <w:szCs w:val="16"/>
    </w:rPr>
  </w:style>
  <w:style w:type="character" w:customStyle="1" w:styleId="SelitetekstiChar">
    <w:name w:val="Seliteteksti Char"/>
    <w:basedOn w:val="Kappaleenoletusfontti"/>
    <w:link w:val="Seliteteksti"/>
    <w:uiPriority w:val="99"/>
    <w:semiHidden/>
    <w:rsid w:val="00DE2239"/>
    <w:rPr>
      <w:rFonts w:ascii="Tahoma" w:eastAsia="Times New Roman" w:hAnsi="Tahoma" w:cs="Tahoma"/>
      <w:sz w:val="16"/>
      <w:szCs w:val="16"/>
      <w:lang w:eastAsia="fi-FI"/>
    </w:rPr>
  </w:style>
  <w:style w:type="paragraph" w:styleId="Yltunniste">
    <w:name w:val="header"/>
    <w:basedOn w:val="Normaali"/>
    <w:link w:val="YltunnisteChar"/>
    <w:uiPriority w:val="99"/>
    <w:unhideWhenUsed/>
    <w:rsid w:val="000A3857"/>
    <w:pPr>
      <w:tabs>
        <w:tab w:val="center" w:pos="4819"/>
        <w:tab w:val="right" w:pos="9638"/>
      </w:tabs>
    </w:pPr>
  </w:style>
  <w:style w:type="character" w:customStyle="1" w:styleId="YltunnisteChar">
    <w:name w:val="Ylätunniste Char"/>
    <w:basedOn w:val="Kappaleenoletusfontti"/>
    <w:link w:val="Yltunniste"/>
    <w:uiPriority w:val="99"/>
    <w:rsid w:val="000A3857"/>
    <w:rPr>
      <w:rFonts w:ascii="Times New Roman" w:eastAsia="Times New Roman" w:hAnsi="Times New Roman" w:cs="Times New Roman"/>
      <w:sz w:val="24"/>
      <w:szCs w:val="24"/>
      <w:lang w:eastAsia="fi-FI"/>
    </w:rPr>
  </w:style>
  <w:style w:type="paragraph" w:styleId="Alatunniste">
    <w:name w:val="footer"/>
    <w:basedOn w:val="Normaali"/>
    <w:link w:val="AlatunnisteChar"/>
    <w:uiPriority w:val="99"/>
    <w:unhideWhenUsed/>
    <w:rsid w:val="000A3857"/>
    <w:pPr>
      <w:tabs>
        <w:tab w:val="center" w:pos="4819"/>
        <w:tab w:val="right" w:pos="9638"/>
      </w:tabs>
    </w:pPr>
  </w:style>
  <w:style w:type="character" w:customStyle="1" w:styleId="AlatunnisteChar">
    <w:name w:val="Alatunniste Char"/>
    <w:basedOn w:val="Kappaleenoletusfontti"/>
    <w:link w:val="Alatunniste"/>
    <w:uiPriority w:val="99"/>
    <w:rsid w:val="000A3857"/>
    <w:rPr>
      <w:rFonts w:ascii="Times New Roman" w:eastAsia="Times New Roman" w:hAnsi="Times New Roman" w:cs="Times New Roman"/>
      <w:sz w:val="24"/>
      <w:szCs w:val="24"/>
      <w:lang w:eastAsia="fi-FI"/>
    </w:rPr>
  </w:style>
  <w:style w:type="character" w:styleId="Voimakas">
    <w:name w:val="Strong"/>
    <w:basedOn w:val="Kappaleenoletusfontti"/>
    <w:uiPriority w:val="22"/>
    <w:qFormat/>
    <w:rsid w:val="007E5F37"/>
    <w:rPr>
      <w:b/>
      <w:bCs/>
    </w:rPr>
  </w:style>
  <w:style w:type="character" w:styleId="Korostus">
    <w:name w:val="Emphasis"/>
    <w:basedOn w:val="Kappaleenoletusfontti"/>
    <w:uiPriority w:val="20"/>
    <w:qFormat/>
    <w:rsid w:val="00AF44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871016">
      <w:bodyDiv w:val="1"/>
      <w:marLeft w:val="0"/>
      <w:marRight w:val="0"/>
      <w:marTop w:val="0"/>
      <w:marBottom w:val="0"/>
      <w:divBdr>
        <w:top w:val="none" w:sz="0" w:space="0" w:color="auto"/>
        <w:left w:val="none" w:sz="0" w:space="0" w:color="auto"/>
        <w:bottom w:val="none" w:sz="0" w:space="0" w:color="auto"/>
        <w:right w:val="none" w:sz="0" w:space="0" w:color="auto"/>
      </w:divBdr>
    </w:div>
    <w:div w:id="1519003387">
      <w:bodyDiv w:val="1"/>
      <w:marLeft w:val="0"/>
      <w:marRight w:val="0"/>
      <w:marTop w:val="0"/>
      <w:marBottom w:val="0"/>
      <w:divBdr>
        <w:top w:val="none" w:sz="0" w:space="0" w:color="auto"/>
        <w:left w:val="none" w:sz="0" w:space="0" w:color="auto"/>
        <w:bottom w:val="none" w:sz="0" w:space="0" w:color="auto"/>
        <w:right w:val="none" w:sz="0" w:space="0" w:color="auto"/>
      </w:divBdr>
    </w:div>
    <w:div w:id="1612279348">
      <w:bodyDiv w:val="1"/>
      <w:marLeft w:val="0"/>
      <w:marRight w:val="0"/>
      <w:marTop w:val="0"/>
      <w:marBottom w:val="0"/>
      <w:divBdr>
        <w:top w:val="none" w:sz="0" w:space="0" w:color="auto"/>
        <w:left w:val="none" w:sz="0" w:space="0" w:color="auto"/>
        <w:bottom w:val="none" w:sz="0" w:space="0" w:color="auto"/>
        <w:right w:val="none" w:sz="0" w:space="0" w:color="auto"/>
      </w:divBdr>
    </w:div>
    <w:div w:id="183699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3b25b787659ae01c678066d46fcd949b">
  <xsd:schema xmlns:xsd="http://www.w3.org/2001/XMLSchema" xmlns:xs="http://www.w3.org/2001/XMLSchema" xmlns:p="http://schemas.microsoft.com/office/2006/metadata/properties" xmlns:ns2="ebb82943-49da-4504-a2f3-a33fb2eb95f1" targetNamespace="http://schemas.microsoft.com/office/2006/metadata/properties" ma:root="true" ma:fieldsID="643c11cf4c13186185f95add12dbb6b8"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547565-7395-46A4-BAA0-CE08A1510109}">
  <ds:schemaRefs>
    <ds:schemaRef ds:uri="http://schemas.microsoft.com/sharepoint/v3/contenttype/forms"/>
  </ds:schemaRefs>
</ds:datastoreItem>
</file>

<file path=customXml/itemProps2.xml><?xml version="1.0" encoding="utf-8"?>
<ds:datastoreItem xmlns:ds="http://schemas.openxmlformats.org/officeDocument/2006/customXml" ds:itemID="{C1F2EE8B-FD8F-4A2A-A4B4-8BC2E1A8FC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500D91-A448-4BBD-A6FC-81B75E30E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1012</Words>
  <Characters>8199</Characters>
  <Application>Microsoft Office Word</Application>
  <DocSecurity>0</DocSecurity>
  <Lines>68</Lines>
  <Paragraphs>18</Paragraphs>
  <ScaleCrop>false</ScaleCrop>
  <HeadingPairs>
    <vt:vector size="2" baseType="variant">
      <vt:variant>
        <vt:lpstr>Otsikko</vt:lpstr>
      </vt:variant>
      <vt:variant>
        <vt:i4>1</vt:i4>
      </vt:variant>
    </vt:vector>
  </HeadingPairs>
  <TitlesOfParts>
    <vt:vector size="1" baseType="lpstr">
      <vt:lpstr/>
    </vt:vector>
  </TitlesOfParts>
  <Company>VIP</Company>
  <LinksUpToDate>false</LinksUpToDate>
  <CharactersWithSpaces>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tomperpi</dc:creator>
  <cp:lastModifiedBy>Haavanlammi Katariina</cp:lastModifiedBy>
  <cp:revision>4</cp:revision>
  <cp:lastPrinted>2018-03-01T11:13:00Z</cp:lastPrinted>
  <dcterms:created xsi:type="dcterms:W3CDTF">2018-04-10T08:54:00Z</dcterms:created>
  <dcterms:modified xsi:type="dcterms:W3CDTF">2018-04-10T12:13:00Z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0x010100FC273FBDB1AAC448BDBB3CA1302F22C6</vt:lpwstr>
  </property>
</Properties>
</file>