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Default="007C3157" w:rsidP="00801ECF">
      <w:pPr>
        <w:jc w:val="both"/>
      </w:pPr>
    </w:p>
    <w:p w:rsidR="007C3157" w:rsidRPr="001E6C75" w:rsidRDefault="00EA01FA" w:rsidP="0046371C">
      <w:pPr>
        <w:jc w:val="center"/>
        <w:rPr>
          <w:b/>
          <w:color w:val="054884" w:themeColor="text2"/>
          <w:sz w:val="36"/>
          <w:szCs w:val="36"/>
        </w:rPr>
      </w:pPr>
      <w:r w:rsidRPr="001E6C75">
        <w:rPr>
          <w:b/>
          <w:color w:val="054884" w:themeColor="text2"/>
          <w:sz w:val="36"/>
          <w:szCs w:val="36"/>
        </w:rPr>
        <w:t>Määräyksen</w:t>
      </w:r>
      <w:r w:rsidR="002E6794" w:rsidRPr="001E6C75">
        <w:rPr>
          <w:b/>
          <w:color w:val="054884" w:themeColor="text2"/>
          <w:sz w:val="36"/>
          <w:szCs w:val="36"/>
        </w:rPr>
        <w:t xml:space="preserve"> </w:t>
      </w:r>
      <w:r w:rsidR="004265DF">
        <w:rPr>
          <w:b/>
          <w:color w:val="054884" w:themeColor="text2"/>
          <w:sz w:val="36"/>
          <w:szCs w:val="36"/>
        </w:rPr>
        <w:t xml:space="preserve">70 </w:t>
      </w:r>
      <w:r w:rsidR="000331AD">
        <w:rPr>
          <w:b/>
          <w:color w:val="054884" w:themeColor="text2"/>
          <w:sz w:val="36"/>
          <w:szCs w:val="36"/>
        </w:rPr>
        <w:t>I/2019 M</w:t>
      </w:r>
      <w:r w:rsidR="0046371C">
        <w:rPr>
          <w:b/>
          <w:color w:val="054884" w:themeColor="text2"/>
          <w:sz w:val="36"/>
          <w:szCs w:val="36"/>
        </w:rPr>
        <w:t xml:space="preserve"> </w:t>
      </w:r>
      <w:r w:rsidRPr="001E6C75">
        <w:rPr>
          <w:b/>
          <w:color w:val="054884" w:themeColor="text2"/>
          <w:sz w:val="36"/>
          <w:szCs w:val="36"/>
        </w:rPr>
        <w:t>perustelut ja soveltaminen</w:t>
      </w:r>
    </w:p>
    <w:p w:rsidR="00D700BE" w:rsidRPr="007C3157" w:rsidRDefault="00D700BE" w:rsidP="0046371C">
      <w:pPr>
        <w:jc w:val="center"/>
        <w:rPr>
          <w:b/>
          <w:color w:val="054884" w:themeColor="text2"/>
          <w:sz w:val="36"/>
          <w:szCs w:val="36"/>
        </w:rPr>
      </w:pPr>
    </w:p>
    <w:p w:rsidR="002E6794" w:rsidRDefault="00117838" w:rsidP="0046371C">
      <w:pPr>
        <w:jc w:val="center"/>
        <w:rPr>
          <w:sz w:val="36"/>
          <w:szCs w:val="36"/>
        </w:rPr>
      </w:pPr>
      <w:r w:rsidRPr="00117838">
        <w:rPr>
          <w:sz w:val="36"/>
          <w:szCs w:val="36"/>
        </w:rPr>
        <w:t>Määräys televisio- ja radiotoimintaan tarkoitettujen taajuuksien käytöstä</w:t>
      </w:r>
    </w:p>
    <w:p w:rsidR="00117838" w:rsidRDefault="00C51AAC" w:rsidP="0046371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2E6794" w:rsidRPr="00401580" w:rsidRDefault="002E6794" w:rsidP="0046371C">
      <w:pPr>
        <w:jc w:val="center"/>
        <w:rPr>
          <w:sz w:val="28"/>
          <w:szCs w:val="36"/>
        </w:rPr>
      </w:pPr>
      <w:r w:rsidRPr="009659B3">
        <w:rPr>
          <w:sz w:val="28"/>
          <w:szCs w:val="36"/>
          <w:highlight w:val="yellow"/>
        </w:rPr>
        <w:t xml:space="preserve">MPS </w:t>
      </w:r>
      <w:r w:rsidR="008C0EAD" w:rsidRPr="009659B3">
        <w:rPr>
          <w:sz w:val="28"/>
          <w:szCs w:val="28"/>
          <w:highlight w:val="yellow"/>
        </w:rPr>
        <w:t xml:space="preserve">70 </w:t>
      </w:r>
      <w:r w:rsidR="000331AD" w:rsidRPr="009659B3">
        <w:rPr>
          <w:sz w:val="28"/>
          <w:szCs w:val="28"/>
          <w:highlight w:val="yellow"/>
        </w:rPr>
        <w:t>I/2019 M</w:t>
      </w:r>
    </w:p>
    <w:p w:rsidR="00CF6D2C" w:rsidRPr="007C3157" w:rsidRDefault="00CF6D2C" w:rsidP="0046371C">
      <w:pPr>
        <w:jc w:val="center"/>
        <w:rPr>
          <w:sz w:val="36"/>
          <w:szCs w:val="36"/>
        </w:rPr>
      </w:pPr>
    </w:p>
    <w:p w:rsidR="007C3157" w:rsidRDefault="007C3157" w:rsidP="0046371C">
      <w:pPr>
        <w:jc w:val="center"/>
      </w:pPr>
      <w:r>
        <w:br w:type="page"/>
      </w:r>
    </w:p>
    <w:sdt>
      <w:sdtPr>
        <w:rPr>
          <w:rFonts w:asciiTheme="minorHAnsi" w:eastAsiaTheme="minorHAnsi" w:hAnsiTheme="minorHAnsi" w:cstheme="minorHAnsi"/>
          <w:b w:val="0"/>
          <w:bCs w:val="0"/>
          <w:caps w:val="0"/>
          <w:sz w:val="22"/>
          <w:szCs w:val="22"/>
        </w:rPr>
        <w:id w:val="426700082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HAnsi"/>
          <w:b/>
          <w:caps/>
          <w:sz w:val="20"/>
          <w:szCs w:val="20"/>
        </w:rPr>
      </w:sdtEndPr>
      <w:sdtContent>
        <w:p w:rsidR="00131201" w:rsidRDefault="00131201" w:rsidP="00801ECF">
          <w:pPr>
            <w:pStyle w:val="TOCHeading"/>
            <w:jc w:val="both"/>
          </w:pPr>
          <w:r>
            <w:t>Sisällys</w:t>
          </w:r>
        </w:p>
        <w:p w:rsidR="007C1ABD" w:rsidRDefault="00D57BCC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b w:val="0"/>
              <w:caps w:val="0"/>
            </w:rPr>
            <w:fldChar w:fldCharType="begin"/>
          </w:r>
          <w:r w:rsidR="00593D99">
            <w:rPr>
              <w:b w:val="0"/>
              <w:caps w:val="0"/>
            </w:rPr>
            <w:instrText xml:space="preserve"> TOC \t "</w:instrText>
          </w:r>
          <w:r w:rsidR="005A5B7A">
            <w:rPr>
              <w:b w:val="0"/>
              <w:caps w:val="0"/>
            </w:rPr>
            <w:instrText>Otsikko;1;</w:instrText>
          </w:r>
          <w:r w:rsidR="00593D99">
            <w:rPr>
              <w:b w:val="0"/>
              <w:caps w:val="0"/>
            </w:rPr>
            <w:instrText>Otsikko 1;3;Otsikko 2;4;Otsikko 3;5;Otsikko;1;Alaotsikko;2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instrText xml:space="preserve"> </w:instrText>
          </w:r>
          <w:r w:rsidR="005A5B7A" w:rsidRPr="005A5B7A">
            <w:rPr>
              <w:b w:val="0"/>
              <w:caps w:val="0"/>
            </w:rPr>
            <w:instrText>HEADING 1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rPr>
              <w:b w:val="0"/>
              <w:caps w:val="0"/>
            </w:rPr>
            <w:instrText>3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rPr>
              <w:b w:val="0"/>
              <w:caps w:val="0"/>
            </w:rPr>
            <w:instrText>HEADING 2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rPr>
              <w:b w:val="0"/>
              <w:caps w:val="0"/>
            </w:rPr>
            <w:instrText>4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rPr>
              <w:b w:val="0"/>
              <w:caps w:val="0"/>
            </w:rPr>
            <w:instrText>HEADIN3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rPr>
              <w:b w:val="0"/>
              <w:caps w:val="0"/>
            </w:rPr>
            <w:instrText>5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rPr>
              <w:b w:val="0"/>
              <w:caps w:val="0"/>
            </w:rPr>
            <w:instrText>SUBTITLE</w:instrText>
          </w:r>
          <w:r w:rsidR="005A5B7A">
            <w:rPr>
              <w:b w:val="0"/>
              <w:caps w:val="0"/>
            </w:rPr>
            <w:instrText>;</w:instrText>
          </w:r>
          <w:r w:rsidR="005A5B7A" w:rsidRPr="005A5B7A">
            <w:rPr>
              <w:b w:val="0"/>
              <w:caps w:val="0"/>
            </w:rPr>
            <w:instrText>2</w:instrText>
          </w:r>
          <w:r w:rsidR="005A5B7A">
            <w:rPr>
              <w:b w:val="0"/>
              <w:caps w:val="0"/>
            </w:rPr>
            <w:instrText>;Title;1</w:instrText>
          </w:r>
          <w:r w:rsidR="00593D99">
            <w:rPr>
              <w:b w:val="0"/>
              <w:caps w:val="0"/>
            </w:rPr>
            <w:instrText xml:space="preserve">" </w:instrText>
          </w:r>
          <w:r>
            <w:rPr>
              <w:b w:val="0"/>
              <w:caps w:val="0"/>
            </w:rPr>
            <w:fldChar w:fldCharType="separate"/>
          </w:r>
          <w:r w:rsidR="007C1ABD">
            <w:rPr>
              <w:noProof/>
            </w:rPr>
            <w:t>A-OSA Keskeiset muutokset</w:t>
          </w:r>
          <w:r w:rsidR="007C1ABD">
            <w:rPr>
              <w:noProof/>
            </w:rPr>
            <w:tab/>
          </w:r>
          <w:r w:rsidR="007C1ABD">
            <w:rPr>
              <w:noProof/>
            </w:rPr>
            <w:fldChar w:fldCharType="begin"/>
          </w:r>
          <w:r w:rsidR="007C1ABD">
            <w:rPr>
              <w:noProof/>
            </w:rPr>
            <w:instrText xml:space="preserve"> PAGEREF _Toc7175938 \h </w:instrText>
          </w:r>
          <w:r w:rsidR="007C1ABD">
            <w:rPr>
              <w:noProof/>
            </w:rPr>
          </w:r>
          <w:r w:rsidR="007C1ABD">
            <w:rPr>
              <w:noProof/>
            </w:rPr>
            <w:fldChar w:fldCharType="separate"/>
          </w:r>
          <w:r w:rsidR="007C1ABD">
            <w:rPr>
              <w:noProof/>
            </w:rPr>
            <w:t>2</w:t>
          </w:r>
          <w:r w:rsidR="007C1ABD"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 w:rsidRPr="004218E4">
            <w:rPr>
              <w:noProof/>
              <w:highlight w:val="yellow"/>
            </w:rPr>
            <w:t>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 w:rsidRPr="004218E4">
            <w:rPr>
              <w:noProof/>
              <w:highlight w:val="yellow"/>
            </w:rPr>
            <w:t>Muutokset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 w:rsidRPr="004218E4">
            <w:rPr>
              <w:noProof/>
              <w:highlight w:val="yellow"/>
            </w:rPr>
            <w:t>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 w:rsidRPr="004218E4">
            <w:rPr>
              <w:noProof/>
              <w:highlight w:val="yellow"/>
            </w:rPr>
            <w:t>Muutosten vaikutukset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4"/>
            <w:tabs>
              <w:tab w:val="left" w:pos="1985"/>
            </w:tabs>
            <w:rPr>
              <w:rFonts w:eastAsiaTheme="minorEastAsia" w:cstheme="minorBidi"/>
              <w:noProof/>
              <w:sz w:val="22"/>
              <w:szCs w:val="22"/>
              <w:lang w:eastAsia="fi-FI"/>
            </w:rPr>
          </w:pPr>
          <w:r w:rsidRPr="004218E4">
            <w:rPr>
              <w:noProof/>
              <w:highlight w:val="yellow"/>
            </w:rPr>
            <w:t>2.1</w:t>
          </w:r>
          <w:r>
            <w:rPr>
              <w:rFonts w:eastAsiaTheme="minorEastAsia" w:cstheme="minorBidi"/>
              <w:noProof/>
              <w:sz w:val="22"/>
              <w:szCs w:val="22"/>
              <w:lang w:eastAsia="fi-FI"/>
            </w:rPr>
            <w:tab/>
          </w:r>
          <w:r w:rsidRPr="004218E4">
            <w:rPr>
              <w:noProof/>
              <w:highlight w:val="yellow"/>
            </w:rPr>
            <w:t>Tietoyhteiskuntavaikutukset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B-OSA Pykäläkohtaiset perustelut ja soveltamisohjeet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1 Yleiset säännökset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Määräyksen tarkoitus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Soveltamisala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Määritelmät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Peittoalueet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2 Televisiotoiminta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Televisioverkkojen käytettävissä olevat kanavat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3 Yleisradio Oy:n radiotoiminta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Yleisradio Oy:n 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4 Toimiluvanvarainen radiotoiminta ja taajuudet koulutus- ja opetuskäyttöön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7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Valtakunnallisen 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8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Muun kuin valtakunnallisen toimiluvanvaraisen 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9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Koulutus- ja opetuskäyttöön osoitettavat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10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Toimiluvanvaraisen AM-radiotoiminnan käytettävissä olevat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5 Toimiluvanvaraisen 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FM-radiotoiminnan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AM-radiotoiminnan käytettävissä olevat vapaat taajuudet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2"/>
            <w:rPr>
              <w:rFonts w:asciiTheme="minorHAnsi" w:eastAsiaTheme="minorEastAsia" w:hAnsiTheme="minorHAnsi" w:cstheme="minorBidi"/>
              <w:bCs w:val="0"/>
              <w:iCs w:val="0"/>
              <w:small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Luku 6 Voimaantulosäännökset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13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Voimaantulo-, siirtymä- ja poikkeamissäännökset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14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§ Tiedonsaanti ja julkaiseminen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C-OSA Lainsäädäntö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1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Määräyksen lainsäädäntöperusta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3"/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Cs w:val="0"/>
              <w:i w:val="0"/>
              <w:noProof/>
              <w:sz w:val="22"/>
              <w:szCs w:val="22"/>
              <w:lang w:eastAsia="fi-FI"/>
            </w:rPr>
            <w:tab/>
          </w:r>
          <w:r>
            <w:rPr>
              <w:noProof/>
            </w:rPr>
            <w:t>Muut asiaan liittyvät säännökset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:rsidR="007C1ABD" w:rsidRDefault="007C1ABD">
          <w:pPr>
            <w:pStyle w:val="TOC1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noProof/>
              <w:lang w:eastAsia="fi-FI"/>
            </w:rPr>
            <w:t>Viiteluettelo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_Toc7175966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:rsidR="00131201" w:rsidRPr="0017054F" w:rsidRDefault="00D57BCC" w:rsidP="00801ECF">
          <w:pPr>
            <w:pStyle w:val="TOC1"/>
            <w:jc w:val="both"/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  <w:lang w:eastAsia="fi-FI"/>
            </w:rPr>
          </w:pPr>
          <w:r>
            <w:rPr>
              <w:b w:val="0"/>
              <w:caps w:val="0"/>
            </w:rPr>
            <w:fldChar w:fldCharType="end"/>
          </w:r>
        </w:p>
      </w:sdtContent>
    </w:sdt>
    <w:p w:rsidR="00E349E2" w:rsidRDefault="00E349E2" w:rsidP="00801ECF">
      <w:pPr>
        <w:jc w:val="both"/>
        <w:rPr>
          <w:rFonts w:asciiTheme="majorHAnsi" w:eastAsiaTheme="majorEastAsia" w:hAnsiTheme="majorHAnsi" w:cstheme="majorHAnsi"/>
          <w:b/>
          <w:bCs/>
          <w:sz w:val="26"/>
          <w:szCs w:val="28"/>
        </w:rPr>
      </w:pPr>
      <w:r>
        <w:br w:type="page"/>
      </w:r>
    </w:p>
    <w:p w:rsidR="00CC48F2" w:rsidRPr="00CC48F2" w:rsidRDefault="008C4E9C" w:rsidP="00CC48F2">
      <w:pPr>
        <w:pStyle w:val="Title"/>
      </w:pPr>
      <w:bookmarkStart w:id="0" w:name="_Toc7175938"/>
      <w:bookmarkStart w:id="1" w:name="_Toc326829589"/>
      <w:r>
        <w:lastRenderedPageBreak/>
        <w:t>A-</w:t>
      </w:r>
      <w:r w:rsidR="00FA30BE">
        <w:t xml:space="preserve">OSA </w:t>
      </w:r>
      <w:r w:rsidR="00CC48F2">
        <w:t>Keskeiset muutokset</w:t>
      </w:r>
      <w:bookmarkEnd w:id="0"/>
    </w:p>
    <w:p w:rsidR="00D2206D" w:rsidRDefault="00D2206D" w:rsidP="00AF5EC9">
      <w:pPr>
        <w:pStyle w:val="NoSpacing"/>
      </w:pPr>
    </w:p>
    <w:p w:rsidR="00CC48F2" w:rsidRPr="009659B3" w:rsidRDefault="00CC48F2" w:rsidP="00CC48F2">
      <w:pPr>
        <w:pStyle w:val="Heading1"/>
        <w:numPr>
          <w:ilvl w:val="1"/>
          <w:numId w:val="18"/>
        </w:numPr>
        <w:ind w:left="567"/>
        <w:rPr>
          <w:highlight w:val="yellow"/>
        </w:rPr>
      </w:pPr>
      <w:bookmarkStart w:id="2" w:name="_Toc423596601"/>
      <w:bookmarkStart w:id="3" w:name="_Toc532910113"/>
      <w:bookmarkStart w:id="4" w:name="_Toc7175939"/>
      <w:r w:rsidRPr="009659B3">
        <w:rPr>
          <w:highlight w:val="yellow"/>
        </w:rPr>
        <w:t>Muutok</w:t>
      </w:r>
      <w:bookmarkStart w:id="5" w:name="_Toc532910114"/>
      <w:bookmarkEnd w:id="2"/>
      <w:bookmarkEnd w:id="3"/>
      <w:r w:rsidRPr="009659B3">
        <w:rPr>
          <w:highlight w:val="yellow"/>
        </w:rPr>
        <w:t>set</w:t>
      </w:r>
      <w:bookmarkEnd w:id="5"/>
      <w:bookmarkEnd w:id="4"/>
    </w:p>
    <w:p w:rsidR="00CC48F2" w:rsidRPr="009659B3" w:rsidRDefault="00CC48F2" w:rsidP="00CC48F2">
      <w:pPr>
        <w:ind w:left="1304"/>
        <w:rPr>
          <w:highlight w:val="yellow"/>
        </w:rPr>
      </w:pPr>
      <w:r w:rsidRPr="009659B3">
        <w:rPr>
          <w:highlight w:val="yellow"/>
        </w:rPr>
        <w:t>Määräyksen antaja on muuttunut</w:t>
      </w:r>
      <w:r w:rsidR="0005058C" w:rsidRPr="009659B3">
        <w:rPr>
          <w:highlight w:val="yellow"/>
        </w:rPr>
        <w:t xml:space="preserve"> Viestintävirasto</w:t>
      </w:r>
      <w:r w:rsidRPr="009659B3">
        <w:rPr>
          <w:highlight w:val="yellow"/>
        </w:rPr>
        <w:t>sta Liikenne- ja viestintävirastoksi sähköisen viestinnän palveluista annetun lain 96 §:n ja 97 §:n (23.11.2018/1003) muuttamisen ja Liikenne- ja viestintävirastosta annetun lain (935/2018) perusteella.</w:t>
      </w:r>
    </w:p>
    <w:p w:rsidR="00CC48F2" w:rsidRPr="009659B3" w:rsidRDefault="00CC48F2" w:rsidP="00CC48F2">
      <w:pPr>
        <w:pStyle w:val="NoSpacing"/>
        <w:rPr>
          <w:highlight w:val="yellow"/>
        </w:rPr>
      </w:pPr>
    </w:p>
    <w:p w:rsidR="00CC48F2" w:rsidRPr="009659B3" w:rsidRDefault="00483A04" w:rsidP="00CC48F2">
      <w:pPr>
        <w:pStyle w:val="NoSpacing"/>
        <w:rPr>
          <w:highlight w:val="yellow"/>
        </w:rPr>
      </w:pPr>
      <w:r w:rsidRPr="009659B3">
        <w:rPr>
          <w:highlight w:val="yellow"/>
        </w:rPr>
        <w:t>M</w:t>
      </w:r>
      <w:r w:rsidR="00CC48F2" w:rsidRPr="009659B3">
        <w:rPr>
          <w:highlight w:val="yellow"/>
        </w:rPr>
        <w:t>ääräykse</w:t>
      </w:r>
      <w:r w:rsidRPr="009659B3">
        <w:rPr>
          <w:highlight w:val="yellow"/>
        </w:rPr>
        <w:t>n</w:t>
      </w:r>
      <w:r w:rsidR="006D6D74" w:rsidRPr="009659B3">
        <w:rPr>
          <w:highlight w:val="yellow"/>
        </w:rPr>
        <w:t xml:space="preserve"> versioon 70 I</w:t>
      </w:r>
      <w:r w:rsidRPr="009659B3">
        <w:rPr>
          <w:highlight w:val="yellow"/>
        </w:rPr>
        <w:t xml:space="preserve"> on tehty </w:t>
      </w:r>
      <w:r w:rsidR="00CC48F2" w:rsidRPr="009659B3">
        <w:rPr>
          <w:highlight w:val="yellow"/>
        </w:rPr>
        <w:t>seuraavat muutokset:</w:t>
      </w:r>
    </w:p>
    <w:p w:rsidR="00AD702A" w:rsidRPr="009659B3" w:rsidRDefault="00AD702A" w:rsidP="00CC48F2">
      <w:pPr>
        <w:pStyle w:val="NoSpacing"/>
        <w:numPr>
          <w:ilvl w:val="0"/>
          <w:numId w:val="33"/>
        </w:numPr>
        <w:rPr>
          <w:highlight w:val="yellow"/>
        </w:rPr>
      </w:pPr>
      <w:r w:rsidRPr="009659B3">
        <w:rPr>
          <w:highlight w:val="yellow"/>
        </w:rPr>
        <w:t>Televisioverkkojen käytettävissä olevien kanavien väliaikaisia kanavavaihtoja koskeva määräyksen 5a § on poistettu tarpeettomana sen voimassaolon päätyttyä 31.12.2018.</w:t>
      </w:r>
    </w:p>
    <w:p w:rsidR="00982DEC" w:rsidRPr="009659B3" w:rsidRDefault="006D6D74" w:rsidP="00CC48F2">
      <w:pPr>
        <w:pStyle w:val="NoSpacing"/>
        <w:numPr>
          <w:ilvl w:val="0"/>
          <w:numId w:val="33"/>
        </w:numPr>
        <w:rPr>
          <w:highlight w:val="yellow"/>
        </w:rPr>
      </w:pPr>
      <w:r w:rsidRPr="009659B3">
        <w:rPr>
          <w:highlight w:val="yellow"/>
        </w:rPr>
        <w:t>Määräyksen 7-8 §:ssä määritettyihin taajuuskokonaisuuksiin on tehty l</w:t>
      </w:r>
      <w:r w:rsidR="00CC48F2" w:rsidRPr="009659B3">
        <w:rPr>
          <w:highlight w:val="yellow"/>
        </w:rPr>
        <w:t>ukuisia yksittäisiä taajuusmuutoksia mm.</w:t>
      </w:r>
      <w:r w:rsidR="00982DEC" w:rsidRPr="009659B3">
        <w:rPr>
          <w:highlight w:val="yellow"/>
        </w:rPr>
        <w:t xml:space="preserve"> taajuu</w:t>
      </w:r>
      <w:r w:rsidRPr="009659B3">
        <w:rPr>
          <w:highlight w:val="yellow"/>
        </w:rPr>
        <w:t>ksista luopumisten</w:t>
      </w:r>
      <w:r w:rsidR="00982DEC" w:rsidRPr="009659B3">
        <w:rPr>
          <w:highlight w:val="yellow"/>
        </w:rPr>
        <w:t xml:space="preserve"> sekä taajuuksien ja p</w:t>
      </w:r>
      <w:r w:rsidRPr="009659B3">
        <w:rPr>
          <w:highlight w:val="yellow"/>
        </w:rPr>
        <w:t>aikkakuntien vaihdosten takia.</w:t>
      </w:r>
    </w:p>
    <w:p w:rsidR="006D6D74" w:rsidRPr="009659B3" w:rsidRDefault="00AD702A" w:rsidP="00023318">
      <w:pPr>
        <w:pStyle w:val="NoSpacing"/>
        <w:numPr>
          <w:ilvl w:val="0"/>
          <w:numId w:val="33"/>
        </w:numPr>
        <w:rPr>
          <w:highlight w:val="yellow"/>
        </w:rPr>
      </w:pPr>
      <w:r w:rsidRPr="009659B3">
        <w:rPr>
          <w:highlight w:val="yellow"/>
        </w:rPr>
        <w:t>FM-radiotoiminnan käytettävissä olevaa vapaiden taajuuksien listaa määräyksen 12 §:ssä on päivitetty vastaamaan voimassaolevaa taajuustilannetta.</w:t>
      </w:r>
    </w:p>
    <w:p w:rsidR="00CC48F2" w:rsidRPr="009659B3" w:rsidRDefault="00AD702A" w:rsidP="00023318">
      <w:pPr>
        <w:pStyle w:val="NoSpacing"/>
        <w:numPr>
          <w:ilvl w:val="0"/>
          <w:numId w:val="33"/>
        </w:numPr>
        <w:rPr>
          <w:highlight w:val="yellow"/>
        </w:rPr>
      </w:pPr>
      <w:r w:rsidRPr="009659B3">
        <w:rPr>
          <w:highlight w:val="yellow"/>
        </w:rPr>
        <w:t>Toimiluvanvaraisen radiotoim</w:t>
      </w:r>
      <w:r w:rsidR="004F6AF8" w:rsidRPr="009659B3">
        <w:rPr>
          <w:highlight w:val="yellow"/>
        </w:rPr>
        <w:t xml:space="preserve">innan vuoden 2020 alussa alkavan toimilupakauden muutokset on päivitetty </w:t>
      </w:r>
      <w:r w:rsidR="006D6D74" w:rsidRPr="009659B3">
        <w:rPr>
          <w:highlight w:val="yellow"/>
        </w:rPr>
        <w:t xml:space="preserve">määräyksen 13 </w:t>
      </w:r>
      <w:proofErr w:type="gramStart"/>
      <w:r w:rsidR="003D593F" w:rsidRPr="009659B3">
        <w:rPr>
          <w:highlight w:val="yellow"/>
        </w:rPr>
        <w:t>§:ään</w:t>
      </w:r>
      <w:proofErr w:type="gramEnd"/>
      <w:r w:rsidR="004F6AF8" w:rsidRPr="009659B3">
        <w:rPr>
          <w:highlight w:val="yellow"/>
        </w:rPr>
        <w:t xml:space="preserve"> siten, että määräyksen </w:t>
      </w:r>
      <w:r w:rsidR="006D6D74" w:rsidRPr="009659B3">
        <w:rPr>
          <w:highlight w:val="yellow"/>
        </w:rPr>
        <w:t xml:space="preserve">7-8 ja 11-12 </w:t>
      </w:r>
      <w:r w:rsidR="00FB6DA0" w:rsidRPr="009659B3">
        <w:rPr>
          <w:highlight w:val="yellow"/>
        </w:rPr>
        <w:t>§</w:t>
      </w:r>
      <w:r w:rsidR="004F6AF8" w:rsidRPr="009659B3">
        <w:rPr>
          <w:highlight w:val="yellow"/>
        </w:rPr>
        <w:t xml:space="preserve"> ovat voimassa 31.12.2019 saakka.</w:t>
      </w:r>
    </w:p>
    <w:p w:rsidR="00CC48F2" w:rsidRPr="009659B3" w:rsidRDefault="00CC48F2" w:rsidP="003D593F">
      <w:pPr>
        <w:pStyle w:val="NoSpacing"/>
        <w:jc w:val="center"/>
        <w:rPr>
          <w:highlight w:val="yellow"/>
        </w:rPr>
      </w:pPr>
    </w:p>
    <w:p w:rsidR="00972428" w:rsidRPr="009659B3" w:rsidRDefault="00521E2D" w:rsidP="00AF5EC9">
      <w:pPr>
        <w:pStyle w:val="NoSpacing"/>
        <w:rPr>
          <w:highlight w:val="yellow"/>
        </w:rPr>
      </w:pPr>
      <w:r w:rsidRPr="009659B3">
        <w:rPr>
          <w:highlight w:val="yellow"/>
        </w:rPr>
        <w:t xml:space="preserve">Nyt voimaan tuleva määräys 70 </w:t>
      </w:r>
      <w:r w:rsidR="004F6AF8" w:rsidRPr="009659B3">
        <w:rPr>
          <w:highlight w:val="yellow"/>
        </w:rPr>
        <w:t>I</w:t>
      </w:r>
      <w:r w:rsidRPr="009659B3">
        <w:rPr>
          <w:highlight w:val="yellow"/>
        </w:rPr>
        <w:t xml:space="preserve"> on määräyksen </w:t>
      </w:r>
      <w:r w:rsidR="004F6AF8" w:rsidRPr="009659B3">
        <w:rPr>
          <w:highlight w:val="yellow"/>
        </w:rPr>
        <w:t>10</w:t>
      </w:r>
      <w:r w:rsidRPr="009659B3">
        <w:rPr>
          <w:highlight w:val="yellow"/>
        </w:rPr>
        <w:t>. versio.</w:t>
      </w:r>
    </w:p>
    <w:p w:rsidR="00B6756B" w:rsidRPr="009659B3" w:rsidRDefault="00B6756B" w:rsidP="00AF5EC9">
      <w:pPr>
        <w:pStyle w:val="NoSpacing"/>
        <w:rPr>
          <w:highlight w:val="yellow"/>
        </w:rPr>
      </w:pPr>
    </w:p>
    <w:p w:rsidR="00CC48F2" w:rsidRPr="009659B3" w:rsidRDefault="00CC48F2" w:rsidP="00AF5EC9">
      <w:pPr>
        <w:pStyle w:val="NoSpacing"/>
        <w:rPr>
          <w:highlight w:val="yellow"/>
        </w:rPr>
      </w:pPr>
    </w:p>
    <w:p w:rsidR="00CC48F2" w:rsidRPr="009659B3" w:rsidRDefault="00CC48F2" w:rsidP="00CC48F2">
      <w:pPr>
        <w:pStyle w:val="Heading1"/>
        <w:numPr>
          <w:ilvl w:val="1"/>
          <w:numId w:val="18"/>
        </w:numPr>
        <w:ind w:left="567"/>
        <w:rPr>
          <w:highlight w:val="yellow"/>
        </w:rPr>
      </w:pPr>
      <w:bookmarkStart w:id="6" w:name="_Toc7175940"/>
      <w:r w:rsidRPr="009659B3">
        <w:rPr>
          <w:highlight w:val="yellow"/>
        </w:rPr>
        <w:t>Muutosten vaikutukset</w:t>
      </w:r>
      <w:bookmarkEnd w:id="6"/>
    </w:p>
    <w:p w:rsidR="00CC48F2" w:rsidRPr="009659B3" w:rsidRDefault="00CC48F2" w:rsidP="00AF5EC9">
      <w:pPr>
        <w:pStyle w:val="NoSpacing"/>
        <w:rPr>
          <w:highlight w:val="yellow"/>
        </w:rPr>
      </w:pPr>
    </w:p>
    <w:p w:rsidR="00CC48F2" w:rsidRPr="009659B3" w:rsidRDefault="00CC48F2" w:rsidP="00CC48F2">
      <w:pPr>
        <w:pStyle w:val="Heading2"/>
        <w:numPr>
          <w:ilvl w:val="2"/>
          <w:numId w:val="18"/>
        </w:numPr>
        <w:rPr>
          <w:highlight w:val="yellow"/>
        </w:rPr>
      </w:pPr>
      <w:bookmarkStart w:id="7" w:name="_Toc7175941"/>
      <w:r w:rsidRPr="009659B3">
        <w:rPr>
          <w:highlight w:val="yellow"/>
        </w:rPr>
        <w:t>Tietoyhteiskuntavaikutukset</w:t>
      </w:r>
      <w:bookmarkEnd w:id="7"/>
    </w:p>
    <w:p w:rsidR="005D6CF3" w:rsidRDefault="00545059" w:rsidP="00AF5EC9">
      <w:pPr>
        <w:pStyle w:val="NoSpacing"/>
      </w:pPr>
      <w:r w:rsidRPr="009659B3">
        <w:rPr>
          <w:highlight w:val="yellow"/>
        </w:rPr>
        <w:t>Muutoksilla</w:t>
      </w:r>
      <w:r w:rsidR="005D6CF3" w:rsidRPr="009659B3">
        <w:rPr>
          <w:highlight w:val="yellow"/>
        </w:rPr>
        <w:t xml:space="preserve"> tuetaan ajantasaisen tiedon välittämistä toimialalle radion ohjelmistotoimilupatilanteesta ja television kanavapaikkanumeroinneista. Muutoksilla myös valmistaudutaan kaupallisen analogisen radiotoiminnan uuteen, vuoden 2020 alussa alkavaan toimilupakauteen</w:t>
      </w:r>
      <w:r w:rsidR="006523AC" w:rsidRPr="009659B3">
        <w:rPr>
          <w:highlight w:val="yellow"/>
        </w:rPr>
        <w:t>.</w:t>
      </w:r>
    </w:p>
    <w:p w:rsidR="005D6CF3" w:rsidRDefault="005D6CF3" w:rsidP="00AF5EC9">
      <w:pPr>
        <w:pStyle w:val="NoSpacing"/>
      </w:pPr>
    </w:p>
    <w:p w:rsidR="003D593F" w:rsidRDefault="003D593F" w:rsidP="00AF5EC9">
      <w:pPr>
        <w:pStyle w:val="NoSpacing"/>
      </w:pPr>
    </w:p>
    <w:p w:rsidR="00FA30BE" w:rsidRDefault="008C4E9C" w:rsidP="00AF5EC9">
      <w:pPr>
        <w:pStyle w:val="Title"/>
      </w:pPr>
      <w:bookmarkStart w:id="8" w:name="_Toc7175942"/>
      <w:r>
        <w:t>B-</w:t>
      </w:r>
      <w:r w:rsidR="00FA30BE">
        <w:t xml:space="preserve">OSA Pykäläkohtaiset </w:t>
      </w:r>
      <w:r w:rsidR="00FA30BE" w:rsidRPr="00FA30BE">
        <w:t>perustelut</w:t>
      </w:r>
      <w:r w:rsidR="00FA30BE">
        <w:t xml:space="preserve"> ja soveltamisohjeet</w:t>
      </w:r>
      <w:bookmarkEnd w:id="8"/>
    </w:p>
    <w:p w:rsidR="00FA30BE" w:rsidRDefault="00E16C99" w:rsidP="00AF5EC9">
      <w:pPr>
        <w:pStyle w:val="Subtitle"/>
      </w:pPr>
      <w:bookmarkStart w:id="9" w:name="_Toc7175943"/>
      <w:r>
        <w:t>Luku 1 Yleiset säännökset</w:t>
      </w:r>
      <w:bookmarkEnd w:id="9"/>
    </w:p>
    <w:p w:rsidR="00E16C99" w:rsidRDefault="00E16C99" w:rsidP="00AF5EC9">
      <w:pPr>
        <w:pStyle w:val="Heading1"/>
        <w:ind w:left="284" w:hanging="284"/>
      </w:pPr>
      <w:bookmarkStart w:id="10" w:name="_Toc7175944"/>
      <w:r>
        <w:t>§ Määräyksen tarkoitus</w:t>
      </w:r>
      <w:bookmarkEnd w:id="10"/>
    </w:p>
    <w:p w:rsidR="00117838" w:rsidRDefault="0076495E" w:rsidP="00AF5EC9">
      <w:pPr>
        <w:pStyle w:val="NoSpacing"/>
      </w:pPr>
      <w:r>
        <w:t>M</w:t>
      </w:r>
      <w:r w:rsidR="00E14FA8">
        <w:t xml:space="preserve">ääräyksessä tarkennetaan </w:t>
      </w:r>
      <w:r w:rsidR="00F20484">
        <w:t>v</w:t>
      </w:r>
      <w:r w:rsidR="00117838" w:rsidRPr="00117838">
        <w:t xml:space="preserve">altioneuvoston </w:t>
      </w:r>
      <w:r w:rsidR="00545059">
        <w:t>sähköisen viestinnän palveluista annetun lain</w:t>
      </w:r>
      <w:r w:rsidR="00117838" w:rsidRPr="00117838">
        <w:t xml:space="preserve"> (</w:t>
      </w:r>
      <w:r w:rsidR="00CC048C">
        <w:t>917</w:t>
      </w:r>
      <w:r w:rsidR="00117838" w:rsidRPr="00117838">
        <w:t>/2014) 95 §:n 1 momentin nojalla antamaa</w:t>
      </w:r>
      <w:r w:rsidR="00E14FA8">
        <w:t xml:space="preserve"> </w:t>
      </w:r>
      <w:r w:rsidR="00E14FA8" w:rsidRPr="00E14FA8">
        <w:t>asetusta taajuuksien käy</w:t>
      </w:r>
      <w:r w:rsidR="00446126">
        <w:softHyphen/>
      </w:r>
      <w:r w:rsidR="00E14FA8" w:rsidRPr="00E14FA8">
        <w:t>töstä ja taajuussuunnitelmasta</w:t>
      </w:r>
      <w:r w:rsidR="00117838" w:rsidRPr="00117838">
        <w:t xml:space="preserve">. </w:t>
      </w:r>
      <w:r w:rsidR="00117838">
        <w:t xml:space="preserve"> Määräyksessä luetellaan paikka</w:t>
      </w:r>
      <w:r w:rsidR="006D0E6B">
        <w:softHyphen/>
      </w:r>
      <w:r w:rsidR="00117838">
        <w:t>kunta</w:t>
      </w:r>
      <w:r w:rsidR="00446126">
        <w:softHyphen/>
      </w:r>
      <w:r w:rsidR="00117838">
        <w:t>koh</w:t>
      </w:r>
      <w:r w:rsidR="003F5736">
        <w:softHyphen/>
      </w:r>
      <w:r w:rsidR="00117838">
        <w:t>taisesti käytettävissä olevat televisio- ja ääniradiotaajuudet</w:t>
      </w:r>
      <w:r w:rsidR="00231533" w:rsidRPr="00E14FA8">
        <w:t>, joita käyte</w:t>
      </w:r>
      <w:r w:rsidR="00446126">
        <w:softHyphen/>
      </w:r>
      <w:r w:rsidR="00231533" w:rsidRPr="00E14FA8">
        <w:t xml:space="preserve">tään </w:t>
      </w:r>
      <w:r w:rsidR="00545059">
        <w:t xml:space="preserve">sähköisen viestinnän palveluista </w:t>
      </w:r>
      <w:r w:rsidR="00545059">
        <w:lastRenderedPageBreak/>
        <w:t>annetun lain</w:t>
      </w:r>
      <w:r w:rsidR="00231533">
        <w:t xml:space="preserve"> </w:t>
      </w:r>
      <w:r w:rsidR="00231533" w:rsidRPr="00117838">
        <w:t>(</w:t>
      </w:r>
      <w:r w:rsidR="00231533">
        <w:t>917</w:t>
      </w:r>
      <w:r w:rsidR="00231533" w:rsidRPr="00117838">
        <w:t>/2014)</w:t>
      </w:r>
      <w:r w:rsidR="00231533" w:rsidRPr="00E14FA8">
        <w:t xml:space="preserve"> 6 §:ssä tarkoitettuun toimi</w:t>
      </w:r>
      <w:r w:rsidR="00446126">
        <w:softHyphen/>
      </w:r>
      <w:r w:rsidR="00231533" w:rsidRPr="00E14FA8">
        <w:t>lupaa edel</w:t>
      </w:r>
      <w:r w:rsidR="003F5736">
        <w:softHyphen/>
      </w:r>
      <w:r w:rsidR="00231533" w:rsidRPr="00E14FA8">
        <w:t>lyt</w:t>
      </w:r>
      <w:r w:rsidR="003F5736">
        <w:softHyphen/>
      </w:r>
      <w:r w:rsidR="00231533" w:rsidRPr="00E14FA8">
        <w:t>tä</w:t>
      </w:r>
      <w:r w:rsidR="003F5736">
        <w:softHyphen/>
      </w:r>
      <w:r w:rsidR="00231533" w:rsidRPr="00E14FA8">
        <w:t xml:space="preserve">vään </w:t>
      </w:r>
      <w:r w:rsidR="00C23B79">
        <w:t xml:space="preserve">digitaaliseen </w:t>
      </w:r>
      <w:r w:rsidR="00231533" w:rsidRPr="00E14FA8">
        <w:t>tele</w:t>
      </w:r>
      <w:r w:rsidR="00231533">
        <w:t>visio- ja radio</w:t>
      </w:r>
      <w:r w:rsidR="00231533" w:rsidRPr="00E14FA8">
        <w:t>toimintaan, 34 §:ssä tarkoitettuun analogiseen radiotoimintaan sekä Yleisradio Oy:stä annetun lain 7 §:ssä tarkoitetun julkisen palvelun televisio- ja radiotoiminnan taa</w:t>
      </w:r>
      <w:r w:rsidR="009A3EDF">
        <w:softHyphen/>
      </w:r>
      <w:r w:rsidR="00231533" w:rsidRPr="00E14FA8">
        <w:t>juuk</w:t>
      </w:r>
      <w:r w:rsidR="009A3EDF">
        <w:softHyphen/>
      </w:r>
      <w:r w:rsidR="00231533" w:rsidRPr="00E14FA8">
        <w:t>sien käyttöön.</w:t>
      </w:r>
    </w:p>
    <w:p w:rsidR="00117838" w:rsidRDefault="00117838" w:rsidP="002F2794">
      <w:pPr>
        <w:pStyle w:val="NoSpacing"/>
        <w:ind w:left="0"/>
      </w:pPr>
    </w:p>
    <w:p w:rsidR="00E16C99" w:rsidRDefault="00E16C99" w:rsidP="00AF5EC9">
      <w:pPr>
        <w:pStyle w:val="Heading1"/>
        <w:ind w:left="284" w:hanging="284"/>
      </w:pPr>
      <w:bookmarkStart w:id="11" w:name="_Toc7175945"/>
      <w:r>
        <w:t>§ Soveltamisala</w:t>
      </w:r>
      <w:bookmarkEnd w:id="11"/>
    </w:p>
    <w:p w:rsidR="00117838" w:rsidRDefault="0076495E" w:rsidP="00AF5EC9">
      <w:pPr>
        <w:pStyle w:val="NoSpacing"/>
      </w:pPr>
      <w:r>
        <w:t>M</w:t>
      </w:r>
      <w:r w:rsidR="00117838">
        <w:t xml:space="preserve">ääräystä sovelletaan </w:t>
      </w:r>
      <w:r w:rsidR="00545059">
        <w:t>sähköisen viestinnän palveluista annetun lain</w:t>
      </w:r>
      <w:r w:rsidR="0040019B">
        <w:t xml:space="preserve"> </w:t>
      </w:r>
      <w:r w:rsidR="00231533" w:rsidRPr="00231533">
        <w:t>6 §:ssä</w:t>
      </w:r>
      <w:r w:rsidR="00231533" w:rsidRPr="00231533" w:rsidDel="00D60F09">
        <w:t xml:space="preserve"> </w:t>
      </w:r>
      <w:r w:rsidR="00231533" w:rsidRPr="00231533">
        <w:t>tarkoitetun toimi</w:t>
      </w:r>
      <w:r w:rsidR="00446126">
        <w:softHyphen/>
      </w:r>
      <w:r w:rsidR="00231533" w:rsidRPr="00231533">
        <w:t xml:space="preserve">lupaa edellyttävän </w:t>
      </w:r>
      <w:r w:rsidR="00C23B79">
        <w:t xml:space="preserve">digitaalisen </w:t>
      </w:r>
      <w:r w:rsidR="00231533" w:rsidRPr="00231533">
        <w:t>televisio- tai radiotoiminnan ja 34 §:ssä tarkoi</w:t>
      </w:r>
      <w:r w:rsidR="00231533" w:rsidRPr="00231533">
        <w:softHyphen/>
        <w:t>tetun ohjelmistotoimilupaa edellyttävän analogisen radiotoiminnan</w:t>
      </w:r>
      <w:r w:rsidR="00117838">
        <w:t>, sekä Yleis</w:t>
      </w:r>
      <w:r w:rsidR="006D0E6B">
        <w:softHyphen/>
      </w:r>
      <w:r w:rsidR="00117838">
        <w:t xml:space="preserve">radio Oy:stä annetun lain 7 §:ssä tarkoitetun julkisen palvelun televisio- ja </w:t>
      </w:r>
      <w:r w:rsidR="00231533">
        <w:t xml:space="preserve">radiotoiminnan </w:t>
      </w:r>
      <w:r w:rsidR="00117838">
        <w:t xml:space="preserve">taajuuksien käyttöön. </w:t>
      </w:r>
      <w:r w:rsidR="007E79C9">
        <w:t xml:space="preserve">Määräyksen soveltamisalan ulkopuolelle on rajattu </w:t>
      </w:r>
      <w:r w:rsidR="00545059">
        <w:t>sähköisen viestinnän palveluista annetun lain</w:t>
      </w:r>
      <w:r w:rsidR="007E79C9">
        <w:t xml:space="preserve"> 9</w:t>
      </w:r>
      <w:r w:rsidR="007E79C9" w:rsidRPr="00231533">
        <w:t xml:space="preserve"> §:ssä</w:t>
      </w:r>
      <w:r w:rsidR="007E79C9" w:rsidRPr="00231533" w:rsidDel="00D60F09">
        <w:t xml:space="preserve"> </w:t>
      </w:r>
      <w:r w:rsidR="007E79C9">
        <w:t>tarkoitettu</w:t>
      </w:r>
      <w:r w:rsidR="007E79C9" w:rsidRPr="00231533">
        <w:t xml:space="preserve"> </w:t>
      </w:r>
      <w:r w:rsidR="007E79C9">
        <w:t>lyhytaikaista verkko</w:t>
      </w:r>
      <w:r w:rsidR="007E79C9" w:rsidRPr="00231533">
        <w:t>toimi</w:t>
      </w:r>
      <w:r w:rsidR="007E79C9">
        <w:softHyphen/>
      </w:r>
      <w:r w:rsidR="007E79C9" w:rsidRPr="00231533">
        <w:t xml:space="preserve">lupaa </w:t>
      </w:r>
      <w:r w:rsidR="007E79C9">
        <w:t xml:space="preserve">edellyttävä toiminta.   </w:t>
      </w:r>
    </w:p>
    <w:p w:rsidR="00117838" w:rsidRDefault="00117838" w:rsidP="00AF5EC9">
      <w:pPr>
        <w:pStyle w:val="NoSpacing"/>
      </w:pPr>
    </w:p>
    <w:p w:rsidR="00117838" w:rsidRDefault="00117838" w:rsidP="00AF5EC9">
      <w:pPr>
        <w:pStyle w:val="NoSpacing"/>
      </w:pPr>
      <w:r>
        <w:t xml:space="preserve">Määräystä sovelletaan ääniradiolähettimiin sekä </w:t>
      </w:r>
      <w:r w:rsidR="0040019B">
        <w:t xml:space="preserve">niihin </w:t>
      </w:r>
      <w:r>
        <w:t>televisioverkkojen lähettimiin</w:t>
      </w:r>
      <w:r w:rsidR="0040019B">
        <w:t>,</w:t>
      </w:r>
      <w:r>
        <w:t xml:space="preserve"> joiden säteilyteho (ERP) on </w:t>
      </w:r>
      <w:r w:rsidR="0040019B">
        <w:t xml:space="preserve">yli </w:t>
      </w:r>
      <w:r>
        <w:t>500W.</w:t>
      </w:r>
      <w:r w:rsidR="00231533">
        <w:t xml:space="preserve"> Raja on asetettu </w:t>
      </w:r>
      <w:r w:rsidR="00126F01">
        <w:t xml:space="preserve">500 </w:t>
      </w:r>
      <w:r w:rsidR="003F5736">
        <w:t>watt</w:t>
      </w:r>
      <w:r w:rsidR="00126F01">
        <w:t>ii</w:t>
      </w:r>
      <w:r w:rsidR="00231533">
        <w:t>n, koska tällöin määräyksen soveltamisalaan sisältyvät pää</w:t>
      </w:r>
      <w:r w:rsidR="003F5736">
        <w:softHyphen/>
      </w:r>
      <w:r w:rsidR="00231533">
        <w:t>sään</w:t>
      </w:r>
      <w:r w:rsidR="003F5736">
        <w:softHyphen/>
      </w:r>
      <w:r w:rsidR="00231533">
        <w:t>töi</w:t>
      </w:r>
      <w:r w:rsidR="003F5736">
        <w:softHyphen/>
      </w:r>
      <w:r w:rsidR="00231533">
        <w:t xml:space="preserve">sesti kaikki televisioverkon päälähettimet. Täytelähettimien säteilytehot jäävät tämän </w:t>
      </w:r>
      <w:r w:rsidR="00F2265C">
        <w:t>rajan alle.</w:t>
      </w:r>
      <w:r w:rsidR="00231533">
        <w:t xml:space="preserve"> </w:t>
      </w:r>
    </w:p>
    <w:p w:rsidR="00117838" w:rsidRDefault="00117838" w:rsidP="00AF5EC9">
      <w:pPr>
        <w:pStyle w:val="NoSpacing"/>
      </w:pPr>
    </w:p>
    <w:p w:rsidR="00991DA3" w:rsidRDefault="00117838" w:rsidP="00AF5EC9">
      <w:pPr>
        <w:pStyle w:val="NoSpacing"/>
      </w:pPr>
      <w:r>
        <w:t>Määräystä ei sovelleta Ahvenanmaan maakunnassa.</w:t>
      </w:r>
    </w:p>
    <w:p w:rsidR="00117838" w:rsidRDefault="00117838" w:rsidP="00AF5EC9">
      <w:pPr>
        <w:pStyle w:val="NoSpacing"/>
      </w:pPr>
    </w:p>
    <w:p w:rsidR="00991DA3" w:rsidRDefault="00991DA3" w:rsidP="00AF5EC9">
      <w:pPr>
        <w:pStyle w:val="NoSpacing"/>
      </w:pPr>
      <w:r>
        <w:t>Määräy</w:t>
      </w:r>
      <w:r w:rsidR="00DB3FFD">
        <w:t>kseen</w:t>
      </w:r>
      <w:r>
        <w:t xml:space="preserve"> ei sisällytetä </w:t>
      </w:r>
      <w:r w:rsidR="00B34991">
        <w:t>valtioneuvoston</w:t>
      </w:r>
      <w:r>
        <w:t xml:space="preserve"> asetuksessa kuvattuja matka</w:t>
      </w:r>
      <w:r w:rsidR="006D0E6B">
        <w:softHyphen/>
      </w:r>
      <w:r>
        <w:t>viestintoiminnan taajuusalueita</w:t>
      </w:r>
      <w:r w:rsidR="00D06740">
        <w:t xml:space="preserve"> tai tuotekehitys- tutkimus</w:t>
      </w:r>
      <w:r w:rsidR="00A31C69">
        <w:t>- ja opetus</w:t>
      </w:r>
      <w:r w:rsidR="006D0E6B">
        <w:softHyphen/>
      </w:r>
      <w:r w:rsidR="00A31C69">
        <w:t>käyttöä</w:t>
      </w:r>
      <w:r w:rsidR="00220934">
        <w:t xml:space="preserve"> televisio- ja matkaviestin</w:t>
      </w:r>
      <w:r w:rsidR="0024061B">
        <w:t xml:space="preserve">toimintaan osoitetuilla </w:t>
      </w:r>
      <w:r w:rsidR="00220934">
        <w:t>taajuusalueilla</w:t>
      </w:r>
      <w:r>
        <w:t>.</w:t>
      </w:r>
    </w:p>
    <w:p w:rsidR="00E61E41" w:rsidRDefault="00991DA3" w:rsidP="00AF5EC9">
      <w:pPr>
        <w:pStyle w:val="NoSpacing"/>
      </w:pPr>
      <w:r>
        <w:t xml:space="preserve"> </w:t>
      </w:r>
    </w:p>
    <w:p w:rsidR="00037946" w:rsidRDefault="00037946" w:rsidP="00AF5EC9">
      <w:pPr>
        <w:pStyle w:val="NoSpacing"/>
      </w:pPr>
    </w:p>
    <w:p w:rsidR="00E16C99" w:rsidRDefault="00E16C99" w:rsidP="00AF5EC9">
      <w:pPr>
        <w:pStyle w:val="Heading1"/>
        <w:ind w:left="284" w:hanging="284"/>
      </w:pPr>
      <w:bookmarkStart w:id="12" w:name="_Toc7175946"/>
      <w:r>
        <w:t>§ Määritelmät</w:t>
      </w:r>
      <w:bookmarkEnd w:id="12"/>
      <w:r w:rsidR="00B34991">
        <w:t xml:space="preserve"> </w:t>
      </w:r>
    </w:p>
    <w:p w:rsidR="00D06261" w:rsidRDefault="00D06261" w:rsidP="00AF5EC9">
      <w:pPr>
        <w:pStyle w:val="BodyText"/>
        <w:rPr>
          <w:b/>
        </w:rPr>
      </w:pPr>
      <w:r>
        <w:rPr>
          <w:b/>
        </w:rPr>
        <w:t>Taajuuskokonaisuus</w:t>
      </w:r>
    </w:p>
    <w:p w:rsidR="00D06261" w:rsidRDefault="00D06261" w:rsidP="00AF5EC9">
      <w:pPr>
        <w:pStyle w:val="Default"/>
        <w:ind w:left="1304"/>
        <w:rPr>
          <w:color w:val="auto"/>
          <w:sz w:val="22"/>
          <w:szCs w:val="22"/>
        </w:rPr>
      </w:pPr>
      <w:r w:rsidRPr="00D06261">
        <w:rPr>
          <w:sz w:val="22"/>
          <w:szCs w:val="22"/>
        </w:rPr>
        <w:t>T</w:t>
      </w:r>
      <w:r w:rsidRPr="00F91936">
        <w:rPr>
          <w:color w:val="auto"/>
          <w:sz w:val="22"/>
          <w:szCs w:val="22"/>
        </w:rPr>
        <w:t>aajuuskokonaisuu</w:t>
      </w:r>
      <w:r>
        <w:rPr>
          <w:color w:val="auto"/>
          <w:sz w:val="22"/>
          <w:szCs w:val="22"/>
        </w:rPr>
        <w:t xml:space="preserve">s käsitteenä on yleisesti käytössä sekä </w:t>
      </w:r>
      <w:r w:rsidR="00545059">
        <w:rPr>
          <w:color w:val="auto"/>
          <w:sz w:val="22"/>
          <w:szCs w:val="22"/>
        </w:rPr>
        <w:t xml:space="preserve">sähköisen viestinnän palveluista </w:t>
      </w:r>
      <w:proofErr w:type="gramStart"/>
      <w:r w:rsidR="00545059">
        <w:rPr>
          <w:color w:val="auto"/>
          <w:sz w:val="22"/>
          <w:szCs w:val="22"/>
        </w:rPr>
        <w:t>annetussa laissa</w:t>
      </w:r>
      <w:proofErr w:type="gramEnd"/>
      <w:r>
        <w:rPr>
          <w:color w:val="auto"/>
          <w:sz w:val="22"/>
          <w:szCs w:val="22"/>
        </w:rPr>
        <w:t xml:space="preserve"> että ohjelmistotoimiluvissa. Taajuuskokonaisuuden </w:t>
      </w:r>
      <w:r w:rsidRPr="005206AC">
        <w:rPr>
          <w:color w:val="auto"/>
          <w:sz w:val="22"/>
          <w:szCs w:val="22"/>
        </w:rPr>
        <w:t>määrittely on selventävä, eikä muuta käsitteen vakiintunutta tulkintaa siitä, että kokonaisuuden taajuuksilla välitetään tiettyä ohjelmistoa</w:t>
      </w:r>
      <w:r w:rsidRPr="00C1260F">
        <w:rPr>
          <w:color w:val="auto"/>
          <w:sz w:val="22"/>
          <w:szCs w:val="22"/>
        </w:rPr>
        <w:t xml:space="preserve">, </w:t>
      </w:r>
      <w:r w:rsidRPr="00D46F80">
        <w:rPr>
          <w:color w:val="auto"/>
          <w:sz w:val="22"/>
          <w:szCs w:val="22"/>
        </w:rPr>
        <w:t xml:space="preserve">joko </w:t>
      </w:r>
      <w:r w:rsidRPr="005206AC">
        <w:rPr>
          <w:sz w:val="22"/>
          <w:szCs w:val="22"/>
        </w:rPr>
        <w:t>Yleisradion julkisen palvelun toteuttamiseksi ilman ohjelmistotoimilupaa tai analogiseen radiotoimintaan myönnetyn ohjelmistotoimiluvan nojalla.</w:t>
      </w:r>
      <w:r>
        <w:rPr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Näin ollen sillä ei myöskään ole itsenäistä vaikutusta radiotoimijoihin kohdistuviin velvoitteisiin.</w:t>
      </w:r>
    </w:p>
    <w:p w:rsidR="00D06261" w:rsidRPr="00D06261" w:rsidRDefault="00D06261" w:rsidP="00AF5EC9">
      <w:pPr>
        <w:pStyle w:val="Default"/>
        <w:ind w:left="1304"/>
        <w:rPr>
          <w:color w:val="auto"/>
          <w:sz w:val="22"/>
          <w:szCs w:val="22"/>
        </w:rPr>
      </w:pPr>
    </w:p>
    <w:p w:rsidR="0060027B" w:rsidRDefault="009E518A" w:rsidP="00AF5EC9">
      <w:pPr>
        <w:pStyle w:val="BodyText"/>
        <w:rPr>
          <w:b/>
        </w:rPr>
      </w:pPr>
      <w:r>
        <w:rPr>
          <w:b/>
        </w:rPr>
        <w:t xml:space="preserve">Valtakunnalliset </w:t>
      </w:r>
      <w:r w:rsidR="0060027B">
        <w:rPr>
          <w:b/>
        </w:rPr>
        <w:t>televisio</w:t>
      </w:r>
      <w:r>
        <w:rPr>
          <w:b/>
        </w:rPr>
        <w:t>verkot</w:t>
      </w:r>
    </w:p>
    <w:p w:rsidR="0060027B" w:rsidRDefault="00A11A59" w:rsidP="00AF5EC9">
      <w:pPr>
        <w:pStyle w:val="NoSpacing"/>
      </w:pPr>
      <w:r>
        <w:t xml:space="preserve">Taajuusresurssien kannalta valtakunnalliseksi </w:t>
      </w:r>
      <w:r w:rsidR="0060027B">
        <w:t>televisio</w:t>
      </w:r>
      <w:r w:rsidR="00F6558C">
        <w:t xml:space="preserve">verkoksi määritellään </w:t>
      </w:r>
      <w:r w:rsidR="0060027B">
        <w:t>sellainen televisio</w:t>
      </w:r>
      <w:r w:rsidR="0060027B">
        <w:softHyphen/>
      </w:r>
      <w:r w:rsidR="00F6558C">
        <w:t>verkko</w:t>
      </w:r>
      <w:r w:rsidR="0060027B">
        <w:t xml:space="preserve">, jonka </w:t>
      </w:r>
      <w:r w:rsidR="000608AD">
        <w:t>verkko</w:t>
      </w:r>
      <w:r w:rsidR="0060027B">
        <w:t xml:space="preserve">toimiluvassa määritellyn alueen mukainen väestöpeitto on </w:t>
      </w:r>
      <w:r w:rsidR="00E66D7F">
        <w:t xml:space="preserve">vähintään </w:t>
      </w:r>
      <w:r w:rsidR="0060027B">
        <w:t xml:space="preserve">80 %. </w:t>
      </w:r>
      <w:r w:rsidR="0060027B" w:rsidRPr="007F6BA0">
        <w:t>Muu</w:t>
      </w:r>
      <w:r w:rsidR="00F6558C">
        <w:t>t</w:t>
      </w:r>
      <w:r w:rsidR="0060027B" w:rsidRPr="007F6BA0">
        <w:t xml:space="preserve"> </w:t>
      </w:r>
      <w:r w:rsidR="0060027B">
        <w:t>televisio</w:t>
      </w:r>
      <w:r w:rsidR="00F6558C">
        <w:t>verkot</w:t>
      </w:r>
      <w:r w:rsidR="0060027B">
        <w:t xml:space="preserve"> o</w:t>
      </w:r>
      <w:r w:rsidR="00F6558C">
        <w:t>vat</w:t>
      </w:r>
      <w:r w:rsidR="0060027B">
        <w:t xml:space="preserve"> osa-valtakunnallis</w:t>
      </w:r>
      <w:r w:rsidR="00F6558C">
        <w:t>ia</w:t>
      </w:r>
      <w:r w:rsidR="0060027B">
        <w:t xml:space="preserve"> tai alueel</w:t>
      </w:r>
      <w:r w:rsidR="0060027B">
        <w:softHyphen/>
        <w:t>lis</w:t>
      </w:r>
      <w:r w:rsidR="00F6558C">
        <w:t>ia</w:t>
      </w:r>
      <w:r w:rsidR="0060027B" w:rsidRPr="007F6BA0">
        <w:t>.</w:t>
      </w:r>
      <w:r w:rsidR="0060027B">
        <w:t xml:space="preserve"> Ver</w:t>
      </w:r>
      <w:r w:rsidR="00446126">
        <w:softHyphen/>
      </w:r>
      <w:r w:rsidR="0060027B">
        <w:t>kon peittoalue määritellään laskennallisesti määräyksessä ilmoi</w:t>
      </w:r>
      <w:r w:rsidR="0060027B">
        <w:softHyphen/>
        <w:t>tetuilla perusteilla.</w:t>
      </w:r>
      <w:r w:rsidR="000608AD">
        <w:t xml:space="preserve"> </w:t>
      </w:r>
    </w:p>
    <w:p w:rsidR="0060027B" w:rsidRDefault="0060027B" w:rsidP="00AF5EC9">
      <w:pPr>
        <w:pStyle w:val="NoSpacing"/>
      </w:pPr>
    </w:p>
    <w:p w:rsidR="0060027B" w:rsidRDefault="00CE0170" w:rsidP="00AF5EC9">
      <w:pPr>
        <w:pStyle w:val="NoSpacing"/>
      </w:pPr>
      <w:r>
        <w:t>T</w:t>
      </w:r>
      <w:r w:rsidR="00535D56">
        <w:t>elevisiotoimijoille</w:t>
      </w:r>
      <w:r>
        <w:t xml:space="preserve"> kohdistuvien velvoitteiden osalta tämän </w:t>
      </w:r>
      <w:r w:rsidR="0060027B">
        <w:t xml:space="preserve">määräyksen </w:t>
      </w:r>
      <w:r w:rsidR="00A11A59">
        <w:t xml:space="preserve">mukaisella </w:t>
      </w:r>
      <w:r w:rsidR="0060027B">
        <w:t>valtakunnallisuuden määrittelyllä on vaiku</w:t>
      </w:r>
      <w:r w:rsidR="0060027B">
        <w:softHyphen/>
        <w:t xml:space="preserve">tusta ainoastaan digitaaliseen televisio- ja </w:t>
      </w:r>
      <w:r w:rsidR="00535D56">
        <w:t>radiotoiminnan</w:t>
      </w:r>
      <w:r w:rsidR="0060027B">
        <w:t xml:space="preserve"> valvontamaksun suuruuteen</w:t>
      </w:r>
      <w:r>
        <w:t>. Valvontamaksu</w:t>
      </w:r>
      <w:r w:rsidR="0060027B">
        <w:t xml:space="preserve"> on laissa</w:t>
      </w:r>
      <w:r>
        <w:t xml:space="preserve"> (917/2014, 294 §)</w:t>
      </w:r>
      <w:r w:rsidR="0060027B">
        <w:t xml:space="preserve"> määritelty sen mukaan, lasketaanko televisio</w:t>
      </w:r>
      <w:r w:rsidR="0060027B">
        <w:softHyphen/>
        <w:t>toi</w:t>
      </w:r>
      <w:r w:rsidR="0060027B">
        <w:softHyphen/>
        <w:t>min</w:t>
      </w:r>
      <w:r w:rsidR="0060027B">
        <w:softHyphen/>
        <w:t>ta valtakunnalliseksi vai alueelliseksi.</w:t>
      </w:r>
      <w:r w:rsidR="000608AD">
        <w:t xml:space="preserve"> </w:t>
      </w:r>
      <w:r w:rsidR="0060027B">
        <w:t xml:space="preserve"> </w:t>
      </w:r>
    </w:p>
    <w:p w:rsidR="00403970" w:rsidRDefault="00403970" w:rsidP="00AF5EC9">
      <w:pPr>
        <w:pStyle w:val="BodyText"/>
        <w:rPr>
          <w:b/>
        </w:rPr>
      </w:pPr>
    </w:p>
    <w:p w:rsidR="0060027B" w:rsidRPr="007F6BA0" w:rsidRDefault="0060027B" w:rsidP="00AF5EC9">
      <w:pPr>
        <w:pStyle w:val="BodyText"/>
        <w:rPr>
          <w:b/>
        </w:rPr>
      </w:pPr>
      <w:r w:rsidRPr="007F6BA0">
        <w:rPr>
          <w:b/>
        </w:rPr>
        <w:t>Valtakunnalli</w:t>
      </w:r>
      <w:r w:rsidR="00F6558C">
        <w:rPr>
          <w:b/>
        </w:rPr>
        <w:t>set</w:t>
      </w:r>
      <w:r w:rsidRPr="007F6BA0">
        <w:rPr>
          <w:b/>
        </w:rPr>
        <w:t xml:space="preserve"> radio</w:t>
      </w:r>
      <w:r w:rsidR="00F6558C">
        <w:rPr>
          <w:b/>
        </w:rPr>
        <w:t>verkot</w:t>
      </w:r>
    </w:p>
    <w:p w:rsidR="0060027B" w:rsidRDefault="00535D56" w:rsidP="00AF5EC9">
      <w:pPr>
        <w:pStyle w:val="BodyText"/>
      </w:pPr>
      <w:r>
        <w:t xml:space="preserve">Taajuusresurssien kannalta valtakunnallisiksi </w:t>
      </w:r>
      <w:r w:rsidR="0060027B">
        <w:t>radio</w:t>
      </w:r>
      <w:r>
        <w:t>verkoiksi</w:t>
      </w:r>
      <w:r w:rsidR="0060027B">
        <w:t xml:space="preserve"> lasketaan vain sellaiset taajuus</w:t>
      </w:r>
      <w:r w:rsidR="0060027B">
        <w:softHyphen/>
        <w:t>koko</w:t>
      </w:r>
      <w:r w:rsidR="0060027B">
        <w:softHyphen/>
        <w:t xml:space="preserve">naisuudet, joiden väestöpeitto on vähintään 75 %. </w:t>
      </w:r>
      <w:r w:rsidR="0060027B" w:rsidRPr="007F6BA0">
        <w:t>Muu</w:t>
      </w:r>
      <w:r>
        <w:t>t</w:t>
      </w:r>
      <w:r w:rsidR="0060027B" w:rsidRPr="007F6BA0">
        <w:t xml:space="preserve"> radio</w:t>
      </w:r>
      <w:r>
        <w:t>verkot</w:t>
      </w:r>
      <w:r w:rsidR="0060027B" w:rsidRPr="007F6BA0">
        <w:t xml:space="preserve"> o</w:t>
      </w:r>
      <w:r>
        <w:t>vat</w:t>
      </w:r>
      <w:r w:rsidR="0060027B" w:rsidRPr="007F6BA0">
        <w:t xml:space="preserve"> alueellis</w:t>
      </w:r>
      <w:r>
        <w:t>ia</w:t>
      </w:r>
      <w:r w:rsidR="0060027B" w:rsidRPr="007F6BA0">
        <w:t xml:space="preserve">, jolloin verkossa on useita lähettimiä, tai </w:t>
      </w:r>
      <w:r w:rsidRPr="007F6BA0">
        <w:t>paikallis</w:t>
      </w:r>
      <w:r>
        <w:t>i</w:t>
      </w:r>
      <w:r w:rsidRPr="007F6BA0">
        <w:t>a</w:t>
      </w:r>
      <w:r w:rsidR="0060027B" w:rsidRPr="007F6BA0">
        <w:t>, jolloin ver</w:t>
      </w:r>
      <w:r w:rsidR="00D06740">
        <w:softHyphen/>
      </w:r>
      <w:r w:rsidR="0060027B" w:rsidRPr="007F6BA0">
        <w:t>kossa on vain yksi lähetin.</w:t>
      </w:r>
    </w:p>
    <w:p w:rsidR="00D728EE" w:rsidRDefault="00535D56" w:rsidP="004A58F5">
      <w:pPr>
        <w:pStyle w:val="BodyText"/>
        <w:spacing w:after="0"/>
      </w:pPr>
      <w:r>
        <w:t xml:space="preserve">Radiotoimijoille kohdistuvien velvoitteiden osalta </w:t>
      </w:r>
      <w:r w:rsidR="00A662AD">
        <w:t xml:space="preserve">tämän </w:t>
      </w:r>
      <w:r w:rsidR="0060027B">
        <w:t xml:space="preserve">määräyksen </w:t>
      </w:r>
      <w:r w:rsidR="00A662AD">
        <w:t xml:space="preserve">mukaisella </w:t>
      </w:r>
      <w:r w:rsidR="0060027B">
        <w:t>valtakunnallisuuden määrittelyllä on vaiku</w:t>
      </w:r>
      <w:r w:rsidR="0060027B">
        <w:softHyphen/>
        <w:t>tusta ainoastaan radiotoiminnan valvontamaksun suuruuteen, joka on laissa</w:t>
      </w:r>
      <w:r w:rsidR="00A662AD">
        <w:t xml:space="preserve"> (917/2014, 294 §)</w:t>
      </w:r>
      <w:r w:rsidR="0060027B">
        <w:t xml:space="preserve"> määritelty sen mukaan, lasketaanko radio</w:t>
      </w:r>
      <w:r w:rsidR="0060027B">
        <w:softHyphen/>
        <w:t>toi</w:t>
      </w:r>
      <w:r w:rsidR="0060027B">
        <w:softHyphen/>
        <w:t>minta valtakunnalliseksi vai alueelliseksi tai paikalliseksi.</w:t>
      </w:r>
      <w:r w:rsidR="002F2794">
        <w:t xml:space="preserve"> </w:t>
      </w:r>
    </w:p>
    <w:p w:rsidR="004A58F5" w:rsidRDefault="004A58F5" w:rsidP="004A58F5">
      <w:pPr>
        <w:pStyle w:val="BodyText"/>
        <w:spacing w:after="0"/>
      </w:pPr>
    </w:p>
    <w:p w:rsidR="004A58F5" w:rsidRDefault="004A58F5" w:rsidP="004A58F5">
      <w:pPr>
        <w:pStyle w:val="BodyText"/>
        <w:spacing w:after="0"/>
      </w:pPr>
    </w:p>
    <w:p w:rsidR="0060027B" w:rsidRDefault="0060027B" w:rsidP="00AF5EC9">
      <w:pPr>
        <w:pStyle w:val="Heading1"/>
        <w:ind w:left="284" w:hanging="284"/>
      </w:pPr>
      <w:bookmarkStart w:id="13" w:name="_Toc7175947"/>
      <w:r>
        <w:t>§ Peittoalueet</w:t>
      </w:r>
      <w:bookmarkEnd w:id="13"/>
      <w:r>
        <w:t xml:space="preserve"> </w:t>
      </w:r>
    </w:p>
    <w:p w:rsidR="00114FD0" w:rsidRPr="00D85436" w:rsidRDefault="00114FD0" w:rsidP="00AF5EC9">
      <w:pPr>
        <w:pStyle w:val="BodyText"/>
        <w:rPr>
          <w:b/>
        </w:rPr>
      </w:pPr>
      <w:r w:rsidRPr="00D85436">
        <w:rPr>
          <w:b/>
        </w:rPr>
        <w:t>Radio</w:t>
      </w:r>
      <w:r w:rsidR="0060027B">
        <w:rPr>
          <w:b/>
        </w:rPr>
        <w:t>lähettimen ja -verkon</w:t>
      </w:r>
      <w:r w:rsidRPr="00D85436">
        <w:rPr>
          <w:b/>
        </w:rPr>
        <w:t xml:space="preserve"> </w:t>
      </w:r>
      <w:r w:rsidR="0060027B" w:rsidRPr="00D85436">
        <w:rPr>
          <w:b/>
        </w:rPr>
        <w:t>laskennalli</w:t>
      </w:r>
      <w:r w:rsidR="0060027B">
        <w:rPr>
          <w:b/>
        </w:rPr>
        <w:t>nen</w:t>
      </w:r>
      <w:r w:rsidR="0060027B" w:rsidRPr="00D85436">
        <w:rPr>
          <w:b/>
        </w:rPr>
        <w:t xml:space="preserve"> </w:t>
      </w:r>
      <w:r w:rsidRPr="00D85436">
        <w:rPr>
          <w:b/>
        </w:rPr>
        <w:t>peittoalue</w:t>
      </w:r>
    </w:p>
    <w:p w:rsidR="00126F01" w:rsidRDefault="00126F01" w:rsidP="00AF5EC9">
      <w:pPr>
        <w:pStyle w:val="BodyText"/>
      </w:pPr>
      <w:r>
        <w:t xml:space="preserve">Ääniradiolähettimen palvelualueen määrittäminen perustuu </w:t>
      </w:r>
      <w:proofErr w:type="spellStart"/>
      <w:r>
        <w:t>ITUn</w:t>
      </w:r>
      <w:proofErr w:type="spellEnd"/>
      <w:r>
        <w:t xml:space="preserve"> suosituk</w:t>
      </w:r>
      <w:r>
        <w:softHyphen/>
        <w:t xml:space="preserve">seen BS.412. Käytetty arvo 54 </w:t>
      </w:r>
      <w:proofErr w:type="spellStart"/>
      <w:r w:rsidRPr="00C80680">
        <w:t>dBµV</w:t>
      </w:r>
      <w:proofErr w:type="spellEnd"/>
      <w:r w:rsidRPr="00C80680">
        <w:t>/m</w:t>
      </w:r>
      <w:r>
        <w:t xml:space="preserve"> on suosituksen mukainen arvo stereofoniselle lähetykselle maaseutuolosuhteissa</w:t>
      </w:r>
      <w:r w:rsidR="00993F83">
        <w:t xml:space="preserve"> ja</w:t>
      </w:r>
      <w:r>
        <w:t xml:space="preserve"> </w:t>
      </w:r>
      <w:r w:rsidR="00993F83">
        <w:t xml:space="preserve">käytännössä </w:t>
      </w:r>
      <w:r>
        <w:t xml:space="preserve">arvo on riittävä myös kaupunkiympäristössä. </w:t>
      </w:r>
      <w:r w:rsidR="00993F83">
        <w:t xml:space="preserve">Kentänvoimakkuutta 54 </w:t>
      </w:r>
      <w:proofErr w:type="spellStart"/>
      <w:r w:rsidR="00993F83" w:rsidRPr="00C80680">
        <w:t>dBµV</w:t>
      </w:r>
      <w:proofErr w:type="spellEnd"/>
      <w:r w:rsidR="00993F83" w:rsidRPr="00C80680">
        <w:t>/m</w:t>
      </w:r>
      <w:r w:rsidR="00993F83">
        <w:t xml:space="preserve"> käytetään myös taajuuskoordinoinneissa naapurimaiden kanssa. </w:t>
      </w:r>
      <w:r>
        <w:t>Kentänvoimakkuuden määrittäminen vastaanottopisteessä voi perustua mitattuihin arvoihin tai laskennalliseen arvioon.</w:t>
      </w:r>
    </w:p>
    <w:p w:rsidR="0060027B" w:rsidRDefault="0060027B" w:rsidP="00AF5EC9">
      <w:pPr>
        <w:pStyle w:val="BodyText"/>
      </w:pPr>
      <w:r>
        <w:rPr>
          <w:b/>
        </w:rPr>
        <w:t>T</w:t>
      </w:r>
      <w:r w:rsidRPr="00D85436">
        <w:rPr>
          <w:b/>
        </w:rPr>
        <w:t>elevisio</w:t>
      </w:r>
      <w:r>
        <w:rPr>
          <w:b/>
        </w:rPr>
        <w:t>lähettimen- ja verk</w:t>
      </w:r>
      <w:r w:rsidRPr="00D85436">
        <w:rPr>
          <w:b/>
        </w:rPr>
        <w:t>on laskennalli</w:t>
      </w:r>
      <w:r>
        <w:rPr>
          <w:b/>
        </w:rPr>
        <w:t>nen</w:t>
      </w:r>
      <w:r w:rsidRPr="00D85436">
        <w:rPr>
          <w:b/>
        </w:rPr>
        <w:t xml:space="preserve"> peittoalue</w:t>
      </w:r>
    </w:p>
    <w:p w:rsidR="00F3417F" w:rsidRDefault="00F3417F" w:rsidP="00AF5EC9">
      <w:pPr>
        <w:pStyle w:val="BodyText"/>
      </w:pPr>
      <w:r w:rsidRPr="006E3003">
        <w:t>Televisioverkon peittoalueella tarkoitetaan aluetta, jolla suosituksen ITU-R P.1546 mukaisella radioaaltojen etenemismallilla ennustettava kentän</w:t>
      </w:r>
      <w:r w:rsidR="006D0E6B">
        <w:softHyphen/>
      </w:r>
      <w:r w:rsidRPr="006E3003">
        <w:t>voi</w:t>
      </w:r>
      <w:r w:rsidR="006D0E6B">
        <w:softHyphen/>
      </w:r>
      <w:r w:rsidRPr="006E3003">
        <w:t>makkuus ylittää keskimääräisen minimikentänvoimakkuuden aika</w:t>
      </w:r>
      <w:r w:rsidR="006D0E6B">
        <w:softHyphen/>
      </w:r>
      <w:r w:rsidRPr="006E3003">
        <w:t>toden</w:t>
      </w:r>
      <w:r w:rsidR="006D0E6B">
        <w:softHyphen/>
      </w:r>
      <w:r w:rsidRPr="006E3003">
        <w:t xml:space="preserve">näköisyydellä 50 </w:t>
      </w:r>
      <w:r>
        <w:t>%</w:t>
      </w:r>
      <w:r w:rsidRPr="006E3003">
        <w:t xml:space="preserve"> vastaanottoantennin ollessa 10 metrin korkeudella maan pinnasta.</w:t>
      </w:r>
    </w:p>
    <w:p w:rsidR="00F3417F" w:rsidRDefault="00F3417F" w:rsidP="00AF5EC9">
      <w:pPr>
        <w:pStyle w:val="BodyText"/>
      </w:pPr>
      <w:r>
        <w:t>Kentänvoimakkuuden</w:t>
      </w:r>
      <w:r w:rsidR="00D85436">
        <w:t xml:space="preserve"> määrittäminen perustuu</w:t>
      </w:r>
      <w:r w:rsidR="00A278C7">
        <w:t xml:space="preserve"> DVB-T-lähetysten osalta</w:t>
      </w:r>
      <w:r w:rsidR="00D85436">
        <w:t xml:space="preserve"> kansainvälisen televiestintäliiton </w:t>
      </w:r>
      <w:proofErr w:type="spellStart"/>
      <w:r w:rsidR="00D85436">
        <w:t>ITU</w:t>
      </w:r>
      <w:r w:rsidR="00E61E41">
        <w:t>n</w:t>
      </w:r>
      <w:proofErr w:type="spellEnd"/>
      <w:r w:rsidR="00E61E41">
        <w:t xml:space="preserve"> puitteissa </w:t>
      </w:r>
      <w:r w:rsidR="004F4DE8">
        <w:t xml:space="preserve">Genevessä </w:t>
      </w:r>
      <w:r w:rsidR="00E61E41">
        <w:t>vuonna 2006 solmittuun taajuuksienkäyttösopimukseen</w:t>
      </w:r>
      <w:r>
        <w:t xml:space="preserve"> </w:t>
      </w:r>
      <w:r w:rsidR="00A278C7">
        <w:t xml:space="preserve">ja DVB-T2-lähetysten osalta Euroopan </w:t>
      </w:r>
      <w:r w:rsidR="00375916">
        <w:t xml:space="preserve">yleisradioliiton </w:t>
      </w:r>
      <w:proofErr w:type="spellStart"/>
      <w:r w:rsidR="00375916">
        <w:t>EBUn</w:t>
      </w:r>
      <w:proofErr w:type="spellEnd"/>
      <w:r w:rsidR="00375916">
        <w:t xml:space="preserve"> raporttiin </w:t>
      </w:r>
      <w:r w:rsidR="00375916" w:rsidRPr="00F34354">
        <w:rPr>
          <w:i/>
        </w:rPr>
        <w:t xml:space="preserve">TECH 3348: </w:t>
      </w:r>
      <w:proofErr w:type="spellStart"/>
      <w:r w:rsidR="00375916" w:rsidRPr="00F34354">
        <w:rPr>
          <w:i/>
        </w:rPr>
        <w:t>Frequency</w:t>
      </w:r>
      <w:proofErr w:type="spellEnd"/>
      <w:r w:rsidR="00375916" w:rsidRPr="00F34354">
        <w:rPr>
          <w:i/>
        </w:rPr>
        <w:t xml:space="preserve"> and </w:t>
      </w:r>
      <w:proofErr w:type="spellStart"/>
      <w:r w:rsidR="00375916" w:rsidRPr="00F34354">
        <w:rPr>
          <w:i/>
        </w:rPr>
        <w:t>network</w:t>
      </w:r>
      <w:proofErr w:type="spellEnd"/>
      <w:r w:rsidR="00375916" w:rsidRPr="00F34354">
        <w:rPr>
          <w:i/>
        </w:rPr>
        <w:t xml:space="preserve"> Planning </w:t>
      </w:r>
      <w:proofErr w:type="spellStart"/>
      <w:r w:rsidR="00375916" w:rsidRPr="00F34354">
        <w:rPr>
          <w:i/>
        </w:rPr>
        <w:t>Aspects</w:t>
      </w:r>
      <w:proofErr w:type="spellEnd"/>
      <w:r w:rsidR="00375916" w:rsidRPr="00F34354">
        <w:rPr>
          <w:i/>
        </w:rPr>
        <w:t xml:space="preserve"> of DVB-T2</w:t>
      </w:r>
      <w:r w:rsidR="00375916">
        <w:t xml:space="preserve">. </w:t>
      </w:r>
      <w:r w:rsidR="00375916" w:rsidDel="00375916">
        <w:t xml:space="preserve"> </w:t>
      </w:r>
      <w:r>
        <w:t>DVB-T</w:t>
      </w:r>
      <w:r w:rsidR="001E5F3A">
        <w:t xml:space="preserve"> </w:t>
      </w:r>
      <w:r>
        <w:t>-k</w:t>
      </w:r>
      <w:r w:rsidR="0076495E">
        <w:t>entänvoimakkuude</w:t>
      </w:r>
      <w:r>
        <w:t xml:space="preserve">n laskennassa on käytetty oletusarvona nykyisiä </w:t>
      </w:r>
      <w:proofErr w:type="spellStart"/>
      <w:r>
        <w:t>verkkoparametrejä</w:t>
      </w:r>
      <w:proofErr w:type="spellEnd"/>
      <w:r>
        <w:t xml:space="preserve"> eli modulaationa 64 QAM ja koodaussuhteena 2/3. </w:t>
      </w:r>
      <w:r w:rsidR="0076495E">
        <w:t xml:space="preserve"> </w:t>
      </w:r>
      <w:r>
        <w:t xml:space="preserve">Geneven sopimuksen mukainen kantoaaltokohinasuhde on 19,5 dB. </w:t>
      </w:r>
      <w:r w:rsidR="004F4DE8">
        <w:t>Taustakohinalle ja kaapeli</w:t>
      </w:r>
      <w:r w:rsidR="00446126">
        <w:softHyphen/>
      </w:r>
      <w:r w:rsidR="004F4DE8">
        <w:lastRenderedPageBreak/>
        <w:t xml:space="preserve">vaimennukselle on käytetty Geneven sopimuksen mukaisia oletusarvoja. Vastaanottimen kohinaluvuksi on oletettu 6 dB, mikä on suurin </w:t>
      </w:r>
      <w:proofErr w:type="spellStart"/>
      <w:r w:rsidR="004F4DE8">
        <w:t>NorDig</w:t>
      </w:r>
      <w:proofErr w:type="spellEnd"/>
      <w:r w:rsidR="004F4DE8">
        <w:t>-</w:t>
      </w:r>
      <w:r w:rsidR="00D06740">
        <w:t>vaatimusten</w:t>
      </w:r>
      <w:r w:rsidR="004F4DE8">
        <w:t xml:space="preserve"> </w:t>
      </w:r>
      <w:r w:rsidR="00D06740">
        <w:t xml:space="preserve">mukainen </w:t>
      </w:r>
      <w:r w:rsidR="004F4DE8">
        <w:t xml:space="preserve">arvo. </w:t>
      </w:r>
      <w:r>
        <w:t>Kun vastaanottoantennin vah</w:t>
      </w:r>
      <w:r w:rsidR="00D06740">
        <w:softHyphen/>
        <w:t>vis</w:t>
      </w:r>
      <w:r w:rsidR="00D06740">
        <w:softHyphen/>
      </w:r>
      <w:r>
        <w:t xml:space="preserve">tukseksi oletetaan suurin kuluttajalta edellytettävä antennivahvistus 17 </w:t>
      </w:r>
      <w:proofErr w:type="spellStart"/>
      <w:r>
        <w:t>dBi</w:t>
      </w:r>
      <w:proofErr w:type="spellEnd"/>
      <w:r w:rsidR="004F4DE8">
        <w:t>,</w:t>
      </w:r>
      <w:r>
        <w:t xml:space="preserve"> pääs</w:t>
      </w:r>
      <w:r w:rsidR="00446126">
        <w:softHyphen/>
      </w:r>
      <w:r>
        <w:t xml:space="preserve">tään keskitaajuudella 580 MHz kentänvoimakkuuden arvoon 49 </w:t>
      </w:r>
      <w:proofErr w:type="spellStart"/>
      <w:r>
        <w:t>dBµV</w:t>
      </w:r>
      <w:proofErr w:type="spellEnd"/>
      <w:r>
        <w:t>/m.</w:t>
      </w:r>
      <w:r w:rsidR="00F34354">
        <w:t xml:space="preserve"> </w:t>
      </w:r>
      <w:r w:rsidR="00B37016">
        <w:t>T</w:t>
      </w:r>
      <w:r w:rsidR="00F34354">
        <w:t xml:space="preserve">aajuus 580 MHz </w:t>
      </w:r>
      <w:r w:rsidR="00B37016">
        <w:t xml:space="preserve">on </w:t>
      </w:r>
      <w:r w:rsidR="00F34354">
        <w:t xml:space="preserve">televisiokäytössä </w:t>
      </w:r>
      <w:r w:rsidR="00616A19">
        <w:t>vuoden 2016</w:t>
      </w:r>
      <w:r w:rsidR="00F34354">
        <w:t xml:space="preserve"> jälkeen säilyvän kaistan 470 - 694 MHz </w:t>
      </w:r>
      <w:r w:rsidR="00B37016">
        <w:t>mukainen keskitaajuus</w:t>
      </w:r>
      <w:r w:rsidR="00F34354">
        <w:t xml:space="preserve"> </w:t>
      </w:r>
      <w:r w:rsidR="00B37016">
        <w:t xml:space="preserve">pyöristettynä </w:t>
      </w:r>
      <w:r w:rsidR="00F34354">
        <w:t>lähimpään täyteen kymmeneen megahertsiin.</w:t>
      </w:r>
      <w:r w:rsidR="008342D3">
        <w:t xml:space="preserve"> </w:t>
      </w:r>
      <w:r w:rsidR="001E5F3A">
        <w:t>DVB-T -verkkojen parametrien voidaan olettaa pysyvän vakioina, minkä vuoksi arvoja ei ole taulukoitu eri parametriyhdistelmille. Mikäli muu</w:t>
      </w:r>
      <w:r w:rsidR="00D06740">
        <w:softHyphen/>
      </w:r>
      <w:r w:rsidR="001E5F3A">
        <w:t>tok</w:t>
      </w:r>
      <w:r w:rsidR="00D06740">
        <w:softHyphen/>
      </w:r>
      <w:r w:rsidR="001E5F3A">
        <w:t xml:space="preserve">sia verkkoparametrien käyttöön tulee, ovat arvot taulukoitavissa myös DVB-T -verkoille. </w:t>
      </w:r>
    </w:p>
    <w:p w:rsidR="004A4D6A" w:rsidRDefault="004F4DE8" w:rsidP="002F2794">
      <w:pPr>
        <w:pStyle w:val="BodyText"/>
      </w:pPr>
      <w:r>
        <w:t xml:space="preserve">DVB-T2-kentänvoimakkuus on laskettu erilaisille verkkoparametreille, minkä vuoksi ne on esitetty taulukossa määräyksen liitteenä erikseen UHF- ja VHF-taajuusalueille. </w:t>
      </w:r>
      <w:r w:rsidR="00993F83">
        <w:t xml:space="preserve">Mikäli tulevaisuudessa käyttöön vakiintuvat DVB-T2 parametrit eroavat taulukoiduista, </w:t>
      </w:r>
      <w:r w:rsidR="004C6A7E">
        <w:t>määräyksen taulukkoa päivitet</w:t>
      </w:r>
      <w:r w:rsidR="00993F83">
        <w:t>ää</w:t>
      </w:r>
      <w:r w:rsidR="004C6A7E">
        <w:t>n</w:t>
      </w:r>
      <w:r w:rsidR="00993F83">
        <w:t xml:space="preserve">. </w:t>
      </w:r>
      <w:r>
        <w:t xml:space="preserve">UHF-alueen osalta oletusarvot ovat samat kuin edellä, VHF-taajuuksille keskitaajuutena on käytetty 200 MHz ja vastaanottoantennin vahvistuksena 11 </w:t>
      </w:r>
      <w:proofErr w:type="spellStart"/>
      <w:r>
        <w:t>dBi</w:t>
      </w:r>
      <w:proofErr w:type="spellEnd"/>
      <w:r>
        <w:t>.</w:t>
      </w:r>
    </w:p>
    <w:p w:rsidR="002F2794" w:rsidRDefault="002F2794" w:rsidP="002F2794">
      <w:pPr>
        <w:pStyle w:val="BodyText"/>
      </w:pPr>
    </w:p>
    <w:p w:rsidR="00037946" w:rsidRDefault="004A4D6A" w:rsidP="00AF5EC9">
      <w:pPr>
        <w:pStyle w:val="Subtitle"/>
      </w:pPr>
      <w:bookmarkStart w:id="14" w:name="_Toc7175948"/>
      <w:r>
        <w:t>Luku 2 Televisiotoiminta</w:t>
      </w:r>
      <w:bookmarkEnd w:id="14"/>
      <w:r>
        <w:t xml:space="preserve"> </w:t>
      </w:r>
    </w:p>
    <w:p w:rsidR="00E75BC7" w:rsidRDefault="006A50EC" w:rsidP="00AF5EC9">
      <w:pPr>
        <w:pStyle w:val="Heading1"/>
        <w:ind w:left="284" w:hanging="284"/>
      </w:pPr>
      <w:bookmarkStart w:id="15" w:name="_Toc7175949"/>
      <w:r>
        <w:t xml:space="preserve">§ </w:t>
      </w:r>
      <w:r w:rsidR="00E75BC7" w:rsidRPr="00E75BC7">
        <w:t>Televisio</w:t>
      </w:r>
      <w:r w:rsidR="00E11FFB">
        <w:t>verkkojen</w:t>
      </w:r>
      <w:r w:rsidR="00E75BC7" w:rsidRPr="00E75BC7">
        <w:t xml:space="preserve"> käytettävissä olevat kanavat</w:t>
      </w:r>
      <w:bookmarkEnd w:id="15"/>
    </w:p>
    <w:p w:rsidR="00D3492D" w:rsidRDefault="00D3492D" w:rsidP="00AF5EC9">
      <w:pPr>
        <w:pStyle w:val="NoSpacing"/>
      </w:pPr>
      <w:r>
        <w:t>Televisiotoiminnan osalta määräys sisältää valtioneuvoston myöntämien verkkotoimilupien käyttöön varatut taajuusresurssit</w:t>
      </w:r>
      <w:r w:rsidR="00220934">
        <w:t xml:space="preserve"> kokonaisuudessaan</w:t>
      </w:r>
      <w:r>
        <w:t>.</w:t>
      </w:r>
      <w:r w:rsidR="00220934">
        <w:t xml:space="preserve"> </w:t>
      </w:r>
      <w:r>
        <w:t xml:space="preserve"> Kanavanippujen osalta ilmoitetaan toimiluvanmukaiseen toimintaan käy</w:t>
      </w:r>
      <w:r w:rsidR="00A244DF">
        <w:softHyphen/>
      </w:r>
      <w:r>
        <w:t>tettävissä olevat televisiokanavat alueittain. Alueet on yksilöity pää</w:t>
      </w:r>
      <w:r w:rsidR="00A244DF">
        <w:softHyphen/>
      </w:r>
      <w:r>
        <w:t>lähetti</w:t>
      </w:r>
      <w:r w:rsidR="00A244DF">
        <w:softHyphen/>
      </w:r>
      <w:r>
        <w:t xml:space="preserve">men sijaintikunnan perusteella. </w:t>
      </w:r>
    </w:p>
    <w:p w:rsidR="00D3492D" w:rsidRDefault="00D3492D" w:rsidP="00AF5EC9">
      <w:pPr>
        <w:pStyle w:val="NoSpacing"/>
      </w:pPr>
    </w:p>
    <w:p w:rsidR="00D3492D" w:rsidRDefault="00D3492D" w:rsidP="00AF5EC9">
      <w:pPr>
        <w:pStyle w:val="NoSpacing"/>
      </w:pPr>
      <w:r>
        <w:t>Suoraan määräykseen sisällytetään televisiotoiminnan osalta ainoastaan päälähettimien käyttöön var</w:t>
      </w:r>
      <w:r w:rsidR="00EE5958">
        <w:t xml:space="preserve">atut taajuudet. Täytelähettimiksi katsottavien, säteilyteholtaan (ERP) enintään 500 W olevien lähettimien </w:t>
      </w:r>
      <w:r>
        <w:t>määrä on suuri ja niiden taajuuksissa tapahtuu muutoksia useammin kuin muiden lähetti</w:t>
      </w:r>
      <w:r w:rsidR="006D0E6B">
        <w:softHyphen/>
      </w:r>
      <w:r>
        <w:t xml:space="preserve">mien, joten niitä ei ole otettu mukaan määräykseen. </w:t>
      </w:r>
    </w:p>
    <w:p w:rsidR="009E518A" w:rsidRDefault="009E518A" w:rsidP="00AF5EC9">
      <w:pPr>
        <w:pStyle w:val="NoSpacing"/>
      </w:pPr>
    </w:p>
    <w:p w:rsidR="009E518A" w:rsidRDefault="009E518A" w:rsidP="00AF5EC9">
      <w:pPr>
        <w:pStyle w:val="NoSpacing"/>
      </w:pPr>
      <w:r>
        <w:t xml:space="preserve">Mikäli </w:t>
      </w:r>
      <w:r w:rsidRPr="009E518A">
        <w:t>toimilupa-alue pienenee, poistetaan käyttämättä jäävät taajuudet listasta siihen saakka, kunnes niitä ollaan liittämässä uusiin toimilupiin.</w:t>
      </w:r>
      <w:r>
        <w:t xml:space="preserve"> </w:t>
      </w:r>
    </w:p>
    <w:p w:rsidR="00D3492D" w:rsidRDefault="00D3492D" w:rsidP="00AF5EC9">
      <w:pPr>
        <w:pStyle w:val="NoSpacing"/>
      </w:pPr>
    </w:p>
    <w:p w:rsidR="00A36380" w:rsidRDefault="00D3492D" w:rsidP="00AF5EC9">
      <w:pPr>
        <w:pStyle w:val="NoSpacing"/>
      </w:pPr>
      <w:r>
        <w:t>Täytelähettimien kuten muidenkin televisio- ja ääniradiolähettimien tekni</w:t>
      </w:r>
      <w:r w:rsidR="006D0E6B">
        <w:softHyphen/>
      </w:r>
      <w:r>
        <w:t xml:space="preserve">set tiedot ovat saatavissa </w:t>
      </w:r>
      <w:r w:rsidR="0005058C">
        <w:t>Liikenne- ja viestintäviraston</w:t>
      </w:r>
      <w:r>
        <w:t xml:space="preserve"> www-sivuilta. Tiedot päivitetään lähettimien radiolupien tietojen perusteella kerran vuorokaudessa.</w:t>
      </w:r>
    </w:p>
    <w:p w:rsidR="0005058C" w:rsidRDefault="0005058C" w:rsidP="002F2794">
      <w:pPr>
        <w:pStyle w:val="NoSpacing"/>
      </w:pPr>
    </w:p>
    <w:p w:rsidR="00D83B98" w:rsidRDefault="00D83B98" w:rsidP="002F2794">
      <w:pPr>
        <w:pStyle w:val="NoSpacing"/>
      </w:pPr>
      <w:r w:rsidRPr="002E1F0D">
        <w:t xml:space="preserve">Yleisen edun televisiotoiminnan osalta </w:t>
      </w:r>
      <w:r>
        <w:t xml:space="preserve">pykälässä </w:t>
      </w:r>
      <w:r w:rsidRPr="002E1F0D">
        <w:t xml:space="preserve">osoitetaan se kapasiteetti, joka televisiotoiminnan yhteiskäytössä olevista kanavanipuista on varattu ensisijaisesti </w:t>
      </w:r>
      <w:r w:rsidR="00545059">
        <w:t>sähköisen viestinnän palveluista annetun lain</w:t>
      </w:r>
      <w:r w:rsidRPr="002E1F0D">
        <w:t xml:space="preserve"> 26 §:n mukaiseen yleisen edun televisiotoimintaan. Mikäli yleisen edun </w:t>
      </w:r>
      <w:r w:rsidRPr="002E1F0D">
        <w:lastRenderedPageBreak/>
        <w:t xml:space="preserve">televisiotoimintaan myönnettyjen ohjelmistotoimilupien kapasiteettimäärä alittaa sen käyttöön varatun kapasiteettimäärän, kapasiteettia voidaan toissijaisesti myöntää </w:t>
      </w:r>
      <w:r>
        <w:t xml:space="preserve">myös muuhun </w:t>
      </w:r>
      <w:r w:rsidR="00545059">
        <w:t>sähköisen viestinnän palveluista annetun lain</w:t>
      </w:r>
      <w:r w:rsidRPr="002E1F0D">
        <w:t xml:space="preserve"> 2</w:t>
      </w:r>
      <w:r>
        <w:t>2</w:t>
      </w:r>
      <w:r w:rsidRPr="002E1F0D">
        <w:t xml:space="preserve"> §:n mukaiseen digitaaliseen televisiotoimintaan.</w:t>
      </w:r>
    </w:p>
    <w:p w:rsidR="009E518A" w:rsidRDefault="009E518A" w:rsidP="00AF5EC9">
      <w:pPr>
        <w:pStyle w:val="NoSpacing"/>
      </w:pPr>
    </w:p>
    <w:p w:rsidR="002E1F0D" w:rsidRDefault="002E1F0D" w:rsidP="00AF5EC9">
      <w:pPr>
        <w:pStyle w:val="NoSpacing"/>
      </w:pPr>
    </w:p>
    <w:p w:rsidR="009E518A" w:rsidRPr="009E518A" w:rsidRDefault="004A4D6A" w:rsidP="00AF5EC9">
      <w:pPr>
        <w:pStyle w:val="Subtitle"/>
      </w:pPr>
      <w:bookmarkStart w:id="16" w:name="_Toc7175950"/>
      <w:r>
        <w:t xml:space="preserve">Luku 3 </w:t>
      </w:r>
      <w:r w:rsidRPr="004A4D6A">
        <w:t>Yleisradio Oy:n radiotoiminta</w:t>
      </w:r>
      <w:bookmarkEnd w:id="16"/>
      <w:r w:rsidRPr="004A4D6A">
        <w:t xml:space="preserve"> </w:t>
      </w:r>
    </w:p>
    <w:p w:rsidR="006A50EC" w:rsidRDefault="006A50EC" w:rsidP="00AF5EC9">
      <w:pPr>
        <w:pStyle w:val="Heading1"/>
        <w:ind w:left="284" w:hanging="284"/>
      </w:pPr>
      <w:bookmarkStart w:id="17" w:name="_Toc7175951"/>
      <w:r>
        <w:t xml:space="preserve">§ </w:t>
      </w:r>
      <w:r w:rsidRPr="006A50EC">
        <w:t>Yleisradio Oy:n radiotoiminnan käytettävissä olevat taajuudet</w:t>
      </w:r>
      <w:bookmarkEnd w:id="17"/>
      <w:r>
        <w:t xml:space="preserve"> </w:t>
      </w:r>
    </w:p>
    <w:p w:rsidR="00AB56AE" w:rsidRDefault="006A50EC" w:rsidP="00AF5EC9">
      <w:pPr>
        <w:pStyle w:val="NoSpacing"/>
        <w:rPr>
          <w:b/>
        </w:rPr>
      </w:pPr>
      <w:r>
        <w:t>T</w:t>
      </w:r>
      <w:r w:rsidR="00DB3FFD">
        <w:t xml:space="preserve">aajuusluetteloissa </w:t>
      </w:r>
      <w:r w:rsidR="001E08E8">
        <w:t xml:space="preserve">on lueteltu </w:t>
      </w:r>
      <w:r w:rsidR="00DB3FFD">
        <w:t>Yleisradion</w:t>
      </w:r>
      <w:r w:rsidR="0040019B" w:rsidRPr="0040019B">
        <w:t xml:space="preserve"> </w:t>
      </w:r>
      <w:r w:rsidR="0040019B">
        <w:t>radiotoimintaan osoitetut taa</w:t>
      </w:r>
      <w:r w:rsidR="00446126">
        <w:softHyphen/>
      </w:r>
      <w:r w:rsidR="0040019B">
        <w:t>juudet radiokanavittain</w:t>
      </w:r>
      <w:r>
        <w:t xml:space="preserve">. Määräykseen on sisällytetty mukaan kaikki käytössä olevat </w:t>
      </w:r>
      <w:r w:rsidR="00D116E9">
        <w:t xml:space="preserve">Yleisradion </w:t>
      </w:r>
      <w:r>
        <w:t>ääniradiolähettimet ilman alatehorajaa.</w:t>
      </w:r>
    </w:p>
    <w:p w:rsidR="00623E6C" w:rsidRDefault="00623E6C" w:rsidP="00AF5EC9">
      <w:pPr>
        <w:pStyle w:val="NoSpacing"/>
      </w:pPr>
    </w:p>
    <w:p w:rsidR="00AF5EC9" w:rsidRPr="005A4B20" w:rsidRDefault="00AF5EC9" w:rsidP="00AF5EC9">
      <w:pPr>
        <w:pStyle w:val="NoSpacing"/>
      </w:pPr>
    </w:p>
    <w:p w:rsidR="00B6756B" w:rsidRDefault="00AB56AE" w:rsidP="00AF5EC9">
      <w:pPr>
        <w:pStyle w:val="Subtitle"/>
      </w:pPr>
      <w:bookmarkStart w:id="18" w:name="_Toc7175952"/>
      <w:r w:rsidRPr="00AF5EC9">
        <w:t xml:space="preserve">Luku 4 </w:t>
      </w:r>
      <w:r w:rsidR="0057420D" w:rsidRPr="00AF5EC9">
        <w:t>T</w:t>
      </w:r>
      <w:r w:rsidRPr="00AF5EC9">
        <w:t>oimiluvanvarainen radiotoiminta</w:t>
      </w:r>
      <w:r w:rsidR="0057420D" w:rsidRPr="00AF5EC9">
        <w:t xml:space="preserve"> ja taajuudet koulutus- ja opetuskäyttöön</w:t>
      </w:r>
      <w:bookmarkEnd w:id="18"/>
    </w:p>
    <w:p w:rsidR="006A50EC" w:rsidRDefault="00124038" w:rsidP="00AF5EC9">
      <w:pPr>
        <w:pStyle w:val="Heading1"/>
        <w:ind w:left="284" w:hanging="284"/>
      </w:pPr>
      <w:bookmarkStart w:id="19" w:name="_Toc7175953"/>
      <w:r>
        <w:t xml:space="preserve">§ </w:t>
      </w:r>
      <w:r w:rsidR="006A50EC" w:rsidRPr="006A50EC">
        <w:t>Valtakunnallisen radiotoiminnan käytettävissä olevat taajuudet</w:t>
      </w:r>
      <w:bookmarkEnd w:id="19"/>
      <w:r w:rsidR="006A50EC">
        <w:t xml:space="preserve"> </w:t>
      </w:r>
    </w:p>
    <w:p w:rsidR="00D116E9" w:rsidRDefault="006A50EC" w:rsidP="002F2794">
      <w:pPr>
        <w:pStyle w:val="NoSpacing"/>
      </w:pPr>
      <w:r>
        <w:t>Valtakunnalliseen t</w:t>
      </w:r>
      <w:r w:rsidR="00DB3FFD">
        <w:t xml:space="preserve">oimiluvanvaraiseen radiotoimintaan osoitetut taajuudet </w:t>
      </w:r>
      <w:r>
        <w:t xml:space="preserve">on esitetty </w:t>
      </w:r>
      <w:r w:rsidR="00DB3FFD">
        <w:t xml:space="preserve">taajuuskokonaisuuksittain. </w:t>
      </w:r>
      <w:r w:rsidR="00114FD0">
        <w:t>Taajuudet kunkin kokonai</w:t>
      </w:r>
      <w:r w:rsidR="006D0E6B">
        <w:softHyphen/>
      </w:r>
      <w:r w:rsidR="00114FD0">
        <w:t xml:space="preserve">suuden osalta ilmoitetaan lähettimien sijaintikunnittain. </w:t>
      </w:r>
      <w:r w:rsidR="00EB4A90">
        <w:t>Ääniradio</w:t>
      </w:r>
      <w:r w:rsidR="00A244DF">
        <w:softHyphen/>
      </w:r>
      <w:r w:rsidR="00EB4A90">
        <w:t>lähetti</w:t>
      </w:r>
      <w:r w:rsidR="00A244DF">
        <w:softHyphen/>
      </w:r>
      <w:r w:rsidR="00EB4A90">
        <w:t>mien osalta määräykseen on</w:t>
      </w:r>
      <w:r w:rsidR="00D116E9">
        <w:t xml:space="preserve"> otettu</w:t>
      </w:r>
      <w:r w:rsidR="00EB4A90">
        <w:t xml:space="preserve"> mukaan kaikki toimiluvan</w:t>
      </w:r>
      <w:r w:rsidR="00A244DF">
        <w:softHyphen/>
      </w:r>
      <w:r w:rsidR="00EB4A90">
        <w:t>varaiseen toimintaan osoitetut lähettimet ilman alatehorajaa.</w:t>
      </w:r>
      <w:r w:rsidR="001E08E8">
        <w:t xml:space="preserve"> </w:t>
      </w:r>
    </w:p>
    <w:p w:rsidR="006D5632" w:rsidRDefault="006D5632" w:rsidP="00AF5EC9">
      <w:pPr>
        <w:pStyle w:val="NoSpacing"/>
      </w:pPr>
    </w:p>
    <w:p w:rsidR="00D116E9" w:rsidRDefault="00D116E9" w:rsidP="00AF5EC9">
      <w:pPr>
        <w:pStyle w:val="Heading1"/>
        <w:ind w:left="284" w:hanging="284"/>
      </w:pPr>
      <w:bookmarkStart w:id="20" w:name="_Toc7175954"/>
      <w:r>
        <w:t xml:space="preserve">§ </w:t>
      </w:r>
      <w:r w:rsidRPr="00D116E9">
        <w:t>Muun kuin valtakunnallisen toimiluvanvaraisen radiotoiminnan käytettävissä olevat taajuudet</w:t>
      </w:r>
      <w:bookmarkEnd w:id="20"/>
    </w:p>
    <w:p w:rsidR="006827DC" w:rsidRDefault="00D116E9" w:rsidP="002F2794">
      <w:pPr>
        <w:pStyle w:val="NoSpacing"/>
      </w:pPr>
      <w:r>
        <w:t>Pykälän sisältö on vastaava kuin val</w:t>
      </w:r>
      <w:r w:rsidR="0005058C">
        <w:t>takunnallisen toiminnan osalta.</w:t>
      </w:r>
    </w:p>
    <w:p w:rsidR="001C0EE9" w:rsidRDefault="001C0EE9" w:rsidP="00AF5EC9">
      <w:pPr>
        <w:pStyle w:val="NoSpacing"/>
      </w:pPr>
    </w:p>
    <w:p w:rsidR="001C0EE9" w:rsidRDefault="001C0EE9" w:rsidP="00AF5EC9">
      <w:pPr>
        <w:pStyle w:val="Heading1"/>
        <w:ind w:left="284" w:hanging="284"/>
      </w:pPr>
      <w:bookmarkStart w:id="21" w:name="_Toc7175955"/>
      <w:r>
        <w:t xml:space="preserve">§ </w:t>
      </w:r>
      <w:r w:rsidRPr="001C0EE9">
        <w:t>Koulutus- ja opetuskäyttöön osoitettavat taajuudet</w:t>
      </w:r>
      <w:bookmarkEnd w:id="21"/>
    </w:p>
    <w:p w:rsidR="001E08E8" w:rsidRDefault="00D5677D" w:rsidP="00AF5EC9">
      <w:pPr>
        <w:pStyle w:val="NoSpacing"/>
      </w:pPr>
      <w:r>
        <w:t>Pykälä sisältää</w:t>
      </w:r>
      <w:r w:rsidR="00D3492D">
        <w:t xml:space="preserve"> koulutus- ja opetuskäyttöön</w:t>
      </w:r>
      <w:r>
        <w:t xml:space="preserve"> varatut ääniradiotaajuudet</w:t>
      </w:r>
      <w:r w:rsidR="00D3492D">
        <w:t xml:space="preserve">. Tämä </w:t>
      </w:r>
      <w:r>
        <w:t xml:space="preserve">varaus </w:t>
      </w:r>
      <w:r w:rsidR="00D3492D">
        <w:t>on katsottu tarkoituksenmukaiseksi, jotta esimerkiksi alalle tulevan henkilöstön koulutukselle annetaan mah</w:t>
      </w:r>
      <w:r w:rsidR="00A244DF">
        <w:softHyphen/>
      </w:r>
      <w:r w:rsidR="00D3492D">
        <w:t>dolli</w:t>
      </w:r>
      <w:r w:rsidR="00A244DF">
        <w:softHyphen/>
      </w:r>
      <w:r w:rsidR="00446126">
        <w:softHyphen/>
      </w:r>
      <w:r w:rsidR="00D3492D">
        <w:t>suuksia toimia todellisessa ympäristössä. Nämä taajuudet varataan kyseiseen käyttöön vain lukukausien ajaksi, muuna aikana ne ovat käy</w:t>
      </w:r>
      <w:r w:rsidR="00A36380">
        <w:softHyphen/>
      </w:r>
      <w:r w:rsidR="00D3492D">
        <w:t>tettävissä lyhytaikaiseen radiotoimintaan.</w:t>
      </w:r>
    </w:p>
    <w:p w:rsidR="00F95EFC" w:rsidRDefault="00F95EFC" w:rsidP="00AF5EC9">
      <w:pPr>
        <w:pStyle w:val="NoSpacing"/>
      </w:pPr>
    </w:p>
    <w:p w:rsidR="00446126" w:rsidRDefault="00F95EFC" w:rsidP="00AF5EC9">
      <w:pPr>
        <w:pStyle w:val="NoSpacing"/>
      </w:pPr>
      <w:r>
        <w:t>Jotta varmistetaan taajuuksien tehokas käyttö kokonaisuudessaan, oppi</w:t>
      </w:r>
      <w:r w:rsidR="00A244DF">
        <w:softHyphen/>
      </w:r>
      <w:r>
        <w:t>laitosten tulee hakea radiolupaa heille osoitetulle taajuudelle viimeistään 15. marraskuuta helmikuussa alkavalle lupakaudelle ja vastaavasti 15.</w:t>
      </w:r>
      <w:r w:rsidR="00446126">
        <w:t xml:space="preserve"> k</w:t>
      </w:r>
      <w:r>
        <w:t>esä</w:t>
      </w:r>
      <w:r w:rsidR="00446126">
        <w:softHyphen/>
      </w:r>
      <w:r>
        <w:t xml:space="preserve">kuuta syyskuussa alkavalle lupakaudelle. Mikäli oppilaitokset eivät hae radiolupaa, voidaan taajuus </w:t>
      </w:r>
      <w:r w:rsidR="00FD13E5">
        <w:t>tällöin osoittaa</w:t>
      </w:r>
      <w:r>
        <w:t xml:space="preserve"> muun lyhytaikaisen radio</w:t>
      </w:r>
      <w:r w:rsidR="00446126">
        <w:softHyphen/>
      </w:r>
      <w:r>
        <w:t>toiminnan käyttöön.</w:t>
      </w:r>
      <w:r w:rsidR="0085090B">
        <w:t xml:space="preserve">  </w:t>
      </w:r>
    </w:p>
    <w:p w:rsidR="003E5E10" w:rsidRDefault="003E5E10" w:rsidP="00AF5EC9">
      <w:pPr>
        <w:pStyle w:val="NoSpacing"/>
      </w:pPr>
    </w:p>
    <w:p w:rsidR="00D5677D" w:rsidRDefault="00D5677D" w:rsidP="00AF5EC9">
      <w:pPr>
        <w:pStyle w:val="NoSpacing"/>
      </w:pPr>
    </w:p>
    <w:p w:rsidR="003E39DD" w:rsidRDefault="003E39DD" w:rsidP="00AF5EC9">
      <w:pPr>
        <w:pStyle w:val="Heading1"/>
        <w:ind w:left="426" w:hanging="426"/>
      </w:pPr>
      <w:bookmarkStart w:id="22" w:name="_Toc7175956"/>
      <w:r>
        <w:t xml:space="preserve">§ </w:t>
      </w:r>
      <w:r w:rsidRPr="003E39DD">
        <w:t>Toimiluvanvaraisen AM-radiotoiminnan käytettävissä olevat taajuudet</w:t>
      </w:r>
      <w:bookmarkEnd w:id="22"/>
    </w:p>
    <w:p w:rsidR="001C0EE9" w:rsidRDefault="001A5042" w:rsidP="00AF5EC9">
      <w:pPr>
        <w:pStyle w:val="NoSpacing"/>
      </w:pPr>
      <w:r>
        <w:t xml:space="preserve">Pykälään on </w:t>
      </w:r>
      <w:r w:rsidR="001C0EE9">
        <w:t>sisällyte</w:t>
      </w:r>
      <w:r>
        <w:t>tty</w:t>
      </w:r>
      <w:r w:rsidR="001C0EE9">
        <w:t xml:space="preserve"> toimiluvanvaraiseen AM-radiotoimintaan osoitetut taajuudet</w:t>
      </w:r>
      <w:r w:rsidR="003E39DD">
        <w:t xml:space="preserve">. </w:t>
      </w:r>
    </w:p>
    <w:p w:rsidR="001C0EE9" w:rsidRDefault="001C0EE9" w:rsidP="00AF5EC9">
      <w:pPr>
        <w:pStyle w:val="NoSpacing"/>
      </w:pPr>
    </w:p>
    <w:p w:rsidR="001E08E8" w:rsidRDefault="001E08E8" w:rsidP="00AF5EC9">
      <w:pPr>
        <w:pStyle w:val="NoSpacing"/>
      </w:pPr>
    </w:p>
    <w:p w:rsidR="00D5677D" w:rsidRDefault="00D5677D" w:rsidP="00AF5EC9">
      <w:pPr>
        <w:pStyle w:val="Subtitle"/>
      </w:pPr>
      <w:bookmarkStart w:id="23" w:name="_Toc7175957"/>
      <w:r>
        <w:t xml:space="preserve">Luku </w:t>
      </w:r>
      <w:r w:rsidR="0057420D">
        <w:t>5</w:t>
      </w:r>
      <w:r>
        <w:t xml:space="preserve"> </w:t>
      </w:r>
      <w:r w:rsidRPr="00D5677D">
        <w:t>Toimiluvanvaraisen radiotoiminnan käytettävissä olevat vapaat taajuudet</w:t>
      </w:r>
      <w:bookmarkEnd w:id="23"/>
    </w:p>
    <w:p w:rsidR="00725956" w:rsidRDefault="00725956" w:rsidP="00725956">
      <w:pPr>
        <w:pStyle w:val="Heading1"/>
        <w:ind w:left="426" w:hanging="426"/>
      </w:pPr>
      <w:bookmarkStart w:id="24" w:name="_Toc7175958"/>
      <w:r>
        <w:t>§ FM-radiotoiminnan käytettävissä olevat vapaat taajuudet</w:t>
      </w:r>
      <w:bookmarkEnd w:id="24"/>
    </w:p>
    <w:p w:rsidR="00725956" w:rsidRDefault="00725956" w:rsidP="00725956">
      <w:pPr>
        <w:pStyle w:val="NoSpacing"/>
      </w:pPr>
      <w:r w:rsidRPr="00D5677D">
        <w:rPr>
          <w:bCs/>
        </w:rPr>
        <w:t xml:space="preserve">Pykälään </w:t>
      </w:r>
      <w:r>
        <w:rPr>
          <w:bCs/>
        </w:rPr>
        <w:t xml:space="preserve">on </w:t>
      </w:r>
      <w:r w:rsidRPr="00D5677D">
        <w:rPr>
          <w:bCs/>
        </w:rPr>
        <w:t>sisällyte</w:t>
      </w:r>
      <w:r>
        <w:rPr>
          <w:bCs/>
        </w:rPr>
        <w:t xml:space="preserve">tty yksittäiset FM-radiotaajuudet tai taajuuskokonaisuudet, jotka ovat vapaana ja osoitettavissa toimiluvanvaraisen radiotoiminnan käyttöön ohjelmistotoimiluvilla. </w:t>
      </w:r>
      <w:r>
        <w:t>Liikenne- ja viestintävirasto julistaa ohjelmistotoimiluvat tarvittaessa haettaviksi kyseessä oleville vapaille taajuuksille tai kokonaisuuksille.</w:t>
      </w:r>
    </w:p>
    <w:p w:rsidR="00725956" w:rsidRPr="00725956" w:rsidRDefault="00725956" w:rsidP="00725956">
      <w:pPr>
        <w:pStyle w:val="BodyText"/>
      </w:pPr>
    </w:p>
    <w:p w:rsidR="00D5677D" w:rsidRDefault="00D5677D" w:rsidP="00725956">
      <w:pPr>
        <w:pStyle w:val="Heading1"/>
        <w:ind w:left="426" w:hanging="426"/>
      </w:pPr>
      <w:bookmarkStart w:id="25" w:name="_Toc7175959"/>
      <w:r w:rsidRPr="00D5677D">
        <w:t>§ AM-radiotoiminnan käytettävissä olevat vapaat taajuudet</w:t>
      </w:r>
      <w:bookmarkEnd w:id="25"/>
    </w:p>
    <w:p w:rsidR="00D5677D" w:rsidRDefault="00D5677D" w:rsidP="00AF5EC9">
      <w:pPr>
        <w:pStyle w:val="NoSpacing"/>
      </w:pPr>
      <w:r w:rsidRPr="00D5677D">
        <w:rPr>
          <w:bCs/>
        </w:rPr>
        <w:t xml:space="preserve">Pykälään </w:t>
      </w:r>
      <w:r w:rsidR="001A5042">
        <w:rPr>
          <w:bCs/>
        </w:rPr>
        <w:t xml:space="preserve">on </w:t>
      </w:r>
      <w:r w:rsidR="001A5042" w:rsidRPr="00D5677D">
        <w:rPr>
          <w:bCs/>
        </w:rPr>
        <w:t>sisällytet</w:t>
      </w:r>
      <w:r w:rsidR="001A5042">
        <w:rPr>
          <w:bCs/>
        </w:rPr>
        <w:t xml:space="preserve">ty </w:t>
      </w:r>
      <w:r>
        <w:rPr>
          <w:bCs/>
        </w:rPr>
        <w:t>yksittäiset AM-radiotaajuudet tai taajuuskokonaisuudet, jotka ovat vapaana ja osoitettavissa</w:t>
      </w:r>
      <w:r w:rsidR="001A5042">
        <w:rPr>
          <w:bCs/>
        </w:rPr>
        <w:t xml:space="preserve"> </w:t>
      </w:r>
      <w:r>
        <w:rPr>
          <w:bCs/>
        </w:rPr>
        <w:t>toimiluvanvaraisen radiotoiminnan käyttöön ohjelmistotoimiluvilla.</w:t>
      </w:r>
      <w:r w:rsidR="001A5042">
        <w:rPr>
          <w:bCs/>
        </w:rPr>
        <w:t xml:space="preserve"> </w:t>
      </w:r>
      <w:r w:rsidR="00466799">
        <w:t>Liikenne- ja v</w:t>
      </w:r>
      <w:r w:rsidR="001A5042">
        <w:t>iestintävirasto julistaa ohjelmistotoimiluvat tarvittaessa haettaviksi kyseessä oleville vapaille taajuuksille tai kokonaisuuksille</w:t>
      </w:r>
      <w:r w:rsidR="006C47D7">
        <w:t>.</w:t>
      </w:r>
    </w:p>
    <w:p w:rsidR="005A4B20" w:rsidRDefault="005A4B20" w:rsidP="00AF5EC9">
      <w:pPr>
        <w:pStyle w:val="NoSpacing"/>
      </w:pPr>
    </w:p>
    <w:p w:rsidR="005A4B20" w:rsidRPr="005A4B20" w:rsidRDefault="005A4B20" w:rsidP="00AF5EC9">
      <w:pPr>
        <w:pStyle w:val="NoSpacing"/>
      </w:pPr>
    </w:p>
    <w:p w:rsidR="003E39DD" w:rsidRDefault="00E16C99" w:rsidP="00AF5EC9">
      <w:pPr>
        <w:pStyle w:val="Subtitle"/>
      </w:pPr>
      <w:bookmarkStart w:id="26" w:name="_Toc7175960"/>
      <w:r>
        <w:t xml:space="preserve">Luku </w:t>
      </w:r>
      <w:r w:rsidR="009D08A3">
        <w:t>6</w:t>
      </w:r>
      <w:r w:rsidR="001A5042">
        <w:t xml:space="preserve"> </w:t>
      </w:r>
      <w:r>
        <w:t>Voimaantulosäännökset</w:t>
      </w:r>
      <w:bookmarkEnd w:id="26"/>
    </w:p>
    <w:p w:rsidR="003E39DD" w:rsidRDefault="003E39DD" w:rsidP="00AF5EC9">
      <w:pPr>
        <w:pStyle w:val="Heading1"/>
        <w:ind w:left="426" w:hanging="426"/>
      </w:pPr>
      <w:bookmarkStart w:id="27" w:name="_Toc7175961"/>
      <w:r>
        <w:t xml:space="preserve">§ </w:t>
      </w:r>
      <w:r w:rsidRPr="003E39DD">
        <w:t>Voimaantulo</w:t>
      </w:r>
      <w:r w:rsidR="000E1898">
        <w:t>-, siirtymä- ja poikkeamissäännökset</w:t>
      </w:r>
      <w:bookmarkEnd w:id="27"/>
    </w:p>
    <w:p w:rsidR="001E08E8" w:rsidRPr="009659B3" w:rsidRDefault="000E1898" w:rsidP="00AF5EC9">
      <w:pPr>
        <w:pStyle w:val="NoSpacing"/>
        <w:rPr>
          <w:highlight w:val="yellow"/>
        </w:rPr>
      </w:pPr>
      <w:r w:rsidRPr="009659B3">
        <w:rPr>
          <w:highlight w:val="yellow"/>
        </w:rPr>
        <w:t>Pykälän mukaan m</w:t>
      </w:r>
      <w:r w:rsidR="00423708" w:rsidRPr="009659B3">
        <w:rPr>
          <w:highlight w:val="yellow"/>
        </w:rPr>
        <w:t>ääräy</w:t>
      </w:r>
      <w:r w:rsidR="00BB3B7B" w:rsidRPr="009659B3">
        <w:rPr>
          <w:highlight w:val="yellow"/>
        </w:rPr>
        <w:t>ksen muutos</w:t>
      </w:r>
      <w:r w:rsidR="00423708" w:rsidRPr="009659B3">
        <w:rPr>
          <w:highlight w:val="yellow"/>
        </w:rPr>
        <w:t xml:space="preserve"> tulee voimaan </w:t>
      </w:r>
      <w:r w:rsidRPr="009659B3">
        <w:rPr>
          <w:highlight w:val="yellow"/>
        </w:rPr>
        <w:t>xx päivänä</w:t>
      </w:r>
      <w:r w:rsidR="00B43B70" w:rsidRPr="009659B3">
        <w:rPr>
          <w:highlight w:val="yellow"/>
        </w:rPr>
        <w:t xml:space="preserve"> </w:t>
      </w:r>
      <w:proofErr w:type="spellStart"/>
      <w:r w:rsidRPr="009659B3">
        <w:rPr>
          <w:highlight w:val="yellow"/>
        </w:rPr>
        <w:t>xx</w:t>
      </w:r>
      <w:r w:rsidR="001A5042" w:rsidRPr="009659B3">
        <w:rPr>
          <w:highlight w:val="yellow"/>
        </w:rPr>
        <w:t>kuuta</w:t>
      </w:r>
      <w:proofErr w:type="spellEnd"/>
      <w:r w:rsidR="001A5042" w:rsidRPr="009659B3">
        <w:rPr>
          <w:highlight w:val="yellow"/>
        </w:rPr>
        <w:t xml:space="preserve"> 201</w:t>
      </w:r>
      <w:r w:rsidRPr="009659B3">
        <w:rPr>
          <w:highlight w:val="yellow"/>
        </w:rPr>
        <w:t>9</w:t>
      </w:r>
      <w:r w:rsidR="001A5042" w:rsidRPr="009659B3">
        <w:rPr>
          <w:highlight w:val="yellow"/>
        </w:rPr>
        <w:t xml:space="preserve"> </w:t>
      </w:r>
      <w:r w:rsidR="00423708" w:rsidRPr="009659B3">
        <w:rPr>
          <w:highlight w:val="yellow"/>
        </w:rPr>
        <w:t xml:space="preserve">ja se on voimassa toistaiseksi. </w:t>
      </w:r>
      <w:r w:rsidR="00B6756B" w:rsidRPr="009659B3">
        <w:rPr>
          <w:highlight w:val="yellow"/>
        </w:rPr>
        <w:t>Television verkkotoimilupi</w:t>
      </w:r>
      <w:r w:rsidR="005A4B20" w:rsidRPr="009659B3">
        <w:rPr>
          <w:highlight w:val="yellow"/>
        </w:rPr>
        <w:t>en osalta peittoalueiden määrit</w:t>
      </w:r>
      <w:r w:rsidR="00B6756B" w:rsidRPr="009659B3">
        <w:rPr>
          <w:highlight w:val="yellow"/>
        </w:rPr>
        <w:t>telyä sovelletaan 12.11.2015 myönnettyihin toimilupiin.</w:t>
      </w:r>
    </w:p>
    <w:p w:rsidR="00BB3B7B" w:rsidRPr="009659B3" w:rsidRDefault="00BB3B7B" w:rsidP="00AF5EC9">
      <w:pPr>
        <w:pStyle w:val="NoSpacing"/>
        <w:rPr>
          <w:highlight w:val="yellow"/>
        </w:rPr>
      </w:pPr>
    </w:p>
    <w:p w:rsidR="000E1898" w:rsidRDefault="000E1898" w:rsidP="00AF5EC9">
      <w:pPr>
        <w:pStyle w:val="NoSpacing"/>
      </w:pPr>
      <w:r w:rsidRPr="009659B3">
        <w:rPr>
          <w:highlight w:val="yellow"/>
        </w:rPr>
        <w:t xml:space="preserve">Pykälässä määritetään 7-8 ja 11-12 §:n osalta siirtymäsäännös, joka liittyy 1.1.2020 alkavaan analogisen radiotoiminnan uuteen ohjelmistotoimilupakauteen. Uuden toimilupakauden taajuudet toimiluvanvaraisen radiotoiminnan käyttöön on määritetty Liikenne- ja </w:t>
      </w:r>
      <w:r w:rsidR="00960C26">
        <w:rPr>
          <w:highlight w:val="yellow"/>
        </w:rPr>
        <w:t>v</w:t>
      </w:r>
      <w:r w:rsidRPr="009659B3">
        <w:rPr>
          <w:highlight w:val="yellow"/>
        </w:rPr>
        <w:t>iestintäviraston määräyksessä M 74.</w:t>
      </w:r>
      <w:r>
        <w:t xml:space="preserve"> </w:t>
      </w:r>
    </w:p>
    <w:p w:rsidR="00225BD5" w:rsidRDefault="00225BD5" w:rsidP="00AF5EC9">
      <w:pPr>
        <w:pStyle w:val="NoSpacing"/>
      </w:pPr>
    </w:p>
    <w:p w:rsidR="00225BD5" w:rsidRDefault="00225BD5" w:rsidP="00225BD5">
      <w:pPr>
        <w:pStyle w:val="NoSpacing"/>
      </w:pPr>
      <w:r w:rsidRPr="00392436">
        <w:rPr>
          <w:highlight w:val="yellow"/>
        </w:rPr>
        <w:t>Pykälässä määritetään Viestintäviraston oikeus haitallisen häiriön estämiseksi tai muusta perustellusta syystä myönnettävässä, muutettavassa tai peruutettavassa ohjelmistotoimiluvassa poiketa siitä, mitä tämän määräyksen 1</w:t>
      </w:r>
      <w:r w:rsidRPr="00392436">
        <w:rPr>
          <w:highlight w:val="yellow"/>
        </w:rPr>
        <w:t>1</w:t>
      </w:r>
      <w:r w:rsidRPr="00392436">
        <w:rPr>
          <w:highlight w:val="yellow"/>
        </w:rPr>
        <w:t xml:space="preserve">-12 §:ssä määrätään käytettävissä olevista </w:t>
      </w:r>
      <w:r w:rsidRPr="00392436">
        <w:rPr>
          <w:highlight w:val="yellow"/>
        </w:rPr>
        <w:lastRenderedPageBreak/>
        <w:t>vapaista taajuuksista. Kyseessä on s</w:t>
      </w:r>
      <w:bookmarkStart w:id="28" w:name="_GoBack"/>
      <w:bookmarkEnd w:id="28"/>
      <w:r w:rsidRPr="00392436">
        <w:rPr>
          <w:highlight w:val="yellow"/>
        </w:rPr>
        <w:t>elkeyttävä lisäys, jolla ei ole vaikutusta määräyksen nykyiseen soveltamiskäytäntöön.</w:t>
      </w:r>
    </w:p>
    <w:p w:rsidR="000E1898" w:rsidRDefault="000E1898" w:rsidP="00AF5EC9">
      <w:pPr>
        <w:pStyle w:val="NoSpacing"/>
      </w:pPr>
    </w:p>
    <w:p w:rsidR="00B346D8" w:rsidRDefault="00BB3B7B" w:rsidP="002F2794">
      <w:pPr>
        <w:pStyle w:val="NoSpacing"/>
      </w:pPr>
      <w:r w:rsidRPr="00BB3B7B">
        <w:t>Pykälän viimeisessä momentissa on säännös, jonka mukaan säännöksen uudella versiolla kumotaan määräyksen edellinen versio.</w:t>
      </w:r>
    </w:p>
    <w:p w:rsidR="0086674C" w:rsidRDefault="0086674C" w:rsidP="002F2794">
      <w:pPr>
        <w:pStyle w:val="NoSpacing"/>
      </w:pPr>
    </w:p>
    <w:p w:rsidR="00B346D8" w:rsidRPr="00D728EE" w:rsidRDefault="00B346D8" w:rsidP="00AF5EC9">
      <w:pPr>
        <w:pStyle w:val="Heading1"/>
      </w:pPr>
      <w:bookmarkStart w:id="29" w:name="_Toc7175962"/>
      <w:r w:rsidRPr="00D728EE">
        <w:t>§ Tiedonsaanti ja julkaiseminen</w:t>
      </w:r>
      <w:bookmarkEnd w:id="29"/>
    </w:p>
    <w:p w:rsidR="00B346D8" w:rsidRPr="00B346D8" w:rsidRDefault="00B346D8" w:rsidP="00AF5EC9">
      <w:pPr>
        <w:pStyle w:val="BodyText"/>
      </w:pPr>
      <w:r w:rsidRPr="00B346D8">
        <w:t xml:space="preserve">Määräys julkaistaan </w:t>
      </w:r>
      <w:r w:rsidR="0005058C">
        <w:t>Liikenne- ja viestintävirasto</w:t>
      </w:r>
      <w:r w:rsidRPr="00B346D8">
        <w:t xml:space="preserve">n määräyskokoelmassa ja se on saatavissa </w:t>
      </w:r>
      <w:r w:rsidR="0005058C">
        <w:t>Liikenne- ja viestintävirasto</w:t>
      </w:r>
      <w:r w:rsidRPr="00B346D8">
        <w:t>n asiakaspalvelusta.</w:t>
      </w:r>
    </w:p>
    <w:p w:rsidR="00AA448C" w:rsidRPr="00B346D8" w:rsidRDefault="00AA448C" w:rsidP="00AF5EC9">
      <w:pPr>
        <w:rPr>
          <w:rFonts w:asciiTheme="majorHAnsi" w:eastAsiaTheme="majorEastAsia" w:hAnsiTheme="majorHAnsi" w:cstheme="majorHAnsi"/>
          <w:b/>
          <w:color w:val="054884" w:themeColor="text2"/>
          <w:kern w:val="22"/>
          <w:sz w:val="30"/>
          <w:szCs w:val="52"/>
        </w:rPr>
      </w:pPr>
    </w:p>
    <w:p w:rsidR="00E16C99" w:rsidRPr="00E16C99" w:rsidRDefault="008C4E9C" w:rsidP="00AF5EC9">
      <w:pPr>
        <w:pStyle w:val="Title"/>
      </w:pPr>
      <w:bookmarkStart w:id="30" w:name="_Toc7175963"/>
      <w:r>
        <w:t>C-</w:t>
      </w:r>
      <w:r w:rsidR="00E16C99">
        <w:t>OSA Lainsäädäntö</w:t>
      </w:r>
      <w:bookmarkEnd w:id="30"/>
      <w:r w:rsidR="00E16C99">
        <w:t xml:space="preserve"> </w:t>
      </w:r>
    </w:p>
    <w:p w:rsidR="00DA6DFC" w:rsidRDefault="00DA6DFC" w:rsidP="00AF5EC9">
      <w:pPr>
        <w:pStyle w:val="Heading1"/>
      </w:pPr>
      <w:bookmarkStart w:id="31" w:name="_Toc326829590"/>
      <w:bookmarkStart w:id="32" w:name="_Toc7175964"/>
      <w:bookmarkEnd w:id="1"/>
      <w:r>
        <w:t>Määräyksen lainsäädäntöperusta</w:t>
      </w:r>
      <w:bookmarkEnd w:id="31"/>
      <w:bookmarkEnd w:id="32"/>
    </w:p>
    <w:p w:rsidR="00DA6DFC" w:rsidRDefault="000E1898" w:rsidP="00AF5EC9">
      <w:pPr>
        <w:pStyle w:val="NoSpacing"/>
      </w:pPr>
      <w:r>
        <w:t>Sähköisen viestinnän palveluista annetun lain</w:t>
      </w:r>
      <w:r w:rsidR="00ED1FB6">
        <w:t xml:space="preserve"> 95 §:n mukaan valtioneuvosto vahvistaa asetuk</w:t>
      </w:r>
      <w:r w:rsidR="00A244DF">
        <w:softHyphen/>
      </w:r>
      <w:r w:rsidR="00ED1FB6">
        <w:t xml:space="preserve">sella yleiset periaatteet niiden radiotaajuuksien käytölle, joita käytetään toimiluvanvaraiseen sekä Yleisradio Oy:n televisio- ja radiotoimintaan. </w:t>
      </w:r>
      <w:r>
        <w:t>Sähköisen viestinnän palvelu</w:t>
      </w:r>
      <w:r w:rsidR="00F53629">
        <w:t xml:space="preserve">ista annetun </w:t>
      </w:r>
      <w:r>
        <w:t>lain</w:t>
      </w:r>
      <w:r w:rsidR="00ED1FB6">
        <w:t xml:space="preserve"> 96 §:ssä säädetään, että </w:t>
      </w:r>
      <w:r w:rsidR="0005058C">
        <w:t>Liikenne- ja viestintävirasto</w:t>
      </w:r>
      <w:r w:rsidR="00ED1FB6">
        <w:t xml:space="preserve"> määrää em. asetuksen huomioon ottaen radiotaajuuksien käytöstä eri tarkoituksiin.</w:t>
      </w:r>
      <w:r w:rsidR="00760D50" w:rsidRPr="00760D50">
        <w:t xml:space="preserve">  </w:t>
      </w:r>
    </w:p>
    <w:p w:rsidR="00760D50" w:rsidRDefault="00760D50" w:rsidP="00AF5EC9">
      <w:pPr>
        <w:pStyle w:val="NoSpacing"/>
      </w:pPr>
    </w:p>
    <w:p w:rsidR="00DA6DFC" w:rsidRDefault="00DA6DFC" w:rsidP="00AF5EC9">
      <w:pPr>
        <w:pStyle w:val="Heading1"/>
      </w:pPr>
      <w:bookmarkStart w:id="33" w:name="_Toc7175965"/>
      <w:bookmarkStart w:id="34" w:name="_Toc326829592"/>
      <w:r w:rsidRPr="00D925CC">
        <w:t>M</w:t>
      </w:r>
      <w:r w:rsidR="00E16C99">
        <w:t>uut asiaan liittyvät säännökset</w:t>
      </w:r>
      <w:bookmarkEnd w:id="33"/>
      <w:r w:rsidRPr="00D925CC">
        <w:t xml:space="preserve"> </w:t>
      </w:r>
      <w:bookmarkEnd w:id="34"/>
    </w:p>
    <w:p w:rsidR="00A244DF" w:rsidRDefault="000E1898" w:rsidP="00AF5EC9">
      <w:pPr>
        <w:pStyle w:val="NoSpacing"/>
      </w:pPr>
      <w:r>
        <w:t>Valtioneuvoston a</w:t>
      </w:r>
      <w:r w:rsidR="00CC26F8">
        <w:t>setuksell</w:t>
      </w:r>
      <w:r w:rsidR="00760195">
        <w:t xml:space="preserve">a </w:t>
      </w:r>
      <w:r w:rsidRPr="000E1898">
        <w:t xml:space="preserve">televisio- ja radiotoimintaan sekä toimiluvanvaraiseen teletoimintaan määrättyjen taajuusalueiden käyttösuunnitelmasta </w:t>
      </w:r>
      <w:r w:rsidR="00CC26F8">
        <w:t xml:space="preserve">vahvistetaan yleiset periaatteet </w:t>
      </w:r>
      <w:r w:rsidR="00760195">
        <w:t>niiden radiotaajuuksien käy</w:t>
      </w:r>
      <w:r w:rsidR="00A244DF">
        <w:softHyphen/>
      </w:r>
      <w:r w:rsidR="00760195">
        <w:t xml:space="preserve">töstä, joita käytetään </w:t>
      </w:r>
      <w:r w:rsidR="00F97709">
        <w:t>sähköisen viestinnän palvelu</w:t>
      </w:r>
      <w:r w:rsidR="00545059">
        <w:t xml:space="preserve">ista annetun </w:t>
      </w:r>
      <w:r w:rsidR="00F97709">
        <w:t>lain</w:t>
      </w:r>
      <w:r w:rsidR="00760195">
        <w:t xml:space="preserve"> </w:t>
      </w:r>
      <w:r w:rsidR="00F10B5B" w:rsidRPr="00CC26F8">
        <w:t>6</w:t>
      </w:r>
      <w:r w:rsidR="00760195" w:rsidRPr="00CC26F8">
        <w:t xml:space="preserve"> §:ssä</w:t>
      </w:r>
      <w:r w:rsidR="00760195">
        <w:t xml:space="preserve"> tarkoitettuun </w:t>
      </w:r>
      <w:r w:rsidR="00F10B5B">
        <w:t>verkko</w:t>
      </w:r>
      <w:r w:rsidR="00A244DF">
        <w:softHyphen/>
      </w:r>
      <w:r w:rsidR="00760195">
        <w:t xml:space="preserve">toimilupaa edellyttävään </w:t>
      </w:r>
      <w:r w:rsidR="00CC26F8">
        <w:t>verkkopalvelun tarjoamiseen digitaalisessa maan</w:t>
      </w:r>
      <w:r w:rsidR="00A244DF">
        <w:softHyphen/>
      </w:r>
      <w:r w:rsidR="00CC26F8">
        <w:t>päällisessä joukkoviestintäverkossa tai 34 §:ssä tarkoitettuun ohjelmisto</w:t>
      </w:r>
      <w:r w:rsidR="00A244DF">
        <w:softHyphen/>
      </w:r>
      <w:r w:rsidR="00CC26F8">
        <w:t>toi</w:t>
      </w:r>
      <w:r w:rsidR="00A36380">
        <w:softHyphen/>
      </w:r>
      <w:r w:rsidR="00CC26F8">
        <w:t>mi</w:t>
      </w:r>
      <w:r w:rsidR="00A36380">
        <w:softHyphen/>
      </w:r>
      <w:r w:rsidR="00CC26F8">
        <w:t>lupaa edellyttävään radiotoiminnan harjoittamiseen analogisessa maan</w:t>
      </w:r>
      <w:r w:rsidR="00A36380">
        <w:softHyphen/>
      </w:r>
      <w:r w:rsidR="00CC26F8">
        <w:t xml:space="preserve">päällisessä joukkoviestintäverkossa. </w:t>
      </w:r>
      <w:bookmarkStart w:id="35" w:name="_Toc326829605"/>
    </w:p>
    <w:p w:rsidR="00A36380" w:rsidRDefault="00A36380" w:rsidP="00AF5EC9">
      <w:r>
        <w:br w:type="page"/>
      </w:r>
    </w:p>
    <w:p w:rsidR="00DA6DFC" w:rsidRDefault="00DA6DFC" w:rsidP="00AF5EC9">
      <w:pPr>
        <w:pStyle w:val="Title"/>
        <w:rPr>
          <w:lang w:eastAsia="fi-FI"/>
        </w:rPr>
      </w:pPr>
      <w:bookmarkStart w:id="36" w:name="_Toc7175966"/>
      <w:r>
        <w:rPr>
          <w:lang w:eastAsia="fi-FI"/>
        </w:rPr>
        <w:lastRenderedPageBreak/>
        <w:t>Viiteluettelo</w:t>
      </w:r>
      <w:bookmarkEnd w:id="35"/>
      <w:bookmarkEnd w:id="36"/>
    </w:p>
    <w:p w:rsidR="00370204" w:rsidRDefault="00E61E41" w:rsidP="00AF5EC9">
      <w:pPr>
        <w:pStyle w:val="BodyText"/>
        <w:rPr>
          <w:lang w:val="en-US" w:eastAsia="fi-FI"/>
        </w:rPr>
      </w:pPr>
      <w:r w:rsidRPr="00E61E41">
        <w:rPr>
          <w:lang w:val="en-US" w:eastAsia="fi-FI"/>
        </w:rPr>
        <w:t xml:space="preserve">Final Acts of the Regional </w:t>
      </w:r>
      <w:proofErr w:type="spellStart"/>
      <w:r w:rsidRPr="00E61E41">
        <w:rPr>
          <w:lang w:val="en-US" w:eastAsia="fi-FI"/>
        </w:rPr>
        <w:t>Radiocommunication</w:t>
      </w:r>
      <w:proofErr w:type="spellEnd"/>
      <w:r w:rsidRPr="00E61E41">
        <w:rPr>
          <w:lang w:val="en-US" w:eastAsia="fi-FI"/>
        </w:rPr>
        <w:t xml:space="preserve"> Conference for planning of the digital terrestrial broadcasting service in parts of Regions 1 and 3, in the frequency bands 174-230 MHz and 470-862 MHz (RRC-06). </w:t>
      </w:r>
      <w:r>
        <w:rPr>
          <w:lang w:val="en-US" w:eastAsia="fi-FI"/>
        </w:rPr>
        <w:t>ITU 2006.</w:t>
      </w:r>
    </w:p>
    <w:p w:rsidR="00A36380" w:rsidRDefault="00A36380" w:rsidP="00AF5EC9">
      <w:pPr>
        <w:pStyle w:val="NoSpacing"/>
        <w:rPr>
          <w:lang w:val="en-US"/>
        </w:rPr>
      </w:pPr>
      <w:proofErr w:type="spellStart"/>
      <w:r w:rsidRPr="00A36380">
        <w:rPr>
          <w:lang w:val="en-US"/>
        </w:rPr>
        <w:t>NorDig</w:t>
      </w:r>
      <w:proofErr w:type="spellEnd"/>
      <w:r w:rsidRPr="00A36380">
        <w:rPr>
          <w:lang w:val="en-US"/>
        </w:rPr>
        <w:t xml:space="preserve"> Unified Requirements for</w:t>
      </w:r>
      <w:r>
        <w:rPr>
          <w:lang w:val="en-US"/>
        </w:rPr>
        <w:t xml:space="preserve"> </w:t>
      </w:r>
      <w:r w:rsidRPr="00A36380">
        <w:rPr>
          <w:lang w:val="en-US"/>
        </w:rPr>
        <w:t>Integrated Receiver Decoders</w:t>
      </w:r>
      <w:r>
        <w:rPr>
          <w:lang w:val="en-US"/>
        </w:rPr>
        <w:t xml:space="preserve"> </w:t>
      </w:r>
      <w:r w:rsidRPr="00A36380">
        <w:rPr>
          <w:lang w:val="en-US"/>
        </w:rPr>
        <w:t>for use in</w:t>
      </w:r>
      <w:r>
        <w:rPr>
          <w:lang w:val="en-US"/>
        </w:rPr>
        <w:t xml:space="preserve"> </w:t>
      </w:r>
      <w:r w:rsidRPr="00A36380">
        <w:rPr>
          <w:lang w:val="en-US"/>
        </w:rPr>
        <w:t>cable, satellite, terrestrial and IP-based networks</w:t>
      </w:r>
      <w:r>
        <w:rPr>
          <w:lang w:val="en-US"/>
        </w:rPr>
        <w:t xml:space="preserve">. </w:t>
      </w:r>
      <w:proofErr w:type="spellStart"/>
      <w:r w:rsidR="00446126">
        <w:rPr>
          <w:lang w:val="en-US"/>
        </w:rPr>
        <w:t>NorDig</w:t>
      </w:r>
      <w:proofErr w:type="spellEnd"/>
      <w:r w:rsidR="00446126">
        <w:rPr>
          <w:lang w:val="en-US"/>
        </w:rPr>
        <w:t xml:space="preserve"> </w:t>
      </w:r>
      <w:r>
        <w:rPr>
          <w:lang w:val="en-US"/>
        </w:rPr>
        <w:t>2014.</w:t>
      </w:r>
    </w:p>
    <w:p w:rsidR="00A36380" w:rsidRPr="00A36380" w:rsidRDefault="00A36380" w:rsidP="00AF5EC9">
      <w:pPr>
        <w:pStyle w:val="NoSpacing"/>
        <w:rPr>
          <w:lang w:val="en-US" w:eastAsia="fi-FI"/>
        </w:rPr>
      </w:pPr>
    </w:p>
    <w:p w:rsidR="00375916" w:rsidRDefault="00375916" w:rsidP="00AF5EC9">
      <w:pPr>
        <w:pStyle w:val="BodyText"/>
        <w:rPr>
          <w:lang w:val="en-US" w:eastAsia="fi-FI"/>
        </w:rPr>
      </w:pPr>
      <w:r>
        <w:rPr>
          <w:lang w:val="en-US" w:eastAsia="fi-FI"/>
        </w:rPr>
        <w:t>Recommendation ITU-R BS.412-9. Planning standards for terrestrial FM sound broadcasting at VHF. ITU 2001.</w:t>
      </w:r>
    </w:p>
    <w:p w:rsidR="00370204" w:rsidRPr="00E61E41" w:rsidRDefault="001576CC" w:rsidP="00AF5EC9">
      <w:pPr>
        <w:pStyle w:val="BodyText"/>
        <w:rPr>
          <w:lang w:val="en-US" w:eastAsia="fi-FI"/>
        </w:rPr>
      </w:pPr>
      <w:r>
        <w:rPr>
          <w:lang w:val="en-US" w:eastAsia="fi-FI"/>
        </w:rPr>
        <w:t xml:space="preserve">Recommendation ITU-R P.1546-5. </w:t>
      </w:r>
      <w:r w:rsidRPr="001576CC">
        <w:rPr>
          <w:lang w:val="en-US" w:eastAsia="fi-FI"/>
        </w:rPr>
        <w:t xml:space="preserve">Method for point-to-area predictions for terrestrial services in </w:t>
      </w:r>
      <w:r w:rsidR="00446126">
        <w:rPr>
          <w:lang w:val="en-US" w:eastAsia="fi-FI"/>
        </w:rPr>
        <w:t>the frequency range 30 MHz to 3</w:t>
      </w:r>
      <w:r w:rsidRPr="001576CC">
        <w:rPr>
          <w:lang w:val="en-US" w:eastAsia="fi-FI"/>
        </w:rPr>
        <w:t xml:space="preserve">000 </w:t>
      </w:r>
      <w:proofErr w:type="spellStart"/>
      <w:r w:rsidRPr="001576CC">
        <w:rPr>
          <w:lang w:val="en-US" w:eastAsia="fi-FI"/>
        </w:rPr>
        <w:t>MHz</w:t>
      </w:r>
      <w:r>
        <w:rPr>
          <w:lang w:val="en-US" w:eastAsia="fi-FI"/>
        </w:rPr>
        <w:t>.</w:t>
      </w:r>
      <w:proofErr w:type="spellEnd"/>
      <w:r>
        <w:rPr>
          <w:lang w:val="en-US" w:eastAsia="fi-FI"/>
        </w:rPr>
        <w:t xml:space="preserve"> ITU 2013.</w:t>
      </w:r>
    </w:p>
    <w:p w:rsidR="00375916" w:rsidRDefault="00375916" w:rsidP="00AF5EC9">
      <w:pPr>
        <w:pStyle w:val="BodyText"/>
        <w:rPr>
          <w:lang w:val="en-US" w:eastAsia="fi-FI"/>
        </w:rPr>
      </w:pPr>
      <w:r>
        <w:rPr>
          <w:lang w:val="en-US" w:eastAsia="fi-FI"/>
        </w:rPr>
        <w:t>Report EBU TECH 3348. Frequency and network Planning Aspects of DVB-T2. EBU 2014.</w:t>
      </w:r>
    </w:p>
    <w:p w:rsidR="00606DCA" w:rsidRPr="00E61E41" w:rsidRDefault="00606DCA" w:rsidP="00AF5EC9">
      <w:pPr>
        <w:pStyle w:val="Title"/>
        <w:rPr>
          <w:lang w:val="en-US" w:eastAsia="fi-FI"/>
        </w:rPr>
      </w:pPr>
    </w:p>
    <w:sectPr w:rsidR="00606DCA" w:rsidRPr="00E61E41" w:rsidSect="005A4B20">
      <w:headerReference w:type="default" r:id="rId9"/>
      <w:footerReference w:type="default" r:id="rId10"/>
      <w:headerReference w:type="first" r:id="rId11"/>
      <w:pgSz w:w="11906" w:h="16838" w:code="9"/>
      <w:pgMar w:top="1531" w:right="1021" w:bottom="567" w:left="1134" w:header="567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1D" w:rsidRDefault="0097111D" w:rsidP="00261760">
      <w:r>
        <w:separator/>
      </w:r>
    </w:p>
  </w:endnote>
  <w:endnote w:type="continuationSeparator" w:id="0">
    <w:p w:rsidR="0097111D" w:rsidRDefault="0097111D" w:rsidP="0026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10953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3"/>
      <w:gridCol w:w="2268"/>
      <w:gridCol w:w="2693"/>
      <w:gridCol w:w="2551"/>
      <w:gridCol w:w="38"/>
    </w:tblGrid>
    <w:tr w:rsidR="001E131E" w:rsidRPr="00EA2384" w:rsidTr="0063307C">
      <w:trPr>
        <w:trHeight w:val="426"/>
      </w:trPr>
      <w:tc>
        <w:tcPr>
          <w:tcW w:w="3403" w:type="dxa"/>
        </w:tcPr>
        <w:p w:rsidR="001E131E" w:rsidRDefault="001E131E" w:rsidP="001E131E">
          <w:pPr>
            <w:pStyle w:val="Footer"/>
            <w:rPr>
              <w:b/>
              <w:lang w:eastAsia="fi-FI"/>
            </w:rPr>
          </w:pPr>
        </w:p>
      </w:tc>
      <w:tc>
        <w:tcPr>
          <w:tcW w:w="2268" w:type="dxa"/>
        </w:tcPr>
        <w:p w:rsidR="001E131E" w:rsidRPr="008279C6" w:rsidRDefault="001E131E" w:rsidP="001E131E">
          <w:pPr>
            <w:pStyle w:val="Footer"/>
          </w:pPr>
        </w:p>
      </w:tc>
      <w:tc>
        <w:tcPr>
          <w:tcW w:w="2693" w:type="dxa"/>
        </w:tcPr>
        <w:p w:rsidR="001E131E" w:rsidRPr="009D2B4A" w:rsidRDefault="001E131E" w:rsidP="001E131E">
          <w:pPr>
            <w:pStyle w:val="Footer"/>
            <w:rPr>
              <w:lang w:val="sv-FI"/>
            </w:rPr>
          </w:pPr>
        </w:p>
      </w:tc>
      <w:tc>
        <w:tcPr>
          <w:tcW w:w="2589" w:type="dxa"/>
          <w:gridSpan w:val="2"/>
        </w:tcPr>
        <w:p w:rsidR="001E131E" w:rsidRPr="004715F5" w:rsidRDefault="001E131E" w:rsidP="001E131E">
          <w:pPr>
            <w:pStyle w:val="Footer"/>
          </w:pPr>
        </w:p>
      </w:tc>
    </w:tr>
    <w:tr w:rsidR="001E131E" w:rsidRPr="00AA1231" w:rsidTr="0063307C">
      <w:trPr>
        <w:gridAfter w:val="1"/>
        <w:wAfter w:w="38" w:type="dxa"/>
      </w:trPr>
      <w:tc>
        <w:tcPr>
          <w:tcW w:w="3403" w:type="dxa"/>
        </w:tcPr>
        <w:p w:rsidR="001E131E" w:rsidRPr="00E37C6F" w:rsidRDefault="001E131E" w:rsidP="001E131E">
          <w:pPr>
            <w:pStyle w:val="Footer"/>
            <w:rPr>
              <w:color w:val="auto"/>
              <w:lang w:val="sv-SE"/>
            </w:rPr>
          </w:pPr>
          <w:r w:rsidRPr="00E37C6F">
            <w:rPr>
              <w:color w:val="auto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75648" behindDoc="0" locked="1" layoutInCell="1" allowOverlap="1" wp14:anchorId="61C67DA7" wp14:editId="16CF6994">
                    <wp:simplePos x="0" y="0"/>
                    <wp:positionH relativeFrom="page">
                      <wp:posOffset>-161925</wp:posOffset>
                    </wp:positionH>
                    <wp:positionV relativeFrom="page">
                      <wp:posOffset>-133985</wp:posOffset>
                    </wp:positionV>
                    <wp:extent cx="7308215" cy="0"/>
                    <wp:effectExtent l="9525" t="18415" r="16510" b="1016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730821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FEC83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-12.75pt;margin-top:-10.55pt;width:575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7HNAIAAHMEAAAOAAAAZHJzL2Uyb0RvYy54bWysVMGO2jAQvVfqP1i5QxI2sBARVqsEetm2&#10;SLv9AGM7xKpjW7YhQVX/vWMHoqW9VFU5mPHY8+bNzHPWT30r0JkZy5UsonSaRIhJoiiXxyL69rab&#10;LCNkHZYUCyVZEV2YjZ42Hz+sO52zmWqUoMwgAJE273QRNc7pPI4taViL7VRpJuGwVqbFDrbmGFOD&#10;O0BvRTxLkkXcKUO1UYRZC95qOIw2Ab+uGXFf69oyh0QRATcXVhPWg1/jzRrnR4N1w8mVBv4HFi3m&#10;EpKOUBV2GJ0M/wOq5cQoq2o3JaqNVV1zwkINUE2a/FbNa4M1C7VAc6we22T/Hyz5ct4bxCnMLkIS&#10;tzCi55NTITNa+PZ02uZwq5R74wskvXzVL4p8t0iqssHyyMLlt4uG2NRHxHchfmM1JDl0nxWFOxjw&#10;Q6/62rQeErqA+jCSyzgS1jtEwPn4kCxn6TxC5HYW4/wWqI11n5hqkTeKyDqD+bFxpZISBq9MGtLg&#10;84t1nhbObwE+q1Q7LkSYv5CoA+6rZJ6ECKsEp/7U3wtSZKUw6IxBRK4fUMWphXIGX5r436Al8IPi&#10;Bn9wQdoRIpC4QzfqJGkg0TBMt1fbYS4GG6KF9DSgIVDG1Rqk9WOVrLbL7TKbZLPFdpIlVTV53pXZ&#10;ZLFLH+fVQ1WWVfrTV5RmecMpZdIXdZN5mv2djK4PbhDoKPSxffE9eigRyN7+A+mgCC+CQU4HRS97&#10;c1MKKDtcvr5C/3Te78F+/63Y/AIAAP//AwBQSwMEFAAGAAgAAAAhAAFp/FPdAAAADAEAAA8AAABk&#10;cnMvZG93bnJldi54bWxMj01Lw0AQhu+C/2EZwVu7m9j4EbMpUZTeBFvxPM1Ok2B2NmS3bfz3bkDQ&#10;23w8vPNMsZ5sL040+s6xhmSpQBDXznTcaPjYvS7uQfiAbLB3TBq+ycO6vLwoMDfuzO902oZGxBD2&#10;OWpoQxhyKX3dkkW/dANx3B3caDHEdmykGfEcw20vU6VupcWO44UWB3puqf7aHq2G5nP19kCbQ11t&#10;Knlnbp6Uwt2L1tdXU/UIItAU/mCY9aM6lNFp745svOg1LNIsi+hcJAmImUjSbAVi/zuSZSH/P1H+&#10;AAAA//8DAFBLAQItABQABgAIAAAAIQC2gziS/gAAAOEBAAATAAAAAAAAAAAAAAAAAAAAAABbQ29u&#10;dGVudF9UeXBlc10ueG1sUEsBAi0AFAAGAAgAAAAhADj9If/WAAAAlAEAAAsAAAAAAAAAAAAAAAAA&#10;LwEAAF9yZWxzLy5yZWxzUEsBAi0AFAAGAAgAAAAhABYJrsc0AgAAcwQAAA4AAAAAAAAAAAAAAAAA&#10;LgIAAGRycy9lMm9Eb2MueG1sUEsBAi0AFAAGAAgAAAAhAAFp/FPdAAAADAEAAA8AAAAAAAAAAAAA&#10;AAAAjgQAAGRycy9kb3ducmV2LnhtbFBLBQYAAAAABAAEAPMAAACYBQAAAAA=&#10;" strokecolor="black [3213]" strokeweight="1.5pt">
                    <w10:wrap anchorx="page" anchory="page"/>
                    <w10:anchorlock/>
                  </v:shape>
                </w:pict>
              </mc:Fallback>
            </mc:AlternateContent>
          </w:r>
          <w:r w:rsidRPr="00E37C6F">
            <w:rPr>
              <w:color w:val="auto"/>
              <w:lang w:val="sv-SE"/>
            </w:rPr>
            <w:t>Liikenne- ja viestintävirasto Traficom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sv-SE"/>
            </w:rPr>
          </w:pPr>
          <w:r w:rsidRPr="00E37C6F">
            <w:rPr>
              <w:color w:val="auto"/>
              <w:lang w:val="sv-SE"/>
            </w:rPr>
            <w:t>Transport- och kommunikationsverket Traficom</w:t>
          </w:r>
        </w:p>
        <w:p w:rsidR="001E131E" w:rsidRPr="00E37C6F" w:rsidRDefault="001E131E" w:rsidP="001E131E">
          <w:pPr>
            <w:pStyle w:val="Footer"/>
            <w:rPr>
              <w:b/>
              <w:color w:val="auto"/>
              <w:lang w:val="en-US"/>
            </w:rPr>
          </w:pPr>
          <w:r w:rsidRPr="00E37C6F">
            <w:rPr>
              <w:color w:val="auto"/>
              <w:lang w:val="en-US"/>
            </w:rPr>
            <w:t>Finnish Transport and Communications Agency Traficom</w:t>
          </w:r>
        </w:p>
      </w:tc>
      <w:tc>
        <w:tcPr>
          <w:tcW w:w="2268" w:type="dxa"/>
        </w:tcPr>
        <w:p w:rsidR="001E131E" w:rsidRPr="00E37C6F" w:rsidRDefault="001E131E" w:rsidP="001E131E">
          <w:pPr>
            <w:pStyle w:val="Footer"/>
            <w:rPr>
              <w:color w:val="auto"/>
            </w:rPr>
          </w:pPr>
          <w:r w:rsidRPr="00E37C6F">
            <w:rPr>
              <w:color w:val="auto"/>
            </w:rPr>
            <w:t>Kumpulantie 9, Helsinki</w:t>
          </w:r>
        </w:p>
        <w:p w:rsidR="001E131E" w:rsidRPr="00E37C6F" w:rsidRDefault="001E131E" w:rsidP="001E131E">
          <w:pPr>
            <w:pStyle w:val="Footer"/>
            <w:rPr>
              <w:color w:val="auto"/>
            </w:rPr>
          </w:pPr>
          <w:r w:rsidRPr="00E37C6F">
            <w:rPr>
              <w:color w:val="auto"/>
            </w:rPr>
            <w:t>PL 320</w:t>
          </w:r>
        </w:p>
        <w:p w:rsidR="001E131E" w:rsidRPr="00E37C6F" w:rsidRDefault="001E131E" w:rsidP="001E131E">
          <w:pPr>
            <w:pStyle w:val="Footer"/>
            <w:ind w:right="280"/>
            <w:rPr>
              <w:color w:val="auto"/>
            </w:rPr>
          </w:pPr>
          <w:r w:rsidRPr="00E37C6F">
            <w:rPr>
              <w:color w:val="auto"/>
            </w:rPr>
            <w:t xml:space="preserve">00059 </w:t>
          </w:r>
          <w:r w:rsidRPr="005A28CB">
            <w:rPr>
              <w:color w:val="auto"/>
            </w:rPr>
            <w:t>TRAFICOM</w:t>
          </w:r>
        </w:p>
        <w:p w:rsidR="001E131E" w:rsidRPr="00E37C6F" w:rsidRDefault="001E131E" w:rsidP="001E131E">
          <w:pPr>
            <w:pStyle w:val="Footer"/>
            <w:rPr>
              <w:color w:val="auto"/>
            </w:rPr>
          </w:pPr>
          <w:r w:rsidRPr="00E37C6F">
            <w:rPr>
              <w:color w:val="auto"/>
            </w:rPr>
            <w:t>Puhelin 0295 345 000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sv-FI"/>
            </w:rPr>
          </w:pPr>
          <w:r w:rsidRPr="00E37C6F">
            <w:rPr>
              <w:color w:val="auto"/>
              <w:lang w:val="sv-FI"/>
            </w:rPr>
            <w:t>www.traficom.fi</w:t>
          </w:r>
        </w:p>
      </w:tc>
      <w:tc>
        <w:tcPr>
          <w:tcW w:w="2693" w:type="dxa"/>
        </w:tcPr>
        <w:p w:rsidR="001E131E" w:rsidRPr="00E37C6F" w:rsidRDefault="001E131E" w:rsidP="001E131E">
          <w:pPr>
            <w:pStyle w:val="Footer"/>
            <w:rPr>
              <w:color w:val="auto"/>
              <w:lang w:val="sv-FI"/>
            </w:rPr>
          </w:pPr>
          <w:r w:rsidRPr="00E37C6F">
            <w:rPr>
              <w:color w:val="auto"/>
              <w:lang w:val="sv-FI"/>
            </w:rPr>
            <w:t>Gumtäktsvägen 9, Helsingfors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sv-FI"/>
            </w:rPr>
          </w:pPr>
          <w:r w:rsidRPr="00E37C6F">
            <w:rPr>
              <w:color w:val="auto"/>
              <w:lang w:val="sv-FI"/>
            </w:rPr>
            <w:t xml:space="preserve">PB 320, FI-00059 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sv-FI"/>
            </w:rPr>
          </w:pPr>
          <w:r w:rsidRPr="00E37C6F">
            <w:rPr>
              <w:color w:val="auto"/>
              <w:lang w:val="sv-SE"/>
            </w:rPr>
            <w:t>TRAFICOM</w:t>
          </w:r>
          <w:r w:rsidRPr="00E37C6F">
            <w:rPr>
              <w:color w:val="auto"/>
              <w:lang w:val="sv-FI"/>
            </w:rPr>
            <w:t>, Finland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sv-FI"/>
            </w:rPr>
          </w:pPr>
          <w:r w:rsidRPr="00E37C6F">
            <w:rPr>
              <w:color w:val="auto"/>
              <w:lang w:val="sv-FI"/>
            </w:rPr>
            <w:t>Telefon +358 295 345 000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sv-FI"/>
            </w:rPr>
          </w:pPr>
          <w:r w:rsidRPr="00E37C6F">
            <w:rPr>
              <w:color w:val="auto"/>
              <w:lang w:val="sv-FI"/>
            </w:rPr>
            <w:t>www.</w:t>
          </w:r>
          <w:r w:rsidRPr="005A28CB">
            <w:rPr>
              <w:color w:val="auto"/>
              <w:lang w:val="sv-SE"/>
            </w:rPr>
            <w:t xml:space="preserve"> </w:t>
          </w:r>
          <w:r w:rsidRPr="00E37C6F">
            <w:rPr>
              <w:color w:val="auto"/>
              <w:lang w:val="sv-FI"/>
            </w:rPr>
            <w:t>www.traficom.fi</w:t>
          </w:r>
        </w:p>
      </w:tc>
      <w:tc>
        <w:tcPr>
          <w:tcW w:w="2551" w:type="dxa"/>
        </w:tcPr>
        <w:p w:rsidR="001E131E" w:rsidRPr="005A28CB" w:rsidRDefault="001E131E" w:rsidP="001E131E">
          <w:pPr>
            <w:pStyle w:val="Footer"/>
            <w:rPr>
              <w:color w:val="auto"/>
            </w:rPr>
          </w:pPr>
          <w:r w:rsidRPr="005A28CB">
            <w:rPr>
              <w:color w:val="auto"/>
            </w:rPr>
            <w:t>Kumpulantie 9, Helsinki</w:t>
          </w:r>
        </w:p>
        <w:p w:rsidR="001E131E" w:rsidRPr="005A28CB" w:rsidRDefault="001E131E" w:rsidP="001E131E">
          <w:pPr>
            <w:pStyle w:val="Footer"/>
            <w:rPr>
              <w:color w:val="auto"/>
            </w:rPr>
          </w:pPr>
          <w:r w:rsidRPr="005A28CB">
            <w:rPr>
              <w:color w:val="auto"/>
            </w:rPr>
            <w:t>P.O. Box 320, FI-00059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sv-FI"/>
            </w:rPr>
          </w:pPr>
          <w:r w:rsidRPr="00E37C6F">
            <w:rPr>
              <w:color w:val="auto"/>
              <w:lang w:val="sv-SE"/>
            </w:rPr>
            <w:t>TRAFICOM</w:t>
          </w:r>
          <w:r w:rsidRPr="00E37C6F">
            <w:rPr>
              <w:color w:val="auto"/>
              <w:lang w:val="sv-FI"/>
            </w:rPr>
            <w:t>, Finland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en-US"/>
            </w:rPr>
          </w:pPr>
          <w:r w:rsidRPr="00E37C6F">
            <w:rPr>
              <w:color w:val="auto"/>
              <w:lang w:val="en-US"/>
            </w:rPr>
            <w:t>Telephone +358 295 345 000</w:t>
          </w:r>
        </w:p>
        <w:p w:rsidR="001E131E" w:rsidRPr="00E37C6F" w:rsidRDefault="001E131E" w:rsidP="001E131E">
          <w:pPr>
            <w:pStyle w:val="Footer"/>
            <w:rPr>
              <w:color w:val="auto"/>
              <w:lang w:val="en-US"/>
            </w:rPr>
          </w:pPr>
          <w:r w:rsidRPr="00E37C6F">
            <w:rPr>
              <w:color w:val="auto"/>
              <w:lang w:val="en-US"/>
            </w:rPr>
            <w:t>www. www.traficom.fi</w:t>
          </w:r>
        </w:p>
      </w:tc>
    </w:tr>
  </w:tbl>
  <w:p w:rsidR="001E131E" w:rsidRPr="00AA1231" w:rsidRDefault="001E131E" w:rsidP="001E131E">
    <w:pPr>
      <w:pStyle w:val="Footer"/>
      <w:rPr>
        <w:lang w:val="en-US"/>
      </w:rPr>
    </w:pPr>
  </w:p>
  <w:p w:rsidR="0097111D" w:rsidRPr="001E131E" w:rsidRDefault="0097111D" w:rsidP="001E1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1D" w:rsidRDefault="0097111D" w:rsidP="00261760">
      <w:r>
        <w:separator/>
      </w:r>
    </w:p>
  </w:footnote>
  <w:footnote w:type="continuationSeparator" w:id="0">
    <w:p w:rsidR="0097111D" w:rsidRDefault="0097111D" w:rsidP="0026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989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3913"/>
      <w:gridCol w:w="762"/>
    </w:tblGrid>
    <w:tr w:rsidR="00CC48F2" w:rsidRPr="00EC3F4A" w:rsidTr="00AF1325">
      <w:tc>
        <w:tcPr>
          <w:tcW w:w="5216" w:type="dxa"/>
        </w:tcPr>
        <w:p w:rsidR="00CC48F2" w:rsidRPr="00EC3F4A" w:rsidRDefault="00CC48F2" w:rsidP="00CC48F2">
          <w:pPr>
            <w:pStyle w:val="Header"/>
          </w:pPr>
        </w:p>
      </w:tc>
      <w:tc>
        <w:tcPr>
          <w:tcW w:w="3913" w:type="dxa"/>
        </w:tcPr>
        <w:p w:rsidR="00CC48F2" w:rsidRPr="00EC3F4A" w:rsidRDefault="00CC48F2" w:rsidP="00CC48F2">
          <w:pPr>
            <w:pStyle w:val="Header"/>
          </w:pPr>
          <w:r>
            <w:t xml:space="preserve">MPS </w:t>
          </w:r>
          <w:sdt>
            <w:sdtPr>
              <w:rPr>
                <w:szCs w:val="20"/>
              </w:rPr>
              <w:alias w:val="Aihe"/>
              <w:id w:val="10857343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szCs w:val="20"/>
                </w:rPr>
                <w:t>70 I/2019 M</w:t>
              </w:r>
            </w:sdtContent>
          </w:sdt>
        </w:p>
      </w:tc>
      <w:tc>
        <w:tcPr>
          <w:tcW w:w="762" w:type="dxa"/>
        </w:tcPr>
        <w:p w:rsidR="00CC48F2" w:rsidRPr="00EC3F4A" w:rsidRDefault="00CC48F2" w:rsidP="00CC48F2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92436">
            <w:t>9</w:t>
          </w:r>
          <w:r>
            <w:fldChar w:fldCharType="end"/>
          </w:r>
          <w:r w:rsidRPr="00EC3F4A">
            <w:t xml:space="preserve"> (</w:t>
          </w:r>
          <w:r w:rsidR="00392436">
            <w:fldChar w:fldCharType="begin"/>
          </w:r>
          <w:r w:rsidR="00392436">
            <w:instrText xml:space="preserve"> NUMPAGES   \* MERGEFORMAT </w:instrText>
          </w:r>
          <w:r w:rsidR="00392436">
            <w:fldChar w:fldCharType="separate"/>
          </w:r>
          <w:r w:rsidR="00392436">
            <w:t>10</w:t>
          </w:r>
          <w:r w:rsidR="00392436">
            <w:fldChar w:fldCharType="end"/>
          </w:r>
          <w:r w:rsidRPr="00EC3F4A">
            <w:t>)</w:t>
          </w:r>
        </w:p>
      </w:tc>
    </w:tr>
  </w:tbl>
  <w:p w:rsidR="00CC48F2" w:rsidRDefault="00CC48F2" w:rsidP="00CC48F2">
    <w:pPr>
      <w:pStyle w:val="Header"/>
    </w:pPr>
    <w:r w:rsidRPr="00E12165">
      <w:rPr>
        <w:lang w:eastAsia="fi-FI"/>
      </w:rPr>
      <w:drawing>
        <wp:anchor distT="0" distB="0" distL="114300" distR="114300" simplePos="0" relativeHeight="251673600" behindDoc="1" locked="0" layoutInCell="0" allowOverlap="1" wp14:anchorId="6D97D4BB" wp14:editId="74C8F2E8">
          <wp:simplePos x="0" y="0"/>
          <wp:positionH relativeFrom="margin">
            <wp:align>left</wp:align>
          </wp:positionH>
          <wp:positionV relativeFrom="page">
            <wp:posOffset>248914</wp:posOffset>
          </wp:positionV>
          <wp:extent cx="1771650" cy="53975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intavirasto_pos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1"/>
      <w:tblW w:w="103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1219"/>
    </w:tblGrid>
    <w:tr w:rsidR="000331AD" w:rsidRPr="000331AD" w:rsidTr="00AF1325">
      <w:tc>
        <w:tcPr>
          <w:tcW w:w="5216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3913" w:type="dxa"/>
          <w:gridSpan w:val="2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1219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  <w:r w:rsidRPr="000331AD">
            <w:rPr>
              <w:noProof/>
              <w:sz w:val="20"/>
            </w:rPr>
            <w:fldChar w:fldCharType="begin"/>
          </w:r>
          <w:r w:rsidRPr="000331AD">
            <w:rPr>
              <w:noProof/>
              <w:sz w:val="20"/>
            </w:rPr>
            <w:instrText xml:space="preserve"> PAGE   \* MERGEFORMAT </w:instrText>
          </w:r>
          <w:r w:rsidRPr="000331AD">
            <w:rPr>
              <w:noProof/>
              <w:sz w:val="20"/>
            </w:rPr>
            <w:fldChar w:fldCharType="separate"/>
          </w:r>
          <w:r w:rsidR="00392436">
            <w:rPr>
              <w:noProof/>
              <w:sz w:val="20"/>
            </w:rPr>
            <w:t>0</w:t>
          </w:r>
          <w:r w:rsidRPr="000331AD">
            <w:rPr>
              <w:noProof/>
              <w:sz w:val="20"/>
            </w:rPr>
            <w:fldChar w:fldCharType="end"/>
          </w:r>
          <w:r w:rsidRPr="000331AD">
            <w:rPr>
              <w:noProof/>
              <w:sz w:val="20"/>
            </w:rPr>
            <w:t xml:space="preserve"> (</w:t>
          </w:r>
          <w:r w:rsidRPr="000331AD">
            <w:rPr>
              <w:noProof/>
              <w:sz w:val="20"/>
            </w:rPr>
            <w:fldChar w:fldCharType="begin"/>
          </w:r>
          <w:r w:rsidRPr="000331AD">
            <w:rPr>
              <w:noProof/>
              <w:sz w:val="20"/>
            </w:rPr>
            <w:instrText xml:space="preserve"> NUMPAGES   \* MERGEFORMAT </w:instrText>
          </w:r>
          <w:r w:rsidRPr="000331AD">
            <w:rPr>
              <w:noProof/>
              <w:sz w:val="20"/>
            </w:rPr>
            <w:fldChar w:fldCharType="separate"/>
          </w:r>
          <w:r w:rsidR="00392436">
            <w:rPr>
              <w:noProof/>
              <w:sz w:val="20"/>
            </w:rPr>
            <w:t>10</w:t>
          </w:r>
          <w:r w:rsidRPr="000331AD">
            <w:rPr>
              <w:noProof/>
              <w:sz w:val="20"/>
            </w:rPr>
            <w:fldChar w:fldCharType="end"/>
          </w:r>
          <w:r w:rsidRPr="000331AD">
            <w:rPr>
              <w:noProof/>
              <w:sz w:val="20"/>
            </w:rPr>
            <w:t>)</w:t>
          </w:r>
        </w:p>
      </w:tc>
    </w:tr>
    <w:tr w:rsidR="000331AD" w:rsidRPr="000331AD" w:rsidTr="00AF1325">
      <w:tc>
        <w:tcPr>
          <w:tcW w:w="5216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1304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1219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</w:tr>
    <w:tr w:rsidR="000331AD" w:rsidRPr="000331AD" w:rsidTr="00AF1325">
      <w:tc>
        <w:tcPr>
          <w:tcW w:w="5216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5132" w:type="dxa"/>
          <w:gridSpan w:val="3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</w:tr>
    <w:tr w:rsidR="000331AD" w:rsidRPr="000331AD" w:rsidTr="00AF1325">
      <w:tc>
        <w:tcPr>
          <w:tcW w:w="5216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0331AD" w:rsidRPr="000331AD" w:rsidRDefault="00466799" w:rsidP="000331AD">
          <w:pPr>
            <w:rPr>
              <w:noProof/>
              <w:sz w:val="20"/>
            </w:rPr>
          </w:pPr>
          <w:r w:rsidRPr="00466799">
            <w:rPr>
              <w:noProof/>
              <w:sz w:val="20"/>
              <w:highlight w:val="yellow"/>
            </w:rPr>
            <w:t>x.x</w:t>
          </w:r>
          <w:r w:rsidR="000331AD" w:rsidRPr="000331AD">
            <w:rPr>
              <w:noProof/>
              <w:sz w:val="20"/>
            </w:rPr>
            <w:t>.2019</w:t>
          </w:r>
        </w:p>
      </w:tc>
      <w:tc>
        <w:tcPr>
          <w:tcW w:w="2523" w:type="dxa"/>
          <w:gridSpan w:val="2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</w:tr>
    <w:tr w:rsidR="000331AD" w:rsidRPr="000331AD" w:rsidTr="00AF1325">
      <w:tc>
        <w:tcPr>
          <w:tcW w:w="5216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2523" w:type="dxa"/>
          <w:gridSpan w:val="2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</w:tr>
    <w:tr w:rsidR="000331AD" w:rsidRPr="000331AD" w:rsidTr="00AF1325">
      <w:tc>
        <w:tcPr>
          <w:tcW w:w="5216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2609" w:type="dxa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  <w:tc>
        <w:tcPr>
          <w:tcW w:w="2523" w:type="dxa"/>
          <w:gridSpan w:val="2"/>
        </w:tcPr>
        <w:p w:rsidR="000331AD" w:rsidRPr="000331AD" w:rsidRDefault="000331AD" w:rsidP="000331AD">
          <w:pPr>
            <w:rPr>
              <w:noProof/>
              <w:sz w:val="20"/>
            </w:rPr>
          </w:pPr>
        </w:p>
      </w:tc>
    </w:tr>
  </w:tbl>
  <w:p w:rsidR="000331AD" w:rsidRPr="000331AD" w:rsidRDefault="000331AD" w:rsidP="000331AD">
    <w:pPr>
      <w:rPr>
        <w:noProof/>
        <w:sz w:val="20"/>
      </w:rPr>
    </w:pPr>
    <w:r w:rsidRPr="000331AD">
      <w:rPr>
        <w:noProof/>
        <w:sz w:val="20"/>
        <w:lang w:eastAsia="fi-FI"/>
      </w:rPr>
      <w:drawing>
        <wp:anchor distT="0" distB="0" distL="114300" distR="114300" simplePos="0" relativeHeight="251671552" behindDoc="1" locked="0" layoutInCell="0" allowOverlap="1" wp14:anchorId="42BCCDFC" wp14:editId="60371988">
          <wp:simplePos x="0" y="0"/>
          <wp:positionH relativeFrom="margin">
            <wp:align>left</wp:align>
          </wp:positionH>
          <wp:positionV relativeFrom="topMargin">
            <wp:posOffset>267718</wp:posOffset>
          </wp:positionV>
          <wp:extent cx="1772057" cy="5400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estintavirasto_pos_rgb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05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111D" w:rsidRDefault="00971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C36"/>
    <w:multiLevelType w:val="multilevel"/>
    <w:tmpl w:val="E4FE6CD8"/>
    <w:numStyleLink w:val="Numeroituotsikointi"/>
  </w:abstractNum>
  <w:abstractNum w:abstractNumId="1" w15:restartNumberingAfterBreak="0">
    <w:nsid w:val="11EF36FF"/>
    <w:multiLevelType w:val="multilevel"/>
    <w:tmpl w:val="8C90F4CE"/>
    <w:numStyleLink w:val="Luettelonumerot"/>
  </w:abstractNum>
  <w:abstractNum w:abstractNumId="2" w15:restartNumberingAfterBreak="0">
    <w:nsid w:val="138A36DB"/>
    <w:multiLevelType w:val="hybridMultilevel"/>
    <w:tmpl w:val="7A4C2C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00C5"/>
    <w:multiLevelType w:val="hybridMultilevel"/>
    <w:tmpl w:val="5C8271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0DB3"/>
    <w:multiLevelType w:val="hybridMultilevel"/>
    <w:tmpl w:val="88B8746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67EEC"/>
    <w:multiLevelType w:val="multilevel"/>
    <w:tmpl w:val="E4FE6CD8"/>
    <w:styleLink w:val="Numeroituotsikointi"/>
    <w:lvl w:ilvl="0">
      <w:start w:val="1"/>
      <w:numFmt w:val="none"/>
      <w:pStyle w:val="Titl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2%1"/>
      <w:lvlJc w:val="left"/>
      <w:pPr>
        <w:ind w:left="4819" w:hanging="567"/>
      </w:pPr>
      <w:rPr>
        <w:rFonts w:hint="default"/>
      </w:rPr>
    </w:lvl>
    <w:lvl w:ilvl="2">
      <w:start w:val="1"/>
      <w:numFmt w:val="decimal"/>
      <w:pStyle w:val="Heading2"/>
      <w:lvlText w:val="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3"/>
      <w:suff w:val="space"/>
      <w:lvlText w:val="%1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4"/>
      <w:suff w:val="space"/>
      <w:lvlText w:val="%1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5"/>
      <w:suff w:val="space"/>
      <w:lvlText w:val="%1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6"/>
      <w:suff w:val="space"/>
      <w:lvlText w:val="%1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7"/>
      <w:suff w:val="space"/>
      <w:lvlText w:val="%1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8"/>
      <w:suff w:val="space"/>
      <w:lvlText w:val="%1%2.%3.%4.%5.%6.%7.%9"/>
      <w:lvlJc w:val="left"/>
      <w:pPr>
        <w:ind w:left="2552" w:hanging="2552"/>
      </w:pPr>
      <w:rPr>
        <w:rFonts w:hint="default"/>
      </w:rPr>
    </w:lvl>
  </w:abstractNum>
  <w:abstractNum w:abstractNumId="6" w15:restartNumberingAfterBreak="0">
    <w:nsid w:val="33CF3B45"/>
    <w:multiLevelType w:val="hybridMultilevel"/>
    <w:tmpl w:val="2D5EE69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3EE108BB"/>
    <w:multiLevelType w:val="multilevel"/>
    <w:tmpl w:val="E4FE6CD8"/>
    <w:numStyleLink w:val="Numeroituotsikointi"/>
  </w:abstractNum>
  <w:abstractNum w:abstractNumId="8" w15:restartNumberingAfterBreak="0">
    <w:nsid w:val="495159C5"/>
    <w:multiLevelType w:val="multilevel"/>
    <w:tmpl w:val="E4FE6CD8"/>
    <w:numStyleLink w:val="Numeroituotsikointi"/>
  </w:abstractNum>
  <w:abstractNum w:abstractNumId="9" w15:restartNumberingAfterBreak="0">
    <w:nsid w:val="4B7D2E0A"/>
    <w:multiLevelType w:val="hybridMultilevel"/>
    <w:tmpl w:val="E7B24F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E4C"/>
    <w:multiLevelType w:val="multilevel"/>
    <w:tmpl w:val="A606E1C4"/>
    <w:numStyleLink w:val="Luettelomerkit"/>
  </w:abstractNum>
  <w:abstractNum w:abstractNumId="11" w15:restartNumberingAfterBreak="0">
    <w:nsid w:val="565D7BD4"/>
    <w:multiLevelType w:val="multilevel"/>
    <w:tmpl w:val="E4FE6CD8"/>
    <w:numStyleLink w:val="Numeroituotsikointi"/>
  </w:abstractNum>
  <w:abstractNum w:abstractNumId="12" w15:restartNumberingAfterBreak="0">
    <w:nsid w:val="5769232D"/>
    <w:multiLevelType w:val="hybridMultilevel"/>
    <w:tmpl w:val="AF525538"/>
    <w:lvl w:ilvl="0" w:tplc="5B843EE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5D8741EC"/>
    <w:multiLevelType w:val="multilevel"/>
    <w:tmpl w:val="8C90F4CE"/>
    <w:styleLink w:val="Luettelonumerot"/>
    <w:lvl w:ilvl="0">
      <w:start w:val="1"/>
      <w:numFmt w:val="decimal"/>
      <w:pStyle w:val="ListNumber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14" w15:restartNumberingAfterBreak="0">
    <w:nsid w:val="5F01618D"/>
    <w:multiLevelType w:val="hybridMultilevel"/>
    <w:tmpl w:val="7136AC5E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5595B9C"/>
    <w:multiLevelType w:val="multilevel"/>
    <w:tmpl w:val="E4FE6CD8"/>
    <w:numStyleLink w:val="Numeroituotsikointi"/>
  </w:abstractNum>
  <w:abstractNum w:abstractNumId="16" w15:restartNumberingAfterBreak="0">
    <w:nsid w:val="6FED2EB7"/>
    <w:multiLevelType w:val="hybridMultilevel"/>
    <w:tmpl w:val="C88AD34A"/>
    <w:lvl w:ilvl="0" w:tplc="548CFF82">
      <w:start w:val="5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F263A62"/>
    <w:multiLevelType w:val="multilevel"/>
    <w:tmpl w:val="A606E1C4"/>
    <w:styleLink w:val="Luettelomerkit"/>
    <w:lvl w:ilvl="0">
      <w:start w:val="1"/>
      <w:numFmt w:val="bullet"/>
      <w:pStyle w:val="ListBullet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  <w:num w:numId="16">
    <w:abstractNumId w:val="15"/>
  </w:num>
  <w:num w:numId="17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326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18">
    <w:abstractNumId w:val="0"/>
  </w:num>
  <w:num w:numId="19">
    <w:abstractNumId w:val="0"/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</w:num>
  <w:num w:numId="20">
    <w:abstractNumId w:val="0"/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</w:num>
  <w:num w:numId="21">
    <w:abstractNumId w:val="0"/>
    <w:lvlOverride w:ilvl="0">
      <w:startOverride w:val="2"/>
      <w:lvl w:ilvl="0">
        <w:start w:val="2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2">
    <w:abstractNumId w:val="16"/>
  </w:num>
  <w:num w:numId="23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4">
    <w:abstractNumId w:val="0"/>
    <w:lvlOverride w:ilvl="0">
      <w:startOverride w:val="2"/>
      <w:lvl w:ilvl="0">
        <w:start w:val="2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5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6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7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8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29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30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31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709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32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326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33">
    <w:abstractNumId w:val="14"/>
  </w:num>
  <w:num w:numId="34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326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 w:numId="35">
    <w:abstractNumId w:val="0"/>
    <w:lvlOverride w:ilvl="0">
      <w:lvl w:ilvl="0">
        <w:start w:val="1"/>
        <w:numFmt w:val="none"/>
        <w:pStyle w:val="Titl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1"/>
        <w:lvlText w:val="%2%1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2"/>
        <w:lvlText w:val="%2.%3"/>
        <w:lvlJc w:val="left"/>
        <w:pPr>
          <w:ind w:left="326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3"/>
        <w:suff w:val="space"/>
        <w:lvlText w:val="%1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4"/>
        <w:suff w:val="space"/>
        <w:lvlText w:val="%1%2.%3.%4.%5"/>
        <w:lvlJc w:val="left"/>
        <w:pPr>
          <w:ind w:left="1418" w:hanging="141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5"/>
        <w:suff w:val="space"/>
        <w:lvlText w:val="%1%2.%3.%4.%5.%6"/>
        <w:lvlJc w:val="left"/>
        <w:pPr>
          <w:ind w:left="1701" w:hanging="170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6"/>
        <w:suff w:val="space"/>
        <w:lvlText w:val="%1%2.%3.%4.%5.%6.%7"/>
        <w:lvlJc w:val="left"/>
        <w:pPr>
          <w:ind w:left="1985" w:hanging="1985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7"/>
        <w:suff w:val="space"/>
        <w:lvlText w:val="%1%2.%3.%4.%5.%6.%7.%8"/>
        <w:lvlJc w:val="left"/>
        <w:pPr>
          <w:ind w:left="2268" w:hanging="2268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8"/>
        <w:suff w:val="space"/>
        <w:lvlText w:val="%1%2.%3.%4.%5.%6.%7.%9"/>
        <w:lvlJc w:val="left"/>
        <w:pPr>
          <w:ind w:left="2552" w:hanging="2552"/>
        </w:pPr>
        <w:rPr>
          <w:rFonts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7B"/>
    <w:rsid w:val="0000057D"/>
    <w:rsid w:val="00003F16"/>
    <w:rsid w:val="000060C1"/>
    <w:rsid w:val="0001699F"/>
    <w:rsid w:val="000169EC"/>
    <w:rsid w:val="00031224"/>
    <w:rsid w:val="000331AD"/>
    <w:rsid w:val="00035282"/>
    <w:rsid w:val="00037946"/>
    <w:rsid w:val="00043D12"/>
    <w:rsid w:val="00047699"/>
    <w:rsid w:val="0005058C"/>
    <w:rsid w:val="000608AD"/>
    <w:rsid w:val="00063065"/>
    <w:rsid w:val="00066985"/>
    <w:rsid w:val="00070833"/>
    <w:rsid w:val="00080001"/>
    <w:rsid w:val="00086BFF"/>
    <w:rsid w:val="000935F8"/>
    <w:rsid w:val="000A725E"/>
    <w:rsid w:val="000A7B29"/>
    <w:rsid w:val="000B0207"/>
    <w:rsid w:val="000B2EF2"/>
    <w:rsid w:val="000B3F1D"/>
    <w:rsid w:val="000E1898"/>
    <w:rsid w:val="000F24A8"/>
    <w:rsid w:val="00102B37"/>
    <w:rsid w:val="001038E4"/>
    <w:rsid w:val="0011074D"/>
    <w:rsid w:val="001124B9"/>
    <w:rsid w:val="00114FD0"/>
    <w:rsid w:val="00117838"/>
    <w:rsid w:val="001203B9"/>
    <w:rsid w:val="001223C1"/>
    <w:rsid w:val="00124038"/>
    <w:rsid w:val="00124C2D"/>
    <w:rsid w:val="00126F01"/>
    <w:rsid w:val="00127935"/>
    <w:rsid w:val="00131201"/>
    <w:rsid w:val="00133C26"/>
    <w:rsid w:val="00147769"/>
    <w:rsid w:val="00150732"/>
    <w:rsid w:val="001576CC"/>
    <w:rsid w:val="001674B7"/>
    <w:rsid w:val="0017054F"/>
    <w:rsid w:val="00173B74"/>
    <w:rsid w:val="001926F9"/>
    <w:rsid w:val="00193233"/>
    <w:rsid w:val="00193B8C"/>
    <w:rsid w:val="001956C8"/>
    <w:rsid w:val="0019752B"/>
    <w:rsid w:val="00197794"/>
    <w:rsid w:val="001A3606"/>
    <w:rsid w:val="001A5042"/>
    <w:rsid w:val="001B1A84"/>
    <w:rsid w:val="001C0EE9"/>
    <w:rsid w:val="001C6E8E"/>
    <w:rsid w:val="001D3765"/>
    <w:rsid w:val="001E08E8"/>
    <w:rsid w:val="001E131E"/>
    <w:rsid w:val="001E4E8B"/>
    <w:rsid w:val="001E5F3A"/>
    <w:rsid w:val="001E6C75"/>
    <w:rsid w:val="00202714"/>
    <w:rsid w:val="00203310"/>
    <w:rsid w:val="00213E47"/>
    <w:rsid w:val="00214030"/>
    <w:rsid w:val="00220934"/>
    <w:rsid w:val="00223987"/>
    <w:rsid w:val="00225BD5"/>
    <w:rsid w:val="00231533"/>
    <w:rsid w:val="00232F2B"/>
    <w:rsid w:val="002337C2"/>
    <w:rsid w:val="002369D8"/>
    <w:rsid w:val="0024061B"/>
    <w:rsid w:val="00240745"/>
    <w:rsid w:val="002458F1"/>
    <w:rsid w:val="0025364B"/>
    <w:rsid w:val="00256963"/>
    <w:rsid w:val="00256E5F"/>
    <w:rsid w:val="00261760"/>
    <w:rsid w:val="00271722"/>
    <w:rsid w:val="00273F1F"/>
    <w:rsid w:val="0028354E"/>
    <w:rsid w:val="00291F47"/>
    <w:rsid w:val="00293F3E"/>
    <w:rsid w:val="002E1F0D"/>
    <w:rsid w:val="002E6794"/>
    <w:rsid w:val="002F2794"/>
    <w:rsid w:val="002F6D04"/>
    <w:rsid w:val="003051C6"/>
    <w:rsid w:val="0030655E"/>
    <w:rsid w:val="00310784"/>
    <w:rsid w:val="00311FAB"/>
    <w:rsid w:val="00325F3A"/>
    <w:rsid w:val="00340553"/>
    <w:rsid w:val="003436EC"/>
    <w:rsid w:val="00351762"/>
    <w:rsid w:val="00370204"/>
    <w:rsid w:val="00373570"/>
    <w:rsid w:val="00375916"/>
    <w:rsid w:val="0038145B"/>
    <w:rsid w:val="00386B7A"/>
    <w:rsid w:val="003911B9"/>
    <w:rsid w:val="003916A6"/>
    <w:rsid w:val="00392436"/>
    <w:rsid w:val="003A47AB"/>
    <w:rsid w:val="003B2C9A"/>
    <w:rsid w:val="003C4C78"/>
    <w:rsid w:val="003D593F"/>
    <w:rsid w:val="003E39DD"/>
    <w:rsid w:val="003E5E10"/>
    <w:rsid w:val="003F27E5"/>
    <w:rsid w:val="003F5736"/>
    <w:rsid w:val="003F69A5"/>
    <w:rsid w:val="0040019B"/>
    <w:rsid w:val="00400957"/>
    <w:rsid w:val="00401580"/>
    <w:rsid w:val="00403970"/>
    <w:rsid w:val="00407C11"/>
    <w:rsid w:val="004150F8"/>
    <w:rsid w:val="0041708A"/>
    <w:rsid w:val="004221B5"/>
    <w:rsid w:val="00423708"/>
    <w:rsid w:val="004265DF"/>
    <w:rsid w:val="00433736"/>
    <w:rsid w:val="00440DEE"/>
    <w:rsid w:val="0044153B"/>
    <w:rsid w:val="00446126"/>
    <w:rsid w:val="004478DB"/>
    <w:rsid w:val="0045242D"/>
    <w:rsid w:val="00455AC5"/>
    <w:rsid w:val="0045627D"/>
    <w:rsid w:val="00456359"/>
    <w:rsid w:val="00461406"/>
    <w:rsid w:val="004630C5"/>
    <w:rsid w:val="0046371C"/>
    <w:rsid w:val="00466799"/>
    <w:rsid w:val="004715F5"/>
    <w:rsid w:val="0047495A"/>
    <w:rsid w:val="00481FB8"/>
    <w:rsid w:val="00483A04"/>
    <w:rsid w:val="0048789D"/>
    <w:rsid w:val="004A3AC7"/>
    <w:rsid w:val="004A4D6A"/>
    <w:rsid w:val="004A58F5"/>
    <w:rsid w:val="004C5C08"/>
    <w:rsid w:val="004C6A7E"/>
    <w:rsid w:val="004C7423"/>
    <w:rsid w:val="004C79B4"/>
    <w:rsid w:val="004D079E"/>
    <w:rsid w:val="004D37BF"/>
    <w:rsid w:val="004D41DA"/>
    <w:rsid w:val="004D7F15"/>
    <w:rsid w:val="004E1748"/>
    <w:rsid w:val="004E446A"/>
    <w:rsid w:val="004F4844"/>
    <w:rsid w:val="004F4DE8"/>
    <w:rsid w:val="004F541B"/>
    <w:rsid w:val="004F6AF8"/>
    <w:rsid w:val="0050570A"/>
    <w:rsid w:val="00510841"/>
    <w:rsid w:val="00521E2D"/>
    <w:rsid w:val="00525B8F"/>
    <w:rsid w:val="00535749"/>
    <w:rsid w:val="00535D56"/>
    <w:rsid w:val="00541B4B"/>
    <w:rsid w:val="00545059"/>
    <w:rsid w:val="00545119"/>
    <w:rsid w:val="0055634D"/>
    <w:rsid w:val="005610CE"/>
    <w:rsid w:val="00566D32"/>
    <w:rsid w:val="0057420D"/>
    <w:rsid w:val="00574F2D"/>
    <w:rsid w:val="00592100"/>
    <w:rsid w:val="00593D99"/>
    <w:rsid w:val="00596083"/>
    <w:rsid w:val="005A1BE9"/>
    <w:rsid w:val="005A4B20"/>
    <w:rsid w:val="005A5B7A"/>
    <w:rsid w:val="005A7FD1"/>
    <w:rsid w:val="005B0B7D"/>
    <w:rsid w:val="005B29C3"/>
    <w:rsid w:val="005B374E"/>
    <w:rsid w:val="005B5241"/>
    <w:rsid w:val="005C1978"/>
    <w:rsid w:val="005D48D2"/>
    <w:rsid w:val="005D6CF3"/>
    <w:rsid w:val="005F5AFA"/>
    <w:rsid w:val="005F6EE5"/>
    <w:rsid w:val="0060027B"/>
    <w:rsid w:val="00606DCA"/>
    <w:rsid w:val="0061517A"/>
    <w:rsid w:val="00616A19"/>
    <w:rsid w:val="0061707A"/>
    <w:rsid w:val="00623E6C"/>
    <w:rsid w:val="006300B9"/>
    <w:rsid w:val="00634C73"/>
    <w:rsid w:val="00635519"/>
    <w:rsid w:val="0065197A"/>
    <w:rsid w:val="006523AC"/>
    <w:rsid w:val="00653A6C"/>
    <w:rsid w:val="006567C1"/>
    <w:rsid w:val="00657CCA"/>
    <w:rsid w:val="00663ED7"/>
    <w:rsid w:val="00664078"/>
    <w:rsid w:val="006700CD"/>
    <w:rsid w:val="006827DC"/>
    <w:rsid w:val="0069005A"/>
    <w:rsid w:val="0069622E"/>
    <w:rsid w:val="00697384"/>
    <w:rsid w:val="006A4850"/>
    <w:rsid w:val="006A50EC"/>
    <w:rsid w:val="006A6075"/>
    <w:rsid w:val="006B115A"/>
    <w:rsid w:val="006B1F77"/>
    <w:rsid w:val="006C47D7"/>
    <w:rsid w:val="006C53ED"/>
    <w:rsid w:val="006C60C6"/>
    <w:rsid w:val="006C6235"/>
    <w:rsid w:val="006C7E27"/>
    <w:rsid w:val="006D0E6B"/>
    <w:rsid w:val="006D31EA"/>
    <w:rsid w:val="006D5632"/>
    <w:rsid w:val="006D6CF8"/>
    <w:rsid w:val="006D6D74"/>
    <w:rsid w:val="006E0B2F"/>
    <w:rsid w:val="006E3003"/>
    <w:rsid w:val="006E31AC"/>
    <w:rsid w:val="006E7A8B"/>
    <w:rsid w:val="006F149C"/>
    <w:rsid w:val="006F1799"/>
    <w:rsid w:val="006F3A9E"/>
    <w:rsid w:val="00701E9D"/>
    <w:rsid w:val="007102B6"/>
    <w:rsid w:val="007169A0"/>
    <w:rsid w:val="007173B9"/>
    <w:rsid w:val="00725063"/>
    <w:rsid w:val="00725956"/>
    <w:rsid w:val="00726053"/>
    <w:rsid w:val="0072615A"/>
    <w:rsid w:val="00727092"/>
    <w:rsid w:val="00736EEE"/>
    <w:rsid w:val="0073749A"/>
    <w:rsid w:val="007507FB"/>
    <w:rsid w:val="00760195"/>
    <w:rsid w:val="00760D50"/>
    <w:rsid w:val="00763486"/>
    <w:rsid w:val="007645E8"/>
    <w:rsid w:val="0076495E"/>
    <w:rsid w:val="00770934"/>
    <w:rsid w:val="00773D4C"/>
    <w:rsid w:val="00794FE6"/>
    <w:rsid w:val="0079500B"/>
    <w:rsid w:val="007A1ED6"/>
    <w:rsid w:val="007A2F6C"/>
    <w:rsid w:val="007A3D7B"/>
    <w:rsid w:val="007C1ABD"/>
    <w:rsid w:val="007C3157"/>
    <w:rsid w:val="007D0705"/>
    <w:rsid w:val="007D10CC"/>
    <w:rsid w:val="007D2260"/>
    <w:rsid w:val="007E3B7E"/>
    <w:rsid w:val="007E5E25"/>
    <w:rsid w:val="007E656D"/>
    <w:rsid w:val="007E6CEB"/>
    <w:rsid w:val="007E79C9"/>
    <w:rsid w:val="007F03C7"/>
    <w:rsid w:val="007F12B7"/>
    <w:rsid w:val="007F56D3"/>
    <w:rsid w:val="007F6BA0"/>
    <w:rsid w:val="00801ECF"/>
    <w:rsid w:val="008061DD"/>
    <w:rsid w:val="0081633B"/>
    <w:rsid w:val="008163A8"/>
    <w:rsid w:val="00816554"/>
    <w:rsid w:val="00817C01"/>
    <w:rsid w:val="00827642"/>
    <w:rsid w:val="008279C6"/>
    <w:rsid w:val="008301F8"/>
    <w:rsid w:val="008342D3"/>
    <w:rsid w:val="00836B8E"/>
    <w:rsid w:val="00845B18"/>
    <w:rsid w:val="0085090B"/>
    <w:rsid w:val="008543CF"/>
    <w:rsid w:val="00854AB7"/>
    <w:rsid w:val="0085761A"/>
    <w:rsid w:val="008604AD"/>
    <w:rsid w:val="0086153B"/>
    <w:rsid w:val="008615BD"/>
    <w:rsid w:val="0086674C"/>
    <w:rsid w:val="00871563"/>
    <w:rsid w:val="00881BDD"/>
    <w:rsid w:val="00882EA7"/>
    <w:rsid w:val="008830E8"/>
    <w:rsid w:val="00893843"/>
    <w:rsid w:val="00894E76"/>
    <w:rsid w:val="008A0BB3"/>
    <w:rsid w:val="008C0EAD"/>
    <w:rsid w:val="008C4E9C"/>
    <w:rsid w:val="008D032D"/>
    <w:rsid w:val="008D4E9E"/>
    <w:rsid w:val="008E1264"/>
    <w:rsid w:val="0090332C"/>
    <w:rsid w:val="0090580B"/>
    <w:rsid w:val="00920074"/>
    <w:rsid w:val="00960C26"/>
    <w:rsid w:val="009659B3"/>
    <w:rsid w:val="0097111D"/>
    <w:rsid w:val="00972428"/>
    <w:rsid w:val="00972FB0"/>
    <w:rsid w:val="0098244F"/>
    <w:rsid w:val="00982DEC"/>
    <w:rsid w:val="00983D17"/>
    <w:rsid w:val="00984F9A"/>
    <w:rsid w:val="009903DB"/>
    <w:rsid w:val="00991DA3"/>
    <w:rsid w:val="00993F83"/>
    <w:rsid w:val="009A3EDF"/>
    <w:rsid w:val="009A4FF6"/>
    <w:rsid w:val="009A6567"/>
    <w:rsid w:val="009B1F66"/>
    <w:rsid w:val="009B4061"/>
    <w:rsid w:val="009B4BD1"/>
    <w:rsid w:val="009C10F8"/>
    <w:rsid w:val="009C721B"/>
    <w:rsid w:val="009D08A3"/>
    <w:rsid w:val="009D2B4A"/>
    <w:rsid w:val="009D2C5C"/>
    <w:rsid w:val="009E518A"/>
    <w:rsid w:val="009E56AA"/>
    <w:rsid w:val="009E5DA7"/>
    <w:rsid w:val="00A11A59"/>
    <w:rsid w:val="00A11C85"/>
    <w:rsid w:val="00A244DF"/>
    <w:rsid w:val="00A253EE"/>
    <w:rsid w:val="00A278C7"/>
    <w:rsid w:val="00A30D7B"/>
    <w:rsid w:val="00A31C69"/>
    <w:rsid w:val="00A36380"/>
    <w:rsid w:val="00A36C34"/>
    <w:rsid w:val="00A37E15"/>
    <w:rsid w:val="00A5386D"/>
    <w:rsid w:val="00A53D50"/>
    <w:rsid w:val="00A57C00"/>
    <w:rsid w:val="00A57EC5"/>
    <w:rsid w:val="00A622B4"/>
    <w:rsid w:val="00A662AD"/>
    <w:rsid w:val="00A91104"/>
    <w:rsid w:val="00AA0A79"/>
    <w:rsid w:val="00AA448C"/>
    <w:rsid w:val="00AB19FC"/>
    <w:rsid w:val="00AB3363"/>
    <w:rsid w:val="00AB56AE"/>
    <w:rsid w:val="00AB6D1A"/>
    <w:rsid w:val="00AC47D4"/>
    <w:rsid w:val="00AC5327"/>
    <w:rsid w:val="00AD08F6"/>
    <w:rsid w:val="00AD2F15"/>
    <w:rsid w:val="00AD2FAD"/>
    <w:rsid w:val="00AD53A0"/>
    <w:rsid w:val="00AD702A"/>
    <w:rsid w:val="00AD7969"/>
    <w:rsid w:val="00AF5EC9"/>
    <w:rsid w:val="00AF7C7B"/>
    <w:rsid w:val="00B10B87"/>
    <w:rsid w:val="00B13540"/>
    <w:rsid w:val="00B222AC"/>
    <w:rsid w:val="00B257CF"/>
    <w:rsid w:val="00B340C5"/>
    <w:rsid w:val="00B346D8"/>
    <w:rsid w:val="00B34991"/>
    <w:rsid w:val="00B3558F"/>
    <w:rsid w:val="00B37016"/>
    <w:rsid w:val="00B43B70"/>
    <w:rsid w:val="00B54D54"/>
    <w:rsid w:val="00B55425"/>
    <w:rsid w:val="00B63D32"/>
    <w:rsid w:val="00B6756B"/>
    <w:rsid w:val="00B67B66"/>
    <w:rsid w:val="00B725B6"/>
    <w:rsid w:val="00B73CBE"/>
    <w:rsid w:val="00B773FC"/>
    <w:rsid w:val="00B91580"/>
    <w:rsid w:val="00B92778"/>
    <w:rsid w:val="00B94C70"/>
    <w:rsid w:val="00BA4E86"/>
    <w:rsid w:val="00BA54CA"/>
    <w:rsid w:val="00BA5905"/>
    <w:rsid w:val="00BA63BD"/>
    <w:rsid w:val="00BB3B7B"/>
    <w:rsid w:val="00BC37BF"/>
    <w:rsid w:val="00BC499C"/>
    <w:rsid w:val="00BC6537"/>
    <w:rsid w:val="00BD32C6"/>
    <w:rsid w:val="00BD6106"/>
    <w:rsid w:val="00BE0C90"/>
    <w:rsid w:val="00BE2F23"/>
    <w:rsid w:val="00BF16F7"/>
    <w:rsid w:val="00C02735"/>
    <w:rsid w:val="00C17D6E"/>
    <w:rsid w:val="00C23B79"/>
    <w:rsid w:val="00C468BE"/>
    <w:rsid w:val="00C47CF3"/>
    <w:rsid w:val="00C51AAC"/>
    <w:rsid w:val="00C65E2C"/>
    <w:rsid w:val="00C76CF3"/>
    <w:rsid w:val="00C80680"/>
    <w:rsid w:val="00C91803"/>
    <w:rsid w:val="00CA1ED8"/>
    <w:rsid w:val="00CA45A5"/>
    <w:rsid w:val="00CA4655"/>
    <w:rsid w:val="00CB59FE"/>
    <w:rsid w:val="00CC0020"/>
    <w:rsid w:val="00CC048C"/>
    <w:rsid w:val="00CC26F8"/>
    <w:rsid w:val="00CC48F2"/>
    <w:rsid w:val="00CC5CAA"/>
    <w:rsid w:val="00CD6DC6"/>
    <w:rsid w:val="00CD7790"/>
    <w:rsid w:val="00CE0170"/>
    <w:rsid w:val="00CE4417"/>
    <w:rsid w:val="00CF00DE"/>
    <w:rsid w:val="00CF6D2C"/>
    <w:rsid w:val="00D03D0D"/>
    <w:rsid w:val="00D06261"/>
    <w:rsid w:val="00D06740"/>
    <w:rsid w:val="00D116E9"/>
    <w:rsid w:val="00D2206D"/>
    <w:rsid w:val="00D31CFD"/>
    <w:rsid w:val="00D3492D"/>
    <w:rsid w:val="00D357DF"/>
    <w:rsid w:val="00D35DD0"/>
    <w:rsid w:val="00D37639"/>
    <w:rsid w:val="00D42BA6"/>
    <w:rsid w:val="00D44F79"/>
    <w:rsid w:val="00D474A4"/>
    <w:rsid w:val="00D506C0"/>
    <w:rsid w:val="00D530BB"/>
    <w:rsid w:val="00D5330C"/>
    <w:rsid w:val="00D5677D"/>
    <w:rsid w:val="00D57BCC"/>
    <w:rsid w:val="00D63FDE"/>
    <w:rsid w:val="00D700BE"/>
    <w:rsid w:val="00D728EE"/>
    <w:rsid w:val="00D810BD"/>
    <w:rsid w:val="00D83B98"/>
    <w:rsid w:val="00D85436"/>
    <w:rsid w:val="00D932E7"/>
    <w:rsid w:val="00D95717"/>
    <w:rsid w:val="00D96EB6"/>
    <w:rsid w:val="00DA6DFC"/>
    <w:rsid w:val="00DB11C8"/>
    <w:rsid w:val="00DB1EDD"/>
    <w:rsid w:val="00DB3FFD"/>
    <w:rsid w:val="00DB71B1"/>
    <w:rsid w:val="00DC00FF"/>
    <w:rsid w:val="00DC4BB7"/>
    <w:rsid w:val="00DD14D3"/>
    <w:rsid w:val="00DD1AC0"/>
    <w:rsid w:val="00DD41A1"/>
    <w:rsid w:val="00DD675A"/>
    <w:rsid w:val="00DE231F"/>
    <w:rsid w:val="00DE5FDB"/>
    <w:rsid w:val="00DF1F93"/>
    <w:rsid w:val="00E11FFB"/>
    <w:rsid w:val="00E13DD2"/>
    <w:rsid w:val="00E14FA8"/>
    <w:rsid w:val="00E16C99"/>
    <w:rsid w:val="00E24015"/>
    <w:rsid w:val="00E349E2"/>
    <w:rsid w:val="00E50D72"/>
    <w:rsid w:val="00E529A9"/>
    <w:rsid w:val="00E56F9B"/>
    <w:rsid w:val="00E61E41"/>
    <w:rsid w:val="00E6308B"/>
    <w:rsid w:val="00E6451C"/>
    <w:rsid w:val="00E66D7F"/>
    <w:rsid w:val="00E70EBF"/>
    <w:rsid w:val="00E75BC7"/>
    <w:rsid w:val="00EA01FA"/>
    <w:rsid w:val="00EA2384"/>
    <w:rsid w:val="00EA52E2"/>
    <w:rsid w:val="00EA5C3D"/>
    <w:rsid w:val="00EB39B0"/>
    <w:rsid w:val="00EB4A90"/>
    <w:rsid w:val="00EB555D"/>
    <w:rsid w:val="00EB5984"/>
    <w:rsid w:val="00EB5C0E"/>
    <w:rsid w:val="00EC3F4A"/>
    <w:rsid w:val="00EC449B"/>
    <w:rsid w:val="00ED0638"/>
    <w:rsid w:val="00ED1FB6"/>
    <w:rsid w:val="00ED30B6"/>
    <w:rsid w:val="00EE266A"/>
    <w:rsid w:val="00EE5958"/>
    <w:rsid w:val="00EF123B"/>
    <w:rsid w:val="00EF337B"/>
    <w:rsid w:val="00F05F9D"/>
    <w:rsid w:val="00F10B5B"/>
    <w:rsid w:val="00F15CB8"/>
    <w:rsid w:val="00F16CEE"/>
    <w:rsid w:val="00F20484"/>
    <w:rsid w:val="00F2265C"/>
    <w:rsid w:val="00F26066"/>
    <w:rsid w:val="00F3417F"/>
    <w:rsid w:val="00F34354"/>
    <w:rsid w:val="00F3468B"/>
    <w:rsid w:val="00F35D2D"/>
    <w:rsid w:val="00F363B0"/>
    <w:rsid w:val="00F401EE"/>
    <w:rsid w:val="00F4390B"/>
    <w:rsid w:val="00F53629"/>
    <w:rsid w:val="00F54BDB"/>
    <w:rsid w:val="00F6558C"/>
    <w:rsid w:val="00F70F32"/>
    <w:rsid w:val="00F71A0D"/>
    <w:rsid w:val="00F75D07"/>
    <w:rsid w:val="00F774CF"/>
    <w:rsid w:val="00F77EB3"/>
    <w:rsid w:val="00F80029"/>
    <w:rsid w:val="00F861C2"/>
    <w:rsid w:val="00F8710D"/>
    <w:rsid w:val="00F93854"/>
    <w:rsid w:val="00F95EFC"/>
    <w:rsid w:val="00F97709"/>
    <w:rsid w:val="00FA30BE"/>
    <w:rsid w:val="00FB6DA0"/>
    <w:rsid w:val="00FC02E2"/>
    <w:rsid w:val="00FC3510"/>
    <w:rsid w:val="00FC39DB"/>
    <w:rsid w:val="00FC3C1E"/>
    <w:rsid w:val="00FD0F6C"/>
    <w:rsid w:val="00FD13E5"/>
    <w:rsid w:val="00FD5C6E"/>
    <w:rsid w:val="00FF3EAB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4:docId w14:val="3DB0E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84"/>
  </w:style>
  <w:style w:type="paragraph" w:styleId="Heading1">
    <w:name w:val="heading 1"/>
    <w:basedOn w:val="Normal"/>
    <w:next w:val="BodyText"/>
    <w:link w:val="Heading1Char"/>
    <w:uiPriority w:val="9"/>
    <w:qFormat/>
    <w:rsid w:val="001E6C75"/>
    <w:pPr>
      <w:keepNext/>
      <w:keepLines/>
      <w:numPr>
        <w:ilvl w:val="1"/>
        <w:numId w:val="17"/>
      </w:numPr>
      <w:spacing w:after="22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E6C75"/>
    <w:pPr>
      <w:keepNext/>
      <w:keepLines/>
      <w:numPr>
        <w:ilvl w:val="2"/>
        <w:numId w:val="17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E6C75"/>
    <w:pPr>
      <w:keepNext/>
      <w:keepLines/>
      <w:numPr>
        <w:ilvl w:val="3"/>
        <w:numId w:val="17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1E6C75"/>
    <w:pPr>
      <w:keepNext/>
      <w:keepLines/>
      <w:numPr>
        <w:ilvl w:val="4"/>
        <w:numId w:val="17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1E6C75"/>
    <w:pPr>
      <w:keepNext/>
      <w:keepLines/>
      <w:numPr>
        <w:ilvl w:val="5"/>
        <w:numId w:val="17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1E6C75"/>
    <w:pPr>
      <w:keepNext/>
      <w:keepLines/>
      <w:numPr>
        <w:ilvl w:val="6"/>
        <w:numId w:val="17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1E6C75"/>
    <w:pPr>
      <w:keepNext/>
      <w:keepLines/>
      <w:numPr>
        <w:ilvl w:val="7"/>
        <w:numId w:val="17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1E6C75"/>
    <w:pPr>
      <w:keepNext/>
      <w:keepLines/>
      <w:numPr>
        <w:ilvl w:val="8"/>
        <w:numId w:val="17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rsid w:val="001E6C75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7C7B"/>
    <w:rPr>
      <w:noProof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97384"/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AF7C7B"/>
    <w:rPr>
      <w:noProof/>
      <w:color w:val="054884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715F5"/>
    <w:rPr>
      <w:noProof/>
      <w:color w:val="054884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7C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TableNormal"/>
    <w:uiPriority w:val="99"/>
    <w:qFormat/>
    <w:rsid w:val="00AF7C7B"/>
    <w:tblPr/>
  </w:style>
  <w:style w:type="character" w:styleId="PlaceholderText">
    <w:name w:val="Placeholder Text"/>
    <w:basedOn w:val="DefaultParagraphFont"/>
    <w:uiPriority w:val="99"/>
    <w:rsid w:val="00AF7C7B"/>
    <w:rPr>
      <w:color w:val="auto"/>
      <w:bdr w:val="none" w:sz="0" w:space="0" w:color="auto"/>
      <w:shd w:val="clear" w:color="auto" w:fill="00ACDE"/>
    </w:rPr>
  </w:style>
  <w:style w:type="character" w:customStyle="1" w:styleId="Heading7Char">
    <w:name w:val="Heading 7 Char"/>
    <w:basedOn w:val="DefaultParagraphFont"/>
    <w:link w:val="Heading7"/>
    <w:uiPriority w:val="9"/>
    <w:rsid w:val="001E6C75"/>
    <w:rPr>
      <w:rFonts w:asciiTheme="majorHAnsi" w:eastAsiaTheme="majorEastAsia" w:hAnsiTheme="majorHAnsi" w:cstheme="majorBidi"/>
      <w:iCs/>
    </w:rPr>
  </w:style>
  <w:style w:type="paragraph" w:styleId="BodyText">
    <w:name w:val="Body Text"/>
    <w:basedOn w:val="Normal"/>
    <w:link w:val="BodyTextChar"/>
    <w:uiPriority w:val="1"/>
    <w:qFormat/>
    <w:rsid w:val="008163A8"/>
    <w:pPr>
      <w:spacing w:after="220"/>
      <w:ind w:left="1304"/>
    </w:pPr>
  </w:style>
  <w:style w:type="character" w:customStyle="1" w:styleId="BodyTextChar">
    <w:name w:val="Body Text Char"/>
    <w:basedOn w:val="DefaultParagraphFont"/>
    <w:link w:val="BodyText"/>
    <w:uiPriority w:val="1"/>
    <w:rsid w:val="008163A8"/>
  </w:style>
  <w:style w:type="paragraph" w:styleId="NoSpacing">
    <w:name w:val="No Spacing"/>
    <w:uiPriority w:val="2"/>
    <w:qFormat/>
    <w:rsid w:val="008163A8"/>
    <w:pPr>
      <w:ind w:left="1304"/>
    </w:pPr>
  </w:style>
  <w:style w:type="paragraph" w:styleId="ListNumber">
    <w:name w:val="List Number"/>
    <w:basedOn w:val="Normal"/>
    <w:uiPriority w:val="99"/>
    <w:qFormat/>
    <w:rsid w:val="008163A8"/>
    <w:pPr>
      <w:numPr>
        <w:numId w:val="10"/>
      </w:numPr>
      <w:spacing w:after="220"/>
      <w:contextualSpacing/>
    </w:pPr>
  </w:style>
  <w:style w:type="paragraph" w:styleId="ListBullet">
    <w:name w:val="List Bullet"/>
    <w:basedOn w:val="Normal"/>
    <w:uiPriority w:val="99"/>
    <w:qFormat/>
    <w:rsid w:val="008163A8"/>
    <w:pPr>
      <w:numPr>
        <w:numId w:val="11"/>
      </w:numPr>
      <w:spacing w:after="2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E6C75"/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Title">
    <w:name w:val="Title"/>
    <w:basedOn w:val="Normal"/>
    <w:next w:val="BodyText"/>
    <w:link w:val="TitleChar"/>
    <w:uiPriority w:val="10"/>
    <w:qFormat/>
    <w:rsid w:val="001E6C75"/>
    <w:pPr>
      <w:numPr>
        <w:numId w:val="17"/>
      </w:numPr>
      <w:spacing w:after="220"/>
      <w:contextualSpacing/>
      <w:outlineLvl w:val="0"/>
    </w:pPr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6C75"/>
    <w:rPr>
      <w:rFonts w:asciiTheme="majorHAnsi" w:eastAsiaTheme="majorEastAsia" w:hAnsiTheme="majorHAnsi" w:cstheme="majorHAnsi"/>
      <w:b/>
      <w:color w:val="054884" w:themeColor="text2"/>
      <w:kern w:val="22"/>
      <w:sz w:val="30"/>
      <w:szCs w:val="52"/>
    </w:rPr>
  </w:style>
  <w:style w:type="paragraph" w:styleId="TOCHeading">
    <w:name w:val="TOC Heading"/>
    <w:next w:val="Normal"/>
    <w:uiPriority w:val="39"/>
    <w:qFormat/>
    <w:rsid w:val="007E656D"/>
    <w:pPr>
      <w:spacing w:after="22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6C75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C75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E6C75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6C75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1E6C75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C75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6C75"/>
    <w:rPr>
      <w:rFonts w:asciiTheme="majorHAnsi" w:eastAsiaTheme="majorEastAsia" w:hAnsiTheme="majorHAnsi" w:cstheme="majorBidi"/>
      <w:iCs/>
      <w:szCs w:val="20"/>
    </w:rPr>
  </w:style>
  <w:style w:type="numbering" w:customStyle="1" w:styleId="Luettelomerkit">
    <w:name w:val="Luettelomerkit"/>
    <w:uiPriority w:val="99"/>
    <w:rsid w:val="008163A8"/>
    <w:pPr>
      <w:numPr>
        <w:numId w:val="2"/>
      </w:numPr>
    </w:pPr>
  </w:style>
  <w:style w:type="numbering" w:customStyle="1" w:styleId="Luettelonumerot">
    <w:name w:val="Luettelo numerot"/>
    <w:uiPriority w:val="99"/>
    <w:rsid w:val="008163A8"/>
    <w:pPr>
      <w:numPr>
        <w:numId w:val="1"/>
      </w:numPr>
    </w:pPr>
  </w:style>
  <w:style w:type="paragraph" w:customStyle="1" w:styleId="Ohje">
    <w:name w:val="Ohje"/>
    <w:basedOn w:val="BodyText"/>
    <w:uiPriority w:val="99"/>
    <w:rsid w:val="00AF7C7B"/>
    <w:pPr>
      <w:shd w:val="clear" w:color="auto" w:fill="FFFF00"/>
    </w:pPr>
  </w:style>
  <w:style w:type="paragraph" w:styleId="TOC1">
    <w:name w:val="toc 1"/>
    <w:next w:val="Normal"/>
    <w:autoRedefine/>
    <w:uiPriority w:val="39"/>
    <w:rsid w:val="00DB71B1"/>
    <w:pPr>
      <w:tabs>
        <w:tab w:val="right" w:leader="dot" w:pos="9741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caps/>
      <w:sz w:val="20"/>
      <w:szCs w:val="20"/>
    </w:rPr>
  </w:style>
  <w:style w:type="paragraph" w:styleId="TOC2">
    <w:name w:val="toc 2"/>
    <w:next w:val="Normal"/>
    <w:autoRedefine/>
    <w:uiPriority w:val="39"/>
    <w:rsid w:val="00593D99"/>
    <w:pPr>
      <w:tabs>
        <w:tab w:val="right" w:leader="dot" w:pos="9741"/>
      </w:tabs>
      <w:spacing w:before="120"/>
      <w:ind w:left="284"/>
    </w:pPr>
    <w:rPr>
      <w:rFonts w:asciiTheme="majorHAnsi" w:eastAsiaTheme="majorEastAsia" w:hAnsiTheme="majorHAnsi" w:cstheme="majorBidi"/>
      <w:bCs/>
      <w:iCs/>
      <w:smallCaps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7C3157"/>
    <w:rPr>
      <w:color w:val="0000FF" w:themeColor="hyperlink"/>
      <w:u w:val="single"/>
    </w:rPr>
  </w:style>
  <w:style w:type="paragraph" w:styleId="TOC3">
    <w:name w:val="toc 3"/>
    <w:next w:val="Normal"/>
    <w:autoRedefine/>
    <w:uiPriority w:val="39"/>
    <w:rsid w:val="006A4850"/>
    <w:pPr>
      <w:tabs>
        <w:tab w:val="left" w:pos="851"/>
        <w:tab w:val="right" w:leader="dot" w:pos="9741"/>
      </w:tabs>
      <w:ind w:left="1134" w:hanging="567"/>
    </w:pPr>
    <w:rPr>
      <w:rFonts w:asciiTheme="majorHAnsi" w:eastAsiaTheme="majorEastAsia" w:hAnsiTheme="majorHAnsi" w:cstheme="majorBidi"/>
      <w:bCs/>
      <w:i/>
      <w:sz w:val="18"/>
      <w:szCs w:val="20"/>
    </w:rPr>
  </w:style>
  <w:style w:type="paragraph" w:styleId="TOC4">
    <w:name w:val="toc 4"/>
    <w:basedOn w:val="Normal"/>
    <w:next w:val="Normal"/>
    <w:autoRedefine/>
    <w:uiPriority w:val="39"/>
    <w:rsid w:val="00131201"/>
    <w:pPr>
      <w:tabs>
        <w:tab w:val="right" w:leader="dot" w:pos="9741"/>
      </w:tabs>
      <w:ind w:left="1985" w:hanging="851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131201"/>
    <w:pPr>
      <w:tabs>
        <w:tab w:val="right" w:leader="dot" w:pos="9741"/>
      </w:tabs>
      <w:ind w:left="1985" w:hanging="1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E349E2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E349E2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E349E2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E349E2"/>
    <w:pPr>
      <w:ind w:left="1760"/>
    </w:pPr>
    <w:rPr>
      <w:sz w:val="20"/>
      <w:szCs w:val="20"/>
    </w:rPr>
  </w:style>
  <w:style w:type="paragraph" w:customStyle="1" w:styleId="Taulukkootsikko">
    <w:name w:val="Taulukko_otsikko"/>
    <w:basedOn w:val="Normal"/>
    <w:next w:val="Normal"/>
    <w:rsid w:val="0044153B"/>
    <w:pPr>
      <w:spacing w:after="120"/>
      <w:jc w:val="both"/>
    </w:pPr>
    <w:rPr>
      <w:rFonts w:ascii="Verdana" w:eastAsia="Times New Roman" w:hAnsi="Verdana" w:cs="Arial"/>
      <w:b/>
      <w:sz w:val="20"/>
    </w:rPr>
  </w:style>
  <w:style w:type="paragraph" w:customStyle="1" w:styleId="Taulukkoteksti">
    <w:name w:val="Taulukkoteksti"/>
    <w:basedOn w:val="Normal"/>
    <w:rsid w:val="0044153B"/>
    <w:pPr>
      <w:spacing w:after="120"/>
      <w:jc w:val="both"/>
    </w:pPr>
    <w:rPr>
      <w:rFonts w:ascii="Verdana" w:eastAsia="Times New Roman" w:hAnsi="Verdana" w:cs="Arial"/>
      <w:sz w:val="20"/>
    </w:rPr>
  </w:style>
  <w:style w:type="table" w:customStyle="1" w:styleId="Viestintvirastotaulukko">
    <w:name w:val="Viestintävirasto taulukko"/>
    <w:basedOn w:val="TableNormal"/>
    <w:uiPriority w:val="99"/>
    <w:qFormat/>
    <w:rsid w:val="00AD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EECE1"/>
      </w:tcPr>
    </w:tblStylePr>
  </w:style>
  <w:style w:type="numbering" w:customStyle="1" w:styleId="Numeroituotsikointi">
    <w:name w:val="Numeroitu otsikointi"/>
    <w:uiPriority w:val="99"/>
    <w:rsid w:val="001E6C75"/>
    <w:pPr>
      <w:numPr>
        <w:numId w:val="3"/>
      </w:numPr>
    </w:pPr>
  </w:style>
  <w:style w:type="paragraph" w:styleId="Subtitle">
    <w:name w:val="Subtitle"/>
    <w:basedOn w:val="Heading2"/>
    <w:next w:val="BodyText"/>
    <w:link w:val="SubtitleChar"/>
    <w:uiPriority w:val="11"/>
    <w:qFormat/>
    <w:rsid w:val="001E6C75"/>
    <w:pPr>
      <w:numPr>
        <w:ilvl w:val="1"/>
        <w:numId w:val="0"/>
      </w:numPr>
    </w:pPr>
    <w:rPr>
      <w:rFonts w:cstheme="majorHAnsi"/>
      <w:iCs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6C75"/>
    <w:rPr>
      <w:rFonts w:asciiTheme="majorHAnsi" w:eastAsiaTheme="majorEastAsia" w:hAnsiTheme="majorHAnsi" w:cstheme="majorHAnsi"/>
      <w:b/>
      <w:bCs/>
      <w:iCs/>
      <w:sz w:val="3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5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0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00B"/>
    <w:rPr>
      <w:b/>
      <w:bCs/>
      <w:sz w:val="20"/>
      <w:szCs w:val="20"/>
    </w:rPr>
  </w:style>
  <w:style w:type="paragraph" w:customStyle="1" w:styleId="Default">
    <w:name w:val="Default"/>
    <w:rsid w:val="00BC65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01EE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01EE"/>
    <w:rPr>
      <w:rFonts w:ascii="Calibri" w:hAnsi="Calibri" w:cstheme="minorBidi"/>
      <w:szCs w:val="21"/>
    </w:rPr>
  </w:style>
  <w:style w:type="table" w:customStyle="1" w:styleId="Eireunaviivaa1">
    <w:name w:val="Ei reunaviivaa1"/>
    <w:basedOn w:val="TableNormal"/>
    <w:uiPriority w:val="99"/>
    <w:qFormat/>
    <w:rsid w:val="000331AD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Viestintävirasto">
      <a:dk1>
        <a:sysClr val="windowText" lastClr="000000"/>
      </a:dk1>
      <a:lt1>
        <a:sysClr val="window" lastClr="FFFFFF"/>
      </a:lt1>
      <a:dk2>
        <a:srgbClr val="054884"/>
      </a:dk2>
      <a:lt2>
        <a:srgbClr val="EEECE1"/>
      </a:lt2>
      <a:accent1>
        <a:srgbClr val="00ACDE"/>
      </a:accent1>
      <a:accent2>
        <a:srgbClr val="FF2F8B"/>
      </a:accent2>
      <a:accent3>
        <a:srgbClr val="99C500"/>
      </a:accent3>
      <a:accent4>
        <a:srgbClr val="FF9B00"/>
      </a:accent4>
      <a:accent5>
        <a:srgbClr val="054884"/>
      </a:accent5>
      <a:accent6>
        <a:srgbClr val="838383"/>
      </a:accent6>
      <a:hlink>
        <a:srgbClr val="0000FF"/>
      </a:hlink>
      <a:folHlink>
        <a:srgbClr val="800080"/>
      </a:folHlink>
    </a:clrScheme>
    <a:fontScheme name="Viestintä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950E24-84BD-4A50-AECC-6A523BD5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1958</Words>
  <Characters>15863</Characters>
  <Application>Microsoft Office Word</Application>
  <DocSecurity>0</DocSecurity>
  <Lines>132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70 I/2019 M</dc:subject>
  <dc:creator/>
  <cp:lastModifiedBy/>
  <cp:revision>1</cp:revision>
  <dcterms:created xsi:type="dcterms:W3CDTF">2019-02-01T11:00:00Z</dcterms:created>
  <dcterms:modified xsi:type="dcterms:W3CDTF">2019-04-26T10:27:00Z</dcterms:modified>
</cp:coreProperties>
</file>