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F4610" w14:textId="77777777" w:rsidR="00283102" w:rsidRDefault="008C3867" w:rsidP="008C3867">
      <w:pPr>
        <w:pStyle w:val="Merkittyluettelo"/>
        <w:numPr>
          <w:ilvl w:val="0"/>
          <w:numId w:val="0"/>
        </w:numPr>
        <w:ind w:left="360"/>
        <w:rPr>
          <w:noProof/>
        </w:rPr>
      </w:pPr>
      <w:r w:rsidRPr="008C3867">
        <w:rPr>
          <w:b/>
          <w:bCs/>
          <w:noProof/>
        </w:rPr>
        <w:t xml:space="preserve">PE-CONS 76/19 – </w:t>
      </w:r>
      <w:r w:rsidR="00283102" w:rsidRPr="008C3867">
        <w:rPr>
          <w:b/>
          <w:bCs/>
          <w:noProof/>
        </w:rPr>
        <w:t>2017/0231 (COD)</w:t>
      </w:r>
    </w:p>
    <w:p w14:paraId="509F9D9E" w14:textId="77777777" w:rsidR="00283102" w:rsidRDefault="00283102" w:rsidP="00283102">
      <w:pPr>
        <w:pStyle w:val="Typedudocument"/>
      </w:pPr>
      <w:r w:rsidRPr="009F6357">
        <w:t xml:space="preserve">EUROOPAN PARLAMENTIN JA NEUVOSTON </w:t>
      </w:r>
      <w:r w:rsidR="008C3867">
        <w:br/>
      </w:r>
      <w:r>
        <w:t>DIREKTIIVI (EU) 2019/…,</w:t>
      </w:r>
    </w:p>
    <w:p w14:paraId="166E8D05" w14:textId="77777777" w:rsidR="00283102" w:rsidRDefault="00283102" w:rsidP="00E335C6">
      <w:pPr>
        <w:pStyle w:val="Datedadoption"/>
      </w:pPr>
      <w:r>
        <w:t>annettu … päivänä …kuuta …,</w:t>
      </w:r>
    </w:p>
    <w:p w14:paraId="2A24AB65" w14:textId="2974D598" w:rsidR="00CD403D" w:rsidRDefault="00CD403D" w:rsidP="00AA507C">
      <w:pPr>
        <w:spacing w:after="240"/>
        <w:rPr>
          <w:rFonts w:eastAsia="Calibri"/>
          <w:b/>
          <w:i/>
          <w:szCs w:val="22"/>
          <w:lang w:eastAsia="en-US"/>
        </w:rPr>
      </w:pPr>
      <w:r>
        <w:rPr>
          <w:rFonts w:eastAsia="Calibri"/>
          <w:b/>
          <w:szCs w:val="22"/>
          <w:lang w:eastAsia="en-US"/>
        </w:rPr>
        <w:t>vakuutus- ja jälleenvakuutustoiminnan aloittamisesta ja harjoittamisesta annetun direktiivin 2009/138/EY (Solvenssi II)</w:t>
      </w:r>
      <w:r w:rsidR="00D0499A">
        <w:rPr>
          <w:rFonts w:eastAsia="Calibri"/>
          <w:b/>
          <w:szCs w:val="22"/>
          <w:lang w:eastAsia="en-US"/>
        </w:rPr>
        <w:t xml:space="preserve">, </w:t>
      </w:r>
      <w:r w:rsidR="00D0499A" w:rsidRPr="00D0499A">
        <w:rPr>
          <w:rFonts w:eastAsia="Calibri"/>
          <w:b/>
          <w:szCs w:val="22"/>
          <w:lang w:eastAsia="en-US"/>
        </w:rPr>
        <w:t>rahoitusvälineiden markkinoista annetun direktiivin 2014/65/EU</w:t>
      </w:r>
      <w:r>
        <w:rPr>
          <w:rFonts w:eastAsia="Calibri"/>
          <w:b/>
          <w:szCs w:val="22"/>
          <w:lang w:eastAsia="en-US"/>
        </w:rPr>
        <w:t xml:space="preserve"> </w:t>
      </w:r>
      <w:r>
        <w:rPr>
          <w:rFonts w:eastAsia="Calibri"/>
          <w:b/>
          <w:i/>
          <w:szCs w:val="22"/>
          <w:lang w:eastAsia="en-US"/>
        </w:rPr>
        <w:t>sekä rahoitusjärjestelmän käytön estämisestä rahanpesuun tai terrorismin rahoitukseen annetun direktiivin (EU) 2015/849</w:t>
      </w:r>
      <w:r>
        <w:rPr>
          <w:rFonts w:eastAsia="Calibri"/>
          <w:b/>
          <w:szCs w:val="22"/>
          <w:lang w:eastAsia="en-US"/>
        </w:rPr>
        <w:t xml:space="preserve"> muuttamisesta</w:t>
      </w:r>
    </w:p>
    <w:p w14:paraId="5BD00C78" w14:textId="77777777" w:rsidR="00283102" w:rsidRPr="004809A9" w:rsidRDefault="00283102" w:rsidP="00283102">
      <w:pPr>
        <w:pStyle w:val="Titreobjet"/>
      </w:pPr>
      <w:r>
        <w:t>(ETA:n kannalta merkityksellinen teksti)</w:t>
      </w:r>
    </w:p>
    <w:p w14:paraId="577B3C12" w14:textId="77777777" w:rsidR="00283102" w:rsidRDefault="00283102" w:rsidP="00283102">
      <w:pPr>
        <w:pStyle w:val="Institutionquiagit"/>
      </w:pPr>
      <w:r>
        <w:t>E</w:t>
      </w:r>
      <w:r w:rsidRPr="009F6357">
        <w:t>UROOPAN PARLAMENTTI JA EUROOPAN UNIONIN NEUVOSTO, jotka</w:t>
      </w:r>
    </w:p>
    <w:p w14:paraId="2DBC6EA2" w14:textId="77777777" w:rsidR="00283102" w:rsidRDefault="00283102" w:rsidP="008C3867">
      <w:pPr>
        <w:spacing w:before="120"/>
        <w:rPr>
          <w:noProof/>
        </w:rPr>
      </w:pPr>
      <w:r>
        <w:rPr>
          <w:noProof/>
        </w:rPr>
        <w:t>ottavat huomioon Euroopan unionin toiminnasta tehdyn sopimuksen ja erityisesti sen 53 artiklan 1 kohdan ja 62 artiklan,</w:t>
      </w:r>
    </w:p>
    <w:p w14:paraId="30ED0C80" w14:textId="77777777" w:rsidR="00283102" w:rsidRDefault="00283102" w:rsidP="008C3867">
      <w:pPr>
        <w:spacing w:before="120"/>
        <w:rPr>
          <w:noProof/>
        </w:rPr>
      </w:pPr>
      <w:r>
        <w:rPr>
          <w:noProof/>
        </w:rPr>
        <w:t>ottavat huomioon Euroopan komission ehdotuksen,</w:t>
      </w:r>
    </w:p>
    <w:p w14:paraId="11056790" w14:textId="77777777" w:rsidR="00283102" w:rsidRDefault="00283102" w:rsidP="008C3867">
      <w:pPr>
        <w:spacing w:before="120"/>
        <w:rPr>
          <w:noProof/>
        </w:rPr>
      </w:pPr>
      <w:r>
        <w:rPr>
          <w:noProof/>
        </w:rPr>
        <w:t>sen jälkeen kun esitys lainsäätämisjärjestyksessä hyväksyttäväksi säädökseksi on toimitettu kansallisille parlamenteille,</w:t>
      </w:r>
    </w:p>
    <w:p w14:paraId="1762C9B8" w14:textId="77777777" w:rsidR="00283102" w:rsidRDefault="00283102" w:rsidP="008C3867">
      <w:pPr>
        <w:spacing w:before="120"/>
        <w:rPr>
          <w:noProof/>
        </w:rPr>
      </w:pPr>
      <w:r>
        <w:rPr>
          <w:noProof/>
        </w:rPr>
        <w:t>ottavat huomioon Euroopan keskuspankin lausunnon</w:t>
      </w:r>
      <w:r>
        <w:rPr>
          <w:rStyle w:val="Alaviitteenviite"/>
          <w:noProof/>
        </w:rPr>
        <w:footnoteReference w:id="1"/>
      </w:r>
      <w:r>
        <w:rPr>
          <w:noProof/>
        </w:rPr>
        <w:t>,</w:t>
      </w:r>
    </w:p>
    <w:p w14:paraId="43E1597B" w14:textId="77777777" w:rsidR="00283102" w:rsidRDefault="00283102" w:rsidP="008C3867">
      <w:pPr>
        <w:spacing w:before="120"/>
        <w:rPr>
          <w:noProof/>
        </w:rPr>
      </w:pPr>
      <w:r>
        <w:rPr>
          <w:noProof/>
        </w:rPr>
        <w:t>ottavat huomioon Euroopan talous- ja sosiaalikomitean lausunnon</w:t>
      </w:r>
      <w:r>
        <w:rPr>
          <w:rStyle w:val="Alaviitteenviite"/>
          <w:noProof/>
        </w:rPr>
        <w:footnoteReference w:id="2"/>
      </w:r>
      <w:r>
        <w:rPr>
          <w:noProof/>
        </w:rPr>
        <w:t>,</w:t>
      </w:r>
    </w:p>
    <w:p w14:paraId="3732A205" w14:textId="77777777" w:rsidR="00283102" w:rsidRDefault="00283102" w:rsidP="008C3867">
      <w:pPr>
        <w:spacing w:before="120"/>
        <w:rPr>
          <w:noProof/>
        </w:rPr>
      </w:pPr>
      <w:r>
        <w:rPr>
          <w:noProof/>
        </w:rPr>
        <w:t>noudattavat tavallista lainsäätämisjärjestystä</w:t>
      </w:r>
      <w:r w:rsidR="007832F0">
        <w:rPr>
          <w:rStyle w:val="Alaviitteenviite"/>
          <w:noProof/>
        </w:rPr>
        <w:footnoteReference w:id="3"/>
      </w:r>
      <w:r>
        <w:rPr>
          <w:noProof/>
        </w:rPr>
        <w:t>,</w:t>
      </w:r>
    </w:p>
    <w:p w14:paraId="2C7E6798" w14:textId="77777777" w:rsidR="00283102" w:rsidRDefault="00283102" w:rsidP="00283102">
      <w:pPr>
        <w:rPr>
          <w:noProof/>
        </w:rPr>
      </w:pPr>
      <w:r>
        <w:rPr>
          <w:noProof/>
        </w:rPr>
        <w:br w:type="page"/>
      </w:r>
      <w:r>
        <w:rPr>
          <w:noProof/>
        </w:rPr>
        <w:lastRenderedPageBreak/>
        <w:t xml:space="preserve">sekä katsovat seuraavaa: </w:t>
      </w:r>
    </w:p>
    <w:p w14:paraId="0858FA87" w14:textId="11A5BED8" w:rsidR="003E2B62" w:rsidRPr="00D031FC" w:rsidRDefault="00283102" w:rsidP="00101D73">
      <w:pPr>
        <w:widowControl/>
        <w:spacing w:before="120" w:after="120"/>
        <w:ind w:left="850" w:hanging="850"/>
        <w:rPr>
          <w:rFonts w:eastAsia="Calibri"/>
          <w:szCs w:val="24"/>
          <w:lang w:eastAsia="en-US"/>
        </w:rPr>
      </w:pPr>
      <w:r>
        <w:t>(1)</w:t>
      </w:r>
      <w:r>
        <w:tab/>
      </w:r>
      <w:r w:rsidR="007832F0">
        <w:t xml:space="preserve">Euroopan parlamentin ja neuvoston </w:t>
      </w:r>
      <w:r w:rsidR="007832F0">
        <w:rPr>
          <w:noProof/>
        </w:rPr>
        <w:t>d</w:t>
      </w:r>
      <w:r>
        <w:rPr>
          <w:noProof/>
        </w:rPr>
        <w:t>irektiivi</w:t>
      </w:r>
      <w:r w:rsidR="003E2B62">
        <w:rPr>
          <w:noProof/>
        </w:rPr>
        <w:t>llä</w:t>
      </w:r>
      <w:r>
        <w:rPr>
          <w:noProof/>
        </w:rPr>
        <w:t xml:space="preserve"> </w:t>
      </w:r>
      <w:hyperlink r:id="rId8" w:history="1">
        <w:r w:rsidRPr="00080F4B">
          <w:rPr>
            <w:rStyle w:val="Hyperlinkki"/>
            <w:noProof/>
          </w:rPr>
          <w:t>2014/65/EU</w:t>
        </w:r>
      </w:hyperlink>
      <w:r w:rsidR="007832F0">
        <w:rPr>
          <w:rStyle w:val="Alaviitteenviite"/>
          <w:noProof/>
        </w:rPr>
        <w:footnoteReference w:id="4"/>
      </w:r>
      <w:r>
        <w:rPr>
          <w:noProof/>
        </w:rPr>
        <w:t xml:space="preserve"> </w:t>
      </w:r>
      <w:r w:rsidR="003E2B62" w:rsidRPr="00D031FC">
        <w:rPr>
          <w:rFonts w:eastAsia="Calibri"/>
          <w:szCs w:val="24"/>
          <w:lang w:eastAsia="en-US"/>
        </w:rPr>
        <w:t>luodaan raportointipalvelujen tarjoajia koskeva sääntelykehys, ja siinä edellytetään, että kaupankäynnin jälkeisten tietojen raportointipalveluilla on toimilupa hyväksytyn julkistamisjärjestelyn muodossa. Lisäksi konsolidoitujen kauppatietojen tarjoaj</w:t>
      </w:r>
      <w:r w:rsidR="00101D73">
        <w:rPr>
          <w:rFonts w:eastAsia="Calibri"/>
          <w:szCs w:val="24"/>
          <w:lang w:eastAsia="en-US"/>
        </w:rPr>
        <w:t>a</w:t>
      </w:r>
      <w:r w:rsidR="003E2B62" w:rsidRPr="00D031FC">
        <w:rPr>
          <w:rFonts w:eastAsia="Calibri"/>
          <w:szCs w:val="24"/>
          <w:lang w:eastAsia="en-US"/>
        </w:rPr>
        <w:t>n edellytetään tarjoavan konsolidoituja kauppatietoja, jotka kattavat kaiken kaupankäynnin sekä oman pääoman ehtoisilla rahoitusvälineillä että muilla kuin oman pääoman ehtoisilla rahoitusvälineillä kaikkialla unionissa direktiivin 2014/65/EU mukaisesti. Direktiivillä 2014/65/EU myös virallistetaan liiketoimista toimivaltaisille viranomaisille ilmoittamisessa käytettävät kanavat edellyttämällä, että yritysten puolesta raportoivilla kolmansilla osapuolilla on toimilupa hyväksytyn ilmoitusjärjestelmän muodossa.</w:t>
      </w:r>
    </w:p>
    <w:p w14:paraId="588FCB62" w14:textId="77777777" w:rsidR="00283102" w:rsidRDefault="008C3867" w:rsidP="003E2B62">
      <w:pPr>
        <w:pStyle w:val="ManualConsidrant"/>
        <w:rPr>
          <w:noProof/>
        </w:rPr>
      </w:pPr>
      <w:r>
        <w:br w:type="page"/>
      </w:r>
      <w:r w:rsidR="00283102">
        <w:lastRenderedPageBreak/>
        <w:t>(2)</w:t>
      </w:r>
      <w:r w:rsidR="00283102">
        <w:tab/>
      </w:r>
      <w:r w:rsidR="003E2B62" w:rsidRPr="003E2B62">
        <w:rPr>
          <w:noProof/>
        </w:rPr>
        <w:t>Kaupankäyntitietojen laatu sekä kyseisten tietojen käsittelyn ja tarjoamisen laatu, rajatylittävä tietojen käsittely ja tarjoaminen mukaan lukien, on erityisen tärkeää Euroopan parlamentin ja neuvoston asetuksen (EU) N:o 600/2014</w:t>
      </w:r>
      <w:r w:rsidR="00717C71">
        <w:rPr>
          <w:rStyle w:val="Alaviitteenviite"/>
          <w:noProof/>
        </w:rPr>
        <w:footnoteReference w:id="5"/>
      </w:r>
      <w:r w:rsidR="003E2B62" w:rsidRPr="003E2B62">
        <w:rPr>
          <w:noProof/>
        </w:rPr>
        <w:t xml:space="preserve"> päätavoitteen saavuttamiseksi eli rahoitusmarkkinoiden avoimuuden lisäämiseksi. Täsmällisten tietojen avulla käyttäjät saavat yleiskäsityksen kaupankäyntitoiminnasta unionin rahoitusmarkkinoilla ja toimivaltaiset viranomaiset saavat tarkat ja kattavat tiedot liiketoimista. Kun huomioon otetaan tietojen käsittelyn rajatylittävä ulottuvuus, tietoon liittyvän toimivallan keskittämisen hyödyt – myös mahdolliset mittakaavaedut – ja valvontakäytäntöjen mahdollisten erojen haitallinen vaikutus sekä kaupankäyntitietojen laatuun että </w:t>
      </w:r>
      <w:r w:rsidR="003E2B62" w:rsidRPr="00A07BEE">
        <w:rPr>
          <w:noProof/>
        </w:rPr>
        <w:t>raportointipalvelujen tarjoajien</w:t>
      </w:r>
      <w:r w:rsidR="003E2B62" w:rsidRPr="003E2B62">
        <w:rPr>
          <w:noProof/>
        </w:rPr>
        <w:t xml:space="preserve"> tehtäviin, on aiheellista siirtää raportointipalvelujen tarjoajien valvonta ja toimilupien myöntäminen sekä tietojenkeruuvaltuudet kansallisilta viranomaisilta </w:t>
      </w:r>
      <w:r w:rsidR="00FC1880">
        <w:rPr>
          <w:noProof/>
        </w:rPr>
        <w:t xml:space="preserve">Euroopan parlamentin ja neuvoston asetuksella </w:t>
      </w:r>
      <w:r w:rsidR="00FC1880" w:rsidRPr="00FC1880">
        <w:rPr>
          <w:noProof/>
        </w:rPr>
        <w:t>(EU) N:o 1095/2010</w:t>
      </w:r>
      <w:r w:rsidR="00FC1880">
        <w:rPr>
          <w:rStyle w:val="Alaviitteenviite"/>
          <w:noProof/>
        </w:rPr>
        <w:footnoteReference w:id="6"/>
      </w:r>
      <w:r w:rsidR="00FC1880">
        <w:rPr>
          <w:noProof/>
        </w:rPr>
        <w:t xml:space="preserve"> perustetun </w:t>
      </w:r>
      <w:r w:rsidR="00C87AF0" w:rsidRPr="00C87AF0">
        <w:rPr>
          <w:noProof/>
        </w:rPr>
        <w:t xml:space="preserve">Euroopan </w:t>
      </w:r>
      <w:r w:rsidR="001A54AA">
        <w:rPr>
          <w:noProof/>
        </w:rPr>
        <w:t>valvontaviranomaisen</w:t>
      </w:r>
      <w:r w:rsidR="003E2B62">
        <w:rPr>
          <w:noProof/>
        </w:rPr>
        <w:t>, jäljempänä '</w:t>
      </w:r>
      <w:r w:rsidR="00283102">
        <w:rPr>
          <w:noProof/>
        </w:rPr>
        <w:t>arvopaperimarkkinaviranomai</w:t>
      </w:r>
      <w:r w:rsidR="001A54AA">
        <w:rPr>
          <w:noProof/>
        </w:rPr>
        <w:t>n</w:t>
      </w:r>
      <w:r w:rsidR="00283102">
        <w:rPr>
          <w:noProof/>
        </w:rPr>
        <w:t>en</w:t>
      </w:r>
      <w:r w:rsidR="003E2B62">
        <w:rPr>
          <w:noProof/>
        </w:rPr>
        <w:t>',</w:t>
      </w:r>
      <w:r w:rsidR="00283102">
        <w:rPr>
          <w:noProof/>
        </w:rPr>
        <w:t xml:space="preserve"> hoidettavaksi</w:t>
      </w:r>
      <w:r w:rsidR="004F4CFE">
        <w:rPr>
          <w:noProof/>
        </w:rPr>
        <w:t xml:space="preserve"> </w:t>
      </w:r>
      <w:r w:rsidR="004F4CFE" w:rsidRPr="005A4182">
        <w:rPr>
          <w:b/>
          <w:bCs/>
          <w:i/>
          <w:iCs/>
          <w:noProof/>
        </w:rPr>
        <w:t xml:space="preserve">lukuun ottamatta niitä </w:t>
      </w:r>
      <w:r w:rsidR="00A07BEE">
        <w:rPr>
          <w:b/>
          <w:bCs/>
          <w:i/>
          <w:iCs/>
          <w:noProof/>
        </w:rPr>
        <w:t>raportointi</w:t>
      </w:r>
      <w:r w:rsidR="004F4CFE" w:rsidRPr="005A4182">
        <w:rPr>
          <w:b/>
          <w:bCs/>
          <w:i/>
          <w:iCs/>
          <w:noProof/>
        </w:rPr>
        <w:t xml:space="preserve">palvelujen tarjoajia, joita koskee asetuksen (EU) </w:t>
      </w:r>
      <w:r w:rsidR="00FC1880" w:rsidRPr="005A4182">
        <w:rPr>
          <w:b/>
          <w:bCs/>
          <w:i/>
          <w:iCs/>
          <w:noProof/>
        </w:rPr>
        <w:t>N:o 600/</w:t>
      </w:r>
      <w:r w:rsidR="004F4CFE" w:rsidRPr="005A4182">
        <w:rPr>
          <w:b/>
          <w:bCs/>
          <w:i/>
          <w:iCs/>
          <w:noProof/>
        </w:rPr>
        <w:t>2014</w:t>
      </w:r>
      <w:r w:rsidR="00FC1880" w:rsidRPr="005A4182">
        <w:rPr>
          <w:b/>
          <w:bCs/>
          <w:i/>
          <w:iCs/>
          <w:noProof/>
        </w:rPr>
        <w:t xml:space="preserve"> </w:t>
      </w:r>
      <w:r w:rsidR="004F4CFE" w:rsidRPr="005A4182">
        <w:rPr>
          <w:b/>
          <w:bCs/>
          <w:i/>
          <w:iCs/>
          <w:noProof/>
        </w:rPr>
        <w:t>mukainen poikkeus</w:t>
      </w:r>
      <w:r w:rsidR="00283102">
        <w:rPr>
          <w:noProof/>
        </w:rPr>
        <w:t>.</w:t>
      </w:r>
    </w:p>
    <w:p w14:paraId="1F7A4D3D" w14:textId="294CE4BF" w:rsidR="00283102" w:rsidRDefault="00283102" w:rsidP="003E2B62">
      <w:pPr>
        <w:pStyle w:val="ManualConsidrant"/>
        <w:rPr>
          <w:noProof/>
        </w:rPr>
      </w:pPr>
      <w:r>
        <w:t>(3)</w:t>
      </w:r>
      <w:r>
        <w:tab/>
      </w:r>
      <w:r w:rsidR="003E2B62" w:rsidRPr="003E2B62">
        <w:rPr>
          <w:noProof/>
        </w:rPr>
        <w:t>Tällaisten valtuuksien johdonmukainen siirtäminen edellyttää, että raportointipalvelujen tarjoajien toimintaa koskeviin vaatimuksiin sekä raportointipalvelujen tarjoajia koskeviin toimivaltaisten viranomaisten toimivaltuuksiin liittyvät asiaankuuluvat direktiivin 2014/65/EU säännökset kumotaan ja tarvittavat säännökset lisätään</w:t>
      </w:r>
      <w:r w:rsidR="003E2B62">
        <w:rPr>
          <w:noProof/>
        </w:rPr>
        <w:t xml:space="preserve"> </w:t>
      </w:r>
      <w:r>
        <w:rPr>
          <w:noProof/>
        </w:rPr>
        <w:t>asetukseen (EU) N:o 600/2014.</w:t>
      </w:r>
    </w:p>
    <w:p w14:paraId="273C539A" w14:textId="528E6B5B" w:rsidR="003E2B62" w:rsidRDefault="00080F4B">
      <w:pPr>
        <w:pStyle w:val="ManualConsidrant"/>
        <w:rPr>
          <w:noProof/>
        </w:rPr>
      </w:pPr>
      <w:r>
        <w:br w:type="page"/>
      </w:r>
      <w:r w:rsidR="00283102">
        <w:lastRenderedPageBreak/>
        <w:t>(4)</w:t>
      </w:r>
      <w:r w:rsidR="00283102">
        <w:tab/>
      </w:r>
      <w:r w:rsidR="003E2B62" w:rsidRPr="00D031FC">
        <w:rPr>
          <w:rFonts w:eastAsia="Calibri"/>
          <w:szCs w:val="24"/>
        </w:rPr>
        <w:t>Raportointipalvelujen tarjoajien valvonnan ja toimilupien myöntämisen siirtäminen arvopaperimarkkinaviranomaiselle sopii arvopaperimarkkinaviranomaisen tehtäviin. Tiedonkeruuvaltuuksien, toimilupien myöntämisen ja valvonnan siirtäminen toimivaltaisilta viranomaisilta arvopaperimarkkinaviranomaiselle on tarkemmin sanottuna tärkeäksi avuksi muissa tehtävissä, joista arvopaperimarkkinaviranomainen huolehtii asetuksen (EU) N:o 600/2014 mukaisesti ja joita ovat esimerkiksi markkinoiden valvonta, väliaikaisten interventiotoimien toteuttamisvaltuudet ja positionhallintavaltuudet sekä kauppaa edeltävien ja kaupan jälkeisten avoimuusvaatimusten noudattamisen varmistaminen.</w:t>
      </w:r>
      <w:r w:rsidR="003E2B62">
        <w:rPr>
          <w:noProof/>
        </w:rPr>
        <w:t>.</w:t>
      </w:r>
      <w:r w:rsidR="00283102">
        <w:t>(5)</w:t>
      </w:r>
      <w:r w:rsidR="00283102">
        <w:tab/>
      </w:r>
      <w:r w:rsidR="00283102">
        <w:rPr>
          <w:noProof/>
        </w:rPr>
        <w:t>Euroopan parlamentin ja neuvoston direktiivissä 2009/138/EY</w:t>
      </w:r>
      <w:r w:rsidR="00283102">
        <w:rPr>
          <w:rStyle w:val="Alaviitteenviite"/>
          <w:noProof/>
        </w:rPr>
        <w:footnoteReference w:id="7"/>
      </w:r>
      <w:r w:rsidR="00283102">
        <w:rPr>
          <w:noProof/>
        </w:rPr>
        <w:t xml:space="preserve"> säädetään, </w:t>
      </w:r>
      <w:r w:rsidR="003E2B62" w:rsidRPr="003E2B62">
        <w:rPr>
          <w:noProof/>
        </w:rPr>
        <w:t>että vakavaraisuuspääomavaatimusta koskevan riskisuuntautuneen lähestymistavan mukaisesti erityisolosuhteissa vakuutus- ja jälleenvakuutusyritysten sekä vakuutus- ja jälleenvakuutusyritysryhmien on mahdollista käyttää standardikaavan sijasta sisäisiä malleja tämän vaatimuksen laskemiseen.</w:t>
      </w:r>
    </w:p>
    <w:p w14:paraId="505FFAC9" w14:textId="1203F17E" w:rsidR="00672095" w:rsidRPr="005A4182" w:rsidRDefault="00672095">
      <w:pPr>
        <w:pStyle w:val="ManualConsidrant"/>
        <w:rPr>
          <w:b/>
          <w:bCs/>
          <w:i/>
          <w:iCs/>
        </w:rPr>
      </w:pPr>
      <w:r w:rsidRPr="00672095">
        <w:t>(6)</w:t>
      </w:r>
      <w:r w:rsidRPr="00672095">
        <w:tab/>
      </w:r>
      <w:r w:rsidR="001A54AA" w:rsidRPr="005A4182">
        <w:rPr>
          <w:b/>
          <w:bCs/>
          <w:i/>
          <w:iCs/>
        </w:rPr>
        <w:t>D</w:t>
      </w:r>
      <w:r w:rsidR="004F4CFE" w:rsidRPr="005A4182">
        <w:rPr>
          <w:b/>
          <w:bCs/>
          <w:i/>
          <w:iCs/>
        </w:rPr>
        <w:t xml:space="preserve">irektiivissä 2009/138/EY säädetään volatiliteettikorjauksen maakohtaisesta osatekijästä. Sen varmistamiseksi, että tämä maakohtainen osatekijä vähentää tehokkaasti joukkovelkakirjalainojen liioiteltujen korkomarginaalien vaikutusta asianomaisessa maassa, olisi maakohtaisen osatekijän </w:t>
      </w:r>
      <w:r w:rsidR="001A54AA" w:rsidRPr="005A4182">
        <w:rPr>
          <w:b/>
          <w:bCs/>
          <w:i/>
          <w:iCs/>
        </w:rPr>
        <w:t>soveltamiselle</w:t>
      </w:r>
      <w:r w:rsidR="004F4CFE" w:rsidRPr="005A4182">
        <w:rPr>
          <w:b/>
          <w:bCs/>
          <w:i/>
          <w:iCs/>
        </w:rPr>
        <w:t xml:space="preserve"> vahvistettava asianmukainen riskikorjatun maamarginaalin kynnysarvo.</w:t>
      </w:r>
    </w:p>
    <w:p w14:paraId="0D24C192" w14:textId="2AEEB131" w:rsidR="00672095" w:rsidRPr="005A4182" w:rsidRDefault="00672095">
      <w:pPr>
        <w:pStyle w:val="ManualConsidrant"/>
        <w:rPr>
          <w:b/>
          <w:bCs/>
          <w:i/>
          <w:iCs/>
        </w:rPr>
      </w:pPr>
      <w:r>
        <w:br w:type="page"/>
      </w:r>
      <w:r w:rsidRPr="005A4182">
        <w:rPr>
          <w:b/>
          <w:bCs/>
          <w:i/>
          <w:iCs/>
        </w:rPr>
        <w:lastRenderedPageBreak/>
        <w:t>(</w:t>
      </w:r>
      <w:r w:rsidR="000A5C70">
        <w:rPr>
          <w:b/>
          <w:bCs/>
          <w:i/>
          <w:iCs/>
        </w:rPr>
        <w:t>7</w:t>
      </w:r>
      <w:r w:rsidRPr="005A4182">
        <w:rPr>
          <w:b/>
          <w:bCs/>
          <w:i/>
          <w:iCs/>
        </w:rPr>
        <w:t>)</w:t>
      </w:r>
      <w:r>
        <w:tab/>
      </w:r>
      <w:r w:rsidR="004F4CFE" w:rsidRPr="005A4182">
        <w:rPr>
          <w:b/>
          <w:bCs/>
          <w:i/>
          <w:iCs/>
        </w:rPr>
        <w:t xml:space="preserve">Rajatylittävän </w:t>
      </w:r>
      <w:r w:rsidR="004800DC">
        <w:rPr>
          <w:b/>
          <w:bCs/>
          <w:i/>
          <w:iCs/>
        </w:rPr>
        <w:t>vakuutus</w:t>
      </w:r>
      <w:r w:rsidR="004F4CFE" w:rsidRPr="005A4182">
        <w:rPr>
          <w:b/>
          <w:bCs/>
          <w:i/>
          <w:iCs/>
        </w:rPr>
        <w:t xml:space="preserve">toiminnan kasvun vuoksi on tarpeen vahvistaa, erityisesti varhaisessa vaiheessa, unionin oikeuden johdonmukaista soveltamista rajatylittävässä </w:t>
      </w:r>
      <w:r w:rsidR="001A54AA" w:rsidRPr="005A4182">
        <w:rPr>
          <w:b/>
          <w:bCs/>
          <w:i/>
          <w:iCs/>
        </w:rPr>
        <w:t>vakuutus</w:t>
      </w:r>
      <w:r w:rsidR="004F4CFE" w:rsidRPr="005A4182">
        <w:rPr>
          <w:b/>
          <w:bCs/>
          <w:i/>
          <w:iCs/>
        </w:rPr>
        <w:t xml:space="preserve">toiminnassa. Tätä varten valvontaviranomaisten sekä </w:t>
      </w:r>
      <w:r w:rsidR="001A54AA" w:rsidRPr="005A4182">
        <w:rPr>
          <w:b/>
          <w:bCs/>
          <w:i/>
          <w:iCs/>
        </w:rPr>
        <w:t>Euroopan parlamentin ja neuvoston asetuksella (EU) N:o 1094/2010</w:t>
      </w:r>
      <w:r w:rsidR="001A54AA" w:rsidRPr="005A4182">
        <w:rPr>
          <w:rStyle w:val="Alaviitteenviite"/>
          <w:b w:val="0"/>
          <w:bCs/>
          <w:i/>
          <w:iCs/>
        </w:rPr>
        <w:footnoteReference w:id="8"/>
      </w:r>
      <w:r w:rsidR="001A54AA" w:rsidRPr="005A4182">
        <w:rPr>
          <w:b/>
          <w:bCs/>
          <w:i/>
          <w:iCs/>
        </w:rPr>
        <w:t xml:space="preserve"> perustetun Euroopan valvontaviranomaisen (Euroopan vakuutus- ja lisäeläkeviranomainen, </w:t>
      </w:r>
      <w:r w:rsidR="001A54AA" w:rsidRPr="00BB6AEA">
        <w:rPr>
          <w:b/>
          <w:bCs/>
          <w:i/>
          <w:iCs/>
        </w:rPr>
        <w:t>EVLEV)</w:t>
      </w:r>
      <w:r w:rsidR="004F4CFE" w:rsidRPr="005A4182">
        <w:rPr>
          <w:b/>
          <w:bCs/>
          <w:i/>
          <w:iCs/>
        </w:rPr>
        <w:t xml:space="preserve"> välistä tietojenvaihtoa ja yhteistyötä olisi lujitettava. Erityisesti ilmoittamisvaatimuksista merkittävän rajatylittävän toiminnan tai kriisitilanteen yhteydessä sekä yhteistyöfoorumien perustamista koskevista edellytyksistä olisi säädettävä tapauksissa, joissa suunniteltu rajatylittävä vakuutustoiminta on </w:t>
      </w:r>
      <w:r w:rsidR="008A60CB" w:rsidRPr="005A4182">
        <w:rPr>
          <w:b/>
          <w:bCs/>
          <w:i/>
          <w:iCs/>
        </w:rPr>
        <w:t>merkittävää</w:t>
      </w:r>
      <w:r w:rsidR="00B13A41" w:rsidRPr="005A4182">
        <w:rPr>
          <w:b/>
          <w:bCs/>
          <w:i/>
          <w:iCs/>
        </w:rPr>
        <w:t xml:space="preserve">. Rajatylittävän vakuutustoiminnan </w:t>
      </w:r>
      <w:r w:rsidR="008A60CB" w:rsidRPr="005A4182">
        <w:rPr>
          <w:b/>
          <w:bCs/>
          <w:i/>
          <w:iCs/>
        </w:rPr>
        <w:t>merkittävyyttä</w:t>
      </w:r>
      <w:r w:rsidR="00B13A41" w:rsidRPr="005A4182">
        <w:rPr>
          <w:b/>
          <w:bCs/>
          <w:i/>
          <w:iCs/>
        </w:rPr>
        <w:t xml:space="preserve"> arvioi</w:t>
      </w:r>
      <w:r w:rsidR="008A60CB" w:rsidRPr="005A4182">
        <w:rPr>
          <w:b/>
          <w:bCs/>
          <w:i/>
          <w:iCs/>
        </w:rPr>
        <w:t>taessa</w:t>
      </w:r>
      <w:r w:rsidR="00B13A41" w:rsidRPr="005A4182">
        <w:rPr>
          <w:b/>
          <w:bCs/>
          <w:i/>
          <w:iCs/>
        </w:rPr>
        <w:t xml:space="preserve"> olisi otettava</w:t>
      </w:r>
      <w:r w:rsidR="004F4CFE" w:rsidRPr="005A4182">
        <w:rPr>
          <w:b/>
          <w:bCs/>
          <w:i/>
          <w:iCs/>
        </w:rPr>
        <w:t xml:space="preserve"> huomioon vuotuinen bruttomääräinen vakuutusmaksutulo vastaanottavassa jäsenvaltiossa verrattuna kyseisen vakuutusyhtiön koko vuotuiseen bruttomääräiseen vakuutusmaksutuloon, vaikutukset vakuutuksenottajien suojaan vastaanottavassa jäsenvaltiossa ja vaikutukset kyseisen vakuutusyhtiön sivuliikkeeseen tai toimintaan sekä vaikutukset vastaanottavan jäsenvaltion markkinoihin palvelujen tarjoamisen vapauden osalta. Yhteistyöfoorumit ovat tehokas keino vahvistaa ja nopeuttaa valvontaviranomaisten välistä yhteistyötä ja siten parantaa kuluttajansuojaa. Toimilupia, valvontaa ja täytäntöönpanoa koskevat päätökset kuuluvat kuitenkin edelleen kotijäsenvaltion valvontaviranomaisen toimivaltaan.</w:t>
      </w:r>
    </w:p>
    <w:p w14:paraId="5622BBA1" w14:textId="77777777" w:rsidR="00672095" w:rsidRDefault="00672095" w:rsidP="00283102">
      <w:pPr>
        <w:pStyle w:val="ManualConsidrant"/>
      </w:pPr>
    </w:p>
    <w:p w14:paraId="0D84F52B" w14:textId="5DB9BB92" w:rsidR="00672095" w:rsidRPr="005A4182" w:rsidRDefault="00672095" w:rsidP="004800DC">
      <w:pPr>
        <w:pStyle w:val="ManualConsidrant"/>
        <w:rPr>
          <w:b/>
          <w:bCs/>
          <w:i/>
          <w:iCs/>
        </w:rPr>
      </w:pPr>
      <w:r>
        <w:br w:type="page"/>
      </w:r>
      <w:r>
        <w:lastRenderedPageBreak/>
        <w:t>(</w:t>
      </w:r>
      <w:r w:rsidR="000A5C70" w:rsidRPr="00E335C6">
        <w:rPr>
          <w:b/>
          <w:bCs/>
          <w:i/>
          <w:iCs/>
        </w:rPr>
        <w:t>8</w:t>
      </w:r>
      <w:r w:rsidRPr="005A4182">
        <w:rPr>
          <w:b/>
          <w:bCs/>
          <w:i/>
          <w:iCs/>
        </w:rPr>
        <w:t>)</w:t>
      </w:r>
      <w:r w:rsidRPr="005A4182">
        <w:rPr>
          <w:b/>
          <w:bCs/>
          <w:i/>
          <w:iCs/>
        </w:rPr>
        <w:tab/>
      </w:r>
      <w:r w:rsidR="004F4CFE" w:rsidRPr="005A4182">
        <w:rPr>
          <w:b/>
          <w:bCs/>
          <w:i/>
          <w:iCs/>
        </w:rPr>
        <w:t xml:space="preserve">Vakuutus- ja lisäeläkeviranomaisen olisi järjestettävä yhteistoimintafoorumeja, kun rajatylittävä vakuutustoiminta on vastaanottavan jäsenvaltion markkinoiden kannalta </w:t>
      </w:r>
      <w:r w:rsidR="004F4CFE" w:rsidRPr="00B74E85">
        <w:rPr>
          <w:b/>
          <w:bCs/>
          <w:i/>
          <w:iCs/>
        </w:rPr>
        <w:t>merkittävää</w:t>
      </w:r>
      <w:r w:rsidR="004F4CFE" w:rsidRPr="005A4182">
        <w:rPr>
          <w:b/>
          <w:bCs/>
          <w:i/>
          <w:iCs/>
        </w:rPr>
        <w:t xml:space="preserve"> ja edellyttää kotijäsenvaltion ja vastaanottavan jäsenvaltion valvontaviranomaisten välistä tiivistä yhteistoimintaa, erityisesti tapauksissa, joissa </w:t>
      </w:r>
      <w:r w:rsidR="004800DC">
        <w:rPr>
          <w:b/>
          <w:bCs/>
          <w:i/>
          <w:iCs/>
        </w:rPr>
        <w:t>voi olla</w:t>
      </w:r>
      <w:r w:rsidR="004F4CFE" w:rsidRPr="005A4182">
        <w:rPr>
          <w:b/>
          <w:bCs/>
          <w:i/>
          <w:iCs/>
        </w:rPr>
        <w:t xml:space="preserve"> riski, että vakuutuksenantaja kohtaa taloudellisia vaikeuksia, joilla voi olla kielteisiä vaikutuksia vakuutuksenottajiin ja kolmansiin osapuoliin.</w:t>
      </w:r>
    </w:p>
    <w:p w14:paraId="40BE38C1" w14:textId="5AD7B391" w:rsidR="00283102" w:rsidRDefault="00283102">
      <w:pPr>
        <w:pStyle w:val="ManualConsidrant"/>
        <w:rPr>
          <w:noProof/>
        </w:rPr>
      </w:pPr>
      <w:r>
        <w:t>(</w:t>
      </w:r>
      <w:r w:rsidR="004F4CFE">
        <w:t>9</w:t>
      </w:r>
      <w:r>
        <w:t>)</w:t>
      </w:r>
      <w:r>
        <w:tab/>
      </w:r>
      <w:r>
        <w:rPr>
          <w:rStyle w:val="None"/>
          <w:noProof/>
        </w:rPr>
        <w:t xml:space="preserve">Koska vakuutus- ja lisäeläkeviranomainen korvaa Euroopan vakuutus- ja työeläkevalvontaviranomaisten komitean, direktiivistä </w:t>
      </w:r>
      <w:r w:rsidR="008A60CB">
        <w:rPr>
          <w:rStyle w:val="None"/>
          <w:noProof/>
        </w:rPr>
        <w:t xml:space="preserve">2009/138/EY </w:t>
      </w:r>
      <w:r>
        <w:rPr>
          <w:rStyle w:val="None"/>
          <w:noProof/>
        </w:rPr>
        <w:t>olisi poistettava viittaukset Euroopan vakuutus- ja työeläkevalvontaviranomaisten komiteaan.</w:t>
      </w:r>
    </w:p>
    <w:p w14:paraId="5C941E8D" w14:textId="6BA81C4F" w:rsidR="00283102" w:rsidRDefault="004F4CFE">
      <w:pPr>
        <w:pStyle w:val="ManualConsidrant"/>
        <w:rPr>
          <w:noProof/>
        </w:rPr>
      </w:pPr>
      <w:r>
        <w:br w:type="page"/>
      </w:r>
    </w:p>
    <w:p w14:paraId="3964EA47" w14:textId="2B52FD5C" w:rsidR="004F4CFE" w:rsidRDefault="004F4CFE">
      <w:pPr>
        <w:widowControl/>
        <w:spacing w:before="120" w:after="120"/>
        <w:ind w:left="850" w:hanging="850"/>
        <w:rPr>
          <w:rFonts w:eastAsia="Calibri"/>
          <w:b/>
          <w:i/>
          <w:szCs w:val="24"/>
          <w:lang w:eastAsia="en-US"/>
        </w:rPr>
      </w:pPr>
      <w:r>
        <w:rPr>
          <w:noProof/>
        </w:rPr>
        <w:lastRenderedPageBreak/>
        <w:t>(1</w:t>
      </w:r>
      <w:r w:rsidR="00B13A41">
        <w:rPr>
          <w:noProof/>
        </w:rPr>
        <w:t>0</w:t>
      </w:r>
      <w:r>
        <w:rPr>
          <w:noProof/>
        </w:rPr>
        <w:t>)</w:t>
      </w:r>
      <w:r>
        <w:rPr>
          <w:noProof/>
        </w:rPr>
        <w:tab/>
      </w:r>
      <w:r w:rsidRPr="00D031FC">
        <w:rPr>
          <w:rFonts w:eastAsia="Calibri"/>
          <w:b/>
          <w:i/>
          <w:szCs w:val="24"/>
          <w:lang w:eastAsia="en-US"/>
        </w:rPr>
        <w:t>Euroopan parlamentin ja neuvoston asetukseen (EU) N:o 1093/2010</w:t>
      </w:r>
      <w:r w:rsidR="00B13A41">
        <w:rPr>
          <w:rStyle w:val="Alaviitteenviite"/>
          <w:rFonts w:eastAsia="Calibri"/>
          <w:b w:val="0"/>
          <w:i/>
          <w:szCs w:val="24"/>
          <w:lang w:eastAsia="en-US"/>
        </w:rPr>
        <w:footnoteReference w:id="9"/>
      </w:r>
      <w:r w:rsidRPr="00D031FC">
        <w:rPr>
          <w:rFonts w:eastAsia="Calibri"/>
          <w:b/>
          <w:i/>
          <w:szCs w:val="24"/>
          <w:lang w:eastAsia="en-US"/>
        </w:rPr>
        <w:t xml:space="preserve"> tehtyjen muutosten jälkeen </w:t>
      </w:r>
      <w:r w:rsidR="00B13A41">
        <w:rPr>
          <w:rFonts w:eastAsia="Calibri"/>
          <w:b/>
          <w:i/>
          <w:szCs w:val="24"/>
          <w:lang w:eastAsia="en-US"/>
        </w:rPr>
        <w:t>kyseisellä asetuksella perustetulla Euroopan valvontaviranomaisella (</w:t>
      </w:r>
      <w:r w:rsidRPr="00D031FC">
        <w:rPr>
          <w:rFonts w:eastAsia="Calibri"/>
          <w:b/>
          <w:i/>
          <w:szCs w:val="24"/>
          <w:lang w:eastAsia="en-US"/>
        </w:rPr>
        <w:t>Euroopan pankkiviranomai</w:t>
      </w:r>
      <w:r w:rsidR="00B13A41">
        <w:rPr>
          <w:rFonts w:eastAsia="Calibri"/>
          <w:b/>
          <w:i/>
          <w:szCs w:val="24"/>
          <w:lang w:eastAsia="en-US"/>
        </w:rPr>
        <w:t>nen)</w:t>
      </w:r>
      <w:r w:rsidRPr="00D031FC">
        <w:rPr>
          <w:rFonts w:eastAsia="Calibri"/>
          <w:b/>
          <w:i/>
          <w:szCs w:val="24"/>
          <w:lang w:eastAsia="en-US"/>
        </w:rPr>
        <w:t xml:space="preserve"> on uusi rooli rahoitusjärjestelmän käytön estämisessä rahanpesuun tai terrorismin rahoitukseen, minkä vuoksi </w:t>
      </w:r>
      <w:r w:rsidR="00B13A41">
        <w:rPr>
          <w:rFonts w:eastAsia="Calibri"/>
          <w:b/>
          <w:i/>
          <w:szCs w:val="24"/>
          <w:lang w:eastAsia="en-US"/>
        </w:rPr>
        <w:t xml:space="preserve">Euroopan parlamentin ja neuvoston </w:t>
      </w:r>
      <w:r w:rsidRPr="00D031FC">
        <w:rPr>
          <w:rFonts w:eastAsia="Calibri"/>
          <w:b/>
          <w:i/>
          <w:szCs w:val="24"/>
          <w:lang w:eastAsia="en-US"/>
        </w:rPr>
        <w:t>direktiiviin (EU) 2015/849</w:t>
      </w:r>
      <w:r w:rsidR="00B13A41">
        <w:rPr>
          <w:rStyle w:val="Alaviitteenviite"/>
          <w:rFonts w:eastAsia="Calibri"/>
          <w:b w:val="0"/>
          <w:i/>
          <w:szCs w:val="24"/>
          <w:lang w:eastAsia="en-US"/>
        </w:rPr>
        <w:footnoteReference w:id="10"/>
      </w:r>
      <w:r w:rsidRPr="00D031FC">
        <w:rPr>
          <w:rFonts w:eastAsia="Calibri"/>
          <w:b/>
          <w:i/>
          <w:szCs w:val="24"/>
          <w:lang w:eastAsia="en-US"/>
        </w:rPr>
        <w:t xml:space="preserve"> on tehtävä muutoksia,</w:t>
      </w:r>
    </w:p>
    <w:p w14:paraId="6F7C8493" w14:textId="77777777" w:rsidR="00B13A41" w:rsidRPr="00D031FC" w:rsidRDefault="00B13A41" w:rsidP="00B13A41">
      <w:pPr>
        <w:widowControl/>
        <w:spacing w:before="120" w:after="120"/>
        <w:ind w:left="850" w:hanging="850"/>
        <w:rPr>
          <w:rFonts w:eastAsia="Calibri"/>
          <w:szCs w:val="24"/>
          <w:lang w:eastAsia="en-US"/>
        </w:rPr>
      </w:pPr>
      <w:r w:rsidRPr="00B13A41">
        <w:rPr>
          <w:rFonts w:eastAsia="Calibri"/>
          <w:szCs w:val="24"/>
          <w:lang w:eastAsia="en-US"/>
        </w:rPr>
        <w:t>(11)</w:t>
      </w:r>
      <w:r w:rsidRPr="00B13A41">
        <w:rPr>
          <w:rFonts w:eastAsia="Calibri"/>
          <w:szCs w:val="24"/>
          <w:lang w:eastAsia="en-US"/>
        </w:rPr>
        <w:tab/>
        <w:t>Direktiivejä 2009/138/EY, 2014/65/EU ja (EU) 2015/849 olisi sen vuoksi muutettava</w:t>
      </w:r>
      <w:r>
        <w:rPr>
          <w:rFonts w:eastAsia="Calibri"/>
          <w:szCs w:val="24"/>
          <w:lang w:eastAsia="en-US"/>
        </w:rPr>
        <w:t xml:space="preserve"> vastaavasti.</w:t>
      </w:r>
    </w:p>
    <w:p w14:paraId="16F6F2FE" w14:textId="77777777" w:rsidR="00283102" w:rsidRDefault="00283102" w:rsidP="00283102">
      <w:pPr>
        <w:pStyle w:val="Formuledadoption"/>
        <w:rPr>
          <w:noProof/>
        </w:rPr>
      </w:pPr>
      <w:r>
        <w:rPr>
          <w:noProof/>
        </w:rPr>
        <w:t>OVAT HYVÄKSYNEET TÄMÄN DIREKTIIVIN:</w:t>
      </w:r>
    </w:p>
    <w:p w14:paraId="1AD4A9DB" w14:textId="77777777" w:rsidR="00283102" w:rsidRPr="000A5C70" w:rsidRDefault="00080F4B" w:rsidP="000A5C70">
      <w:pPr>
        <w:pStyle w:val="Titrearticle"/>
        <w:rPr>
          <w:bCs/>
          <w:i w:val="0"/>
          <w:iCs/>
          <w:noProof/>
        </w:rPr>
      </w:pPr>
      <w:r>
        <w:rPr>
          <w:noProof/>
        </w:rPr>
        <w:br w:type="page"/>
      </w:r>
      <w:r w:rsidR="00283102">
        <w:rPr>
          <w:noProof/>
        </w:rPr>
        <w:lastRenderedPageBreak/>
        <w:t>1 artikla</w:t>
      </w:r>
      <w:r w:rsidR="000A5C70">
        <w:rPr>
          <w:noProof/>
        </w:rPr>
        <w:br/>
      </w:r>
      <w:r w:rsidR="00283102" w:rsidRPr="000A5C70">
        <w:rPr>
          <w:bCs/>
          <w:i w:val="0"/>
          <w:iCs/>
          <w:noProof/>
        </w:rPr>
        <w:t xml:space="preserve">Muutokset direktiiviin </w:t>
      </w:r>
      <w:hyperlink r:id="rId9" w:history="1">
        <w:r w:rsidR="00283102" w:rsidRPr="000A5C70">
          <w:rPr>
            <w:rStyle w:val="Hyperlinkki"/>
            <w:bCs/>
            <w:i w:val="0"/>
            <w:iCs/>
            <w:noProof/>
          </w:rPr>
          <w:t>2014/65/EU</w:t>
        </w:r>
      </w:hyperlink>
    </w:p>
    <w:p w14:paraId="6B84F725" w14:textId="77777777" w:rsidR="00283102" w:rsidRDefault="00283102" w:rsidP="00283102">
      <w:pPr>
        <w:spacing w:after="200"/>
        <w:rPr>
          <w:noProof/>
        </w:rPr>
      </w:pPr>
      <w:r>
        <w:rPr>
          <w:noProof/>
        </w:rPr>
        <w:t>Muutetaan direktiivi 2014/65/EU seuraavasti:</w:t>
      </w:r>
    </w:p>
    <w:p w14:paraId="670A364F" w14:textId="77777777" w:rsidR="00283102" w:rsidRDefault="00672095" w:rsidP="00283102">
      <w:pPr>
        <w:spacing w:after="200"/>
        <w:rPr>
          <w:noProof/>
        </w:rPr>
      </w:pPr>
      <w:r>
        <w:rPr>
          <w:noProof/>
        </w:rPr>
        <w:t>1)</w:t>
      </w:r>
      <w:r>
        <w:rPr>
          <w:noProof/>
        </w:rPr>
        <w:tab/>
      </w:r>
      <w:r w:rsidR="00283102">
        <w:rPr>
          <w:noProof/>
        </w:rPr>
        <w:t>Muutetaan 1 artikla seuraavasti:</w:t>
      </w:r>
    </w:p>
    <w:p w14:paraId="0DD255E2" w14:textId="77777777" w:rsidR="00283102" w:rsidRDefault="00283102" w:rsidP="00283102">
      <w:pPr>
        <w:spacing w:after="200"/>
        <w:ind w:firstLine="720"/>
        <w:rPr>
          <w:noProof/>
        </w:rPr>
      </w:pPr>
      <w:r>
        <w:rPr>
          <w:noProof/>
        </w:rPr>
        <w:t>a)</w:t>
      </w:r>
      <w:r>
        <w:rPr>
          <w:noProof/>
        </w:rPr>
        <w:tab/>
        <w:t>korvataan 1 kohta seuraavasti:</w:t>
      </w:r>
    </w:p>
    <w:p w14:paraId="59358921" w14:textId="77777777" w:rsidR="00283102" w:rsidRDefault="00283102" w:rsidP="003E2B62">
      <w:pPr>
        <w:spacing w:after="200"/>
        <w:ind w:left="1701" w:hanging="567"/>
        <w:rPr>
          <w:noProof/>
        </w:rPr>
      </w:pPr>
      <w:r>
        <w:rPr>
          <w:noProof/>
        </w:rPr>
        <w:t>"1.</w:t>
      </w:r>
      <w:r>
        <w:rPr>
          <w:noProof/>
        </w:rPr>
        <w:tab/>
      </w:r>
      <w:r w:rsidR="003E2B62" w:rsidRPr="003E2B62">
        <w:rPr>
          <w:noProof/>
        </w:rPr>
        <w:t>Tätä direktiiviä sovelletaan sijoituspalveluyrityksiin, markkinoiden ylläpitäjiin ja kolmansien maiden yrityksiin, jotka tarjoavat sijoituspalveluja tai harjoittavat sijoitustoimintaa unionissa sinne perustetun sivuliikkeen välityksellä.</w:t>
      </w:r>
      <w:r>
        <w:rPr>
          <w:noProof/>
        </w:rPr>
        <w:t>"</w:t>
      </w:r>
    </w:p>
    <w:p w14:paraId="75DAA282" w14:textId="29CE733D" w:rsidR="00283102" w:rsidRDefault="00283102">
      <w:pPr>
        <w:spacing w:after="200"/>
        <w:ind w:firstLine="720"/>
        <w:rPr>
          <w:noProof/>
        </w:rPr>
      </w:pPr>
      <w:r>
        <w:rPr>
          <w:noProof/>
        </w:rPr>
        <w:t>b)</w:t>
      </w:r>
      <w:r>
        <w:rPr>
          <w:noProof/>
        </w:rPr>
        <w:tab/>
      </w:r>
      <w:r w:rsidR="004F4CFE">
        <w:rPr>
          <w:noProof/>
        </w:rPr>
        <w:t>kumotaan</w:t>
      </w:r>
      <w:r>
        <w:rPr>
          <w:noProof/>
        </w:rPr>
        <w:t xml:space="preserve"> 2 kohdan d alakohta.</w:t>
      </w:r>
    </w:p>
    <w:p w14:paraId="5F99482A" w14:textId="77777777" w:rsidR="00283102" w:rsidRDefault="00672095" w:rsidP="00283102">
      <w:pPr>
        <w:spacing w:after="200"/>
        <w:rPr>
          <w:noProof/>
        </w:rPr>
      </w:pPr>
      <w:r>
        <w:rPr>
          <w:noProof/>
        </w:rPr>
        <w:t>2)</w:t>
      </w:r>
      <w:r>
        <w:rPr>
          <w:noProof/>
        </w:rPr>
        <w:tab/>
      </w:r>
      <w:r w:rsidR="00283102">
        <w:rPr>
          <w:noProof/>
        </w:rPr>
        <w:t>Muutetaan 4 artiklan 1 kohta seuraavasti:</w:t>
      </w:r>
    </w:p>
    <w:p w14:paraId="167265AD" w14:textId="77777777" w:rsidR="00283102" w:rsidRDefault="00283102" w:rsidP="00283102">
      <w:pPr>
        <w:spacing w:after="200"/>
        <w:ind w:left="720"/>
        <w:rPr>
          <w:noProof/>
        </w:rPr>
      </w:pPr>
      <w:r>
        <w:rPr>
          <w:noProof/>
        </w:rPr>
        <w:t>a)</w:t>
      </w:r>
      <w:r>
        <w:rPr>
          <w:noProof/>
        </w:rPr>
        <w:tab/>
        <w:t>korvataan 36 ja 37 alakohta seuraavasti:</w:t>
      </w:r>
    </w:p>
    <w:p w14:paraId="3DB35F56" w14:textId="77777777" w:rsidR="00283102" w:rsidRDefault="00283102" w:rsidP="003E2B62">
      <w:pPr>
        <w:spacing w:after="200"/>
        <w:ind w:left="1701" w:hanging="567"/>
        <w:rPr>
          <w:noProof/>
        </w:rPr>
      </w:pPr>
      <w:r>
        <w:rPr>
          <w:noProof/>
        </w:rPr>
        <w:t>"</w:t>
      </w:r>
      <w:r w:rsidR="00672095">
        <w:rPr>
          <w:noProof/>
        </w:rPr>
        <w:t>(</w:t>
      </w:r>
      <w:r>
        <w:rPr>
          <w:noProof/>
        </w:rPr>
        <w:t>36)</w:t>
      </w:r>
      <w:r w:rsidR="00672095">
        <w:rPr>
          <w:noProof/>
        </w:rPr>
        <w:tab/>
      </w:r>
      <w:r w:rsidR="003E2B62" w:rsidRPr="003E2B62">
        <w:rPr>
          <w:noProof/>
        </w:rPr>
        <w:t>'ylimmällä hallintoelimellä' sijoituspalveluyrityksen tai markkinoiden ylläpitäjän yhtä tai useampaa kansallisen lainsäädännön mukaisesti nimettyä elintä, jolla on toimivalta vahvistaa yhteisön strategia, tavoitteet ja yleinen johtaminen, joka valvoo ja seuraa johdon päätöksentekoa ja johon kuuluu yhteisön liiketoimintaa tosiasiallisesti johtavia henkilöitä.</w:t>
      </w:r>
    </w:p>
    <w:p w14:paraId="255D36A4" w14:textId="77777777" w:rsidR="003E2B62" w:rsidRPr="00D031FC" w:rsidRDefault="00672095" w:rsidP="003E2B62">
      <w:pPr>
        <w:widowControl/>
        <w:spacing w:before="120" w:after="120"/>
        <w:ind w:left="1985" w:firstLine="1"/>
        <w:rPr>
          <w:rFonts w:eastAsia="Calibri"/>
          <w:szCs w:val="24"/>
          <w:lang w:eastAsia="en-US"/>
        </w:rPr>
      </w:pPr>
      <w:r>
        <w:rPr>
          <w:noProof/>
        </w:rPr>
        <w:br w:type="page"/>
      </w:r>
      <w:r w:rsidR="003E2B62" w:rsidRPr="00D031FC">
        <w:rPr>
          <w:rFonts w:eastAsia="Calibri"/>
          <w:szCs w:val="24"/>
          <w:lang w:eastAsia="en-US"/>
        </w:rPr>
        <w:lastRenderedPageBreak/>
        <w:t>Jos tässä direktiivissä viitataan ylimpään hallintoelimeen ja kansallisessa lainsäädännössä ylimmän hallintoelimen johto- tai valvontatehtävät on annettu eri elimille tai yhden elimen eri jäsenille, jäsenvaltion on yksilöitävä ylimmän hallintoelimen asiasta vastaavat elimet tai jäsenet kansallisen lainsäädäntönsä mukaisesti, jollei tässä direktiivissä toisin säädetä;</w:t>
      </w:r>
    </w:p>
    <w:p w14:paraId="0406079A" w14:textId="77777777" w:rsidR="003E2B62" w:rsidRPr="00D031FC" w:rsidRDefault="003E2B62" w:rsidP="003E2B62">
      <w:pPr>
        <w:widowControl/>
        <w:spacing w:before="120" w:after="120"/>
        <w:ind w:left="1985" w:hanging="567"/>
        <w:rPr>
          <w:rFonts w:eastAsia="Calibri"/>
          <w:szCs w:val="24"/>
          <w:lang w:eastAsia="en-US"/>
        </w:rPr>
      </w:pPr>
      <w:r w:rsidRPr="00D031FC">
        <w:rPr>
          <w:rFonts w:eastAsia="Calibri"/>
          <w:szCs w:val="24"/>
          <w:lang w:eastAsia="en-US"/>
        </w:rPr>
        <w:t>37)</w:t>
      </w:r>
      <w:r w:rsidRPr="00D031FC">
        <w:rPr>
          <w:rFonts w:eastAsia="Calibri"/>
          <w:szCs w:val="24"/>
          <w:lang w:eastAsia="en-US"/>
        </w:rPr>
        <w:tab/>
        <w:t>'toimivalla johdolla' luonnollisia henkilöitä, jotka vastaavat sijoituspalveluyrityksen tai markkinoiden ylläpitäjän päivittäisestä johtamisesta ja ovat siitä tili- ja vastuuvelvollisia ylimmälle hallintoelimelle, mukaan lukien niiden käytänteiden toteuttaminen, jotka koskevat palvelujen ja tuotteiden jakelua asiakkaille yrityksen ja sen henkilöstön toimesta;"</w:t>
      </w:r>
    </w:p>
    <w:p w14:paraId="765E4023" w14:textId="3BACFD00" w:rsidR="00283102" w:rsidRDefault="00672095" w:rsidP="00E335C6">
      <w:pPr>
        <w:spacing w:after="200"/>
        <w:ind w:left="567"/>
        <w:rPr>
          <w:noProof/>
        </w:rPr>
      </w:pPr>
      <w:r>
        <w:rPr>
          <w:noProof/>
        </w:rPr>
        <w:t>b)</w:t>
      </w:r>
      <w:r>
        <w:rPr>
          <w:noProof/>
        </w:rPr>
        <w:tab/>
      </w:r>
      <w:r w:rsidR="004F4CFE">
        <w:rPr>
          <w:noProof/>
        </w:rPr>
        <w:t>kumotaan</w:t>
      </w:r>
      <w:r w:rsidR="00283102">
        <w:rPr>
          <w:noProof/>
        </w:rPr>
        <w:t xml:space="preserve"> 52, 53 ja 54 </w:t>
      </w:r>
      <w:r w:rsidR="00081DC1">
        <w:rPr>
          <w:noProof/>
        </w:rPr>
        <w:t>ala</w:t>
      </w:r>
      <w:r w:rsidR="00283102">
        <w:rPr>
          <w:noProof/>
        </w:rPr>
        <w:t xml:space="preserve">kohta sekä 55 </w:t>
      </w:r>
      <w:r w:rsidR="00081DC1">
        <w:rPr>
          <w:noProof/>
        </w:rPr>
        <w:t>ala</w:t>
      </w:r>
      <w:r w:rsidR="00283102">
        <w:rPr>
          <w:noProof/>
        </w:rPr>
        <w:t>kohdan c alakohta.</w:t>
      </w:r>
    </w:p>
    <w:p w14:paraId="18CF6A77" w14:textId="286DA906" w:rsidR="00672095" w:rsidRDefault="00672095" w:rsidP="00EA62D7">
      <w:pPr>
        <w:pStyle w:val="Text1"/>
        <w:ind w:left="0"/>
        <w:rPr>
          <w:noProof/>
        </w:rPr>
      </w:pPr>
      <w:r>
        <w:rPr>
          <w:noProof/>
        </w:rPr>
        <w:br w:type="page"/>
      </w:r>
      <w:r>
        <w:rPr>
          <w:noProof/>
        </w:rPr>
        <w:lastRenderedPageBreak/>
        <w:t>(</w:t>
      </w:r>
      <w:r w:rsidR="000A5C70">
        <w:rPr>
          <w:noProof/>
        </w:rPr>
        <w:t>3</w:t>
      </w:r>
      <w:r>
        <w:rPr>
          <w:noProof/>
        </w:rPr>
        <w:t>)</w:t>
      </w:r>
      <w:r>
        <w:rPr>
          <w:noProof/>
        </w:rPr>
        <w:tab/>
      </w:r>
      <w:r w:rsidR="00EA62D7">
        <w:rPr>
          <w:noProof/>
        </w:rPr>
        <w:t>L</w:t>
      </w:r>
      <w:r>
        <w:rPr>
          <w:noProof/>
        </w:rPr>
        <w:t>isätään 22 artiklaan kohta seuraavasti:</w:t>
      </w:r>
    </w:p>
    <w:p w14:paraId="6834127F" w14:textId="77777777" w:rsidR="004F4CFE" w:rsidRPr="00B74E85" w:rsidRDefault="004F4CFE" w:rsidP="00085187">
      <w:pPr>
        <w:widowControl/>
        <w:spacing w:before="120" w:after="120"/>
        <w:ind w:left="850"/>
        <w:rPr>
          <w:rFonts w:eastAsia="Calibri"/>
          <w:b/>
          <w:i/>
          <w:szCs w:val="24"/>
          <w:lang w:eastAsia="en-US"/>
        </w:rPr>
      </w:pPr>
      <w:r>
        <w:rPr>
          <w:rFonts w:eastAsia="Calibri"/>
          <w:b/>
          <w:i/>
          <w:szCs w:val="24"/>
          <w:lang w:eastAsia="en-US"/>
        </w:rPr>
        <w:t>"</w:t>
      </w:r>
      <w:r w:rsidRPr="00D031FC">
        <w:rPr>
          <w:rFonts w:eastAsia="Calibri"/>
          <w:b/>
          <w:i/>
          <w:szCs w:val="24"/>
          <w:lang w:eastAsia="en-US"/>
        </w:rPr>
        <w:t xml:space="preserve">Jäsenvaltioiden on varmistettava, että kun toimivaltaisten viranomaisten tehtävänä on myöntää toimilupa </w:t>
      </w:r>
      <w:r w:rsidRPr="00B74E85">
        <w:rPr>
          <w:rFonts w:eastAsia="Calibri"/>
          <w:b/>
          <w:i/>
          <w:szCs w:val="24"/>
          <w:lang w:eastAsia="en-US"/>
        </w:rPr>
        <w:t>hyväksyttyjen julkistamisjärjestelyjen ja hyväksyttyjen ilmoitusjärjestelmien toiminnalle ja valvoa sitä, ne valvovat sijoituspalveluyritysten toimintaa arvioidakseen, täyttyvätkö asetuksessa (EU) N:o 600/2014 säädetyt toiminnan harjoittamista koskevat edellytykset. Jäsenvaltioiden on varmistettava, että aiheelliset toimenpiteet toteutetaan, jotta toimivaltaiset viranomaiset voivat hankkia tarvittavat tiedot arvioidakseen, täyttävätkö sijoituspalveluyritykset edellä mainitut velvoitteet."</w:t>
      </w:r>
    </w:p>
    <w:p w14:paraId="30B685FA" w14:textId="44038725" w:rsidR="00283102" w:rsidRPr="00B74E85" w:rsidRDefault="000A5C70" w:rsidP="00EA62D7">
      <w:pPr>
        <w:pStyle w:val="Text1"/>
        <w:ind w:left="0"/>
        <w:rPr>
          <w:noProof/>
        </w:rPr>
      </w:pPr>
      <w:r w:rsidRPr="00B74E85">
        <w:rPr>
          <w:noProof/>
        </w:rPr>
        <w:t>4</w:t>
      </w:r>
      <w:r w:rsidR="00283102" w:rsidRPr="00B74E85">
        <w:rPr>
          <w:noProof/>
        </w:rPr>
        <w:t>)</w:t>
      </w:r>
      <w:r w:rsidR="00080F4B" w:rsidRPr="00B74E85">
        <w:rPr>
          <w:noProof/>
        </w:rPr>
        <w:tab/>
      </w:r>
      <w:r w:rsidR="00EA62D7" w:rsidRPr="00B74E85">
        <w:rPr>
          <w:noProof/>
        </w:rPr>
        <w:t xml:space="preserve">Kumotaan </w:t>
      </w:r>
      <w:r w:rsidR="00283102" w:rsidRPr="00B74E85">
        <w:rPr>
          <w:noProof/>
        </w:rPr>
        <w:t>V osasto.</w:t>
      </w:r>
    </w:p>
    <w:p w14:paraId="653E9A9D" w14:textId="56646ABC" w:rsidR="00283102" w:rsidRPr="00B74E85" w:rsidRDefault="00672095">
      <w:pPr>
        <w:pStyle w:val="Text1"/>
        <w:ind w:left="0"/>
        <w:rPr>
          <w:noProof/>
        </w:rPr>
      </w:pPr>
      <w:r w:rsidRPr="00B74E85">
        <w:rPr>
          <w:noProof/>
        </w:rPr>
        <w:t>5</w:t>
      </w:r>
      <w:r w:rsidR="00283102" w:rsidRPr="00B74E85">
        <w:rPr>
          <w:noProof/>
        </w:rPr>
        <w:t>)</w:t>
      </w:r>
      <w:r w:rsidR="00080F4B" w:rsidRPr="00B74E85">
        <w:rPr>
          <w:noProof/>
        </w:rPr>
        <w:tab/>
      </w:r>
      <w:r w:rsidR="00283102" w:rsidRPr="00B74E85">
        <w:rPr>
          <w:noProof/>
        </w:rPr>
        <w:t>Muutetaan 70 artikla seuraavasti:</w:t>
      </w:r>
    </w:p>
    <w:p w14:paraId="2DBE6E39" w14:textId="77777777" w:rsidR="00672095" w:rsidRPr="00B74E85" w:rsidRDefault="00283102" w:rsidP="00283102">
      <w:pPr>
        <w:pStyle w:val="Text1"/>
        <w:ind w:left="0" w:firstLine="720"/>
        <w:rPr>
          <w:noProof/>
        </w:rPr>
      </w:pPr>
      <w:r w:rsidRPr="00B74E85">
        <w:rPr>
          <w:noProof/>
        </w:rPr>
        <w:t>a)</w:t>
      </w:r>
      <w:r w:rsidRPr="00B74E85">
        <w:rPr>
          <w:noProof/>
        </w:rPr>
        <w:tab/>
      </w:r>
      <w:r w:rsidR="00672095" w:rsidRPr="00B74E85">
        <w:rPr>
          <w:noProof/>
        </w:rPr>
        <w:t>muutetaan 3 kohta seuraavasti:</w:t>
      </w:r>
    </w:p>
    <w:p w14:paraId="7D975DD7" w14:textId="75247E00" w:rsidR="00283102" w:rsidRPr="00B74E85" w:rsidRDefault="00672095" w:rsidP="002D170C">
      <w:pPr>
        <w:pStyle w:val="Text1"/>
        <w:ind w:left="567" w:firstLine="720"/>
        <w:rPr>
          <w:noProof/>
        </w:rPr>
      </w:pPr>
      <w:r w:rsidRPr="00B74E85">
        <w:rPr>
          <w:noProof/>
        </w:rPr>
        <w:t>i)</w:t>
      </w:r>
      <w:r w:rsidRPr="00B74E85">
        <w:rPr>
          <w:noProof/>
        </w:rPr>
        <w:tab/>
      </w:r>
      <w:r w:rsidR="00D6063A" w:rsidRPr="00B74E85">
        <w:rPr>
          <w:noProof/>
        </w:rPr>
        <w:t>kumotaan</w:t>
      </w:r>
      <w:r w:rsidR="00283102" w:rsidRPr="00B74E85">
        <w:rPr>
          <w:noProof/>
        </w:rPr>
        <w:t xml:space="preserve">a alakohdan xxxvii–xxxx </w:t>
      </w:r>
      <w:r w:rsidR="002D170C" w:rsidRPr="00B74E85">
        <w:rPr>
          <w:noProof/>
        </w:rPr>
        <w:t>al</w:t>
      </w:r>
      <w:r w:rsidR="00283102" w:rsidRPr="00B74E85">
        <w:rPr>
          <w:noProof/>
        </w:rPr>
        <w:t>akohta;</w:t>
      </w:r>
    </w:p>
    <w:p w14:paraId="32F7F8D8" w14:textId="6667DA68" w:rsidR="00672095" w:rsidRPr="00B74E85" w:rsidRDefault="00672095">
      <w:pPr>
        <w:pStyle w:val="Text1"/>
        <w:ind w:left="567" w:firstLine="720"/>
        <w:rPr>
          <w:noProof/>
        </w:rPr>
      </w:pPr>
      <w:r w:rsidRPr="00B74E85">
        <w:rPr>
          <w:noProof/>
        </w:rPr>
        <w:t>ii)</w:t>
      </w:r>
      <w:r w:rsidRPr="00B74E85">
        <w:rPr>
          <w:noProof/>
        </w:rPr>
        <w:tab/>
        <w:t xml:space="preserve">lisätään b alakohtaan xx </w:t>
      </w:r>
      <w:r w:rsidR="00165DD7" w:rsidRPr="00B74E85">
        <w:rPr>
          <w:noProof/>
        </w:rPr>
        <w:t>ala</w:t>
      </w:r>
      <w:r w:rsidRPr="00B74E85">
        <w:rPr>
          <w:noProof/>
        </w:rPr>
        <w:t>kohdan jälkeen alakohta seuraavasti:</w:t>
      </w:r>
    </w:p>
    <w:p w14:paraId="4B66E8FF" w14:textId="5F790F7D" w:rsidR="00283102" w:rsidRDefault="009F3604" w:rsidP="00283102">
      <w:pPr>
        <w:pStyle w:val="Text1"/>
        <w:ind w:left="0" w:firstLine="720"/>
        <w:rPr>
          <w:noProof/>
        </w:rPr>
      </w:pPr>
      <w:r w:rsidRPr="00B74E85">
        <w:rPr>
          <w:noProof/>
        </w:rPr>
        <w:t>"</w:t>
      </w:r>
      <w:r w:rsidR="00672095" w:rsidRPr="00B74E85">
        <w:rPr>
          <w:noProof/>
        </w:rPr>
        <w:t>xxa)</w:t>
      </w:r>
      <w:r w:rsidR="00672095" w:rsidRPr="00B74E85">
        <w:rPr>
          <w:noProof/>
        </w:rPr>
        <w:tab/>
      </w:r>
      <w:r w:rsidR="002D170C" w:rsidRPr="00B74E85">
        <w:rPr>
          <w:noProof/>
        </w:rPr>
        <w:t xml:space="preserve">27 e </w:t>
      </w:r>
      <w:r w:rsidR="00672095" w:rsidRPr="00B74E85">
        <w:rPr>
          <w:noProof/>
        </w:rPr>
        <w:t>artiklan 1</w:t>
      </w:r>
      <w:r w:rsidR="002D170C" w:rsidRPr="00B74E85">
        <w:rPr>
          <w:noProof/>
        </w:rPr>
        <w:t>,</w:t>
      </w:r>
      <w:r w:rsidR="00672095" w:rsidRPr="00B74E85">
        <w:rPr>
          <w:noProof/>
        </w:rPr>
        <w:t xml:space="preserve"> 2 ja 3 kohta, </w:t>
      </w:r>
      <w:r w:rsidR="002D170C" w:rsidRPr="00B74E85">
        <w:rPr>
          <w:noProof/>
        </w:rPr>
        <w:t xml:space="preserve">27 f </w:t>
      </w:r>
      <w:r w:rsidR="00672095" w:rsidRPr="00B74E85">
        <w:rPr>
          <w:noProof/>
        </w:rPr>
        <w:t xml:space="preserve">artiklan 1–5 kohta ja </w:t>
      </w:r>
      <w:r w:rsidR="002D170C" w:rsidRPr="00B74E85">
        <w:rPr>
          <w:noProof/>
        </w:rPr>
        <w:t xml:space="preserve">27 h </w:t>
      </w:r>
      <w:r w:rsidR="00672095" w:rsidRPr="00B74E85">
        <w:rPr>
          <w:noProof/>
        </w:rPr>
        <w:t>artiklan 1–5 kohta</w:t>
      </w:r>
      <w:r w:rsidR="00654487" w:rsidRPr="00B74E85">
        <w:rPr>
          <w:noProof/>
        </w:rPr>
        <w:t xml:space="preserve">, </w:t>
      </w:r>
      <w:r w:rsidR="002D170C" w:rsidRPr="00B74E85">
        <w:rPr>
          <w:noProof/>
        </w:rPr>
        <w:t>jos hyväksyt</w:t>
      </w:r>
      <w:r w:rsidR="000129DC" w:rsidRPr="00B74E85">
        <w:rPr>
          <w:noProof/>
        </w:rPr>
        <w:t>t</w:t>
      </w:r>
      <w:r w:rsidR="002D170C" w:rsidRPr="00B74E85">
        <w:rPr>
          <w:noProof/>
        </w:rPr>
        <w:t>y</w:t>
      </w:r>
      <w:r w:rsidR="00D2557A" w:rsidRPr="00B74E85">
        <w:rPr>
          <w:noProof/>
        </w:rPr>
        <w:t>ä</w:t>
      </w:r>
      <w:r w:rsidR="002D170C" w:rsidRPr="00B74E85">
        <w:rPr>
          <w:noProof/>
        </w:rPr>
        <w:t xml:space="preserve"> julkistamisjärjestely</w:t>
      </w:r>
      <w:r w:rsidR="00D2557A" w:rsidRPr="00B74E85">
        <w:rPr>
          <w:noProof/>
        </w:rPr>
        <w:t>ä</w:t>
      </w:r>
      <w:r w:rsidR="002D170C" w:rsidRPr="00B74E85">
        <w:rPr>
          <w:noProof/>
        </w:rPr>
        <w:t xml:space="preserve"> </w:t>
      </w:r>
      <w:r w:rsidR="00D2557A" w:rsidRPr="00B74E85">
        <w:rPr>
          <w:noProof/>
        </w:rPr>
        <w:t xml:space="preserve">tai </w:t>
      </w:r>
      <w:r w:rsidR="002D170C" w:rsidRPr="00B74E85">
        <w:rPr>
          <w:noProof/>
        </w:rPr>
        <w:t>hyväksyt</w:t>
      </w:r>
      <w:r w:rsidR="000129DC" w:rsidRPr="00B74E85">
        <w:rPr>
          <w:noProof/>
        </w:rPr>
        <w:t>t</w:t>
      </w:r>
      <w:r w:rsidR="002D170C" w:rsidRPr="00B74E85">
        <w:rPr>
          <w:noProof/>
        </w:rPr>
        <w:t>y</w:t>
      </w:r>
      <w:r w:rsidR="00D2557A" w:rsidRPr="00B74E85">
        <w:rPr>
          <w:noProof/>
        </w:rPr>
        <w:t>ä</w:t>
      </w:r>
      <w:r w:rsidR="002D170C" w:rsidRPr="00B74E85">
        <w:rPr>
          <w:noProof/>
        </w:rPr>
        <w:t xml:space="preserve"> ilmoitusjärjestelmä</w:t>
      </w:r>
      <w:r w:rsidR="00D2557A" w:rsidRPr="00B74E85">
        <w:rPr>
          <w:noProof/>
        </w:rPr>
        <w:t xml:space="preserve">ä </w:t>
      </w:r>
      <w:r w:rsidR="000129DC" w:rsidRPr="00B74E85">
        <w:rPr>
          <w:noProof/>
        </w:rPr>
        <w:t>koskee</w:t>
      </w:r>
      <w:r w:rsidR="002D170C" w:rsidRPr="00B74E85">
        <w:rPr>
          <w:noProof/>
        </w:rPr>
        <w:t xml:space="preserve"> 2 artiklan 3 kohdan mukai</w:t>
      </w:r>
      <w:r w:rsidR="00517C85" w:rsidRPr="00B74E85">
        <w:rPr>
          <w:noProof/>
        </w:rPr>
        <w:t>nen poikkeus</w:t>
      </w:r>
      <w:r w:rsidR="00D2557A" w:rsidRPr="00B74E85">
        <w:rPr>
          <w:noProof/>
        </w:rPr>
        <w:t>.</w:t>
      </w:r>
      <w:r w:rsidR="00517C85" w:rsidRPr="00B74E85">
        <w:rPr>
          <w:noProof/>
        </w:rPr>
        <w:t>";</w:t>
      </w:r>
      <w:r w:rsidR="00672095">
        <w:rPr>
          <w:noProof/>
        </w:rPr>
        <w:br w:type="page"/>
      </w:r>
      <w:r w:rsidR="00283102">
        <w:rPr>
          <w:noProof/>
        </w:rPr>
        <w:lastRenderedPageBreak/>
        <w:t>b)</w:t>
      </w:r>
      <w:r w:rsidR="00283102">
        <w:rPr>
          <w:noProof/>
        </w:rPr>
        <w:tab/>
        <w:t xml:space="preserve">korvataan 4 kohdan a </w:t>
      </w:r>
      <w:r w:rsidR="000129DC">
        <w:rPr>
          <w:noProof/>
        </w:rPr>
        <w:t xml:space="preserve">ja b </w:t>
      </w:r>
      <w:r w:rsidR="00283102">
        <w:rPr>
          <w:noProof/>
        </w:rPr>
        <w:t>alakohta seuraavasti:</w:t>
      </w:r>
    </w:p>
    <w:p w14:paraId="46056729" w14:textId="77777777" w:rsidR="00283102" w:rsidRDefault="00283102" w:rsidP="00E335C6">
      <w:pPr>
        <w:spacing w:after="200"/>
        <w:ind w:left="567" w:firstLine="720"/>
        <w:rPr>
          <w:noProof/>
        </w:rPr>
      </w:pPr>
      <w:r>
        <w:rPr>
          <w:noProof/>
        </w:rPr>
        <w:t>"a)</w:t>
      </w:r>
      <w:r>
        <w:rPr>
          <w:noProof/>
        </w:rPr>
        <w:tab/>
        <w:t>tämän direktiivin 5 artikla tai 6 artiklan 2 kohta tai 34, 35, 39 tai 44 artikla;"</w:t>
      </w:r>
    </w:p>
    <w:p w14:paraId="585378A5" w14:textId="751A8A98" w:rsidR="00672095" w:rsidRPr="00B74E85" w:rsidRDefault="00672095" w:rsidP="00E335C6">
      <w:pPr>
        <w:spacing w:after="200"/>
        <w:ind w:left="1134" w:firstLine="153"/>
        <w:rPr>
          <w:noProof/>
        </w:rPr>
      </w:pPr>
      <w:r w:rsidRPr="00B74E85">
        <w:rPr>
          <w:noProof/>
        </w:rPr>
        <w:t>b)</w:t>
      </w:r>
      <w:r w:rsidRPr="00B74E85">
        <w:rPr>
          <w:noProof/>
        </w:rPr>
        <w:tab/>
      </w:r>
      <w:r w:rsidR="00654487" w:rsidRPr="00B74E85">
        <w:rPr>
          <w:noProof/>
        </w:rPr>
        <w:t>asetuksen (EU) N:o 600/2014 7 artiklan 1 kohdan kolmas virke tai kyseisen asetuksen 11 artiklan 1 kohta</w:t>
      </w:r>
      <w:r w:rsidR="000129DC" w:rsidRPr="00B74E85">
        <w:rPr>
          <w:noProof/>
        </w:rPr>
        <w:t xml:space="preserve">, </w:t>
      </w:r>
      <w:r w:rsidR="00371012" w:rsidRPr="00B74E85">
        <w:rPr>
          <w:noProof/>
        </w:rPr>
        <w:t>ja</w:t>
      </w:r>
      <w:r w:rsidR="00654487" w:rsidRPr="00B74E85">
        <w:rPr>
          <w:noProof/>
        </w:rPr>
        <w:t xml:space="preserve"> </w:t>
      </w:r>
      <w:r w:rsidR="009E5C83" w:rsidRPr="00B74E85">
        <w:rPr>
          <w:noProof/>
        </w:rPr>
        <w:t xml:space="preserve">jos hyväksyttyä julkistamisjärjestelyä tai hyväksyttyä ilmoitusjärjestelmää koskee </w:t>
      </w:r>
      <w:r w:rsidR="00371012" w:rsidRPr="00B74E85">
        <w:rPr>
          <w:noProof/>
        </w:rPr>
        <w:t xml:space="preserve">kyseisen asetuksen </w:t>
      </w:r>
      <w:r w:rsidR="009E5C83" w:rsidRPr="00B74E85">
        <w:rPr>
          <w:noProof/>
        </w:rPr>
        <w:t>2 artiklan 3 kohdan mukai</w:t>
      </w:r>
      <w:r w:rsidR="00517C85" w:rsidRPr="00B74E85">
        <w:rPr>
          <w:noProof/>
        </w:rPr>
        <w:t>nen poikkeus</w:t>
      </w:r>
      <w:r w:rsidR="009E5C83" w:rsidRPr="00B74E85">
        <w:rPr>
          <w:noProof/>
        </w:rPr>
        <w:t xml:space="preserve">, </w:t>
      </w:r>
      <w:r w:rsidR="00654487" w:rsidRPr="00B74E85">
        <w:rPr>
          <w:noProof/>
        </w:rPr>
        <w:t xml:space="preserve">  kyseisen asetuksen 27 a artikla.</w:t>
      </w:r>
      <w:r w:rsidR="00517C85" w:rsidRPr="00B74E85">
        <w:rPr>
          <w:noProof/>
        </w:rPr>
        <w:t>";</w:t>
      </w:r>
    </w:p>
    <w:p w14:paraId="1548293C" w14:textId="77777777" w:rsidR="00283102" w:rsidRPr="00B74E85" w:rsidRDefault="00283102" w:rsidP="00283102">
      <w:pPr>
        <w:pStyle w:val="Text1"/>
        <w:ind w:left="0" w:firstLine="720"/>
        <w:rPr>
          <w:noProof/>
        </w:rPr>
      </w:pPr>
      <w:r w:rsidRPr="00B74E85">
        <w:rPr>
          <w:noProof/>
        </w:rPr>
        <w:t>c)</w:t>
      </w:r>
      <w:r w:rsidRPr="00B74E85">
        <w:rPr>
          <w:noProof/>
        </w:rPr>
        <w:tab/>
        <w:t>korvataan 6 kohdan c alakohta seuraavasti:</w:t>
      </w:r>
    </w:p>
    <w:p w14:paraId="0C62ADBB" w14:textId="1643D4AB" w:rsidR="00283102" w:rsidRPr="00B74E85" w:rsidRDefault="00283102" w:rsidP="00E335C6">
      <w:pPr>
        <w:spacing w:after="200"/>
        <w:ind w:left="1701" w:hanging="567"/>
        <w:rPr>
          <w:noProof/>
        </w:rPr>
      </w:pPr>
      <w:r w:rsidRPr="00B74E85">
        <w:rPr>
          <w:noProof/>
        </w:rPr>
        <w:t>"c)</w:t>
      </w:r>
      <w:r w:rsidR="00672095" w:rsidRPr="00B74E85">
        <w:rPr>
          <w:noProof/>
        </w:rPr>
        <w:tab/>
      </w:r>
      <w:r w:rsidRPr="00B74E85">
        <w:rPr>
          <w:noProof/>
        </w:rPr>
        <w:t>laitoksen toimiluvan peruuttaminen tai voimassaolon keskeyttäminen</w:t>
      </w:r>
      <w:r w:rsidR="00672095" w:rsidRPr="00B74E85">
        <w:rPr>
          <w:noProof/>
        </w:rPr>
        <w:t xml:space="preserve"> tämän direktiivin</w:t>
      </w:r>
      <w:r w:rsidRPr="00B74E85">
        <w:rPr>
          <w:noProof/>
        </w:rPr>
        <w:t xml:space="preserve"> 8 ja 43 artiklan mukaisesti, kun on kyse sijoituspalveluyrityksestä, markkinoiden ylläpitäjästä, jolla on toimilupa ylläpitää monenkeskistä kaupankäyntijärjestelmää tai organisoitua kaupankäyntijärjestelmää, tai säännellyistä markkinoista</w:t>
      </w:r>
      <w:r w:rsidR="00E90A89" w:rsidRPr="00B74E85">
        <w:rPr>
          <w:noProof/>
        </w:rPr>
        <w:t xml:space="preserve">, ja </w:t>
      </w:r>
      <w:r w:rsidR="00517C85" w:rsidRPr="00B74E85">
        <w:rPr>
          <w:noProof/>
        </w:rPr>
        <w:t xml:space="preserve">jos hyväksyttyä julkistamisjärjestelyä tai hyväksyttyä ilmoitusjärjestelmää koskee </w:t>
      </w:r>
      <w:r w:rsidR="00E90A89" w:rsidRPr="00B74E85">
        <w:rPr>
          <w:noProof/>
        </w:rPr>
        <w:t>asetuksen (EU) N:o 600/2014 2 artiklan 3 kohdan mukainen poikkeus</w:t>
      </w:r>
      <w:r w:rsidR="00371012" w:rsidRPr="00B74E85">
        <w:rPr>
          <w:noProof/>
        </w:rPr>
        <w:t>, kyseisen toimiluvan peruuttaminen tai voimassaolon keskeyttäminen kyseisen asetuksen 27 d artiklan mukaisesti.</w:t>
      </w:r>
      <w:r w:rsidR="00E90A89" w:rsidRPr="00B74E85">
        <w:rPr>
          <w:noProof/>
        </w:rPr>
        <w:t xml:space="preserve"> … …</w:t>
      </w:r>
      <w:r w:rsidRPr="00B74E85">
        <w:rPr>
          <w:noProof/>
        </w:rPr>
        <w:t>;"</w:t>
      </w:r>
    </w:p>
    <w:p w14:paraId="40AF849F" w14:textId="434269E1" w:rsidR="00283102" w:rsidRPr="00B74E85" w:rsidRDefault="00672095">
      <w:pPr>
        <w:spacing w:after="200"/>
        <w:rPr>
          <w:noProof/>
        </w:rPr>
      </w:pPr>
      <w:r w:rsidRPr="00B74E85">
        <w:rPr>
          <w:noProof/>
        </w:rPr>
        <w:t>6</w:t>
      </w:r>
      <w:r w:rsidR="00283102" w:rsidRPr="00B74E85">
        <w:rPr>
          <w:noProof/>
        </w:rPr>
        <w:t>)</w:t>
      </w:r>
      <w:r w:rsidR="00080F4B" w:rsidRPr="00B74E85">
        <w:rPr>
          <w:noProof/>
        </w:rPr>
        <w:tab/>
      </w:r>
      <w:r w:rsidR="00283102" w:rsidRPr="00B74E85">
        <w:rPr>
          <w:noProof/>
        </w:rPr>
        <w:t>Korvataan 71 artiklan 6 kohta seuraavasti:</w:t>
      </w:r>
    </w:p>
    <w:p w14:paraId="287FAF9D" w14:textId="65E4BAB2" w:rsidR="00283102" w:rsidRDefault="00283102" w:rsidP="005A4A32">
      <w:pPr>
        <w:spacing w:after="200"/>
        <w:ind w:left="1134" w:hanging="567"/>
        <w:rPr>
          <w:noProof/>
        </w:rPr>
      </w:pPr>
      <w:r w:rsidRPr="00B74E85">
        <w:rPr>
          <w:noProof/>
        </w:rPr>
        <w:t>"6.</w:t>
      </w:r>
      <w:r w:rsidRPr="00B74E85">
        <w:rPr>
          <w:noProof/>
        </w:rPr>
        <w:tab/>
        <w:t>Jos julkistettu rikosoikeudellinen tai hallinnollinen seuraamus koskee sijoituspalveluyritystä, markkinoiden ylläpitäjää, sijoituspalvelujen ja -toiminnan tai oheispalvelujen osalta luottolaitosta tai kolmannen maan yritysten sivuliikettä, joka on saanut toimiluvan tämän direktiivin mukaisesti,</w:t>
      </w:r>
      <w:r w:rsidR="00E90A89" w:rsidRPr="00B74E85">
        <w:rPr>
          <w:noProof/>
        </w:rPr>
        <w:t xml:space="preserve"> </w:t>
      </w:r>
      <w:r w:rsidR="00371012" w:rsidRPr="00B74E85">
        <w:rPr>
          <w:noProof/>
        </w:rPr>
        <w:t>ja jos hyväksyttyä julkistamisjärjestelyä tai hyväksyttyä ilmoitusjärjestelmää</w:t>
      </w:r>
      <w:r w:rsidR="005A4A32" w:rsidRPr="00B74E85">
        <w:rPr>
          <w:noProof/>
        </w:rPr>
        <w:t xml:space="preserve">, jolle on myönnetty toimilupa asetuksen (EU) N:o 600/2014 mukaisesti ja jota koskee mainitun </w:t>
      </w:r>
      <w:r w:rsidR="00371012" w:rsidRPr="00B74E85">
        <w:rPr>
          <w:noProof/>
        </w:rPr>
        <w:t>asetuksen 2 artiklan 3 kohdan mukainen poikkeus,</w:t>
      </w:r>
      <w:r w:rsidRPr="00B74E85">
        <w:rPr>
          <w:noProof/>
        </w:rPr>
        <w:t xml:space="preserve"> arvopaperimarkkinaviranomainen</w:t>
      </w:r>
      <w:r>
        <w:rPr>
          <w:noProof/>
        </w:rPr>
        <w:t xml:space="preserve"> lisää maininnan julkistetusta seuraamuksesta asianomaiseen rekisteriin."</w:t>
      </w:r>
    </w:p>
    <w:p w14:paraId="4580EA6F" w14:textId="12DB3654" w:rsidR="00283102" w:rsidRDefault="00672095">
      <w:pPr>
        <w:spacing w:after="200"/>
        <w:rPr>
          <w:noProof/>
        </w:rPr>
      </w:pPr>
      <w:r>
        <w:rPr>
          <w:noProof/>
        </w:rPr>
        <w:br w:type="page"/>
      </w:r>
      <w:r>
        <w:rPr>
          <w:noProof/>
        </w:rPr>
        <w:lastRenderedPageBreak/>
        <w:t>7</w:t>
      </w:r>
      <w:r w:rsidR="00283102">
        <w:rPr>
          <w:noProof/>
        </w:rPr>
        <w:t>)</w:t>
      </w:r>
      <w:r w:rsidR="00283102">
        <w:rPr>
          <w:noProof/>
        </w:rPr>
        <w:tab/>
        <w:t>Korvataan 77 artiklan 1 kohdan ensimmäisen alakohdan johdantokappale seuraavasti:</w:t>
      </w:r>
    </w:p>
    <w:p w14:paraId="7DAE7A57" w14:textId="081DCF14" w:rsidR="003E2B62" w:rsidRDefault="003C236D" w:rsidP="005A4A32">
      <w:pPr>
        <w:spacing w:after="200"/>
        <w:ind w:left="567" w:hanging="567"/>
        <w:rPr>
          <w:noProof/>
        </w:rPr>
      </w:pPr>
      <w:r>
        <w:rPr>
          <w:noProof/>
        </w:rPr>
        <w:tab/>
      </w:r>
      <w:r w:rsidR="003E2B62" w:rsidRPr="003E2B62">
        <w:rPr>
          <w:noProof/>
        </w:rPr>
        <w:t xml:space="preserve">"Jäsenvaltioiden on säädettävä vähimmäisvaatimuksena, että jokainen henkilö, joka on Euroopan parlamentin ja neuvoston direktiivin 2006/43/EY* mukaisesti valtuutettu ja joka suorittaa sijoituspalveluyrityksessä tai </w:t>
      </w:r>
      <w:r w:rsidR="003E2B62" w:rsidRPr="00B74E85">
        <w:rPr>
          <w:noProof/>
        </w:rPr>
        <w:t xml:space="preserve">säännellyllä markkinalla </w:t>
      </w:r>
      <w:r w:rsidR="005A4A32" w:rsidRPr="00B74E85">
        <w:rPr>
          <w:noProof/>
        </w:rPr>
        <w:t>tai hyväksytyssä julkistamisjärjestelyssä tai hyväksytyssä ilmoitusjärjestelmässä, jolle on myönnetty toimilupa</w:t>
      </w:r>
      <w:r w:rsidR="005A4A32">
        <w:rPr>
          <w:noProof/>
        </w:rPr>
        <w:t xml:space="preserve"> asetuksen (EU) N:o 600/2014 mukaisesti ja jota koskee mainitun asetuksen 2 artiklan 3 kohdan mukainen poikkeus, </w:t>
      </w:r>
      <w:r w:rsidR="003E2B62" w:rsidRPr="003E2B62">
        <w:rPr>
          <w:noProof/>
        </w:rPr>
        <w:t>direktiivin 2013/34/EU 34 artiklassa tai direktiivin 2009/65/EY 73 artiklassa tarkoitettua tehtävää tai muuta lakisääteistä tehtävää, on velvollinen viipymättä ilmoittamaan toimivaltaisille viranomaisille tuota yritystä koskevista seikoista tai päätöksistä, jotka kyseinen henkilö on saanut tietoonsa tehtäväänsä suorittaessaan ja jotka saattavat:</w:t>
      </w:r>
    </w:p>
    <w:p w14:paraId="29984987" w14:textId="77777777" w:rsidR="003E2B62" w:rsidRDefault="003E2B62" w:rsidP="003E2B62">
      <w:pPr>
        <w:spacing w:after="200"/>
        <w:ind w:left="1134" w:hanging="567"/>
        <w:rPr>
          <w:noProof/>
        </w:rPr>
      </w:pPr>
      <w:r>
        <w:rPr>
          <w:noProof/>
        </w:rPr>
        <w:t>________________</w:t>
      </w:r>
    </w:p>
    <w:p w14:paraId="52498580" w14:textId="77777777" w:rsidR="00283102" w:rsidRDefault="00283102" w:rsidP="003E2B62">
      <w:pPr>
        <w:spacing w:after="200"/>
        <w:ind w:left="1134" w:hanging="567"/>
        <w:rPr>
          <w:noProof/>
        </w:rPr>
      </w:pPr>
      <w:r>
        <w:rPr>
          <w:noProof/>
        </w:rPr>
        <w:t>*</w:t>
      </w:r>
      <w:r>
        <w:rPr>
          <w:noProof/>
        </w:rPr>
        <w:tab/>
        <w:t>Euroopan parlamentin ja neuvoston direktiivi 2006/43/EY, annettu 17 päivänä toukokuuta 2006, tilinpäätösten ja konsolidoitujen tilinpäätösten lakisääteisestä tilintarkastuksesta, direktiivien 78/660/ETY ja 83/349/ETY muuttamisesta sekä neuvoston direktiivin 84/253/ETY kumoamisesta (EUVL L 157, 9.6.2006, s. 87)."</w:t>
      </w:r>
    </w:p>
    <w:p w14:paraId="699367F3" w14:textId="7EBFEB0F" w:rsidR="00283102" w:rsidRDefault="00672095">
      <w:pPr>
        <w:spacing w:after="200"/>
        <w:rPr>
          <w:noProof/>
        </w:rPr>
      </w:pPr>
      <w:r>
        <w:rPr>
          <w:noProof/>
        </w:rPr>
        <w:br w:type="page"/>
      </w:r>
      <w:r>
        <w:rPr>
          <w:noProof/>
        </w:rPr>
        <w:lastRenderedPageBreak/>
        <w:t>8)</w:t>
      </w:r>
      <w:r w:rsidR="00080F4B">
        <w:rPr>
          <w:noProof/>
        </w:rPr>
        <w:tab/>
      </w:r>
      <w:r w:rsidR="00283102">
        <w:rPr>
          <w:noProof/>
        </w:rPr>
        <w:t xml:space="preserve"> Muutetaan 89 artikla seuraavasti:</w:t>
      </w:r>
    </w:p>
    <w:p w14:paraId="5707B70F" w14:textId="77777777" w:rsidR="00283102" w:rsidRDefault="003E2B62" w:rsidP="00283102">
      <w:pPr>
        <w:spacing w:after="200"/>
        <w:ind w:firstLine="720"/>
        <w:rPr>
          <w:noProof/>
        </w:rPr>
      </w:pPr>
      <w:r>
        <w:rPr>
          <w:noProof/>
        </w:rPr>
        <w:t>a)</w:t>
      </w:r>
      <w:r>
        <w:rPr>
          <w:noProof/>
        </w:rPr>
        <w:tab/>
      </w:r>
      <w:r w:rsidR="00283102">
        <w:rPr>
          <w:noProof/>
        </w:rPr>
        <w:t xml:space="preserve">korvataan 2 </w:t>
      </w:r>
      <w:r w:rsidR="00672095">
        <w:rPr>
          <w:noProof/>
        </w:rPr>
        <w:t xml:space="preserve">ja 3 </w:t>
      </w:r>
      <w:r w:rsidR="00283102">
        <w:rPr>
          <w:noProof/>
        </w:rPr>
        <w:t>kohta seuraavasti:</w:t>
      </w:r>
    </w:p>
    <w:p w14:paraId="5E0695DC" w14:textId="77777777" w:rsidR="00283102" w:rsidRDefault="00283102" w:rsidP="003E2B62">
      <w:pPr>
        <w:spacing w:after="200"/>
        <w:ind w:left="1548" w:hanging="414"/>
        <w:rPr>
          <w:noProof/>
        </w:rPr>
      </w:pPr>
      <w:r>
        <w:rPr>
          <w:noProof/>
        </w:rPr>
        <w:t>"2.</w:t>
      </w:r>
      <w:r w:rsidR="00672095">
        <w:rPr>
          <w:noProof/>
        </w:rPr>
        <w:tab/>
      </w:r>
      <w:r w:rsidR="003E2B62" w:rsidRPr="003E2B62">
        <w:rPr>
          <w:noProof/>
        </w:rPr>
        <w:t>Siirretään komissiolle 2 päivästä heinäkuuta 2014 määräämättömäksi ajaksi 2 artiklan 3 kohdassa, 4 artiklan 1 kohdan 2 alakohdan toisessa alakohdassa, 4 artiklan 2 kohdassa, 13 artiklan 1 kohdassa, 16 artiklan 12 kohdassa, 23 artiklan 4 kohdassa, 24 artiklan 13 kohdassa, 25 artiklan 8 kohdassa, 27 artiklan 9 kohdassa, 28 artiklan 3 kohdassa, 30 artiklan 5 kohdassa, 31 artiklan 4 kohdassa, 32 artiklan 4 kohdassa, 33 artiklan 8 kohdassa, 52 artiklan 4 kohdassa, 54 artiklan 4 kohdassa, 58 artiklan 6 kohdassa ja 79 artiklan 8 kohdassa tarkoitettu valta antaa delegoituja säädöksiä</w:t>
      </w:r>
      <w:r>
        <w:rPr>
          <w:noProof/>
        </w:rPr>
        <w:t>."</w:t>
      </w:r>
    </w:p>
    <w:p w14:paraId="3DB009D7" w14:textId="23A9A7A5" w:rsidR="00283102" w:rsidRDefault="00283102">
      <w:pPr>
        <w:spacing w:after="200"/>
        <w:ind w:firstLine="720"/>
        <w:rPr>
          <w:noProof/>
        </w:rPr>
      </w:pPr>
    </w:p>
    <w:p w14:paraId="25764CAE" w14:textId="3E912EE5" w:rsidR="00283102" w:rsidRDefault="00672095" w:rsidP="003E2B62">
      <w:pPr>
        <w:spacing w:after="200"/>
        <w:ind w:left="1548" w:hanging="414"/>
        <w:rPr>
          <w:noProof/>
        </w:rPr>
      </w:pPr>
      <w:r>
        <w:rPr>
          <w:noProof/>
        </w:rPr>
        <w:t>3.</w:t>
      </w:r>
      <w:r>
        <w:rPr>
          <w:noProof/>
        </w:rPr>
        <w:tab/>
      </w:r>
      <w:r w:rsidR="003E2B62" w:rsidRPr="003E2B62">
        <w:rPr>
          <w:noProof/>
        </w:rPr>
        <w:t xml:space="preserve">Euroopan parlamentti tai neuvosto voi milloin tahansa peruuttaa 2 artiklan 3 kohdassa, 4 artiklan 1 kohdan 2 alakohdan toisessa alakohdassa, 4 artiklan 2 kohdassa, 13 artiklan 1 kohdassa, 16 artiklan 12 kohdassa, 23 artiklan 4 kohdassa, 24 artiklan 13 kohdassa, 25 artiklan 8 kohdassa, 27 artiklan 9 kohdassa, 28 artiklan 3 kohdassa, 30 artiklan 5 kohdassa, 31 artiklan 4 kohdassa, 32 artiklan 4 kohdassa, 33 artiklan 8 kohdassa, 52 artiklan 4 kohdassa, 54 artiklan 4 kohdassa, 58 artiklan 6 kohdassa ja 79 artiklan 8 kohdassa tarkoitetun säädösvallan siirron. Peruuttamispäätöksellä lopetetaan tuossa päätöksessä mainittu säädösvallan siirto. Peruuttaminen tulee voimaan sitä päivää seuraavana päivänä, jona sitä koskeva päätös julkaistaan </w:t>
      </w:r>
      <w:r w:rsidR="003E2B62" w:rsidRPr="00E335C6">
        <w:rPr>
          <w:i/>
          <w:iCs/>
          <w:noProof/>
        </w:rPr>
        <w:t>Euroopan unionin virallisessa lehdessä</w:t>
      </w:r>
      <w:r w:rsidR="003E2B62" w:rsidRPr="003E2B62">
        <w:rPr>
          <w:noProof/>
        </w:rPr>
        <w:t>, tai jonakin myöhempänä, kyseisessä päätöksessä mainittuna päivänä. Peruuttamispäätös ei vaikuta jo voimassa olevien delegoitujen säädösten pätevyyteen</w:t>
      </w:r>
      <w:r w:rsidR="00283102">
        <w:rPr>
          <w:noProof/>
        </w:rPr>
        <w:t>."</w:t>
      </w:r>
    </w:p>
    <w:p w14:paraId="4668854E" w14:textId="62C0EBBE" w:rsidR="00283102" w:rsidRDefault="00672095">
      <w:pPr>
        <w:spacing w:after="200"/>
        <w:ind w:left="720"/>
        <w:rPr>
          <w:noProof/>
        </w:rPr>
      </w:pPr>
      <w:r>
        <w:rPr>
          <w:noProof/>
        </w:rPr>
        <w:br w:type="page"/>
      </w:r>
      <w:r>
        <w:rPr>
          <w:noProof/>
        </w:rPr>
        <w:lastRenderedPageBreak/>
        <w:t>b</w:t>
      </w:r>
      <w:r w:rsidR="00283102">
        <w:rPr>
          <w:noProof/>
        </w:rPr>
        <w:t>)</w:t>
      </w:r>
      <w:r>
        <w:rPr>
          <w:noProof/>
        </w:rPr>
        <w:tab/>
      </w:r>
      <w:r w:rsidR="00283102">
        <w:rPr>
          <w:noProof/>
        </w:rPr>
        <w:t>korvataan 5 kohta seuraavasti:</w:t>
      </w:r>
    </w:p>
    <w:p w14:paraId="32CECFDD" w14:textId="77777777" w:rsidR="00283102" w:rsidRDefault="00283102" w:rsidP="003E2B62">
      <w:pPr>
        <w:spacing w:after="200"/>
        <w:ind w:left="1701" w:hanging="567"/>
        <w:rPr>
          <w:noProof/>
        </w:rPr>
      </w:pPr>
      <w:r>
        <w:rPr>
          <w:noProof/>
        </w:rPr>
        <w:t>"</w:t>
      </w:r>
      <w:r w:rsidR="00672095">
        <w:rPr>
          <w:noProof/>
        </w:rPr>
        <w:t>5.</w:t>
      </w:r>
      <w:r w:rsidR="00672095">
        <w:rPr>
          <w:noProof/>
        </w:rPr>
        <w:tab/>
      </w:r>
      <w:r w:rsidR="003E2B62" w:rsidRPr="003E2B62">
        <w:rPr>
          <w:noProof/>
        </w:rPr>
        <w:t>Edellä olevan 2 artiklan 3 kohdan, 4 artiklan 1 kohdan 2 alakohdan toisen alakohdan, 4 artiklan 2 kohdan, 13 artiklan 1 kohdan, 16 artiklan 12 kohdan, 23 artiklan 4 kohdan, 24 artiklan 13 kohdan, 25 artiklan 8 kohdan, 27 artiklan 9 kohdan, 28 artiklan 3 kohdan, 30 artiklan 5 kohdan, 31 artiklan 4 kohdan, 32 artiklan 4 kohdan, 33 artiklan 8 kohdan, 52 artiklan 4 kohdan, 54 artiklan 4 kohdan, 58 artiklan 6 kohdan ja 79 artiklan 8 kohdan nojalla annettu delegoitu säädös tulee voimaan ainoastaan, jos Euroopan parlamentti tai neuvosto ei ole kolmen kuukauden kuluessa siitä, kun asianomainen säädös on annettu tiedoksi Euroopan parlamentille ja neuvostolle, ilmaissut vastustavansa sitä tai jos sekä Euroopan parlamentti että neuvosto ovat ennen mainitun määräajan päättymistä ilmoittaneet komissiolle, että ne eivät vastusta säädöstä. Euroopan parlamentin tai neuvoston aloitteesta tätä määräaikaa jatketaan kolmella kuukaudella.</w:t>
      </w:r>
      <w:r>
        <w:rPr>
          <w:noProof/>
        </w:rPr>
        <w:t>"</w:t>
      </w:r>
    </w:p>
    <w:p w14:paraId="4309128C" w14:textId="6BB54A84" w:rsidR="00283102" w:rsidRDefault="00672095">
      <w:pPr>
        <w:spacing w:after="200"/>
        <w:rPr>
          <w:noProof/>
        </w:rPr>
      </w:pPr>
      <w:r>
        <w:rPr>
          <w:noProof/>
        </w:rPr>
        <w:t>9</w:t>
      </w:r>
      <w:r w:rsidR="004F4CFE">
        <w:rPr>
          <w:noProof/>
        </w:rPr>
        <w:t>)</w:t>
      </w:r>
      <w:r w:rsidR="004F4CFE">
        <w:rPr>
          <w:noProof/>
        </w:rPr>
        <w:tab/>
        <w:t xml:space="preserve">Kumotaan </w:t>
      </w:r>
      <w:r w:rsidR="00283102">
        <w:rPr>
          <w:noProof/>
        </w:rPr>
        <w:t>90 artiklan 2 ja 3 kohta.</w:t>
      </w:r>
    </w:p>
    <w:p w14:paraId="4E1966B7" w14:textId="24F8ADC1" w:rsidR="00283102" w:rsidRDefault="00672095">
      <w:pPr>
        <w:spacing w:after="200"/>
        <w:rPr>
          <w:noProof/>
        </w:rPr>
      </w:pPr>
      <w:r>
        <w:rPr>
          <w:noProof/>
        </w:rPr>
        <w:t>10</w:t>
      </w:r>
      <w:r w:rsidR="004F4CFE">
        <w:rPr>
          <w:noProof/>
        </w:rPr>
        <w:t>)</w:t>
      </w:r>
      <w:r w:rsidR="004F4CFE">
        <w:rPr>
          <w:noProof/>
        </w:rPr>
        <w:tab/>
      </w:r>
      <w:r w:rsidR="00283102">
        <w:rPr>
          <w:noProof/>
        </w:rPr>
        <w:t>Korvataan 93 artiklan 1 kohdan toinen alakohta seuraavasti:</w:t>
      </w:r>
    </w:p>
    <w:p w14:paraId="3F865CDD" w14:textId="77777777" w:rsidR="00283102" w:rsidRDefault="00283102" w:rsidP="00AF6FAC">
      <w:pPr>
        <w:pStyle w:val="Text1"/>
        <w:ind w:left="567"/>
        <w:rPr>
          <w:noProof/>
        </w:rPr>
      </w:pPr>
      <w:r>
        <w:rPr>
          <w:noProof/>
        </w:rPr>
        <w:t>"Jäsenvaltioiden on sovellettava näitä säännöksiä 3 päivästä tammikuuta 2018."</w:t>
      </w:r>
    </w:p>
    <w:p w14:paraId="20A550B8" w14:textId="732E8C11" w:rsidR="00283102" w:rsidRDefault="00672095">
      <w:pPr>
        <w:spacing w:after="200"/>
        <w:rPr>
          <w:noProof/>
        </w:rPr>
      </w:pPr>
      <w:r>
        <w:rPr>
          <w:noProof/>
        </w:rPr>
        <w:t>11</w:t>
      </w:r>
      <w:r w:rsidR="004F4CFE">
        <w:rPr>
          <w:noProof/>
        </w:rPr>
        <w:t>)</w:t>
      </w:r>
      <w:r w:rsidR="004F4CFE">
        <w:rPr>
          <w:noProof/>
        </w:rPr>
        <w:tab/>
      </w:r>
      <w:r w:rsidR="00283102">
        <w:rPr>
          <w:noProof/>
        </w:rPr>
        <w:t>Poistetaan liitteessä I oleva D osa.</w:t>
      </w:r>
    </w:p>
    <w:p w14:paraId="011672CC" w14:textId="77777777" w:rsidR="00283102" w:rsidRPr="00AF6FAC" w:rsidRDefault="00672095" w:rsidP="00283102">
      <w:pPr>
        <w:pStyle w:val="Titrearticle"/>
        <w:rPr>
          <w:bCs/>
          <w:i w:val="0"/>
          <w:iCs/>
          <w:noProof/>
        </w:rPr>
      </w:pPr>
      <w:r>
        <w:rPr>
          <w:noProof/>
        </w:rPr>
        <w:br w:type="page"/>
      </w:r>
      <w:r w:rsidR="00283102">
        <w:rPr>
          <w:noProof/>
        </w:rPr>
        <w:lastRenderedPageBreak/>
        <w:t>2 artikla</w:t>
      </w:r>
      <w:r w:rsidR="00283102">
        <w:rPr>
          <w:noProof/>
        </w:rPr>
        <w:br/>
      </w:r>
      <w:r w:rsidR="00283102" w:rsidRPr="00AF6FAC">
        <w:rPr>
          <w:bCs/>
          <w:i w:val="0"/>
          <w:iCs/>
          <w:noProof/>
        </w:rPr>
        <w:t>Muutokset direktiiviin 2009/138/EY</w:t>
      </w:r>
    </w:p>
    <w:p w14:paraId="553EA851" w14:textId="77777777" w:rsidR="00283102" w:rsidRDefault="00283102" w:rsidP="00283102">
      <w:pPr>
        <w:rPr>
          <w:noProof/>
        </w:rPr>
      </w:pPr>
      <w:r>
        <w:rPr>
          <w:noProof/>
        </w:rPr>
        <w:t>Muutetaan direktiivi 2009/138/EY seuraavasti:</w:t>
      </w:r>
    </w:p>
    <w:p w14:paraId="5FCC0BB5" w14:textId="5BC068E7" w:rsidR="004F4CFE" w:rsidRPr="00D031FC" w:rsidRDefault="00672095" w:rsidP="004F4CFE">
      <w:pPr>
        <w:widowControl/>
        <w:spacing w:before="120" w:after="120"/>
        <w:ind w:left="850" w:hanging="850"/>
        <w:rPr>
          <w:rFonts w:eastAsia="Arial Unicode MS"/>
          <w:b/>
          <w:i/>
          <w:szCs w:val="24"/>
          <w:bdr w:val="none" w:sz="0" w:space="0" w:color="auto" w:frame="1"/>
          <w:lang w:eastAsia="en-US"/>
        </w:rPr>
      </w:pPr>
      <w:r w:rsidRPr="000A5C70">
        <w:rPr>
          <w:b/>
          <w:bCs/>
          <w:i/>
          <w:iCs/>
          <w:noProof/>
        </w:rPr>
        <w:t>1)</w:t>
      </w:r>
      <w:r w:rsidRPr="000A5C70">
        <w:rPr>
          <w:b/>
          <w:bCs/>
          <w:i/>
          <w:iCs/>
          <w:noProof/>
        </w:rPr>
        <w:tab/>
      </w:r>
      <w:r w:rsidR="004F4CFE" w:rsidRPr="00D031FC">
        <w:rPr>
          <w:rFonts w:eastAsia="Calibri"/>
          <w:b/>
          <w:i/>
          <w:szCs w:val="24"/>
          <w:bdr w:val="none" w:sz="0" w:space="0" w:color="auto" w:frame="1"/>
          <w:lang w:eastAsia="en-US"/>
        </w:rPr>
        <w:t>Korvataan 77 d artiklan 4 kohdan ensimmäinen virke seuraavasti:</w:t>
      </w:r>
    </w:p>
    <w:p w14:paraId="31EA13B8" w14:textId="77777777" w:rsidR="00672095" w:rsidRPr="00E335C6" w:rsidRDefault="004F4CFE" w:rsidP="00E335C6">
      <w:pPr>
        <w:widowControl/>
        <w:spacing w:before="120" w:after="120"/>
        <w:ind w:left="851"/>
        <w:rPr>
          <w:rFonts w:eastAsia="Arial Unicode MS"/>
        </w:rPr>
      </w:pPr>
      <w:r w:rsidRPr="00D031FC">
        <w:rPr>
          <w:rFonts w:eastAsia="Calibri"/>
          <w:b/>
          <w:i/>
          <w:szCs w:val="24"/>
          <w:lang w:eastAsia="en-US"/>
        </w:rPr>
        <w:t>"Kunkin asiaankuuluvan maan osalta 3 kohdassa tarkoitettua riskittömien korkojen volatiliteettikorjausta kyseisen maan valuutan kohdalla on ennen 65 prosentin kertoimen soveltamista korotettava riskikorjatun maamarginaalin ja kaksinkertaisen riskikorjatun valuuttamarginaalin erotuksella aina, kun kyseinen erotus on positiivinen ja riskikorjattu maamarginaali on suurempi kuin 85 peruspistettä."</w:t>
      </w:r>
    </w:p>
    <w:p w14:paraId="7C034212" w14:textId="3647C303" w:rsidR="004F4CFE" w:rsidRPr="00D031FC" w:rsidRDefault="000A5C70">
      <w:pPr>
        <w:widowControl/>
        <w:spacing w:before="120" w:after="120"/>
        <w:ind w:left="850" w:hanging="850"/>
        <w:rPr>
          <w:rFonts w:eastAsia="Arial Unicode MS"/>
          <w:lang w:eastAsia="en-US"/>
        </w:rPr>
      </w:pPr>
      <w:r>
        <w:rPr>
          <w:rFonts w:eastAsia="Calibri"/>
          <w:b/>
          <w:i/>
          <w:szCs w:val="24"/>
          <w:lang w:eastAsia="en-US"/>
        </w:rPr>
        <w:t>2</w:t>
      </w:r>
      <w:r w:rsidR="004F4CFE" w:rsidRPr="00D031FC">
        <w:rPr>
          <w:rFonts w:eastAsia="Calibri"/>
          <w:b/>
          <w:i/>
          <w:szCs w:val="24"/>
          <w:lang w:eastAsia="en-US"/>
        </w:rPr>
        <w:t>)</w:t>
      </w:r>
      <w:r w:rsidR="004F4CFE" w:rsidRPr="00D031FC">
        <w:rPr>
          <w:rFonts w:eastAsia="Calibri"/>
          <w:lang w:eastAsia="en-US"/>
        </w:rPr>
        <w:tab/>
      </w:r>
      <w:r w:rsidR="004F4CFE" w:rsidRPr="00D031FC">
        <w:rPr>
          <w:rFonts w:eastAsia="Calibri"/>
          <w:szCs w:val="24"/>
          <w:bdr w:val="none" w:sz="0" w:space="0" w:color="auto" w:frame="1"/>
          <w:lang w:eastAsia="en-US"/>
        </w:rPr>
        <w:t xml:space="preserve">Lisätään </w:t>
      </w:r>
      <w:r w:rsidR="004F4CFE" w:rsidRPr="00D031FC">
        <w:rPr>
          <w:rFonts w:eastAsia="Calibri"/>
          <w:b/>
          <w:i/>
          <w:szCs w:val="24"/>
          <w:lang w:eastAsia="en-US"/>
        </w:rPr>
        <w:t>112 artiklan  alakohta</w:t>
      </w:r>
      <w:r w:rsidR="004F4CFE" w:rsidRPr="00D031FC">
        <w:rPr>
          <w:rFonts w:eastAsia="Calibri"/>
          <w:szCs w:val="24"/>
          <w:bdr w:val="none" w:sz="0" w:space="0" w:color="auto" w:frame="1"/>
          <w:lang w:eastAsia="en-US"/>
        </w:rPr>
        <w:t xml:space="preserve"> seuraavasti:</w:t>
      </w:r>
    </w:p>
    <w:p w14:paraId="240AB0A4" w14:textId="71CD30D5" w:rsidR="004F4CFE" w:rsidRPr="00D031FC" w:rsidRDefault="004F4CFE" w:rsidP="00A2734B">
      <w:pPr>
        <w:widowControl/>
        <w:spacing w:before="120" w:after="120"/>
        <w:ind w:left="850"/>
        <w:rPr>
          <w:rFonts w:eastAsia="Arial Unicode MS"/>
          <w:lang w:eastAsia="en-US"/>
        </w:rPr>
      </w:pPr>
      <w:r w:rsidRPr="00D031FC">
        <w:rPr>
          <w:rFonts w:eastAsia="Calibri"/>
          <w:b/>
          <w:i/>
          <w:szCs w:val="24"/>
          <w:lang w:eastAsia="en-US"/>
        </w:rPr>
        <w:t>"</w:t>
      </w:r>
      <w:r w:rsidR="00D6063A">
        <w:rPr>
          <w:rFonts w:eastAsia="Calibri"/>
          <w:b/>
          <w:i/>
          <w:szCs w:val="24"/>
          <w:lang w:eastAsia="en-US"/>
        </w:rPr>
        <w:t xml:space="preserve">3 a. </w:t>
      </w:r>
      <w:r w:rsidRPr="00D031FC">
        <w:rPr>
          <w:rFonts w:eastAsia="Calibri"/>
          <w:b/>
          <w:i/>
          <w:szCs w:val="24"/>
          <w:lang w:eastAsia="en-US"/>
        </w:rPr>
        <w:t>Valvontaviranomaisten on ilmoitettava vakuutus- ja lisäeläkeviranomaiselle sisäisen mallin käyttöä ja muuttamista koskevista hakemuksista asetuksen (EU) N:o 1094/2010 35 artiklan 1 kohdan mukaisesti.</w:t>
      </w:r>
      <w:r w:rsidRPr="00D031FC">
        <w:rPr>
          <w:rFonts w:eastAsia="Calibri"/>
          <w:lang w:eastAsia="en-US"/>
        </w:rPr>
        <w:t xml:space="preserve"> </w:t>
      </w:r>
      <w:r w:rsidRPr="00D031FC">
        <w:rPr>
          <w:rFonts w:eastAsia="Calibri"/>
          <w:b/>
          <w:i/>
          <w:szCs w:val="24"/>
          <w:lang w:eastAsia="en-US"/>
        </w:rPr>
        <w:t>Vakuutus- ja lisäeläkeviranomainen voi yhden tai useamman asianomaisen valvontaviranomaisen pyynnöstä antaa teknistä apua sitä pyytäneille valvontaviranomaisille hakemuksia koskevi</w:t>
      </w:r>
      <w:r w:rsidR="00A2734B">
        <w:rPr>
          <w:rFonts w:eastAsia="Calibri"/>
          <w:b/>
          <w:i/>
          <w:szCs w:val="24"/>
          <w:lang w:eastAsia="en-US"/>
        </w:rPr>
        <w:t>en</w:t>
      </w:r>
      <w:r w:rsidRPr="00D031FC">
        <w:rPr>
          <w:rFonts w:eastAsia="Calibri"/>
          <w:b/>
          <w:i/>
          <w:szCs w:val="24"/>
          <w:lang w:eastAsia="en-US"/>
        </w:rPr>
        <w:t xml:space="preserve"> päätös</w:t>
      </w:r>
      <w:r w:rsidR="00A2734B">
        <w:rPr>
          <w:rFonts w:eastAsia="Calibri"/>
          <w:b/>
          <w:i/>
          <w:szCs w:val="24"/>
          <w:lang w:eastAsia="en-US"/>
        </w:rPr>
        <w:t>ten osalta</w:t>
      </w:r>
      <w:r w:rsidRPr="00D031FC">
        <w:rPr>
          <w:rFonts w:eastAsia="Calibri"/>
          <w:b/>
          <w:i/>
          <w:szCs w:val="24"/>
          <w:lang w:eastAsia="en-US"/>
        </w:rPr>
        <w:t xml:space="preserve"> </w:t>
      </w:r>
      <w:r w:rsidR="00A2734B">
        <w:rPr>
          <w:rFonts w:eastAsia="Calibri"/>
          <w:b/>
          <w:i/>
          <w:szCs w:val="24"/>
          <w:lang w:eastAsia="en-US"/>
        </w:rPr>
        <w:t xml:space="preserve">mainitun </w:t>
      </w:r>
      <w:r w:rsidRPr="00D031FC">
        <w:rPr>
          <w:rFonts w:eastAsia="Calibri"/>
          <w:b/>
          <w:i/>
          <w:szCs w:val="24"/>
          <w:lang w:eastAsia="en-US"/>
        </w:rPr>
        <w:t>asetuksen 8 artiklan 1 kohdan b alakohdan mukaisesti."</w:t>
      </w:r>
    </w:p>
    <w:p w14:paraId="4927400C" w14:textId="77777777" w:rsidR="004F4CFE" w:rsidRDefault="004F4CFE">
      <w:pPr>
        <w:pStyle w:val="Point0"/>
        <w:rPr>
          <w:noProof/>
        </w:rPr>
      </w:pPr>
    </w:p>
    <w:p w14:paraId="01D0D63E" w14:textId="492C741E" w:rsidR="004F4CFE" w:rsidRPr="00D031FC" w:rsidRDefault="004F4CFE">
      <w:pPr>
        <w:widowControl/>
        <w:spacing w:before="120" w:after="120"/>
        <w:ind w:left="850" w:hanging="850"/>
        <w:rPr>
          <w:rFonts w:eastAsia="Calibri"/>
          <w:b/>
          <w:i/>
          <w:szCs w:val="24"/>
          <w:lang w:eastAsia="en-US"/>
        </w:rPr>
      </w:pPr>
      <w:r>
        <w:rPr>
          <w:noProof/>
        </w:rPr>
        <w:br w:type="page"/>
      </w:r>
      <w:r w:rsidR="000A5C70">
        <w:rPr>
          <w:noProof/>
        </w:rPr>
        <w:lastRenderedPageBreak/>
        <w:t>3</w:t>
      </w:r>
      <w:r w:rsidRPr="00D031FC">
        <w:rPr>
          <w:rFonts w:eastAsia="Calibri"/>
          <w:b/>
          <w:i/>
          <w:szCs w:val="24"/>
          <w:lang w:eastAsia="en-US"/>
        </w:rPr>
        <w:t>)</w:t>
      </w:r>
      <w:r w:rsidRPr="00D031FC">
        <w:rPr>
          <w:rFonts w:eastAsia="Calibri"/>
          <w:b/>
          <w:i/>
          <w:szCs w:val="24"/>
          <w:lang w:eastAsia="en-US"/>
        </w:rPr>
        <w:tab/>
        <w:t xml:space="preserve">Lisätään I osaston VIII lukuun </w:t>
      </w:r>
      <w:r w:rsidR="00D6063A">
        <w:rPr>
          <w:rFonts w:eastAsia="Calibri"/>
          <w:b/>
          <w:i/>
          <w:szCs w:val="24"/>
          <w:lang w:eastAsia="en-US"/>
        </w:rPr>
        <w:t xml:space="preserve">152 artiklan jälkeen </w:t>
      </w:r>
      <w:r w:rsidRPr="00D031FC">
        <w:rPr>
          <w:rFonts w:eastAsia="Calibri"/>
          <w:b/>
          <w:i/>
          <w:szCs w:val="24"/>
          <w:lang w:eastAsia="en-US"/>
        </w:rPr>
        <w:t xml:space="preserve"> jakso seuraavasti:</w:t>
      </w:r>
    </w:p>
    <w:p w14:paraId="43B7BFBF" w14:textId="496F85F4" w:rsidR="004F4CFE" w:rsidRPr="00D031FC" w:rsidRDefault="004F4CFE" w:rsidP="00843B71">
      <w:pPr>
        <w:widowControl/>
        <w:spacing w:before="120" w:after="120"/>
        <w:ind w:left="850"/>
        <w:rPr>
          <w:rFonts w:eastAsia="Calibri"/>
          <w:b/>
          <w:i/>
          <w:szCs w:val="24"/>
          <w:lang w:eastAsia="en-US"/>
        </w:rPr>
      </w:pPr>
      <w:r w:rsidRPr="00D031FC">
        <w:rPr>
          <w:rFonts w:eastAsia="Calibri"/>
          <w:b/>
          <w:i/>
          <w:szCs w:val="24"/>
          <w:lang w:eastAsia="en-US"/>
        </w:rPr>
        <w:t>"2 a jakso</w:t>
      </w:r>
      <w:r w:rsidRPr="00D031FC">
        <w:rPr>
          <w:rFonts w:eastAsia="Calibri"/>
          <w:b/>
          <w:i/>
          <w:szCs w:val="24"/>
          <w:lang w:eastAsia="en-US"/>
        </w:rPr>
        <w:br/>
        <w:t>Ilmoitukset ja yhteistoimintafoorumit</w:t>
      </w:r>
    </w:p>
    <w:p w14:paraId="74A3EE68" w14:textId="0B4CE6D3" w:rsidR="004F4CFE" w:rsidRPr="00D031FC" w:rsidRDefault="004F4CFE" w:rsidP="004F4CFE">
      <w:pPr>
        <w:widowControl/>
        <w:spacing w:before="120" w:after="120"/>
        <w:ind w:left="850"/>
        <w:rPr>
          <w:rFonts w:eastAsia="Calibri"/>
          <w:b/>
          <w:i/>
          <w:szCs w:val="24"/>
          <w:lang w:eastAsia="en-US"/>
        </w:rPr>
      </w:pPr>
      <w:r w:rsidRPr="00D031FC">
        <w:rPr>
          <w:rFonts w:eastAsia="Calibri"/>
          <w:b/>
          <w:i/>
          <w:szCs w:val="24"/>
          <w:lang w:eastAsia="en-US"/>
        </w:rPr>
        <w:t>152 a artikla</w:t>
      </w:r>
      <w:r w:rsidRPr="00D031FC">
        <w:rPr>
          <w:rFonts w:eastAsia="Calibri"/>
          <w:b/>
          <w:i/>
          <w:szCs w:val="24"/>
          <w:lang w:eastAsia="en-US"/>
        </w:rPr>
        <w:br/>
        <w:t>Ilmoitukset</w:t>
      </w:r>
    </w:p>
    <w:p w14:paraId="4FFE0A2F" w14:textId="77777777" w:rsidR="004F4CFE" w:rsidRPr="00D031FC" w:rsidRDefault="004F4CFE" w:rsidP="004F4CFE">
      <w:pPr>
        <w:widowControl/>
        <w:spacing w:before="120" w:after="120"/>
        <w:ind w:left="1417" w:hanging="567"/>
        <w:rPr>
          <w:rFonts w:eastAsia="Calibri"/>
          <w:b/>
          <w:i/>
          <w:szCs w:val="24"/>
          <w:lang w:eastAsia="en-US"/>
        </w:rPr>
      </w:pPr>
      <w:r w:rsidRPr="00D031FC">
        <w:rPr>
          <w:rFonts w:eastAsia="Calibri"/>
          <w:b/>
          <w:i/>
          <w:szCs w:val="24"/>
          <w:lang w:eastAsia="en-US"/>
        </w:rPr>
        <w:t>1.</w:t>
      </w:r>
      <w:r w:rsidRPr="00D031FC">
        <w:rPr>
          <w:rFonts w:eastAsia="Calibri"/>
          <w:b/>
          <w:i/>
          <w:szCs w:val="24"/>
          <w:lang w:eastAsia="en-US"/>
        </w:rPr>
        <w:tab/>
        <w:t>Jos kotijäsenvaltion valvontaviranomainen aikoo antaa toimiluvan sellaiselle vakuutus- tai jälleenvakuutusyritykselle, jonka toimintasuunnitelma osoittaa, että osaa sen liiketoiminnasta harjoitetaan palvelujen tarjoamisen vapauden tai sijoittautumisvapauden perusteella toisessa jäsenvaltiossa, ja jos toimintasuunnitelma osoittaa myös, että tällä toiminnalla saattaa olla merkitystä vastaanottavan jäsenvaltion markkinoille, kotijäsenvaltion valvontaviranomaisen on ilmoitettava asiasta vakuutus- ja lisäeläkeviranomaiselle ja asianomaisen vastaanottavan jäsenvaltion valvontaviranomaiselle.</w:t>
      </w:r>
    </w:p>
    <w:p w14:paraId="5FD99765" w14:textId="4CF0AA62" w:rsidR="004F4CFE" w:rsidRPr="00D031FC" w:rsidRDefault="004F4CFE" w:rsidP="00535366">
      <w:pPr>
        <w:widowControl/>
        <w:spacing w:before="120" w:after="120"/>
        <w:ind w:left="1417" w:hanging="567"/>
        <w:rPr>
          <w:rFonts w:eastAsia="Calibri"/>
          <w:b/>
          <w:i/>
          <w:szCs w:val="24"/>
          <w:lang w:eastAsia="en-US"/>
        </w:rPr>
      </w:pPr>
      <w:r>
        <w:rPr>
          <w:rFonts w:eastAsia="Calibri"/>
          <w:b/>
          <w:i/>
          <w:szCs w:val="24"/>
          <w:lang w:eastAsia="en-US"/>
        </w:rPr>
        <w:br w:type="page"/>
      </w:r>
      <w:r w:rsidRPr="00D031FC">
        <w:rPr>
          <w:rFonts w:eastAsia="Calibri"/>
          <w:b/>
          <w:i/>
          <w:szCs w:val="24"/>
          <w:lang w:eastAsia="en-US"/>
        </w:rPr>
        <w:lastRenderedPageBreak/>
        <w:t>2.</w:t>
      </w:r>
      <w:r w:rsidRPr="00D031FC">
        <w:rPr>
          <w:rFonts w:eastAsia="Calibri"/>
          <w:b/>
          <w:i/>
          <w:szCs w:val="24"/>
          <w:lang w:eastAsia="en-US"/>
        </w:rPr>
        <w:tab/>
        <w:t xml:space="preserve">Kotijäsenvaltion valvontaviranomaisen on ilmoitettava vakuutus- ja lisäeläkeviranomaiselle ja asianomaisen vastaanottavan jäsenvaltion valvontaviranomaiselle myös, jos se havaitsee rahoitusedellytysten heikentymistä tai muita kehittymässä olevia riskejä, joita vakuutus- tai jälleenvakuutusyritys palvelujen tarjoamisen vapauden tai sijoittautumisvapauden perusteella harjoittamansa liiketoiminnan vuoksi aiheuttaa ja joilla voi olla rajatylittävä vaikutus. Vastaanottavan jäsenvaltion valvontaviranomainen voi myös ilmoittaa asianomaisen kotijäsenvaltion </w:t>
      </w:r>
      <w:r w:rsidRPr="00B74E85">
        <w:rPr>
          <w:rFonts w:eastAsia="Calibri"/>
          <w:b/>
          <w:i/>
          <w:szCs w:val="24"/>
          <w:lang w:eastAsia="en-US"/>
        </w:rPr>
        <w:t>valvontaviranomaiselle, jos sillä on</w:t>
      </w:r>
      <w:r w:rsidRPr="00D031FC">
        <w:rPr>
          <w:rFonts w:eastAsia="Calibri"/>
          <w:b/>
          <w:i/>
          <w:szCs w:val="24"/>
          <w:lang w:eastAsia="en-US"/>
        </w:rPr>
        <w:t xml:space="preserve"> kuluttajansuojaan liittyviä vakavia ja perusteltuja huolenaiheita. Valvontaviranomaiset voivat antaa asian vakuutus- ja lisäeläkeviranomaisen käsiteltäväksi ja pyytää sen apua, ellei kahdenvälistä ratkaisua </w:t>
      </w:r>
      <w:r w:rsidR="00535366">
        <w:rPr>
          <w:rFonts w:eastAsia="Calibri"/>
          <w:b/>
          <w:i/>
          <w:szCs w:val="24"/>
          <w:lang w:eastAsia="en-US"/>
        </w:rPr>
        <w:t>voida saada</w:t>
      </w:r>
      <w:r w:rsidRPr="00D031FC">
        <w:rPr>
          <w:rFonts w:eastAsia="Calibri"/>
          <w:b/>
          <w:i/>
          <w:szCs w:val="24"/>
          <w:lang w:eastAsia="en-US"/>
        </w:rPr>
        <w:t xml:space="preserve"> aikaan.</w:t>
      </w:r>
    </w:p>
    <w:p w14:paraId="3991F43B" w14:textId="47C56178" w:rsidR="004F4CFE" w:rsidRPr="00D031FC" w:rsidRDefault="004F4CFE">
      <w:pPr>
        <w:widowControl/>
        <w:spacing w:before="120" w:after="120"/>
        <w:ind w:left="1417" w:hanging="567"/>
        <w:rPr>
          <w:rFonts w:eastAsia="Calibri"/>
          <w:b/>
          <w:i/>
          <w:szCs w:val="24"/>
          <w:lang w:eastAsia="en-US"/>
        </w:rPr>
      </w:pPr>
      <w:r w:rsidRPr="00D031FC">
        <w:rPr>
          <w:rFonts w:eastAsia="Calibri"/>
          <w:b/>
          <w:i/>
          <w:szCs w:val="24"/>
          <w:lang w:eastAsia="en-US"/>
        </w:rPr>
        <w:t>3.</w:t>
      </w:r>
      <w:r w:rsidRPr="00D031FC">
        <w:rPr>
          <w:rFonts w:eastAsia="Calibri"/>
          <w:b/>
          <w:i/>
          <w:szCs w:val="24"/>
          <w:lang w:eastAsia="en-US"/>
        </w:rPr>
        <w:tab/>
      </w:r>
      <w:r w:rsidR="00D6063A">
        <w:rPr>
          <w:rFonts w:eastAsia="Calibri"/>
          <w:b/>
          <w:i/>
          <w:szCs w:val="24"/>
          <w:lang w:eastAsia="en-US"/>
        </w:rPr>
        <w:t>Edellä 1 ja 2 kohdassa tarkoitettujen i</w:t>
      </w:r>
      <w:r w:rsidRPr="00D031FC">
        <w:rPr>
          <w:rFonts w:eastAsia="Calibri"/>
          <w:b/>
          <w:i/>
          <w:szCs w:val="24"/>
          <w:lang w:eastAsia="en-US"/>
        </w:rPr>
        <w:t>lmoitusten on oltava riittävän yksityiskohtaisia, jotta voidaan suorittaa asianmukainen arviointi.</w:t>
      </w:r>
    </w:p>
    <w:p w14:paraId="2F533C8C" w14:textId="2EDABB62" w:rsidR="004F4CFE" w:rsidRPr="00D031FC" w:rsidRDefault="004F4CFE" w:rsidP="00586AA8">
      <w:pPr>
        <w:widowControl/>
        <w:spacing w:before="120" w:after="120"/>
        <w:ind w:left="1417" w:hanging="567"/>
        <w:rPr>
          <w:rFonts w:eastAsia="Calibri"/>
          <w:b/>
          <w:i/>
          <w:szCs w:val="24"/>
          <w:lang w:eastAsia="en-US"/>
        </w:rPr>
      </w:pPr>
      <w:r w:rsidRPr="00D031FC">
        <w:rPr>
          <w:rFonts w:eastAsia="Calibri"/>
          <w:b/>
          <w:i/>
          <w:szCs w:val="24"/>
          <w:lang w:eastAsia="en-US"/>
        </w:rPr>
        <w:t>4.</w:t>
      </w:r>
      <w:r w:rsidRPr="00D031FC">
        <w:rPr>
          <w:rFonts w:eastAsia="Calibri"/>
          <w:b/>
          <w:i/>
          <w:szCs w:val="24"/>
          <w:lang w:eastAsia="en-US"/>
        </w:rPr>
        <w:tab/>
        <w:t>Edellä 1 ja 2 kohda</w:t>
      </w:r>
      <w:r w:rsidR="00586AA8">
        <w:rPr>
          <w:rFonts w:eastAsia="Calibri"/>
          <w:b/>
          <w:i/>
          <w:szCs w:val="24"/>
          <w:lang w:eastAsia="en-US"/>
        </w:rPr>
        <w:t>ssa</w:t>
      </w:r>
      <w:r w:rsidRPr="00D031FC">
        <w:rPr>
          <w:rFonts w:eastAsia="Calibri"/>
          <w:b/>
          <w:i/>
          <w:szCs w:val="24"/>
          <w:lang w:eastAsia="en-US"/>
        </w:rPr>
        <w:t xml:space="preserve"> </w:t>
      </w:r>
      <w:r w:rsidR="00586AA8">
        <w:rPr>
          <w:rFonts w:eastAsia="Calibri"/>
          <w:b/>
          <w:i/>
          <w:szCs w:val="24"/>
          <w:lang w:eastAsia="en-US"/>
        </w:rPr>
        <w:t>tarkoitetut</w:t>
      </w:r>
      <w:r w:rsidR="00586AA8" w:rsidRPr="00D031FC">
        <w:rPr>
          <w:rFonts w:eastAsia="Calibri"/>
          <w:b/>
          <w:i/>
          <w:szCs w:val="24"/>
          <w:lang w:eastAsia="en-US"/>
        </w:rPr>
        <w:t xml:space="preserve"> </w:t>
      </w:r>
      <w:r w:rsidRPr="00D031FC">
        <w:rPr>
          <w:rFonts w:eastAsia="Calibri"/>
          <w:b/>
          <w:i/>
          <w:szCs w:val="24"/>
          <w:lang w:eastAsia="en-US"/>
        </w:rPr>
        <w:t xml:space="preserve">ilmoitukset eivät rajoita kotijäsenvaltion ja vastaanottavan jäsenvaltion </w:t>
      </w:r>
      <w:r w:rsidR="00D6063A">
        <w:rPr>
          <w:rFonts w:eastAsia="Calibri"/>
          <w:b/>
          <w:i/>
          <w:szCs w:val="24"/>
          <w:lang w:eastAsia="en-US"/>
        </w:rPr>
        <w:t>valvonta</w:t>
      </w:r>
      <w:r w:rsidRPr="00D031FC">
        <w:rPr>
          <w:rFonts w:eastAsia="Calibri"/>
          <w:b/>
          <w:i/>
          <w:szCs w:val="24"/>
          <w:lang w:eastAsia="en-US"/>
        </w:rPr>
        <w:t xml:space="preserve">viranomaisille </w:t>
      </w:r>
      <w:r w:rsidR="00D6063A">
        <w:rPr>
          <w:rFonts w:eastAsia="Calibri"/>
          <w:b/>
          <w:i/>
          <w:szCs w:val="24"/>
          <w:lang w:eastAsia="en-US"/>
        </w:rPr>
        <w:t xml:space="preserve">tässä </w:t>
      </w:r>
      <w:r w:rsidRPr="00D031FC">
        <w:rPr>
          <w:rFonts w:eastAsia="Calibri"/>
          <w:b/>
          <w:i/>
          <w:szCs w:val="24"/>
          <w:lang w:eastAsia="en-US"/>
        </w:rPr>
        <w:t xml:space="preserve">direktiivissä </w:t>
      </w:r>
      <w:r w:rsidR="00D6063A">
        <w:rPr>
          <w:rFonts w:eastAsia="Calibri"/>
          <w:b/>
          <w:i/>
          <w:szCs w:val="24"/>
          <w:lang w:eastAsia="en-US"/>
        </w:rPr>
        <w:t>säädettyä</w:t>
      </w:r>
      <w:r w:rsidRPr="00D031FC">
        <w:rPr>
          <w:rFonts w:eastAsia="Calibri"/>
          <w:b/>
          <w:i/>
          <w:szCs w:val="24"/>
          <w:lang w:eastAsia="en-US"/>
        </w:rPr>
        <w:t xml:space="preserve"> valvontatoimeksiantoa."</w:t>
      </w:r>
    </w:p>
    <w:p w14:paraId="27469AC8" w14:textId="1853651D" w:rsidR="004F4CFE" w:rsidRPr="00D031FC" w:rsidRDefault="004F4CFE">
      <w:pPr>
        <w:widowControl/>
        <w:spacing w:before="120" w:after="120"/>
        <w:ind w:left="850" w:hanging="850"/>
        <w:rPr>
          <w:rFonts w:eastAsia="Calibri"/>
          <w:b/>
          <w:i/>
          <w:szCs w:val="24"/>
          <w:lang w:eastAsia="en-US"/>
        </w:rPr>
      </w:pPr>
      <w:r>
        <w:rPr>
          <w:rFonts w:eastAsia="Calibri"/>
          <w:b/>
          <w:i/>
          <w:szCs w:val="24"/>
          <w:lang w:eastAsia="en-US"/>
        </w:rPr>
        <w:br w:type="page"/>
      </w:r>
    </w:p>
    <w:p w14:paraId="5AACAEEA" w14:textId="525ABA17" w:rsidR="004F4CFE" w:rsidRPr="00D031FC" w:rsidRDefault="004F4CFE" w:rsidP="004F4CFE">
      <w:pPr>
        <w:widowControl/>
        <w:spacing w:before="120" w:after="120"/>
        <w:ind w:left="850"/>
        <w:rPr>
          <w:rFonts w:eastAsia="Calibri"/>
          <w:b/>
          <w:i/>
          <w:szCs w:val="24"/>
          <w:lang w:eastAsia="en-US"/>
        </w:rPr>
      </w:pPr>
      <w:r w:rsidRPr="00D031FC">
        <w:rPr>
          <w:rFonts w:eastAsia="Calibri"/>
          <w:b/>
          <w:i/>
          <w:szCs w:val="24"/>
          <w:lang w:eastAsia="en-US"/>
        </w:rPr>
        <w:lastRenderedPageBreak/>
        <w:t>152 b artikla</w:t>
      </w:r>
      <w:r w:rsidRPr="00D031FC">
        <w:rPr>
          <w:rFonts w:eastAsia="Calibri"/>
          <w:b/>
          <w:i/>
          <w:szCs w:val="24"/>
          <w:lang w:eastAsia="en-US"/>
        </w:rPr>
        <w:br/>
        <w:t>Yhteistoimintafoorumit</w:t>
      </w:r>
    </w:p>
    <w:p w14:paraId="2DBF330E" w14:textId="7DA1D2CD" w:rsidR="004F4CFE" w:rsidRPr="00D031FC" w:rsidRDefault="004F4CFE">
      <w:pPr>
        <w:widowControl/>
        <w:spacing w:before="120" w:after="120"/>
        <w:ind w:left="1417" w:hanging="567"/>
        <w:rPr>
          <w:rFonts w:eastAsia="Calibri"/>
          <w:b/>
          <w:i/>
          <w:szCs w:val="24"/>
          <w:lang w:eastAsia="en-US"/>
        </w:rPr>
      </w:pPr>
      <w:r w:rsidRPr="00D031FC">
        <w:rPr>
          <w:rFonts w:eastAsia="Calibri"/>
          <w:b/>
          <w:i/>
          <w:szCs w:val="24"/>
          <w:lang w:eastAsia="en-US"/>
        </w:rPr>
        <w:t>1.</w:t>
      </w:r>
      <w:r w:rsidRPr="00D031FC">
        <w:rPr>
          <w:rFonts w:eastAsia="Calibri"/>
          <w:b/>
          <w:i/>
          <w:szCs w:val="24"/>
          <w:lang w:eastAsia="en-US"/>
        </w:rPr>
        <w:tab/>
      </w:r>
      <w:r w:rsidR="008A53C5">
        <w:rPr>
          <w:rFonts w:eastAsia="Calibri"/>
          <w:b/>
          <w:i/>
          <w:szCs w:val="24"/>
          <w:lang w:eastAsia="en-US"/>
        </w:rPr>
        <w:t>Vakuutus- ja lisäeläke</w:t>
      </w:r>
      <w:r w:rsidR="008A53C5" w:rsidRPr="008A53C5">
        <w:rPr>
          <w:rFonts w:eastAsia="Calibri"/>
          <w:b/>
          <w:i/>
          <w:szCs w:val="24"/>
          <w:lang w:eastAsia="en-US"/>
        </w:rPr>
        <w:t>viranomainen voi siinä tapauksessa, että sillä on perusteltua syytä olla huolissaan vakuutuksenottajille aiheutuvista kielteisistä vaikutuksista, omasta aloitteestaan tai yhden tai useamman asianomaisen valvontaviranomaisen pyynnöstä perustaa yhteistoimintafoorumin ja koordinoida sitä asianomaisten valvontaviranomaisten välisen tietojenvaihdon ja yhteistoiminnan tehostamiseksi</w:t>
      </w:r>
      <w:r w:rsidR="008A53C5">
        <w:rPr>
          <w:rFonts w:eastAsia="Calibri"/>
          <w:b/>
          <w:i/>
          <w:szCs w:val="24"/>
          <w:lang w:eastAsia="en-US"/>
        </w:rPr>
        <w:t>, j</w:t>
      </w:r>
      <w:r w:rsidRPr="00D031FC">
        <w:rPr>
          <w:rFonts w:eastAsia="Calibri"/>
          <w:b/>
          <w:i/>
          <w:szCs w:val="24"/>
          <w:lang w:eastAsia="en-US"/>
        </w:rPr>
        <w:t>os vakuutus- tai jälleenvakuutusyritys harjoittaa tai aikoo harjoittaa toimintaa, joka perustuu palvelujen tarjoamisen vapauteen tai sijoittautumisvapauteen ja</w:t>
      </w:r>
    </w:p>
    <w:p w14:paraId="1B167715" w14:textId="45D9C37F" w:rsidR="004F4CFE" w:rsidRPr="00D031FC" w:rsidRDefault="00674115" w:rsidP="00674115">
      <w:pPr>
        <w:widowControl/>
        <w:spacing w:before="120" w:after="120"/>
        <w:ind w:left="1985" w:hanging="567"/>
        <w:rPr>
          <w:rFonts w:eastAsia="Calibri"/>
          <w:b/>
          <w:i/>
          <w:szCs w:val="24"/>
          <w:lang w:eastAsia="en-US"/>
        </w:rPr>
      </w:pPr>
      <w:r>
        <w:rPr>
          <w:rFonts w:eastAsia="Calibri"/>
          <w:b/>
          <w:i/>
          <w:szCs w:val="24"/>
          <w:lang w:eastAsia="en-US"/>
        </w:rPr>
        <w:t>a</w:t>
      </w:r>
      <w:r w:rsidR="004F4CFE" w:rsidRPr="00D031FC">
        <w:rPr>
          <w:rFonts w:eastAsia="Calibri"/>
          <w:b/>
          <w:i/>
          <w:szCs w:val="24"/>
          <w:lang w:eastAsia="en-US"/>
        </w:rPr>
        <w:t>)</w:t>
      </w:r>
      <w:r w:rsidR="004F4CFE" w:rsidRPr="00D031FC">
        <w:rPr>
          <w:rFonts w:eastAsia="Calibri"/>
          <w:b/>
          <w:i/>
          <w:szCs w:val="24"/>
          <w:lang w:eastAsia="en-US"/>
        </w:rPr>
        <w:tab/>
        <w:t>jolla on merkitystä vastaanottavan jäsenvaltion markkinoille</w:t>
      </w:r>
      <w:r w:rsidR="008A53C5">
        <w:rPr>
          <w:rFonts w:eastAsia="Calibri"/>
          <w:b/>
          <w:i/>
          <w:szCs w:val="24"/>
          <w:lang w:eastAsia="en-US"/>
        </w:rPr>
        <w:t>;</w:t>
      </w:r>
    </w:p>
    <w:p w14:paraId="47E30FAF" w14:textId="4D4047EB" w:rsidR="004F4CFE" w:rsidRPr="00D031FC" w:rsidRDefault="00674115" w:rsidP="00674115">
      <w:pPr>
        <w:widowControl/>
        <w:spacing w:before="120" w:after="120"/>
        <w:ind w:left="1985" w:hanging="567"/>
        <w:rPr>
          <w:rFonts w:eastAsia="Calibri"/>
          <w:b/>
          <w:i/>
          <w:szCs w:val="24"/>
          <w:lang w:eastAsia="en-US"/>
        </w:rPr>
      </w:pPr>
      <w:r>
        <w:rPr>
          <w:rFonts w:eastAsia="Calibri"/>
          <w:b/>
          <w:i/>
          <w:szCs w:val="24"/>
          <w:lang w:eastAsia="en-US"/>
        </w:rPr>
        <w:t>b</w:t>
      </w:r>
      <w:r w:rsidR="004F4CFE" w:rsidRPr="00D031FC">
        <w:rPr>
          <w:rFonts w:eastAsia="Calibri"/>
          <w:b/>
          <w:i/>
          <w:szCs w:val="24"/>
          <w:lang w:eastAsia="en-US"/>
        </w:rPr>
        <w:t>)</w:t>
      </w:r>
      <w:r w:rsidR="004F4CFE" w:rsidRPr="00D031FC">
        <w:rPr>
          <w:rFonts w:eastAsia="Calibri"/>
          <w:b/>
          <w:i/>
          <w:szCs w:val="24"/>
          <w:lang w:eastAsia="en-US"/>
        </w:rPr>
        <w:tab/>
        <w:t>jos kotijäsenvaltio on antanut 152 a artiklan 2 kohdan mukaisen ilmoituksen rahoitusedellytysten heikentymisestä tai muista kehittymässä olevista riskeistä</w:t>
      </w:r>
      <w:r w:rsidR="008A53C5">
        <w:rPr>
          <w:rFonts w:eastAsia="Calibri"/>
          <w:b/>
          <w:i/>
          <w:szCs w:val="24"/>
          <w:lang w:eastAsia="en-US"/>
        </w:rPr>
        <w:t>;</w:t>
      </w:r>
      <w:r w:rsidR="004F4CFE" w:rsidRPr="00D031FC">
        <w:rPr>
          <w:rFonts w:eastAsia="Calibri"/>
          <w:b/>
          <w:i/>
          <w:szCs w:val="24"/>
          <w:lang w:eastAsia="en-US"/>
        </w:rPr>
        <w:t xml:space="preserve"> tai</w:t>
      </w:r>
    </w:p>
    <w:p w14:paraId="6CDD891C" w14:textId="3646AF02" w:rsidR="004F4CFE" w:rsidRPr="00D031FC" w:rsidRDefault="00674115" w:rsidP="00674115">
      <w:pPr>
        <w:widowControl/>
        <w:spacing w:before="120" w:after="120"/>
        <w:ind w:left="1985" w:hanging="567"/>
        <w:rPr>
          <w:rFonts w:eastAsia="Calibri"/>
          <w:b/>
          <w:i/>
          <w:szCs w:val="24"/>
          <w:lang w:eastAsia="en-US"/>
        </w:rPr>
      </w:pPr>
      <w:r>
        <w:rPr>
          <w:rFonts w:eastAsia="Calibri"/>
          <w:b/>
          <w:i/>
          <w:szCs w:val="24"/>
          <w:lang w:eastAsia="en-US"/>
        </w:rPr>
        <w:t>c</w:t>
      </w:r>
      <w:r w:rsidR="004F4CFE" w:rsidRPr="00D031FC">
        <w:rPr>
          <w:rFonts w:eastAsia="Calibri"/>
          <w:b/>
          <w:i/>
          <w:szCs w:val="24"/>
          <w:lang w:eastAsia="en-US"/>
        </w:rPr>
        <w:t>)</w:t>
      </w:r>
      <w:r w:rsidR="004F4CFE" w:rsidRPr="00D031FC">
        <w:rPr>
          <w:rFonts w:eastAsia="Calibri"/>
          <w:b/>
          <w:i/>
          <w:szCs w:val="24"/>
          <w:lang w:eastAsia="en-US"/>
        </w:rPr>
        <w:tab/>
        <w:t>jos asia on annettu 152 a artiklan 2 kohdan mukaisesti vakuutus- ja lisäeläkeviranomaisen käsiteltäväksi</w:t>
      </w:r>
      <w:r w:rsidR="008A53C5">
        <w:rPr>
          <w:rFonts w:eastAsia="Calibri"/>
          <w:b/>
          <w:i/>
          <w:szCs w:val="24"/>
          <w:lang w:eastAsia="en-US"/>
        </w:rPr>
        <w:t>.</w:t>
      </w:r>
      <w:bookmarkStart w:id="0" w:name="DQCErrorScope3b5467408f444a57a94df72fb99"/>
    </w:p>
    <w:bookmarkEnd w:id="0"/>
    <w:p w14:paraId="38FC3C51" w14:textId="686F867E" w:rsidR="004F4CFE" w:rsidRPr="00D031FC" w:rsidRDefault="004F4CFE">
      <w:pPr>
        <w:widowControl/>
        <w:spacing w:before="120" w:after="120"/>
        <w:ind w:left="1417" w:hanging="567"/>
        <w:rPr>
          <w:rFonts w:eastAsia="Calibri"/>
          <w:b/>
          <w:i/>
          <w:szCs w:val="24"/>
          <w:lang w:eastAsia="en-US"/>
        </w:rPr>
      </w:pPr>
      <w:r>
        <w:rPr>
          <w:rFonts w:eastAsia="Calibri"/>
          <w:b/>
          <w:i/>
          <w:szCs w:val="24"/>
          <w:lang w:eastAsia="en-US"/>
        </w:rPr>
        <w:br w:type="page"/>
      </w:r>
      <w:r w:rsidRPr="00D031FC">
        <w:rPr>
          <w:rFonts w:eastAsia="Calibri"/>
          <w:b/>
          <w:i/>
          <w:szCs w:val="24"/>
          <w:lang w:eastAsia="en-US"/>
        </w:rPr>
        <w:lastRenderedPageBreak/>
        <w:t>2.</w:t>
      </w:r>
      <w:r w:rsidRPr="00D031FC">
        <w:rPr>
          <w:rFonts w:eastAsia="Calibri"/>
          <w:b/>
          <w:i/>
          <w:szCs w:val="24"/>
          <w:lang w:eastAsia="en-US"/>
        </w:rPr>
        <w:tab/>
        <w:t>Edellä oleva 1 koh</w:t>
      </w:r>
      <w:r w:rsidR="008A53C5">
        <w:rPr>
          <w:rFonts w:eastAsia="Calibri"/>
          <w:b/>
          <w:i/>
          <w:szCs w:val="24"/>
          <w:lang w:eastAsia="en-US"/>
        </w:rPr>
        <w:t>ta</w:t>
      </w:r>
      <w:r w:rsidRPr="00D031FC">
        <w:rPr>
          <w:rFonts w:eastAsia="Calibri"/>
          <w:b/>
          <w:i/>
          <w:szCs w:val="24"/>
          <w:lang w:eastAsia="en-US"/>
        </w:rPr>
        <w:t xml:space="preserve"> ei rajoita asianomaisten valvontaviranomaisten oikeutta perustaa yhteistoimintafoorumi, jos ne kaikki suostuvat perustamaan sen.</w:t>
      </w:r>
    </w:p>
    <w:p w14:paraId="3FA2B2B6" w14:textId="0D5FDB18" w:rsidR="004F4CFE" w:rsidRPr="00D031FC" w:rsidRDefault="004F4CFE">
      <w:pPr>
        <w:widowControl/>
        <w:spacing w:before="120" w:after="120"/>
        <w:ind w:left="1417" w:hanging="567"/>
        <w:rPr>
          <w:rFonts w:eastAsia="Calibri"/>
          <w:b/>
          <w:i/>
          <w:szCs w:val="24"/>
          <w:lang w:eastAsia="en-US"/>
        </w:rPr>
      </w:pPr>
      <w:r w:rsidRPr="00D031FC">
        <w:rPr>
          <w:rFonts w:eastAsia="Calibri"/>
          <w:b/>
          <w:i/>
          <w:szCs w:val="24"/>
          <w:lang w:eastAsia="en-US"/>
        </w:rPr>
        <w:t>3.</w:t>
      </w:r>
      <w:r w:rsidRPr="00D031FC">
        <w:rPr>
          <w:rFonts w:eastAsia="Calibri"/>
          <w:b/>
          <w:i/>
          <w:szCs w:val="24"/>
          <w:lang w:eastAsia="en-US"/>
        </w:rPr>
        <w:tab/>
        <w:t xml:space="preserve">Yhteistoimintafoorumin perustaminen 1 ja 2 kohdan mukaisesti ei rajoita kotijäsenvaltion ja vastaanottavan jäsenvaltion </w:t>
      </w:r>
      <w:r w:rsidR="008A53C5">
        <w:rPr>
          <w:rFonts w:eastAsia="Calibri"/>
          <w:b/>
          <w:i/>
          <w:szCs w:val="24"/>
          <w:lang w:eastAsia="en-US"/>
        </w:rPr>
        <w:t>valvonta</w:t>
      </w:r>
      <w:r w:rsidRPr="00D031FC">
        <w:rPr>
          <w:rFonts w:eastAsia="Calibri"/>
          <w:b/>
          <w:i/>
          <w:szCs w:val="24"/>
          <w:lang w:eastAsia="en-US"/>
        </w:rPr>
        <w:t xml:space="preserve">viranomaisille </w:t>
      </w:r>
      <w:r w:rsidR="008A53C5">
        <w:rPr>
          <w:rFonts w:eastAsia="Calibri"/>
          <w:b/>
          <w:i/>
          <w:szCs w:val="24"/>
          <w:lang w:eastAsia="en-US"/>
        </w:rPr>
        <w:t xml:space="preserve">tässä </w:t>
      </w:r>
      <w:r w:rsidRPr="00D031FC">
        <w:rPr>
          <w:rFonts w:eastAsia="Calibri"/>
          <w:b/>
          <w:i/>
          <w:szCs w:val="24"/>
          <w:lang w:eastAsia="en-US"/>
        </w:rPr>
        <w:t xml:space="preserve">direktiivissä </w:t>
      </w:r>
      <w:r w:rsidR="008A53C5">
        <w:rPr>
          <w:rFonts w:eastAsia="Calibri"/>
          <w:b/>
          <w:i/>
          <w:szCs w:val="24"/>
          <w:lang w:eastAsia="en-US"/>
        </w:rPr>
        <w:t xml:space="preserve">säädettyä </w:t>
      </w:r>
      <w:r w:rsidRPr="00D031FC">
        <w:rPr>
          <w:rFonts w:eastAsia="Calibri"/>
          <w:b/>
          <w:i/>
          <w:szCs w:val="24"/>
          <w:lang w:eastAsia="en-US"/>
        </w:rPr>
        <w:t>valvontatoimeksiantoa.</w:t>
      </w:r>
    </w:p>
    <w:p w14:paraId="5FAECE4D" w14:textId="07F17F8B" w:rsidR="004F4CFE" w:rsidRPr="00D031FC" w:rsidRDefault="004F4CFE" w:rsidP="00BB28C1">
      <w:pPr>
        <w:widowControl/>
        <w:spacing w:before="120" w:after="120"/>
        <w:ind w:left="1417" w:hanging="567"/>
        <w:rPr>
          <w:rFonts w:eastAsia="Calibri"/>
          <w:b/>
          <w:i/>
          <w:szCs w:val="24"/>
          <w:lang w:eastAsia="en-US"/>
        </w:rPr>
      </w:pPr>
      <w:r w:rsidRPr="00D031FC">
        <w:rPr>
          <w:rFonts w:eastAsia="Calibri"/>
          <w:b/>
          <w:i/>
          <w:szCs w:val="24"/>
          <w:lang w:eastAsia="en-US"/>
        </w:rPr>
        <w:t>4.</w:t>
      </w:r>
      <w:r w:rsidRPr="00D031FC">
        <w:rPr>
          <w:rFonts w:eastAsia="Calibri"/>
          <w:b/>
          <w:i/>
          <w:szCs w:val="24"/>
          <w:lang w:eastAsia="en-US"/>
        </w:rPr>
        <w:tab/>
        <w:t xml:space="preserve">Rajoittamatta asetuksen (EU) N:o 1094/2010 35 artiklan soveltamista asianomaisten </w:t>
      </w:r>
      <w:r w:rsidR="00BB28C1">
        <w:rPr>
          <w:rFonts w:eastAsia="Calibri"/>
          <w:b/>
          <w:i/>
          <w:szCs w:val="24"/>
          <w:lang w:eastAsia="en-US"/>
        </w:rPr>
        <w:t>valvonta</w:t>
      </w:r>
      <w:r w:rsidRPr="00D031FC">
        <w:rPr>
          <w:rFonts w:eastAsia="Calibri"/>
          <w:b/>
          <w:i/>
          <w:szCs w:val="24"/>
          <w:lang w:eastAsia="en-US"/>
        </w:rPr>
        <w:t>viranomaisten on toimitettava vakuutus- ja lisäeläkeviranomaisen pyynnöstä kaikki tarpeelliset tiedot oikea-aikaisesti, jotta yhteistoimintafoorumi voi toimia asianmukaisesti."</w:t>
      </w:r>
    </w:p>
    <w:p w14:paraId="502D462D" w14:textId="56B6AAAC" w:rsidR="00283102" w:rsidRDefault="000B0A8C">
      <w:pPr>
        <w:pStyle w:val="Point0"/>
        <w:rPr>
          <w:rStyle w:val="None"/>
          <w:rFonts w:eastAsia="Arial Unicode MS"/>
          <w:i/>
          <w:noProof/>
          <w:szCs w:val="24"/>
          <w:lang w:eastAsia="fr-BE"/>
        </w:rPr>
      </w:pPr>
      <w:r>
        <w:rPr>
          <w:rStyle w:val="None"/>
          <w:rFonts w:cs="Calibri"/>
          <w:noProof/>
          <w:u w:color="000000"/>
          <w:lang w:eastAsia="fi-FI"/>
        </w:rPr>
        <w:t>4</w:t>
      </w:r>
      <w:r w:rsidR="00283102">
        <w:rPr>
          <w:noProof/>
        </w:rPr>
        <w:t>)</w:t>
      </w:r>
      <w:r w:rsidR="00283102">
        <w:rPr>
          <w:noProof/>
        </w:rPr>
        <w:tab/>
      </w:r>
      <w:r w:rsidR="00283102">
        <w:rPr>
          <w:rStyle w:val="None"/>
          <w:noProof/>
        </w:rPr>
        <w:t>Muutetaan 231 artikla seuraavasti:</w:t>
      </w:r>
    </w:p>
    <w:p w14:paraId="73E9FCE5" w14:textId="38BE64A6" w:rsidR="00283102" w:rsidRDefault="00283102">
      <w:pPr>
        <w:pStyle w:val="Point1"/>
        <w:rPr>
          <w:rStyle w:val="None"/>
          <w:rFonts w:eastAsia="Arial Unicode MS"/>
          <w:noProof/>
          <w:szCs w:val="24"/>
          <w:lang w:eastAsia="fr-BE"/>
        </w:rPr>
      </w:pPr>
      <w:r>
        <w:rPr>
          <w:noProof/>
        </w:rPr>
        <w:t>a)</w:t>
      </w:r>
      <w:r>
        <w:rPr>
          <w:noProof/>
        </w:rPr>
        <w:tab/>
      </w:r>
      <w:r w:rsidR="008A53C5">
        <w:rPr>
          <w:noProof/>
        </w:rPr>
        <w:t xml:space="preserve">korvataan </w:t>
      </w:r>
      <w:r>
        <w:rPr>
          <w:rStyle w:val="None"/>
          <w:noProof/>
        </w:rPr>
        <w:t>1 koh</w:t>
      </w:r>
      <w:r w:rsidR="008A53C5">
        <w:rPr>
          <w:rStyle w:val="None"/>
          <w:noProof/>
        </w:rPr>
        <w:t>d</w:t>
      </w:r>
      <w:r>
        <w:rPr>
          <w:rStyle w:val="None"/>
          <w:noProof/>
        </w:rPr>
        <w:t>a</w:t>
      </w:r>
      <w:r w:rsidR="008A53C5">
        <w:rPr>
          <w:rStyle w:val="None"/>
          <w:noProof/>
        </w:rPr>
        <w:t xml:space="preserve">n </w:t>
      </w:r>
      <w:r w:rsidR="008A53C5" w:rsidRPr="005A4182">
        <w:rPr>
          <w:rStyle w:val="None"/>
          <w:b/>
          <w:bCs/>
          <w:i/>
          <w:iCs/>
          <w:noProof/>
        </w:rPr>
        <w:t>kolmas alakohta</w:t>
      </w:r>
      <w:r>
        <w:rPr>
          <w:rStyle w:val="None"/>
          <w:noProof/>
        </w:rPr>
        <w:t xml:space="preserve"> seuraavasti:</w:t>
      </w:r>
    </w:p>
    <w:p w14:paraId="7297C125" w14:textId="035CB583" w:rsidR="004F4CFE" w:rsidRPr="00D031FC" w:rsidRDefault="004F4CFE" w:rsidP="00BB28C1">
      <w:pPr>
        <w:ind w:left="1134"/>
        <w:rPr>
          <w:rFonts w:eastAsia="Calibri"/>
          <w:szCs w:val="24"/>
          <w:lang w:eastAsia="en-US"/>
        </w:rPr>
      </w:pPr>
      <w:r>
        <w:rPr>
          <w:rStyle w:val="None"/>
          <w:noProof/>
        </w:rPr>
        <w:br w:type="page"/>
      </w:r>
      <w:r w:rsidR="00283102">
        <w:rPr>
          <w:rStyle w:val="None"/>
          <w:noProof/>
        </w:rPr>
        <w:lastRenderedPageBreak/>
        <w:t>"Ryhmävalvojan on viipymättä ilmoitettava muille valvontaviranomaisten kollegion jäsenille</w:t>
      </w:r>
      <w:r w:rsidRPr="005A4182">
        <w:rPr>
          <w:rStyle w:val="None"/>
          <w:b/>
          <w:bCs/>
          <w:i/>
          <w:iCs/>
          <w:noProof/>
        </w:rPr>
        <w:t>,</w:t>
      </w:r>
      <w:r w:rsidRPr="005A4182">
        <w:rPr>
          <w:b/>
          <w:bCs/>
          <w:i/>
          <w:iCs/>
        </w:rPr>
        <w:t xml:space="preserve"> </w:t>
      </w:r>
      <w:r w:rsidRPr="005A4182">
        <w:rPr>
          <w:rStyle w:val="None"/>
          <w:b/>
          <w:bCs/>
          <w:i/>
          <w:iCs/>
          <w:noProof/>
        </w:rPr>
        <w:t>vakuutus- ja lisäeläkeviranomainen mukaan lukien,</w:t>
      </w:r>
      <w:r w:rsidR="00283102">
        <w:rPr>
          <w:rStyle w:val="None"/>
          <w:noProof/>
        </w:rPr>
        <w:t xml:space="preserve"> hakemuksen vastaanottamisesta ja toimitettava täydellinen hakemus, yrityksen toimittamat asiakirjat mukaan lukien</w:t>
      </w:r>
      <w:r>
        <w:rPr>
          <w:rStyle w:val="None"/>
          <w:noProof/>
        </w:rPr>
        <w:t>.</w:t>
      </w:r>
      <w:r w:rsidR="00283102">
        <w:rPr>
          <w:rStyle w:val="None"/>
          <w:noProof/>
        </w:rPr>
        <w:t xml:space="preserve"> </w:t>
      </w:r>
      <w:r w:rsidRPr="00D031FC">
        <w:rPr>
          <w:rFonts w:eastAsia="Calibri"/>
          <w:b/>
          <w:i/>
          <w:szCs w:val="24"/>
          <w:lang w:eastAsia="en-US"/>
        </w:rPr>
        <w:t>Vakuutus- ja lisäeläkeviranomainen voi yhden tai useamman asianomaisen valvontaviranomaisen pyynnöstä antaa teknistä apua sitä pyytäneille valvontaviranomaisille hakemuksia koskevi</w:t>
      </w:r>
      <w:r w:rsidR="00BB28C1">
        <w:rPr>
          <w:rFonts w:eastAsia="Calibri"/>
          <w:b/>
          <w:i/>
          <w:szCs w:val="24"/>
          <w:lang w:eastAsia="en-US"/>
        </w:rPr>
        <w:t>en</w:t>
      </w:r>
      <w:r w:rsidRPr="00D031FC">
        <w:rPr>
          <w:rFonts w:eastAsia="Calibri"/>
          <w:b/>
          <w:i/>
          <w:szCs w:val="24"/>
          <w:lang w:eastAsia="en-US"/>
        </w:rPr>
        <w:t xml:space="preserve"> päätös</w:t>
      </w:r>
      <w:r w:rsidR="00BB28C1">
        <w:rPr>
          <w:rFonts w:eastAsia="Calibri"/>
          <w:b/>
          <w:i/>
          <w:szCs w:val="24"/>
          <w:lang w:eastAsia="en-US"/>
        </w:rPr>
        <w:t>ten osalta</w:t>
      </w:r>
      <w:r w:rsidRPr="00D031FC">
        <w:rPr>
          <w:rFonts w:eastAsia="Calibri"/>
          <w:b/>
          <w:i/>
          <w:szCs w:val="24"/>
          <w:lang w:eastAsia="en-US"/>
        </w:rPr>
        <w:t xml:space="preserve"> asetuksen (EU) N:o 1094/2010 8 artiklan 1 kohdan b alakohdan mukaisesti."</w:t>
      </w:r>
    </w:p>
    <w:p w14:paraId="42D98E45" w14:textId="4D4BCBD5" w:rsidR="00283102" w:rsidRDefault="00C87AF0">
      <w:pPr>
        <w:pStyle w:val="Point1"/>
        <w:rPr>
          <w:rStyle w:val="None"/>
          <w:noProof/>
          <w:szCs w:val="24"/>
          <w:bdr w:val="none" w:sz="0" w:space="0" w:color="auto" w:frame="1"/>
          <w:lang w:eastAsia="fr-BE"/>
        </w:rPr>
      </w:pPr>
      <w:r>
        <w:rPr>
          <w:noProof/>
        </w:rPr>
        <w:t>b</w:t>
      </w:r>
      <w:r w:rsidR="00283102">
        <w:rPr>
          <w:noProof/>
        </w:rPr>
        <w:t>)</w:t>
      </w:r>
      <w:r w:rsidR="00283102">
        <w:rPr>
          <w:noProof/>
        </w:rPr>
        <w:tab/>
      </w:r>
      <w:r w:rsidR="008A53C5" w:rsidRPr="008A53C5">
        <w:rPr>
          <w:noProof/>
        </w:rPr>
        <w:t>korvataan</w:t>
      </w:r>
      <w:r w:rsidR="00283102">
        <w:rPr>
          <w:rStyle w:val="None"/>
          <w:noProof/>
        </w:rPr>
        <w:t xml:space="preserve"> 3 koh</w:t>
      </w:r>
      <w:r w:rsidR="008A53C5">
        <w:rPr>
          <w:rStyle w:val="None"/>
          <w:noProof/>
        </w:rPr>
        <w:t>dan</w:t>
      </w:r>
      <w:r w:rsidR="00283102">
        <w:rPr>
          <w:rStyle w:val="None"/>
          <w:noProof/>
        </w:rPr>
        <w:t xml:space="preserve"> </w:t>
      </w:r>
      <w:r w:rsidR="008A53C5" w:rsidRPr="008A53C5">
        <w:rPr>
          <w:rStyle w:val="None"/>
          <w:noProof/>
        </w:rPr>
        <w:t xml:space="preserve">kolmannen alakohdan ensimmäinen virke </w:t>
      </w:r>
      <w:r w:rsidR="00283102">
        <w:rPr>
          <w:rStyle w:val="None"/>
          <w:noProof/>
        </w:rPr>
        <w:t>seuraavasti:</w:t>
      </w:r>
    </w:p>
    <w:p w14:paraId="2F33C136" w14:textId="77777777" w:rsidR="00283102" w:rsidRDefault="00283102" w:rsidP="00283102">
      <w:pPr>
        <w:spacing w:before="240"/>
        <w:ind w:left="1440"/>
        <w:rPr>
          <w:rStyle w:val="None"/>
          <w:rFonts w:eastAsia="Arial Unicode MS"/>
          <w:noProof/>
          <w:color w:val="000000"/>
          <w:sz w:val="22"/>
          <w:szCs w:val="24"/>
          <w:bdr w:val="none" w:sz="0" w:space="0" w:color="auto" w:frame="1"/>
        </w:rPr>
      </w:pPr>
      <w:r>
        <w:rPr>
          <w:noProof/>
          <w:color w:val="000000"/>
        </w:rPr>
        <w:t>"Jos vakuutus- ja lisäeläkeviranomainen ei tee toisessa alakohdassa tarkoitettua päätöstä asetuksen (EU) N:o 1094/2010 19 artiklan 3 kohdan mukaisesti, ryhmävalvojan on tehtävä lopullinen päätös."</w:t>
      </w:r>
    </w:p>
    <w:p w14:paraId="6F880DC7" w14:textId="6FD7765B" w:rsidR="00283102" w:rsidRDefault="008A53C5" w:rsidP="00E335C6">
      <w:pPr>
        <w:rPr>
          <w:rStyle w:val="None"/>
          <w:noProof/>
          <w:szCs w:val="24"/>
        </w:rPr>
      </w:pPr>
      <w:r>
        <w:rPr>
          <w:noProof/>
        </w:rPr>
        <w:br w:type="page"/>
      </w:r>
      <w:r>
        <w:rPr>
          <w:noProof/>
        </w:rPr>
        <w:lastRenderedPageBreak/>
        <w:t>5</w:t>
      </w:r>
      <w:r w:rsidR="00283102">
        <w:rPr>
          <w:noProof/>
        </w:rPr>
        <w:t>)</w:t>
      </w:r>
      <w:r w:rsidR="00283102">
        <w:rPr>
          <w:noProof/>
        </w:rPr>
        <w:tab/>
      </w:r>
      <w:r w:rsidR="00283102">
        <w:rPr>
          <w:rStyle w:val="None"/>
          <w:noProof/>
        </w:rPr>
        <w:t>Korvataan 237 artiklan 3 kohdan kolmannen alakohdan ensimmäinen virke seuraavasti:</w:t>
      </w:r>
    </w:p>
    <w:p w14:paraId="51859157" w14:textId="77777777" w:rsidR="00283102" w:rsidRDefault="00283102" w:rsidP="00283102">
      <w:pPr>
        <w:spacing w:before="240"/>
        <w:ind w:left="720"/>
        <w:rPr>
          <w:rStyle w:val="None"/>
          <w:rFonts w:eastAsia="Arial Unicode MS"/>
          <w:i/>
          <w:noProof/>
          <w:color w:val="000000"/>
          <w:sz w:val="22"/>
          <w:szCs w:val="24"/>
          <w:bdr w:val="none" w:sz="0" w:space="0" w:color="auto" w:frame="1"/>
        </w:rPr>
      </w:pPr>
      <w:r>
        <w:rPr>
          <w:noProof/>
          <w:color w:val="000000"/>
        </w:rPr>
        <w:t xml:space="preserve">"Jos vakuutus- ja lisäeläkeviranomainen ei tee </w:t>
      </w:r>
      <w:r>
        <w:rPr>
          <w:noProof/>
        </w:rPr>
        <w:t>toisessa</w:t>
      </w:r>
      <w:r>
        <w:rPr>
          <w:noProof/>
          <w:color w:val="000000"/>
        </w:rPr>
        <w:t xml:space="preserve"> alakohdassa</w:t>
      </w:r>
      <w:r>
        <w:rPr>
          <w:rStyle w:val="None"/>
          <w:noProof/>
        </w:rPr>
        <w:t xml:space="preserve"> </w:t>
      </w:r>
      <w:r>
        <w:rPr>
          <w:noProof/>
          <w:color w:val="000000"/>
        </w:rPr>
        <w:t>tarkoitettua päätöstä asetuksen (EU) N:o 1094/2010 19 artiklan 3 kohdan mukaisesti, ryhmävalvojan on tehtävä lopullinen päätös."</w:t>
      </w:r>
    </w:p>
    <w:p w14:paraId="0C258ECD" w14:textId="4F8E2F25" w:rsidR="00283102" w:rsidRDefault="008A53C5" w:rsidP="00BA3F95">
      <w:pPr>
        <w:pStyle w:val="Point0"/>
        <w:rPr>
          <w:rStyle w:val="None"/>
          <w:noProof/>
          <w:szCs w:val="20"/>
          <w:lang w:eastAsia="fr-BE"/>
        </w:rPr>
      </w:pPr>
      <w:r>
        <w:rPr>
          <w:noProof/>
        </w:rPr>
        <w:t>6</w:t>
      </w:r>
      <w:r w:rsidR="00283102">
        <w:rPr>
          <w:noProof/>
        </w:rPr>
        <w:t>)</w:t>
      </w:r>
      <w:r w:rsidR="00283102">
        <w:rPr>
          <w:noProof/>
        </w:rPr>
        <w:tab/>
      </w:r>
      <w:r w:rsidR="00BA3F95">
        <w:rPr>
          <w:rStyle w:val="None"/>
          <w:noProof/>
        </w:rPr>
        <w:t xml:space="preserve">Kumotaan </w:t>
      </w:r>
      <w:r w:rsidR="00283102">
        <w:rPr>
          <w:rStyle w:val="None"/>
          <w:noProof/>
        </w:rPr>
        <w:t>248 artiklan 4 kohdan kolmas alakohta.</w:t>
      </w:r>
    </w:p>
    <w:p w14:paraId="17E3F9EF" w14:textId="1CB37B0E" w:rsidR="00C87AF0" w:rsidRPr="00D031FC" w:rsidRDefault="008A53C5" w:rsidP="00AF6FAC">
      <w:pPr>
        <w:widowControl/>
        <w:spacing w:before="120" w:after="120"/>
        <w:jc w:val="center"/>
        <w:rPr>
          <w:rFonts w:eastAsia="Calibri"/>
          <w:b/>
          <w:i/>
          <w:szCs w:val="24"/>
          <w:lang w:eastAsia="en-US"/>
        </w:rPr>
      </w:pPr>
      <w:r>
        <w:rPr>
          <w:rFonts w:eastAsia="Calibri"/>
          <w:b/>
          <w:i/>
          <w:szCs w:val="24"/>
          <w:lang w:eastAsia="en-US"/>
        </w:rPr>
        <w:t>3</w:t>
      </w:r>
      <w:r w:rsidR="00C87AF0" w:rsidRPr="00D031FC">
        <w:rPr>
          <w:rFonts w:eastAsia="Calibri"/>
          <w:b/>
          <w:i/>
          <w:szCs w:val="24"/>
          <w:lang w:eastAsia="en-US"/>
        </w:rPr>
        <w:t xml:space="preserve"> artikla</w:t>
      </w:r>
      <w:r w:rsidR="00AF6FAC">
        <w:rPr>
          <w:rFonts w:eastAsia="Calibri"/>
          <w:b/>
          <w:i/>
          <w:szCs w:val="24"/>
          <w:lang w:eastAsia="en-US"/>
        </w:rPr>
        <w:br/>
      </w:r>
      <w:r w:rsidR="00C87AF0" w:rsidRPr="00D031FC">
        <w:rPr>
          <w:rFonts w:eastAsia="Calibri"/>
          <w:b/>
          <w:i/>
          <w:szCs w:val="24"/>
          <w:lang w:eastAsia="en-US"/>
        </w:rPr>
        <w:t>Muutokset direktiiviin (EU) 2015/849</w:t>
      </w:r>
    </w:p>
    <w:p w14:paraId="1FF806CA" w14:textId="77777777" w:rsidR="00C87AF0" w:rsidRPr="00D031FC" w:rsidRDefault="00C87AF0" w:rsidP="00C87AF0">
      <w:pPr>
        <w:widowControl/>
        <w:spacing w:before="120" w:after="120"/>
        <w:rPr>
          <w:rFonts w:eastAsia="Calibri"/>
          <w:b/>
          <w:i/>
          <w:szCs w:val="24"/>
          <w:lang w:eastAsia="en-US"/>
        </w:rPr>
      </w:pPr>
      <w:r w:rsidRPr="00D031FC">
        <w:rPr>
          <w:rFonts w:eastAsia="Calibri"/>
          <w:b/>
          <w:i/>
          <w:szCs w:val="24"/>
          <w:lang w:eastAsia="en-US"/>
        </w:rPr>
        <w:t>Muutetaan direktiivi (EU) 2015/849 seuraavasti:</w:t>
      </w:r>
    </w:p>
    <w:p w14:paraId="0929395F" w14:textId="77777777" w:rsidR="00C87AF0" w:rsidRPr="00D031FC" w:rsidRDefault="00C87AF0" w:rsidP="00C87AF0">
      <w:pPr>
        <w:widowControl/>
        <w:spacing w:before="120" w:after="120"/>
        <w:ind w:left="850" w:hanging="850"/>
        <w:rPr>
          <w:rFonts w:eastAsia="Calibri"/>
          <w:b/>
          <w:i/>
          <w:szCs w:val="24"/>
          <w:lang w:eastAsia="en-US"/>
        </w:rPr>
      </w:pPr>
      <w:r w:rsidRPr="00D031FC">
        <w:rPr>
          <w:rFonts w:eastAsia="Calibri"/>
          <w:b/>
          <w:i/>
          <w:szCs w:val="24"/>
          <w:lang w:eastAsia="en-US"/>
        </w:rPr>
        <w:t>1)</w:t>
      </w:r>
      <w:r w:rsidRPr="00D031FC">
        <w:rPr>
          <w:rFonts w:eastAsia="Calibri"/>
          <w:b/>
          <w:i/>
          <w:szCs w:val="24"/>
          <w:lang w:eastAsia="en-US"/>
        </w:rPr>
        <w:tab/>
        <w:t>Muutetaan 6 artikla seuraavasti:</w:t>
      </w:r>
    </w:p>
    <w:p w14:paraId="0D8A97A7" w14:textId="77777777" w:rsidR="00C87AF0" w:rsidRDefault="00C87AF0" w:rsidP="00C87AF0">
      <w:pPr>
        <w:widowControl/>
        <w:spacing w:before="120" w:after="120"/>
        <w:ind w:left="1417" w:hanging="567"/>
        <w:rPr>
          <w:rFonts w:eastAsia="Calibri"/>
          <w:b/>
          <w:i/>
          <w:szCs w:val="24"/>
          <w:lang w:eastAsia="en-US"/>
        </w:rPr>
      </w:pPr>
      <w:r w:rsidRPr="00D031FC">
        <w:rPr>
          <w:rFonts w:eastAsia="Calibri"/>
          <w:b/>
          <w:i/>
          <w:szCs w:val="24"/>
          <w:lang w:eastAsia="en-US"/>
        </w:rPr>
        <w:t>a)</w:t>
      </w:r>
      <w:r w:rsidRPr="00D031FC">
        <w:rPr>
          <w:rFonts w:eastAsia="Calibri"/>
          <w:b/>
          <w:i/>
          <w:szCs w:val="24"/>
          <w:lang w:eastAsia="en-US"/>
        </w:rPr>
        <w:tab/>
        <w:t>korvataan 3 kohta seuraavasti:</w:t>
      </w:r>
    </w:p>
    <w:p w14:paraId="18E8A69B" w14:textId="304F8E5D" w:rsidR="00085187" w:rsidRPr="00B74E85" w:rsidRDefault="00C87AF0" w:rsidP="00C87AF0">
      <w:pPr>
        <w:widowControl/>
        <w:spacing w:before="120" w:after="120"/>
        <w:ind w:left="1985" w:hanging="567"/>
        <w:rPr>
          <w:rFonts w:eastAsia="Calibri"/>
          <w:b/>
          <w:i/>
          <w:szCs w:val="24"/>
          <w:lang w:eastAsia="en-US"/>
        </w:rPr>
      </w:pPr>
      <w:r>
        <w:rPr>
          <w:rFonts w:eastAsia="Calibri"/>
          <w:b/>
          <w:i/>
          <w:szCs w:val="24"/>
          <w:lang w:eastAsia="en-US"/>
        </w:rPr>
        <w:br w:type="page"/>
      </w:r>
      <w:r w:rsidRPr="00D031FC">
        <w:rPr>
          <w:rFonts w:eastAsia="Calibri"/>
          <w:b/>
          <w:i/>
          <w:szCs w:val="24"/>
          <w:lang w:eastAsia="en-US"/>
        </w:rPr>
        <w:lastRenderedPageBreak/>
        <w:t>"3.</w:t>
      </w:r>
      <w:r w:rsidRPr="00D031FC">
        <w:rPr>
          <w:rFonts w:eastAsia="Calibri"/>
          <w:b/>
          <w:i/>
          <w:szCs w:val="24"/>
          <w:lang w:eastAsia="en-US"/>
        </w:rPr>
        <w:tab/>
        <w:t xml:space="preserve">Komissio asettaa 1 kohdassa </w:t>
      </w:r>
      <w:r w:rsidRPr="00B74E85">
        <w:rPr>
          <w:rFonts w:eastAsia="Calibri"/>
          <w:b/>
          <w:i/>
          <w:szCs w:val="24"/>
          <w:lang w:eastAsia="en-US"/>
        </w:rPr>
        <w:t xml:space="preserve">tarkoitetun kertomuksen jäsenvaltioiden ja ilmoitusvelvollisten saataville, jotta näiden olisi helpompi tunnistaa rahanpesun ja terrorismin rahoituksen riski, saada siitä käsitys ja hallita ja vähentää sitä ja jotta muiden sidosryhmien, mukaan luettuina kansalliset lainsäätäjät, Euroopan parlamentti, </w:t>
      </w:r>
      <w:r w:rsidR="00085187" w:rsidRPr="00B74E85">
        <w:rPr>
          <w:rFonts w:eastAsia="Calibri"/>
          <w:b/>
          <w:i/>
          <w:szCs w:val="24"/>
          <w:lang w:eastAsia="en-US"/>
        </w:rPr>
        <w:t>asetuksella (EU) N:o 1093/2010 perustettu Euroopan valvontaviranomainen (</w:t>
      </w:r>
      <w:r w:rsidRPr="00B74E85">
        <w:rPr>
          <w:rFonts w:eastAsia="Calibri"/>
          <w:b/>
          <w:i/>
          <w:szCs w:val="24"/>
          <w:lang w:eastAsia="en-US"/>
        </w:rPr>
        <w:t>Euroopan pankkiviranomainen</w:t>
      </w:r>
      <w:r w:rsidR="00085187" w:rsidRPr="00B74E85">
        <w:rPr>
          <w:rFonts w:eastAsia="Calibri"/>
          <w:b/>
          <w:i/>
          <w:szCs w:val="24"/>
          <w:lang w:eastAsia="en-US"/>
        </w:rPr>
        <w:t>)</w:t>
      </w:r>
      <w:r w:rsidRPr="00B74E85">
        <w:rPr>
          <w:rFonts w:eastAsia="Calibri"/>
          <w:b/>
          <w:i/>
          <w:szCs w:val="24"/>
          <w:lang w:eastAsia="en-US"/>
        </w:rPr>
        <w:t xml:space="preserve">, jäljempänä 'EPV', ja </w:t>
      </w:r>
      <w:r w:rsidR="000E3D66" w:rsidRPr="00B74E85">
        <w:rPr>
          <w:rFonts w:eastAsia="Calibri"/>
          <w:b/>
          <w:i/>
          <w:szCs w:val="24"/>
          <w:lang w:eastAsia="en-US"/>
        </w:rPr>
        <w:t xml:space="preserve">EU:n </w:t>
      </w:r>
      <w:r w:rsidRPr="00B74E85">
        <w:rPr>
          <w:rFonts w:eastAsia="Calibri"/>
          <w:b/>
          <w:i/>
          <w:szCs w:val="24"/>
          <w:lang w:eastAsia="en-US"/>
        </w:rPr>
        <w:t xml:space="preserve">rahanpesun selvittelykeskusten edustajat, olisi helpompi saada käsitys </w:t>
      </w:r>
      <w:r w:rsidR="000E3D66" w:rsidRPr="00B74E85">
        <w:rPr>
          <w:rFonts w:eastAsia="Calibri"/>
          <w:b/>
          <w:i/>
          <w:szCs w:val="24"/>
          <w:lang w:eastAsia="en-US"/>
        </w:rPr>
        <w:t xml:space="preserve">kyseisistä </w:t>
      </w:r>
      <w:r w:rsidRPr="00B74E85">
        <w:rPr>
          <w:rFonts w:eastAsia="Calibri"/>
          <w:b/>
          <w:i/>
          <w:szCs w:val="24"/>
          <w:lang w:eastAsia="en-US"/>
        </w:rPr>
        <w:t>riskeistä. K</w:t>
      </w:r>
      <w:r w:rsidR="000E3D66" w:rsidRPr="00B74E85">
        <w:rPr>
          <w:rFonts w:eastAsia="Calibri"/>
          <w:b/>
          <w:i/>
          <w:szCs w:val="24"/>
          <w:lang w:eastAsia="en-US"/>
        </w:rPr>
        <w:t>yseiset k</w:t>
      </w:r>
      <w:r w:rsidRPr="00B74E85">
        <w:rPr>
          <w:rFonts w:eastAsia="Calibri"/>
          <w:b/>
          <w:i/>
          <w:szCs w:val="24"/>
          <w:lang w:eastAsia="en-US"/>
        </w:rPr>
        <w:t>ertomukset on julkistettava viimeistään kuuden kuukauden kuluttua siitä, kun ne on asetettu jäsenvaltioiden saataville, lukuun ottamatta niitä kertomusten osia, jotka sisältävät luottamuksellisia tietoja.</w:t>
      </w:r>
    </w:p>
    <w:p w14:paraId="304C3FFB" w14:textId="77777777" w:rsidR="00085187" w:rsidRPr="00B74E85" w:rsidRDefault="00085187" w:rsidP="00C87AF0">
      <w:pPr>
        <w:widowControl/>
        <w:spacing w:before="120" w:after="120"/>
        <w:ind w:left="1985" w:hanging="567"/>
        <w:rPr>
          <w:rFonts w:eastAsia="Calibri"/>
          <w:b/>
          <w:i/>
          <w:szCs w:val="24"/>
          <w:lang w:eastAsia="en-US"/>
        </w:rPr>
      </w:pPr>
      <w:r w:rsidRPr="00B74E85">
        <w:rPr>
          <w:rFonts w:eastAsia="Calibri"/>
          <w:b/>
          <w:i/>
          <w:szCs w:val="24"/>
          <w:lang w:eastAsia="en-US"/>
        </w:rPr>
        <w:t>________________</w:t>
      </w:r>
    </w:p>
    <w:p w14:paraId="783F5872" w14:textId="77777777" w:rsidR="00C87AF0" w:rsidRPr="00D031FC" w:rsidRDefault="00085187" w:rsidP="00AF6FAC">
      <w:pPr>
        <w:widowControl/>
        <w:spacing w:before="120" w:after="120" w:line="240" w:lineRule="auto"/>
        <w:ind w:left="1985" w:hanging="567"/>
        <w:rPr>
          <w:rFonts w:eastAsia="Calibri"/>
          <w:b/>
          <w:i/>
          <w:szCs w:val="24"/>
          <w:lang w:eastAsia="en-US"/>
        </w:rPr>
      </w:pPr>
      <w:r w:rsidRPr="00B74E85">
        <w:rPr>
          <w:rFonts w:eastAsia="Calibri"/>
          <w:b/>
          <w:i/>
          <w:szCs w:val="24"/>
          <w:lang w:eastAsia="en-US"/>
        </w:rPr>
        <w:t>*</w:t>
      </w:r>
      <w:r w:rsidRPr="00B74E85">
        <w:rPr>
          <w:rFonts w:eastAsia="Calibri"/>
          <w:b/>
          <w:i/>
          <w:szCs w:val="24"/>
          <w:lang w:eastAsia="en-US"/>
        </w:rPr>
        <w:tab/>
      </w:r>
      <w:r w:rsidRPr="00B74E85">
        <w:rPr>
          <w:rFonts w:eastAsia="Calibri"/>
          <w:bCs/>
          <w:iCs/>
          <w:szCs w:val="24"/>
          <w:lang w:eastAsia="en-US"/>
        </w:rPr>
        <w:t>Euroopan parlamentin ja neuvoston asetus (EU) N:o 1093/2010, annettu 24 päivänä marraskuuta 2010, Euroopan valvontaviranomaisen (Euroopan pankkiviranomainen) perustamisesta sekä päätöksen N:o 716/2009/EY muuttamisesta ja komission päätöksen 2009/78/EY kumoamisesta (EUVL L 331 15.12.2010, s. 12).</w:t>
      </w:r>
      <w:r w:rsidR="00C87AF0" w:rsidRPr="00B74E85">
        <w:rPr>
          <w:rFonts w:eastAsia="Calibri"/>
          <w:bCs/>
          <w:iCs/>
          <w:szCs w:val="24"/>
          <w:lang w:eastAsia="en-US"/>
        </w:rPr>
        <w:t>"</w:t>
      </w:r>
    </w:p>
    <w:p w14:paraId="31310C92" w14:textId="77777777" w:rsidR="00C87AF0" w:rsidRPr="00D031FC" w:rsidRDefault="00C87AF0" w:rsidP="00C87AF0">
      <w:pPr>
        <w:widowControl/>
        <w:spacing w:before="120" w:after="120"/>
        <w:ind w:left="1417" w:hanging="567"/>
        <w:rPr>
          <w:rFonts w:eastAsia="Calibri"/>
          <w:b/>
          <w:i/>
          <w:szCs w:val="24"/>
          <w:lang w:eastAsia="en-US"/>
        </w:rPr>
      </w:pPr>
      <w:r w:rsidRPr="00D031FC">
        <w:rPr>
          <w:rFonts w:eastAsia="Calibri"/>
          <w:b/>
          <w:i/>
          <w:szCs w:val="24"/>
          <w:lang w:eastAsia="en-US"/>
        </w:rPr>
        <w:t>b)</w:t>
      </w:r>
      <w:r w:rsidRPr="00D031FC">
        <w:rPr>
          <w:rFonts w:eastAsia="Calibri"/>
          <w:b/>
          <w:i/>
          <w:szCs w:val="24"/>
          <w:lang w:eastAsia="en-US"/>
        </w:rPr>
        <w:tab/>
        <w:t>korvataan 5 kohdan toinen virke seuraavasti:</w:t>
      </w:r>
    </w:p>
    <w:p w14:paraId="41BBF9F5" w14:textId="77777777" w:rsidR="00C87AF0" w:rsidRPr="00D031FC" w:rsidRDefault="00C87AF0" w:rsidP="00C87AF0">
      <w:pPr>
        <w:widowControl/>
        <w:spacing w:before="120" w:after="120"/>
        <w:ind w:left="1417" w:firstLine="1"/>
        <w:rPr>
          <w:rFonts w:eastAsia="Calibri"/>
          <w:b/>
          <w:i/>
          <w:szCs w:val="24"/>
          <w:lang w:eastAsia="en-US"/>
        </w:rPr>
      </w:pPr>
      <w:r w:rsidRPr="00D031FC">
        <w:rPr>
          <w:rFonts w:eastAsia="Calibri"/>
          <w:b/>
          <w:i/>
          <w:szCs w:val="24"/>
          <w:lang w:eastAsia="en-US"/>
        </w:rPr>
        <w:t>"Tämän jälkeen EPV toimittaa lausunnon joka toinen vuosi."</w:t>
      </w:r>
    </w:p>
    <w:p w14:paraId="6370F954" w14:textId="77777777" w:rsidR="00C87AF0" w:rsidRPr="00D031FC" w:rsidRDefault="00C87AF0" w:rsidP="00C87AF0">
      <w:pPr>
        <w:widowControl/>
        <w:spacing w:before="120" w:after="120"/>
        <w:ind w:left="850" w:hanging="850"/>
        <w:rPr>
          <w:rFonts w:eastAsia="Calibri"/>
          <w:b/>
          <w:i/>
          <w:szCs w:val="24"/>
          <w:lang w:eastAsia="en-US"/>
        </w:rPr>
      </w:pPr>
      <w:r w:rsidRPr="00D031FC">
        <w:rPr>
          <w:rFonts w:eastAsia="Calibri"/>
          <w:b/>
          <w:i/>
          <w:szCs w:val="24"/>
          <w:lang w:eastAsia="en-US"/>
        </w:rPr>
        <w:t>2)</w:t>
      </w:r>
      <w:r w:rsidRPr="00D031FC">
        <w:rPr>
          <w:rFonts w:eastAsia="Calibri"/>
          <w:b/>
          <w:i/>
          <w:szCs w:val="24"/>
          <w:lang w:eastAsia="en-US"/>
        </w:rPr>
        <w:tab/>
        <w:t>Muutetaan 7 artikla seuraavasti:</w:t>
      </w:r>
    </w:p>
    <w:p w14:paraId="0019F6BE" w14:textId="77777777" w:rsidR="00C87AF0" w:rsidRPr="00D031FC" w:rsidRDefault="00C87AF0" w:rsidP="00C87AF0">
      <w:pPr>
        <w:widowControl/>
        <w:spacing w:before="120" w:after="120"/>
        <w:ind w:left="1417" w:hanging="567"/>
        <w:rPr>
          <w:rFonts w:eastAsia="Calibri"/>
          <w:b/>
          <w:i/>
          <w:szCs w:val="24"/>
          <w:lang w:eastAsia="en-US"/>
        </w:rPr>
      </w:pPr>
      <w:r w:rsidRPr="00D031FC">
        <w:rPr>
          <w:rFonts w:eastAsia="Calibri"/>
          <w:b/>
          <w:i/>
          <w:szCs w:val="24"/>
          <w:lang w:eastAsia="en-US"/>
        </w:rPr>
        <w:t>a)</w:t>
      </w:r>
      <w:r w:rsidRPr="00D031FC">
        <w:rPr>
          <w:rFonts w:eastAsia="Calibri"/>
          <w:b/>
          <w:i/>
          <w:szCs w:val="24"/>
          <w:lang w:eastAsia="en-US"/>
        </w:rPr>
        <w:tab/>
        <w:t>korvataan 2 kohdan toinen virke seuraavasti:</w:t>
      </w:r>
    </w:p>
    <w:p w14:paraId="7F1B87B9" w14:textId="77777777" w:rsidR="00C87AF0" w:rsidRPr="00D031FC" w:rsidRDefault="00C87AF0" w:rsidP="00C87AF0">
      <w:pPr>
        <w:widowControl/>
        <w:spacing w:before="120" w:after="120"/>
        <w:ind w:left="1417" w:firstLine="1"/>
        <w:rPr>
          <w:rFonts w:eastAsia="Calibri"/>
          <w:b/>
          <w:i/>
          <w:szCs w:val="24"/>
          <w:lang w:eastAsia="en-US"/>
        </w:rPr>
      </w:pPr>
      <w:r w:rsidRPr="00D031FC">
        <w:rPr>
          <w:rFonts w:eastAsia="Calibri"/>
          <w:b/>
          <w:i/>
          <w:szCs w:val="24"/>
          <w:lang w:eastAsia="en-US"/>
        </w:rPr>
        <w:t>"Viranomaisen nimi tai mekanismin kuvaus on ilmoitettava komissiolle, EPV:lle ja muille jäsenvaltioille."</w:t>
      </w:r>
    </w:p>
    <w:p w14:paraId="5E32C6F5" w14:textId="77777777" w:rsidR="00C87AF0" w:rsidRPr="00D031FC" w:rsidRDefault="00085187" w:rsidP="00C87AF0">
      <w:pPr>
        <w:widowControl/>
        <w:spacing w:before="120" w:after="120"/>
        <w:ind w:left="1417" w:hanging="567"/>
        <w:rPr>
          <w:rFonts w:eastAsia="Calibri"/>
          <w:b/>
          <w:i/>
          <w:szCs w:val="24"/>
          <w:lang w:eastAsia="en-US"/>
        </w:rPr>
      </w:pPr>
      <w:r>
        <w:rPr>
          <w:rFonts w:eastAsia="Calibri"/>
          <w:b/>
          <w:i/>
          <w:szCs w:val="24"/>
          <w:lang w:eastAsia="en-US"/>
        </w:rPr>
        <w:br w:type="page"/>
      </w:r>
      <w:r w:rsidR="00C87AF0" w:rsidRPr="00D031FC">
        <w:rPr>
          <w:rFonts w:eastAsia="Calibri"/>
          <w:b/>
          <w:i/>
          <w:szCs w:val="24"/>
          <w:lang w:eastAsia="en-US"/>
        </w:rPr>
        <w:lastRenderedPageBreak/>
        <w:t>b)</w:t>
      </w:r>
      <w:r w:rsidR="00C87AF0" w:rsidRPr="00D031FC">
        <w:rPr>
          <w:rFonts w:eastAsia="Calibri"/>
          <w:b/>
          <w:i/>
          <w:szCs w:val="24"/>
          <w:lang w:eastAsia="en-US"/>
        </w:rPr>
        <w:tab/>
        <w:t>korvataan 5 kohdan ensimmäinen virke seuraavasti:</w:t>
      </w:r>
    </w:p>
    <w:p w14:paraId="5D078B21" w14:textId="77777777" w:rsidR="00C87AF0" w:rsidRPr="00D031FC" w:rsidRDefault="00C87AF0" w:rsidP="00C87AF0">
      <w:pPr>
        <w:widowControl/>
        <w:spacing w:before="120" w:after="120"/>
        <w:ind w:left="1985" w:hanging="567"/>
        <w:rPr>
          <w:rFonts w:eastAsia="Calibri"/>
          <w:b/>
          <w:i/>
          <w:szCs w:val="24"/>
          <w:lang w:eastAsia="en-US"/>
        </w:rPr>
      </w:pPr>
      <w:r w:rsidRPr="00D031FC">
        <w:rPr>
          <w:rFonts w:eastAsia="Calibri"/>
          <w:b/>
          <w:i/>
          <w:szCs w:val="24"/>
          <w:lang w:eastAsia="en-US"/>
        </w:rPr>
        <w:t>"5.</w:t>
      </w:r>
      <w:r w:rsidRPr="00D031FC">
        <w:rPr>
          <w:rFonts w:eastAsia="Calibri"/>
          <w:b/>
          <w:i/>
          <w:szCs w:val="24"/>
          <w:lang w:eastAsia="en-US"/>
        </w:rPr>
        <w:tab/>
        <w:t>Jäsenvaltioiden on asetettava riskiarvioidensa tulokset, mukaan luettuina niiden ajan tasalle saatetut osat, komission, EPV:n ja muiden jäsenvaltioiden saataville."</w:t>
      </w:r>
    </w:p>
    <w:p w14:paraId="057160EF" w14:textId="77777777" w:rsidR="00C87AF0" w:rsidRPr="00D031FC" w:rsidRDefault="00C87AF0" w:rsidP="00C87AF0">
      <w:pPr>
        <w:widowControl/>
        <w:spacing w:before="120" w:after="120"/>
        <w:ind w:left="850" w:hanging="850"/>
        <w:rPr>
          <w:rFonts w:eastAsia="Calibri"/>
          <w:b/>
          <w:i/>
          <w:szCs w:val="24"/>
          <w:lang w:eastAsia="en-US"/>
        </w:rPr>
      </w:pPr>
      <w:r w:rsidRPr="00D031FC">
        <w:rPr>
          <w:rFonts w:eastAsia="Calibri"/>
          <w:b/>
          <w:i/>
          <w:szCs w:val="24"/>
          <w:lang w:eastAsia="en-US"/>
        </w:rPr>
        <w:t>3)</w:t>
      </w:r>
      <w:r w:rsidRPr="00D031FC">
        <w:rPr>
          <w:rFonts w:eastAsia="Calibri"/>
          <w:b/>
          <w:i/>
          <w:szCs w:val="24"/>
          <w:lang w:eastAsia="en-US"/>
        </w:rPr>
        <w:tab/>
        <w:t>Korvataan 17 artiklan ensimmäinen virke seuraavasti:</w:t>
      </w:r>
    </w:p>
    <w:p w14:paraId="69A07289" w14:textId="77777777" w:rsidR="00C87AF0" w:rsidRPr="00D031FC" w:rsidRDefault="00C87AF0" w:rsidP="00C87AF0">
      <w:pPr>
        <w:widowControl/>
        <w:spacing w:before="120" w:after="120"/>
        <w:ind w:left="850"/>
        <w:rPr>
          <w:rFonts w:eastAsia="Calibri"/>
          <w:b/>
          <w:i/>
          <w:szCs w:val="24"/>
          <w:lang w:eastAsia="en-US"/>
        </w:rPr>
      </w:pPr>
      <w:r w:rsidRPr="00D031FC">
        <w:rPr>
          <w:rFonts w:eastAsia="Calibri"/>
          <w:b/>
          <w:i/>
          <w:szCs w:val="24"/>
          <w:lang w:eastAsia="en-US"/>
        </w:rPr>
        <w:t>"Euroopan valvontaviranomaiset antavat viimeistään 26 päivänä kesäkuuta 2017, ja sen jälkeen EPV antaa, toimivaltaisille viranomaisille sekä luotto- ja finanssilaitoksille asetuksen (EU) N:o 1093/2010 16 artiklan mukaisesti ohjeet huomioon otettavista riskitekijöistä ja toteutettavista toimenpiteistä tilanteissa, joissa on aiheellista toteuttaa yksinkertaistettuja asiakkaan tuntemisvelvollisuutta koskevia toimenpiteitä."</w:t>
      </w:r>
    </w:p>
    <w:p w14:paraId="4B56D712" w14:textId="77777777" w:rsidR="00C87AF0" w:rsidRPr="00D031FC" w:rsidRDefault="00C87AF0" w:rsidP="00C87AF0">
      <w:pPr>
        <w:widowControl/>
        <w:spacing w:before="120" w:after="120"/>
        <w:ind w:left="850" w:hanging="850"/>
        <w:rPr>
          <w:rFonts w:eastAsia="Calibri"/>
          <w:b/>
          <w:i/>
          <w:szCs w:val="24"/>
          <w:lang w:eastAsia="en-US"/>
        </w:rPr>
      </w:pPr>
      <w:r w:rsidRPr="00D031FC">
        <w:rPr>
          <w:rFonts w:eastAsia="Calibri"/>
          <w:b/>
          <w:i/>
          <w:szCs w:val="24"/>
          <w:lang w:eastAsia="en-US"/>
        </w:rPr>
        <w:t>4)</w:t>
      </w:r>
      <w:r w:rsidRPr="00D031FC">
        <w:rPr>
          <w:rFonts w:eastAsia="Calibri"/>
          <w:b/>
          <w:i/>
          <w:szCs w:val="24"/>
          <w:lang w:eastAsia="en-US"/>
        </w:rPr>
        <w:tab/>
        <w:t>Korvataan 18 artiklan 4 kohdan ensimmäinen virke seuraavasti:</w:t>
      </w:r>
    </w:p>
    <w:p w14:paraId="5D85BD8E" w14:textId="77777777" w:rsidR="00C87AF0" w:rsidRPr="00D031FC" w:rsidRDefault="00C87AF0" w:rsidP="00C87AF0">
      <w:pPr>
        <w:widowControl/>
        <w:spacing w:before="120" w:after="120"/>
        <w:ind w:left="1417" w:hanging="567"/>
        <w:rPr>
          <w:rFonts w:eastAsia="Calibri"/>
          <w:b/>
          <w:i/>
          <w:szCs w:val="24"/>
          <w:lang w:eastAsia="en-US"/>
        </w:rPr>
      </w:pPr>
      <w:r w:rsidRPr="00D031FC">
        <w:rPr>
          <w:rFonts w:eastAsia="Calibri"/>
          <w:b/>
          <w:i/>
          <w:szCs w:val="24"/>
          <w:lang w:eastAsia="en-US"/>
        </w:rPr>
        <w:t>"4.</w:t>
      </w:r>
      <w:r w:rsidRPr="00D031FC">
        <w:rPr>
          <w:rFonts w:eastAsia="Calibri"/>
          <w:b/>
          <w:i/>
          <w:szCs w:val="24"/>
          <w:lang w:eastAsia="en-US"/>
        </w:rPr>
        <w:tab/>
        <w:t>Euroopan valvontaviranomaiset antavat viimeistään 26 päivänä kesäkuuta 2017, ja sen jälkeen EPV antaa, toimivaltaisille viranomaisille sekä luotto- ja finanssilaitoksille asetuksen (EU) N:o 1093/2010 16 artiklan mukaisesti ohjeet huomioon otettavista riskitekijöistä ja toteutettavista toimenpiteistä tilanteissa, joissa on aiheellista toteuttaa tehostettuja asiakkaan tuntemisvelvollisuutta koskevia toimenpiteitä."</w:t>
      </w:r>
    </w:p>
    <w:p w14:paraId="6EC5DFA1" w14:textId="77777777" w:rsidR="00C87AF0" w:rsidRPr="00D031FC" w:rsidRDefault="00085187" w:rsidP="00C87AF0">
      <w:pPr>
        <w:widowControl/>
        <w:spacing w:before="120" w:after="120"/>
        <w:ind w:left="850" w:hanging="850"/>
        <w:rPr>
          <w:rFonts w:eastAsia="Calibri"/>
          <w:b/>
          <w:i/>
          <w:szCs w:val="24"/>
          <w:lang w:eastAsia="en-US"/>
        </w:rPr>
      </w:pPr>
      <w:r>
        <w:rPr>
          <w:rFonts w:eastAsia="Calibri"/>
          <w:b/>
          <w:i/>
          <w:szCs w:val="24"/>
          <w:lang w:eastAsia="en-US"/>
        </w:rPr>
        <w:br w:type="page"/>
      </w:r>
      <w:r w:rsidR="00C87AF0" w:rsidRPr="00D031FC">
        <w:rPr>
          <w:rFonts w:eastAsia="Calibri"/>
          <w:b/>
          <w:i/>
          <w:szCs w:val="24"/>
          <w:lang w:eastAsia="en-US"/>
        </w:rPr>
        <w:lastRenderedPageBreak/>
        <w:t>5)</w:t>
      </w:r>
      <w:r w:rsidR="00C87AF0" w:rsidRPr="00D031FC">
        <w:rPr>
          <w:rFonts w:eastAsia="Calibri"/>
          <w:b/>
          <w:i/>
          <w:szCs w:val="24"/>
          <w:lang w:eastAsia="en-US"/>
        </w:rPr>
        <w:tab/>
        <w:t>Korvataan 41 artiklan 1 kohta seuraavasti:</w:t>
      </w:r>
    </w:p>
    <w:p w14:paraId="382104AC" w14:textId="19066C83" w:rsidR="00085187" w:rsidRDefault="00C87AF0">
      <w:pPr>
        <w:widowControl/>
        <w:spacing w:before="120" w:after="120"/>
        <w:ind w:left="1417" w:hanging="567"/>
        <w:rPr>
          <w:rFonts w:eastAsia="Calibri"/>
          <w:b/>
          <w:i/>
          <w:szCs w:val="24"/>
          <w:lang w:eastAsia="en-US"/>
        </w:rPr>
      </w:pPr>
      <w:r w:rsidRPr="00D031FC">
        <w:rPr>
          <w:rFonts w:eastAsia="Calibri"/>
          <w:b/>
          <w:i/>
          <w:szCs w:val="24"/>
          <w:lang w:eastAsia="en-US"/>
        </w:rPr>
        <w:t>"1.</w:t>
      </w:r>
      <w:r w:rsidRPr="00D031FC">
        <w:rPr>
          <w:rFonts w:eastAsia="Calibri"/>
          <w:b/>
          <w:i/>
          <w:szCs w:val="24"/>
          <w:lang w:eastAsia="en-US"/>
        </w:rPr>
        <w:tab/>
        <w:t>Tämän direktiivin mukaiseen henkilötietojen käsittelyyn sovelletaan</w:t>
      </w:r>
      <w:r w:rsidR="00085187">
        <w:rPr>
          <w:rFonts w:eastAsia="Calibri"/>
          <w:b/>
          <w:i/>
          <w:szCs w:val="24"/>
          <w:lang w:eastAsia="en-US"/>
        </w:rPr>
        <w:t xml:space="preserve"> Euroopan parlamentin ja neuvoston asetusta (EU) 2016/679*</w:t>
      </w:r>
      <w:r w:rsidRPr="00D031FC">
        <w:rPr>
          <w:rFonts w:eastAsia="Calibri"/>
          <w:b/>
          <w:i/>
          <w:szCs w:val="24"/>
          <w:lang w:eastAsia="en-US"/>
        </w:rPr>
        <w:t xml:space="preserve">. Henkilötietoihin, joita komissio tai EPV käsittelee tämän direktiivin mukaisesti, sovelletaan </w:t>
      </w:r>
      <w:r w:rsidR="00085187" w:rsidRPr="00085187">
        <w:rPr>
          <w:rFonts w:eastAsia="Calibri"/>
          <w:b/>
          <w:i/>
          <w:szCs w:val="24"/>
          <w:lang w:eastAsia="en-US"/>
        </w:rPr>
        <w:t xml:space="preserve">Euroopan parlamentin ja neuvoston </w:t>
      </w:r>
      <w:r w:rsidRPr="00D031FC">
        <w:rPr>
          <w:rFonts w:eastAsia="Calibri"/>
          <w:b/>
          <w:i/>
          <w:szCs w:val="24"/>
          <w:lang w:eastAsia="en-US"/>
        </w:rPr>
        <w:t>asetusta</w:t>
      </w:r>
      <w:r w:rsidR="00085187">
        <w:rPr>
          <w:rFonts w:eastAsia="Calibri"/>
          <w:b/>
          <w:i/>
          <w:szCs w:val="24"/>
          <w:lang w:eastAsia="en-US"/>
        </w:rPr>
        <w:t xml:space="preserve"> (EU) 2018/1725**</w:t>
      </w:r>
      <w:r w:rsidRPr="00D031FC">
        <w:rPr>
          <w:rFonts w:eastAsia="Calibri"/>
          <w:b/>
          <w:i/>
          <w:szCs w:val="24"/>
          <w:lang w:eastAsia="en-US"/>
        </w:rPr>
        <w:t>.</w:t>
      </w:r>
    </w:p>
    <w:p w14:paraId="65BD0496" w14:textId="77777777" w:rsidR="00085187" w:rsidRDefault="00085187">
      <w:pPr>
        <w:widowControl/>
        <w:spacing w:before="120" w:after="120"/>
        <w:ind w:left="1417" w:hanging="567"/>
        <w:rPr>
          <w:rFonts w:eastAsia="Calibri"/>
          <w:b/>
          <w:i/>
          <w:szCs w:val="24"/>
          <w:lang w:eastAsia="en-US"/>
        </w:rPr>
      </w:pPr>
      <w:r>
        <w:rPr>
          <w:rFonts w:eastAsia="Calibri"/>
          <w:b/>
          <w:i/>
          <w:szCs w:val="24"/>
          <w:lang w:eastAsia="en-US"/>
        </w:rPr>
        <w:t>_______________</w:t>
      </w:r>
    </w:p>
    <w:p w14:paraId="1F65E0FC" w14:textId="77777777" w:rsidR="00085187" w:rsidRPr="00E335C6" w:rsidRDefault="00085187" w:rsidP="00E335C6">
      <w:pPr>
        <w:widowControl/>
        <w:spacing w:line="240" w:lineRule="auto"/>
        <w:ind w:left="1417" w:hanging="567"/>
        <w:rPr>
          <w:rFonts w:eastAsia="Calibri"/>
          <w:bCs/>
          <w:iCs/>
          <w:szCs w:val="24"/>
          <w:lang w:eastAsia="en-US"/>
        </w:rPr>
      </w:pPr>
      <w:r>
        <w:rPr>
          <w:rFonts w:eastAsia="Calibri"/>
          <w:b/>
          <w:i/>
          <w:szCs w:val="24"/>
          <w:lang w:eastAsia="en-US"/>
        </w:rPr>
        <w:t>*</w:t>
      </w:r>
      <w:r>
        <w:rPr>
          <w:rFonts w:eastAsia="Calibri"/>
          <w:b/>
          <w:i/>
          <w:szCs w:val="24"/>
          <w:lang w:eastAsia="en-US"/>
        </w:rPr>
        <w:tab/>
      </w:r>
      <w:r w:rsidR="0044571C" w:rsidRPr="00E335C6">
        <w:rPr>
          <w:rFonts w:eastAsia="Calibri"/>
          <w:bCs/>
          <w:iCs/>
          <w:szCs w:val="24"/>
          <w:lang w:eastAsia="en-US"/>
        </w:rPr>
        <w:t>Euroopan parlamentin ja neuvoston asetus (EU) 2016/679, annettu 27 päivänä huhtikuuta 2016, luonnollisten henkilöiden suojelusta henkilötietojen käsittelyssä sekä näiden tietojen vapaasta liikkuvuudesta ja direktiivin 95/46/EY kumoamisesta (yleinen tietosuoja-asetus)(EUVL L 119 4.5.2016, s. 1).</w:t>
      </w:r>
    </w:p>
    <w:p w14:paraId="2274EC01" w14:textId="77777777" w:rsidR="00C87AF0" w:rsidRPr="00E335C6" w:rsidRDefault="0044571C" w:rsidP="00E335C6">
      <w:pPr>
        <w:widowControl/>
        <w:spacing w:before="120" w:after="120" w:line="240" w:lineRule="auto"/>
        <w:ind w:left="1417" w:hanging="567"/>
        <w:rPr>
          <w:rFonts w:eastAsia="Calibri"/>
          <w:bCs/>
          <w:iCs/>
          <w:szCs w:val="24"/>
          <w:lang w:eastAsia="en-US"/>
        </w:rPr>
      </w:pPr>
      <w:r>
        <w:rPr>
          <w:rFonts w:eastAsia="Calibri"/>
          <w:bCs/>
          <w:iCs/>
          <w:szCs w:val="24"/>
          <w:lang w:eastAsia="en-US"/>
        </w:rPr>
        <w:t>*</w:t>
      </w:r>
      <w:r w:rsidR="00085187" w:rsidRPr="00E335C6">
        <w:rPr>
          <w:rFonts w:eastAsia="Calibri"/>
          <w:bCs/>
          <w:iCs/>
          <w:szCs w:val="24"/>
          <w:lang w:eastAsia="en-US"/>
        </w:rPr>
        <w:t>*</w:t>
      </w:r>
      <w:r w:rsidR="00085187" w:rsidRPr="00E335C6">
        <w:rPr>
          <w:rFonts w:eastAsia="Calibri"/>
          <w:bCs/>
          <w:iCs/>
          <w:szCs w:val="24"/>
          <w:lang w:eastAsia="en-US"/>
        </w:rPr>
        <w:tab/>
      </w:r>
      <w:r w:rsidRPr="00E335C6">
        <w:rPr>
          <w:rFonts w:eastAsia="Calibri"/>
          <w:bCs/>
          <w:iCs/>
          <w:szCs w:val="24"/>
          <w:lang w:eastAsia="en-US"/>
        </w:rPr>
        <w:t>Euroopan parlamentin ja neuvoston asetus (EU) 2018/1725, annettu 23 päivänä lokakuuta 2018, luonnollisten henkilöiden suojelusta unionin toimielinten, elinten ja laitosten suorittamassa henkilötietojen käsittelyssä ja näiden tietojen vapaasta liikkuvuudesta sekä asetuksen (EY) N:o 45/ 2001 ja päätöksen N:o 1247/2002/EY kumoamisesta (EUVL L 295, 21.11.2018, s. 39).</w:t>
      </w:r>
      <w:r w:rsidR="00C87AF0" w:rsidRPr="00E335C6">
        <w:rPr>
          <w:rFonts w:eastAsia="Calibri"/>
          <w:bCs/>
          <w:iCs/>
          <w:szCs w:val="24"/>
          <w:lang w:eastAsia="en-US"/>
        </w:rPr>
        <w:t>"</w:t>
      </w:r>
    </w:p>
    <w:p w14:paraId="7A8EAEA3" w14:textId="77777777" w:rsidR="00C87AF0" w:rsidRPr="00D031FC" w:rsidRDefault="00C87AF0" w:rsidP="00C87AF0">
      <w:pPr>
        <w:widowControl/>
        <w:spacing w:before="120" w:after="120"/>
        <w:ind w:left="850" w:hanging="850"/>
        <w:rPr>
          <w:rFonts w:eastAsia="Calibri"/>
          <w:b/>
          <w:i/>
          <w:szCs w:val="24"/>
          <w:lang w:eastAsia="en-US"/>
        </w:rPr>
      </w:pPr>
      <w:r w:rsidRPr="00D031FC">
        <w:rPr>
          <w:rFonts w:eastAsia="Calibri"/>
          <w:b/>
          <w:i/>
          <w:szCs w:val="24"/>
          <w:lang w:eastAsia="en-US"/>
        </w:rPr>
        <w:t>6)</w:t>
      </w:r>
      <w:r w:rsidRPr="00D031FC">
        <w:rPr>
          <w:rFonts w:eastAsia="Calibri"/>
          <w:b/>
          <w:i/>
          <w:szCs w:val="24"/>
          <w:lang w:eastAsia="en-US"/>
        </w:rPr>
        <w:tab/>
        <w:t>Muutetaan 45 artikla seuraavasti:</w:t>
      </w:r>
    </w:p>
    <w:p w14:paraId="4ECE9FF8" w14:textId="77777777" w:rsidR="00C87AF0" w:rsidRPr="00D031FC" w:rsidRDefault="00C87AF0" w:rsidP="00C87AF0">
      <w:pPr>
        <w:widowControl/>
        <w:spacing w:before="120" w:after="120"/>
        <w:ind w:left="1417" w:hanging="567"/>
        <w:rPr>
          <w:rFonts w:eastAsia="Calibri"/>
          <w:b/>
          <w:i/>
          <w:szCs w:val="24"/>
          <w:lang w:eastAsia="en-US"/>
        </w:rPr>
      </w:pPr>
      <w:r w:rsidRPr="00D031FC">
        <w:rPr>
          <w:rFonts w:eastAsia="Calibri"/>
          <w:b/>
          <w:i/>
          <w:szCs w:val="24"/>
          <w:lang w:eastAsia="en-US"/>
        </w:rPr>
        <w:t>a)</w:t>
      </w:r>
      <w:r w:rsidRPr="00D031FC">
        <w:rPr>
          <w:rFonts w:eastAsia="Calibri"/>
          <w:b/>
          <w:i/>
          <w:szCs w:val="24"/>
          <w:lang w:eastAsia="en-US"/>
        </w:rPr>
        <w:tab/>
        <w:t>korvataan 4 kohta seuraavasti:</w:t>
      </w:r>
    </w:p>
    <w:p w14:paraId="67DBD791" w14:textId="60C276E1" w:rsidR="00C87AF0" w:rsidRPr="00D031FC" w:rsidRDefault="00C87AF0" w:rsidP="00FD753D">
      <w:pPr>
        <w:widowControl/>
        <w:spacing w:before="120" w:after="120"/>
        <w:ind w:left="1985" w:hanging="567"/>
        <w:rPr>
          <w:rFonts w:eastAsia="Calibri"/>
          <w:b/>
          <w:i/>
          <w:szCs w:val="24"/>
          <w:lang w:eastAsia="en-US"/>
        </w:rPr>
      </w:pPr>
      <w:r w:rsidRPr="00D031FC">
        <w:rPr>
          <w:rFonts w:eastAsia="Calibri"/>
          <w:b/>
          <w:i/>
          <w:szCs w:val="24"/>
          <w:lang w:eastAsia="en-US"/>
        </w:rPr>
        <w:t>"4.</w:t>
      </w:r>
      <w:r w:rsidRPr="00D031FC">
        <w:rPr>
          <w:rFonts w:eastAsia="Calibri"/>
          <w:b/>
          <w:i/>
          <w:szCs w:val="24"/>
          <w:lang w:eastAsia="en-US"/>
        </w:rPr>
        <w:tab/>
        <w:t xml:space="preserve">Jäsenvaltioiden ja EPV:n on ilmoitettava toisilleen tapauksista, joissa kolmannen maan lainsäädännössä ei sallita 1 kohdassa edellytettyjen toimintaperiaatteiden ja menettelyjen täytäntöönpanoa. Tällaisissa tapauksissa ratkaisuun voidaan pyrkiä koordinoiduilla toimilla. </w:t>
      </w:r>
      <w:r w:rsidR="0044571C">
        <w:rPr>
          <w:rFonts w:eastAsia="Calibri"/>
          <w:b/>
          <w:i/>
          <w:szCs w:val="24"/>
          <w:lang w:eastAsia="en-US"/>
        </w:rPr>
        <w:t>Määrit</w:t>
      </w:r>
      <w:r w:rsidR="00D428BA">
        <w:rPr>
          <w:rFonts w:eastAsia="Calibri"/>
          <w:b/>
          <w:i/>
          <w:szCs w:val="24"/>
          <w:lang w:eastAsia="en-US"/>
        </w:rPr>
        <w:t>tä</w:t>
      </w:r>
      <w:r w:rsidR="0044571C">
        <w:rPr>
          <w:rFonts w:eastAsia="Calibri"/>
          <w:b/>
          <w:i/>
          <w:szCs w:val="24"/>
          <w:lang w:eastAsia="en-US"/>
        </w:rPr>
        <w:t>essään</w:t>
      </w:r>
      <w:r w:rsidRPr="00D031FC">
        <w:rPr>
          <w:rFonts w:eastAsia="Calibri"/>
          <w:b/>
          <w:i/>
          <w:szCs w:val="24"/>
          <w:lang w:eastAsia="en-US"/>
        </w:rPr>
        <w:t>, mitkä kolmannet maat eivät salli 1 kohdassa edellytettyjen toimintaperiaatteiden ja menettelyjen täytäntöönpanoa, jäsenvaltioiden ja EPV:n on otettava huomioon mahdolliset oikeudelliset rajoitukset, jotka saattavat estää kyseisten toimintaperiaatteiden ja menettelyjen asianmukaisen täytäntöönpanon, mukaan luettuina salassapitovelvollisuus, tietosuoja ja muut rajoitukset, jotka rajoittavat sellaisten tietojen vaihtoa, jotka saattavat olla tätä varten merkityksellisiä."</w:t>
      </w:r>
    </w:p>
    <w:p w14:paraId="77E9B3C8" w14:textId="77777777" w:rsidR="00C87AF0" w:rsidRPr="00D031FC" w:rsidRDefault="00A555E0" w:rsidP="00C87AF0">
      <w:pPr>
        <w:widowControl/>
        <w:spacing w:before="120" w:after="120"/>
        <w:ind w:left="1417" w:hanging="567"/>
        <w:rPr>
          <w:rFonts w:eastAsia="Calibri"/>
          <w:b/>
          <w:i/>
          <w:szCs w:val="24"/>
          <w:lang w:eastAsia="en-US"/>
        </w:rPr>
      </w:pPr>
      <w:r>
        <w:rPr>
          <w:rFonts w:eastAsia="Calibri"/>
          <w:b/>
          <w:i/>
          <w:szCs w:val="24"/>
          <w:lang w:eastAsia="en-US"/>
        </w:rPr>
        <w:br w:type="page"/>
      </w:r>
      <w:r w:rsidR="00C87AF0" w:rsidRPr="00D031FC">
        <w:rPr>
          <w:rFonts w:eastAsia="Calibri"/>
          <w:b/>
          <w:i/>
          <w:szCs w:val="24"/>
          <w:lang w:eastAsia="en-US"/>
        </w:rPr>
        <w:lastRenderedPageBreak/>
        <w:t>b)</w:t>
      </w:r>
      <w:r w:rsidR="00C87AF0" w:rsidRPr="00D031FC">
        <w:rPr>
          <w:rFonts w:eastAsia="Calibri"/>
          <w:b/>
          <w:i/>
          <w:szCs w:val="24"/>
          <w:lang w:eastAsia="en-US"/>
        </w:rPr>
        <w:tab/>
        <w:t>korvataan 6 kohta seuraavasti:</w:t>
      </w:r>
    </w:p>
    <w:p w14:paraId="5BA30541" w14:textId="77777777" w:rsidR="00C87AF0" w:rsidRPr="00D031FC" w:rsidRDefault="00C87AF0" w:rsidP="00C87AF0">
      <w:pPr>
        <w:widowControl/>
        <w:spacing w:before="120" w:after="120"/>
        <w:ind w:left="1985" w:hanging="567"/>
        <w:rPr>
          <w:rFonts w:eastAsia="Calibri"/>
          <w:b/>
          <w:i/>
          <w:szCs w:val="24"/>
          <w:lang w:eastAsia="en-US"/>
        </w:rPr>
      </w:pPr>
      <w:r w:rsidRPr="00D031FC">
        <w:rPr>
          <w:rFonts w:eastAsia="Calibri"/>
          <w:b/>
          <w:i/>
          <w:szCs w:val="24"/>
          <w:lang w:eastAsia="en-US"/>
        </w:rPr>
        <w:t>"6.</w:t>
      </w:r>
      <w:r w:rsidRPr="00D031FC">
        <w:rPr>
          <w:rFonts w:eastAsia="Calibri"/>
          <w:b/>
          <w:i/>
          <w:szCs w:val="24"/>
          <w:lang w:eastAsia="en-US"/>
        </w:rPr>
        <w:tab/>
        <w:t>EPV laatii luonnokset teknisiksi sääntelystandardeiksi, joissa yksilöidään, minkä tyyppisiä 5 kohdassa tarkoitetut lisätoimenpiteet ovat ja mitä vähimmäistoimia luotto- ja finanssilaitosten on toteutettava, jos kolmannen maan lainsäädännössä ei sallita 1 ja 3 kohdassa edellytettyjen toimenpiteiden täytäntöönpanoa.</w:t>
      </w:r>
    </w:p>
    <w:p w14:paraId="180D635C" w14:textId="77777777" w:rsidR="00C87AF0" w:rsidRPr="00D031FC" w:rsidRDefault="00C87AF0" w:rsidP="00C87AF0">
      <w:pPr>
        <w:widowControl/>
        <w:spacing w:before="120" w:after="120"/>
        <w:ind w:left="1985" w:firstLine="1"/>
        <w:rPr>
          <w:rFonts w:eastAsia="Calibri"/>
          <w:b/>
          <w:i/>
          <w:szCs w:val="24"/>
          <w:lang w:eastAsia="en-US"/>
        </w:rPr>
      </w:pPr>
      <w:r w:rsidRPr="00D031FC">
        <w:rPr>
          <w:rFonts w:eastAsia="Calibri"/>
          <w:b/>
          <w:i/>
          <w:szCs w:val="24"/>
          <w:lang w:eastAsia="en-US"/>
        </w:rPr>
        <w:t>EPV toimittaa ensimmäisessä alakohdassa tarkoitetut teknisten sääntelystandardien luonnokset komissiolle viimeistään 26 päivänä joulukuuta 2016."</w:t>
      </w:r>
    </w:p>
    <w:p w14:paraId="54A9849B" w14:textId="77777777" w:rsidR="00C87AF0" w:rsidRPr="00D031FC" w:rsidRDefault="00C87AF0" w:rsidP="00C87AF0">
      <w:pPr>
        <w:widowControl/>
        <w:spacing w:before="120" w:after="120"/>
        <w:ind w:left="1417" w:hanging="567"/>
        <w:rPr>
          <w:rFonts w:eastAsia="Calibri"/>
          <w:b/>
          <w:i/>
          <w:szCs w:val="24"/>
          <w:lang w:eastAsia="en-US"/>
        </w:rPr>
      </w:pPr>
      <w:r w:rsidRPr="00D031FC">
        <w:rPr>
          <w:rFonts w:eastAsia="Calibri"/>
          <w:b/>
          <w:i/>
          <w:szCs w:val="24"/>
          <w:lang w:eastAsia="en-US"/>
        </w:rPr>
        <w:t>c)</w:t>
      </w:r>
      <w:r w:rsidRPr="00D031FC">
        <w:rPr>
          <w:rFonts w:eastAsia="Calibri"/>
          <w:b/>
          <w:i/>
          <w:szCs w:val="24"/>
          <w:lang w:eastAsia="en-US"/>
        </w:rPr>
        <w:tab/>
        <w:t>korvataan 10 kohta seuraavasti:</w:t>
      </w:r>
    </w:p>
    <w:p w14:paraId="06511364" w14:textId="77777777" w:rsidR="00C87AF0" w:rsidRPr="00D031FC" w:rsidRDefault="00C87AF0" w:rsidP="00C87AF0">
      <w:pPr>
        <w:widowControl/>
        <w:spacing w:before="120" w:after="120"/>
        <w:ind w:left="1985" w:hanging="567"/>
        <w:rPr>
          <w:rFonts w:eastAsia="Calibri"/>
          <w:b/>
          <w:i/>
          <w:szCs w:val="24"/>
          <w:lang w:eastAsia="en-US"/>
        </w:rPr>
      </w:pPr>
      <w:r w:rsidRPr="00D031FC">
        <w:rPr>
          <w:rFonts w:eastAsia="Calibri"/>
          <w:b/>
          <w:i/>
          <w:szCs w:val="24"/>
          <w:lang w:eastAsia="en-US"/>
        </w:rPr>
        <w:t>"10.</w:t>
      </w:r>
      <w:r w:rsidRPr="00D031FC">
        <w:rPr>
          <w:rFonts w:eastAsia="Calibri"/>
          <w:b/>
          <w:i/>
          <w:szCs w:val="24"/>
          <w:lang w:eastAsia="en-US"/>
        </w:rPr>
        <w:tab/>
        <w:t>EPV laatii teknisten sääntelystandardien luonnokset perusteista, joilla määritetään olosuhteet, joissa 9 kohdan mukaisen keskitetyn yhteyspisteen perustaminen on aiheellista, sekä tällaisen yhteyspisteen tehtävistä.</w:t>
      </w:r>
    </w:p>
    <w:p w14:paraId="6F619813" w14:textId="77777777" w:rsidR="00C87AF0" w:rsidRPr="00D031FC" w:rsidRDefault="00C87AF0" w:rsidP="00C87AF0">
      <w:pPr>
        <w:widowControl/>
        <w:spacing w:before="120" w:after="120"/>
        <w:ind w:left="1985"/>
        <w:rPr>
          <w:rFonts w:eastAsia="Calibri"/>
          <w:b/>
          <w:i/>
          <w:szCs w:val="24"/>
          <w:lang w:eastAsia="en-US"/>
        </w:rPr>
      </w:pPr>
      <w:r w:rsidRPr="00D031FC">
        <w:rPr>
          <w:rFonts w:eastAsia="Calibri"/>
          <w:b/>
          <w:i/>
          <w:szCs w:val="24"/>
          <w:lang w:eastAsia="en-US"/>
        </w:rPr>
        <w:t>EPV toimittaa ensimmäisessä alakohdassa tarkoitetut teknisten sääntelystandardien luonnokset komissiolle viimeistään 26 päivänä joulukuuta 2017."</w:t>
      </w:r>
    </w:p>
    <w:p w14:paraId="0E140C50" w14:textId="77777777" w:rsidR="00C87AF0" w:rsidRPr="00D031FC" w:rsidRDefault="00C87AF0" w:rsidP="005A4182">
      <w:pPr>
        <w:widowControl/>
        <w:spacing w:before="120" w:after="120"/>
        <w:rPr>
          <w:rFonts w:eastAsia="Calibri"/>
          <w:b/>
          <w:i/>
          <w:szCs w:val="24"/>
          <w:lang w:eastAsia="en-US"/>
        </w:rPr>
      </w:pPr>
      <w:r w:rsidRPr="00D031FC">
        <w:rPr>
          <w:rFonts w:eastAsia="Calibri"/>
          <w:szCs w:val="24"/>
          <w:lang w:eastAsia="en-US"/>
        </w:rPr>
        <w:br w:type="page"/>
      </w:r>
      <w:r w:rsidRPr="00D031FC">
        <w:rPr>
          <w:rFonts w:eastAsia="Calibri"/>
          <w:b/>
          <w:i/>
          <w:szCs w:val="24"/>
          <w:lang w:eastAsia="en-US"/>
        </w:rPr>
        <w:lastRenderedPageBreak/>
        <w:t>7)</w:t>
      </w:r>
      <w:r w:rsidRPr="00D031FC">
        <w:rPr>
          <w:rFonts w:eastAsia="Calibri"/>
          <w:b/>
          <w:i/>
          <w:szCs w:val="24"/>
          <w:lang w:eastAsia="en-US"/>
        </w:rPr>
        <w:tab/>
        <w:t>Muutetaan 48 artikla seuraavasti:</w:t>
      </w:r>
    </w:p>
    <w:p w14:paraId="322912D5" w14:textId="1F5791AC" w:rsidR="00C87AF0" w:rsidRPr="00D031FC" w:rsidRDefault="00C87AF0">
      <w:pPr>
        <w:widowControl/>
        <w:spacing w:before="120" w:after="120"/>
        <w:ind w:left="1417" w:hanging="567"/>
        <w:rPr>
          <w:rFonts w:eastAsia="Calibri"/>
          <w:b/>
          <w:i/>
          <w:szCs w:val="24"/>
          <w:lang w:eastAsia="en-US"/>
        </w:rPr>
      </w:pPr>
      <w:r w:rsidRPr="00D031FC">
        <w:rPr>
          <w:rFonts w:eastAsia="Calibri"/>
          <w:b/>
          <w:i/>
          <w:szCs w:val="24"/>
          <w:lang w:eastAsia="en-US"/>
        </w:rPr>
        <w:t>a)</w:t>
      </w:r>
      <w:r w:rsidRPr="00D031FC">
        <w:rPr>
          <w:rFonts w:eastAsia="Calibri"/>
          <w:b/>
          <w:i/>
          <w:szCs w:val="24"/>
          <w:lang w:eastAsia="en-US"/>
        </w:rPr>
        <w:tab/>
        <w:t xml:space="preserve">korvataan 1 a kohdan toisen alakohdan </w:t>
      </w:r>
      <w:r w:rsidR="0044571C">
        <w:rPr>
          <w:rFonts w:eastAsia="Calibri"/>
          <w:b/>
          <w:i/>
          <w:szCs w:val="24"/>
          <w:lang w:eastAsia="en-US"/>
        </w:rPr>
        <w:t>kolmas</w:t>
      </w:r>
      <w:r w:rsidRPr="00D031FC">
        <w:rPr>
          <w:rFonts w:eastAsia="Calibri"/>
          <w:b/>
          <w:i/>
          <w:szCs w:val="24"/>
          <w:lang w:eastAsia="en-US"/>
        </w:rPr>
        <w:t xml:space="preserve"> virke seuraavasti:</w:t>
      </w:r>
    </w:p>
    <w:p w14:paraId="6CC450F0" w14:textId="77777777" w:rsidR="00C87AF0" w:rsidRPr="00D031FC" w:rsidRDefault="00C87AF0" w:rsidP="00C87AF0">
      <w:pPr>
        <w:widowControl/>
        <w:spacing w:before="120" w:after="120"/>
        <w:ind w:left="1417" w:firstLine="1"/>
        <w:rPr>
          <w:rFonts w:eastAsia="Calibri"/>
          <w:b/>
          <w:i/>
          <w:szCs w:val="24"/>
          <w:lang w:eastAsia="en-US"/>
        </w:rPr>
      </w:pPr>
      <w:r w:rsidRPr="00D031FC">
        <w:rPr>
          <w:rFonts w:eastAsia="Calibri"/>
          <w:b/>
          <w:i/>
          <w:szCs w:val="24"/>
          <w:lang w:eastAsia="en-US"/>
        </w:rPr>
        <w:t>"Jäsenvaltioiden finanssivalvontaviranomaisten on myös toimittava yhteyspisteenä EPV:lle."</w:t>
      </w:r>
    </w:p>
    <w:p w14:paraId="4262060B" w14:textId="77777777" w:rsidR="00C87AF0" w:rsidRPr="00D031FC" w:rsidRDefault="00C87AF0" w:rsidP="00C87AF0">
      <w:pPr>
        <w:widowControl/>
        <w:spacing w:before="120" w:after="120"/>
        <w:ind w:left="1417" w:hanging="567"/>
        <w:rPr>
          <w:rFonts w:eastAsia="Calibri"/>
          <w:b/>
          <w:i/>
          <w:szCs w:val="24"/>
          <w:lang w:eastAsia="en-US"/>
        </w:rPr>
      </w:pPr>
      <w:r w:rsidRPr="00D031FC">
        <w:rPr>
          <w:rFonts w:eastAsia="Calibri"/>
          <w:b/>
          <w:i/>
          <w:szCs w:val="24"/>
          <w:lang w:eastAsia="en-US"/>
        </w:rPr>
        <w:t>b)</w:t>
      </w:r>
      <w:r w:rsidRPr="00D031FC">
        <w:rPr>
          <w:rFonts w:eastAsia="Calibri"/>
          <w:b/>
          <w:i/>
          <w:szCs w:val="24"/>
          <w:lang w:eastAsia="en-US"/>
        </w:rPr>
        <w:tab/>
        <w:t>korvataan 10 kohdan ensimmäinen virke seuraavasti:</w:t>
      </w:r>
    </w:p>
    <w:p w14:paraId="458E9B67" w14:textId="77777777" w:rsidR="00C87AF0" w:rsidRPr="00D031FC" w:rsidRDefault="00C87AF0" w:rsidP="00C87AF0">
      <w:pPr>
        <w:widowControl/>
        <w:spacing w:before="120" w:after="120"/>
        <w:ind w:left="1985" w:hanging="567"/>
        <w:rPr>
          <w:rFonts w:eastAsia="Calibri"/>
          <w:b/>
          <w:i/>
          <w:szCs w:val="24"/>
          <w:lang w:eastAsia="en-US"/>
        </w:rPr>
      </w:pPr>
      <w:r w:rsidRPr="00D031FC">
        <w:rPr>
          <w:rFonts w:eastAsia="Calibri"/>
          <w:b/>
          <w:i/>
          <w:szCs w:val="24"/>
          <w:lang w:eastAsia="en-US"/>
        </w:rPr>
        <w:t>"10.</w:t>
      </w:r>
      <w:r w:rsidRPr="00D031FC">
        <w:rPr>
          <w:rFonts w:eastAsia="Calibri"/>
          <w:b/>
          <w:i/>
          <w:szCs w:val="24"/>
          <w:lang w:eastAsia="en-US"/>
        </w:rPr>
        <w:tab/>
        <w:t>"Euroopan valvontaviranomaiset antavat viimeistään 26 päivänä kesäkuuta 2017, ja sen jälkeen EPV antaa, toimivaltaisille viranomaisille asetuksen (EU) N:o 1093/2010 16 artiklan mukaisesti ohjeet valvontaa koskevan riskiperusteisen lähestymistavan ominaisuuksista ja riskiperusteisen valvonnan yhteydessä toteutettavista toimista."</w:t>
      </w:r>
    </w:p>
    <w:p w14:paraId="0AEC9C3B" w14:textId="77777777" w:rsidR="00C87AF0" w:rsidRPr="00D031FC" w:rsidRDefault="00C87AF0" w:rsidP="00C87AF0">
      <w:pPr>
        <w:widowControl/>
        <w:spacing w:before="120" w:after="120"/>
        <w:ind w:left="850" w:hanging="850"/>
        <w:rPr>
          <w:rFonts w:eastAsia="Calibri"/>
          <w:b/>
          <w:i/>
          <w:szCs w:val="24"/>
          <w:lang w:eastAsia="en-US"/>
        </w:rPr>
      </w:pPr>
      <w:r w:rsidRPr="00D031FC">
        <w:rPr>
          <w:rFonts w:eastAsia="Calibri"/>
          <w:b/>
          <w:i/>
          <w:szCs w:val="24"/>
          <w:lang w:eastAsia="en-US"/>
        </w:rPr>
        <w:t>8)</w:t>
      </w:r>
      <w:r w:rsidRPr="00D031FC">
        <w:rPr>
          <w:rFonts w:eastAsia="Calibri"/>
          <w:b/>
          <w:i/>
          <w:szCs w:val="24"/>
          <w:lang w:eastAsia="en-US"/>
        </w:rPr>
        <w:tab/>
        <w:t>Korvataan 3 jakson II alajakson otsikko seuraavasti:</w:t>
      </w:r>
    </w:p>
    <w:p w14:paraId="323246CC" w14:textId="77777777" w:rsidR="00C87AF0" w:rsidRPr="00D031FC" w:rsidRDefault="00C87AF0" w:rsidP="00C87AF0">
      <w:pPr>
        <w:widowControl/>
        <w:spacing w:before="120" w:after="120"/>
        <w:ind w:left="850"/>
        <w:rPr>
          <w:rFonts w:eastAsia="Calibri"/>
          <w:b/>
          <w:i/>
          <w:szCs w:val="24"/>
          <w:lang w:eastAsia="en-US"/>
        </w:rPr>
      </w:pPr>
      <w:r w:rsidRPr="00D031FC">
        <w:rPr>
          <w:rFonts w:eastAsia="Calibri"/>
          <w:b/>
          <w:i/>
          <w:szCs w:val="24"/>
          <w:lang w:eastAsia="en-US"/>
        </w:rPr>
        <w:t>"Yhteistyö EPV:n kanssa"</w:t>
      </w:r>
    </w:p>
    <w:p w14:paraId="4DD2BEE6" w14:textId="77777777" w:rsidR="0044571C" w:rsidRPr="00D031FC" w:rsidRDefault="00C87AF0" w:rsidP="005A4182">
      <w:pPr>
        <w:widowControl/>
        <w:spacing w:before="120" w:after="120"/>
        <w:rPr>
          <w:rFonts w:eastAsia="Calibri"/>
          <w:b/>
          <w:i/>
          <w:szCs w:val="24"/>
          <w:lang w:eastAsia="en-US"/>
        </w:rPr>
      </w:pPr>
      <w:r w:rsidRPr="00D031FC">
        <w:rPr>
          <w:rFonts w:eastAsia="Calibri"/>
          <w:szCs w:val="24"/>
          <w:lang w:eastAsia="en-US"/>
        </w:rPr>
        <w:br w:type="page"/>
      </w:r>
      <w:r w:rsidRPr="00D031FC">
        <w:rPr>
          <w:rFonts w:eastAsia="Calibri"/>
          <w:b/>
          <w:i/>
          <w:szCs w:val="24"/>
          <w:lang w:eastAsia="en-US"/>
        </w:rPr>
        <w:lastRenderedPageBreak/>
        <w:t>9)</w:t>
      </w:r>
      <w:r w:rsidRPr="00D031FC">
        <w:rPr>
          <w:rFonts w:eastAsia="Calibri"/>
          <w:b/>
          <w:i/>
          <w:szCs w:val="24"/>
          <w:lang w:eastAsia="en-US"/>
        </w:rPr>
        <w:tab/>
        <w:t>Korvataan 50 artikla seuraavasti:</w:t>
      </w:r>
    </w:p>
    <w:p w14:paraId="28F25FA3" w14:textId="77777777" w:rsidR="0044571C" w:rsidRDefault="00C87AF0">
      <w:pPr>
        <w:widowControl/>
        <w:spacing w:before="120" w:after="120"/>
        <w:ind w:left="850"/>
        <w:rPr>
          <w:rFonts w:eastAsia="Calibri"/>
          <w:b/>
          <w:i/>
          <w:szCs w:val="24"/>
          <w:lang w:eastAsia="en-US"/>
        </w:rPr>
      </w:pPr>
      <w:r w:rsidRPr="00D031FC">
        <w:rPr>
          <w:rFonts w:eastAsia="Calibri"/>
          <w:b/>
          <w:i/>
          <w:szCs w:val="24"/>
          <w:lang w:eastAsia="en-US"/>
        </w:rPr>
        <w:t>"</w:t>
      </w:r>
      <w:r w:rsidR="0044571C">
        <w:rPr>
          <w:rFonts w:eastAsia="Calibri"/>
          <w:b/>
          <w:i/>
          <w:szCs w:val="24"/>
          <w:lang w:eastAsia="en-US"/>
        </w:rPr>
        <w:t>50 a</w:t>
      </w:r>
      <w:r w:rsidR="00A555E0">
        <w:rPr>
          <w:rFonts w:eastAsia="Calibri"/>
          <w:b/>
          <w:i/>
          <w:szCs w:val="24"/>
          <w:lang w:eastAsia="en-US"/>
        </w:rPr>
        <w:t>rtikla</w:t>
      </w:r>
    </w:p>
    <w:p w14:paraId="754BC122" w14:textId="77777777" w:rsidR="00C87AF0" w:rsidRPr="00D031FC" w:rsidRDefault="00C87AF0" w:rsidP="00C87AF0">
      <w:pPr>
        <w:widowControl/>
        <w:spacing w:before="120" w:after="120"/>
        <w:ind w:left="850"/>
        <w:rPr>
          <w:rFonts w:eastAsia="Calibri"/>
          <w:b/>
          <w:i/>
          <w:szCs w:val="24"/>
          <w:lang w:eastAsia="en-US"/>
        </w:rPr>
      </w:pPr>
      <w:r w:rsidRPr="00D031FC">
        <w:rPr>
          <w:rFonts w:eastAsia="Calibri"/>
          <w:b/>
          <w:i/>
          <w:szCs w:val="24"/>
          <w:lang w:eastAsia="en-US"/>
        </w:rPr>
        <w:t>Toimivaltaisten viranomaisten on toimitettava EPV:lle kaikki tiedot, joita se tarvitsee tämän direktiivin mukaisten tehtäviensä hoitamiseen."</w:t>
      </w:r>
    </w:p>
    <w:p w14:paraId="763D3C25" w14:textId="77777777" w:rsidR="00C87AF0" w:rsidRPr="00D031FC" w:rsidRDefault="00C87AF0" w:rsidP="00C87AF0">
      <w:pPr>
        <w:widowControl/>
        <w:spacing w:before="120" w:after="120"/>
        <w:ind w:left="850" w:hanging="850"/>
        <w:rPr>
          <w:rFonts w:eastAsia="Calibri"/>
          <w:b/>
          <w:i/>
          <w:szCs w:val="24"/>
          <w:lang w:eastAsia="en-US"/>
        </w:rPr>
      </w:pPr>
      <w:r w:rsidRPr="00D031FC">
        <w:rPr>
          <w:rFonts w:eastAsia="Calibri"/>
          <w:b/>
          <w:i/>
          <w:szCs w:val="24"/>
          <w:lang w:eastAsia="en-US"/>
        </w:rPr>
        <w:t>10)</w:t>
      </w:r>
      <w:r w:rsidRPr="00D031FC">
        <w:rPr>
          <w:rFonts w:eastAsia="Calibri"/>
          <w:b/>
          <w:i/>
          <w:szCs w:val="24"/>
          <w:lang w:eastAsia="en-US"/>
        </w:rPr>
        <w:tab/>
        <w:t>Muutetaan 62 artikla seuraavasti:</w:t>
      </w:r>
    </w:p>
    <w:p w14:paraId="26394EF4" w14:textId="77777777" w:rsidR="00C87AF0" w:rsidRPr="00D031FC" w:rsidRDefault="00C87AF0" w:rsidP="00C87AF0">
      <w:pPr>
        <w:widowControl/>
        <w:spacing w:before="120" w:after="120"/>
        <w:ind w:left="1417" w:hanging="567"/>
        <w:rPr>
          <w:rFonts w:eastAsia="Calibri"/>
          <w:b/>
          <w:i/>
          <w:szCs w:val="24"/>
          <w:lang w:eastAsia="en-US"/>
        </w:rPr>
      </w:pPr>
      <w:r w:rsidRPr="00D031FC">
        <w:rPr>
          <w:rFonts w:eastAsia="Calibri"/>
          <w:b/>
          <w:i/>
          <w:szCs w:val="24"/>
          <w:lang w:eastAsia="en-US"/>
        </w:rPr>
        <w:t>a)</w:t>
      </w:r>
      <w:r w:rsidRPr="00D031FC">
        <w:rPr>
          <w:rFonts w:eastAsia="Calibri"/>
          <w:b/>
          <w:i/>
          <w:szCs w:val="24"/>
          <w:lang w:eastAsia="en-US"/>
        </w:rPr>
        <w:tab/>
        <w:t>korvataan 1 kohta seuraavasti:</w:t>
      </w:r>
    </w:p>
    <w:p w14:paraId="7F96B5B0" w14:textId="77777777" w:rsidR="00C87AF0" w:rsidRPr="00D031FC" w:rsidRDefault="00C87AF0" w:rsidP="00C87AF0">
      <w:pPr>
        <w:widowControl/>
        <w:spacing w:before="120" w:after="120"/>
        <w:ind w:left="1985" w:hanging="567"/>
        <w:rPr>
          <w:rFonts w:eastAsia="Calibri"/>
          <w:b/>
          <w:i/>
          <w:szCs w:val="24"/>
          <w:lang w:eastAsia="en-US"/>
        </w:rPr>
      </w:pPr>
      <w:r w:rsidRPr="00D031FC">
        <w:rPr>
          <w:rFonts w:eastAsia="Calibri"/>
          <w:b/>
          <w:i/>
          <w:szCs w:val="24"/>
          <w:lang w:eastAsia="en-US"/>
        </w:rPr>
        <w:t>"1.</w:t>
      </w:r>
      <w:r w:rsidRPr="00D031FC">
        <w:rPr>
          <w:rFonts w:eastAsia="Calibri"/>
          <w:b/>
          <w:i/>
          <w:szCs w:val="24"/>
          <w:lang w:eastAsia="en-US"/>
        </w:rPr>
        <w:tab/>
        <w:t>Jäsenvaltioiden on varmistettava, että niiden toimivaltaiset viranomaiset ilmoittavat EPV:lle kaikista luotto- ja finanssilaitoksille 58 ja 59 artiklan mukaisesti määrätyistä hallinnollisista seuraamuksista ja toimenpiteistä, myös niitä koskevasta mahdollisesta muutoksenhausta ja sen tuloksesta."</w:t>
      </w:r>
    </w:p>
    <w:p w14:paraId="53C512FA" w14:textId="77777777" w:rsidR="00C87AF0" w:rsidRPr="00D031FC" w:rsidRDefault="00C87AF0" w:rsidP="00C87AF0">
      <w:pPr>
        <w:widowControl/>
        <w:spacing w:before="120" w:after="120"/>
        <w:ind w:left="1417" w:hanging="567"/>
        <w:rPr>
          <w:rFonts w:eastAsia="Calibri"/>
          <w:b/>
          <w:i/>
          <w:szCs w:val="24"/>
          <w:lang w:eastAsia="en-US"/>
        </w:rPr>
      </w:pPr>
      <w:r w:rsidRPr="00D031FC">
        <w:rPr>
          <w:rFonts w:eastAsia="Calibri"/>
          <w:b/>
          <w:i/>
          <w:szCs w:val="24"/>
          <w:lang w:eastAsia="en-US"/>
        </w:rPr>
        <w:t>b)</w:t>
      </w:r>
      <w:r w:rsidRPr="00D031FC">
        <w:rPr>
          <w:rFonts w:eastAsia="Calibri"/>
          <w:b/>
          <w:i/>
          <w:szCs w:val="24"/>
          <w:lang w:eastAsia="en-US"/>
        </w:rPr>
        <w:tab/>
        <w:t>korvataan 3 kohta seuraavasti:</w:t>
      </w:r>
    </w:p>
    <w:p w14:paraId="4A75EC58" w14:textId="77777777" w:rsidR="00C87AF0" w:rsidRPr="00D031FC" w:rsidRDefault="00C87AF0" w:rsidP="00C87AF0">
      <w:pPr>
        <w:widowControl/>
        <w:spacing w:before="120" w:after="120"/>
        <w:ind w:left="1985" w:hanging="567"/>
        <w:rPr>
          <w:rFonts w:eastAsia="Calibri"/>
          <w:b/>
          <w:i/>
          <w:szCs w:val="24"/>
          <w:lang w:eastAsia="en-US"/>
        </w:rPr>
      </w:pPr>
      <w:r w:rsidRPr="00D031FC">
        <w:rPr>
          <w:rFonts w:eastAsia="Calibri"/>
          <w:b/>
          <w:i/>
          <w:szCs w:val="24"/>
          <w:lang w:eastAsia="en-US"/>
        </w:rPr>
        <w:t>"3.</w:t>
      </w:r>
      <w:r w:rsidRPr="00D031FC">
        <w:rPr>
          <w:rFonts w:eastAsia="Calibri"/>
          <w:b/>
          <w:i/>
          <w:szCs w:val="24"/>
          <w:lang w:eastAsia="en-US"/>
        </w:rPr>
        <w:tab/>
        <w:t xml:space="preserve">EPV ylläpitää verkkosivustoa, jossa on linkit kunkin toimivaltaisen </w:t>
      </w:r>
      <w:r w:rsidRPr="00B74E85">
        <w:rPr>
          <w:rFonts w:eastAsia="Calibri"/>
          <w:b/>
          <w:i/>
          <w:szCs w:val="24"/>
          <w:lang w:eastAsia="en-US"/>
        </w:rPr>
        <w:t>viranomaisen julkaisemiin tietoihin luotto- ja finanssilaitoksille 60 artiklan mukaisesti määrätyistä hallinnollisista seuraamuksista ja toimenpiteistä, ja ilmoittaa ajanjakson, jonka ajan kukin jäsenvaltio julkaisee hallinnolliset seuraamukset ja toimenpiteet</w:t>
      </w:r>
      <w:bookmarkStart w:id="1" w:name="_GoBack"/>
      <w:bookmarkEnd w:id="1"/>
      <w:r w:rsidRPr="00D031FC">
        <w:rPr>
          <w:rFonts w:eastAsia="Calibri"/>
          <w:b/>
          <w:i/>
          <w:szCs w:val="24"/>
          <w:lang w:eastAsia="en-US"/>
        </w:rPr>
        <w:t>."</w:t>
      </w:r>
    </w:p>
    <w:p w14:paraId="28F8B88C" w14:textId="7D7C3797" w:rsidR="00283102" w:rsidRPr="00E335C6" w:rsidRDefault="00C87AF0" w:rsidP="00E335C6">
      <w:pPr>
        <w:pStyle w:val="ManualNumPar1"/>
        <w:ind w:left="567" w:hanging="567"/>
        <w:jc w:val="center"/>
        <w:rPr>
          <w:noProof/>
        </w:rPr>
      </w:pPr>
      <w:r w:rsidRPr="00D031FC">
        <w:rPr>
          <w:rFonts w:eastAsia="Calibri"/>
          <w:szCs w:val="24"/>
        </w:rPr>
        <w:br w:type="page"/>
      </w:r>
      <w:r w:rsidR="00A555E0">
        <w:rPr>
          <w:rFonts w:eastAsia="Calibri"/>
          <w:szCs w:val="24"/>
        </w:rPr>
        <w:lastRenderedPageBreak/>
        <w:t>4</w:t>
      </w:r>
      <w:r w:rsidR="00283102" w:rsidRPr="00E335C6">
        <w:t xml:space="preserve"> artikla</w:t>
      </w:r>
      <w:r w:rsidR="00283102" w:rsidRPr="00E335C6">
        <w:br/>
      </w:r>
      <w:r w:rsidR="00283102" w:rsidRPr="00E335C6">
        <w:rPr>
          <w:noProof/>
        </w:rPr>
        <w:t>Saattaminen osaksi kansallista lainsäädäntöä</w:t>
      </w:r>
    </w:p>
    <w:p w14:paraId="68CC9EC2" w14:textId="216DA055" w:rsidR="00283102" w:rsidRDefault="00283102">
      <w:pPr>
        <w:pStyle w:val="ManualNumPar1"/>
        <w:ind w:left="567" w:hanging="567"/>
        <w:rPr>
          <w:noProof/>
        </w:rPr>
      </w:pPr>
      <w:r>
        <w:t>1.</w:t>
      </w:r>
      <w:r>
        <w:tab/>
      </w:r>
      <w:r>
        <w:rPr>
          <w:noProof/>
        </w:rPr>
        <w:t>Jäsenvaltioiden on annettava ja julkaistava tämän direktiivin noudattamisen edellyttämät lait, asetukset ja hallinnolliset määräykset viimeistään</w:t>
      </w:r>
      <w:r w:rsidR="0044571C">
        <w:rPr>
          <w:noProof/>
        </w:rPr>
        <w:t xml:space="preserve"> … päivänä …kuuta …</w:t>
      </w:r>
      <w:r>
        <w:rPr>
          <w:noProof/>
        </w:rPr>
        <w:t xml:space="preserve"> [18 kuukautta</w:t>
      </w:r>
      <w:r w:rsidR="0044571C">
        <w:rPr>
          <w:noProof/>
        </w:rPr>
        <w:t xml:space="preserve"> tämän muutosdirektiivin</w:t>
      </w:r>
      <w:r>
        <w:rPr>
          <w:noProof/>
        </w:rPr>
        <w:t xml:space="preserve"> voimaantulosta]. Niiden on toimitettava viipymättä tässä direktiivissä </w:t>
      </w:r>
      <w:r>
        <w:rPr>
          <w:noProof/>
          <w:szCs w:val="24"/>
        </w:rPr>
        <w:t xml:space="preserve">säännellyistä kysymyksistä </w:t>
      </w:r>
      <w:r>
        <w:rPr>
          <w:noProof/>
        </w:rPr>
        <w:t>antamansa keskeiset kansalliset säännökset kirjallisina komissiolle.</w:t>
      </w:r>
    </w:p>
    <w:p w14:paraId="0CF378C2" w14:textId="48F9BB6B" w:rsidR="004F4CFE" w:rsidRPr="00D031FC" w:rsidRDefault="0044571C" w:rsidP="00E335C6">
      <w:pPr>
        <w:widowControl/>
        <w:spacing w:before="120" w:after="120"/>
        <w:ind w:left="567" w:hanging="567"/>
        <w:rPr>
          <w:rFonts w:eastAsia="Calibri"/>
          <w:b/>
          <w:i/>
          <w:szCs w:val="24"/>
          <w:lang w:eastAsia="en-US"/>
        </w:rPr>
      </w:pPr>
      <w:r>
        <w:rPr>
          <w:rFonts w:eastAsia="Calibri"/>
          <w:b/>
          <w:i/>
          <w:szCs w:val="24"/>
          <w:lang w:eastAsia="en-US"/>
        </w:rPr>
        <w:t>2</w:t>
      </w:r>
      <w:r w:rsidR="004F4CFE" w:rsidRPr="00D031FC">
        <w:rPr>
          <w:rFonts w:eastAsia="Calibri"/>
          <w:b/>
          <w:i/>
          <w:szCs w:val="24"/>
          <w:lang w:eastAsia="en-US"/>
        </w:rPr>
        <w:t xml:space="preserve">. </w:t>
      </w:r>
      <w:r w:rsidR="004F4CFE">
        <w:rPr>
          <w:rFonts w:eastAsia="Calibri"/>
          <w:b/>
          <w:i/>
          <w:szCs w:val="24"/>
          <w:lang w:eastAsia="en-US"/>
        </w:rPr>
        <w:tab/>
      </w:r>
      <w:r w:rsidR="004F4CFE" w:rsidRPr="00D031FC">
        <w:rPr>
          <w:rFonts w:eastAsia="Calibri"/>
          <w:b/>
          <w:i/>
          <w:szCs w:val="24"/>
          <w:lang w:eastAsia="en-US"/>
        </w:rPr>
        <w:t xml:space="preserve">Jäsenvaltioiden on annettava ja julkaistava tämän direktiivin 2 artiklan 1 kohdan noudattamisen edellyttämät lait, asetukset ja hallinnolliset määräykset viimeistään </w:t>
      </w:r>
      <w:r>
        <w:rPr>
          <w:rFonts w:eastAsia="Calibri"/>
          <w:b/>
          <w:i/>
          <w:szCs w:val="24"/>
          <w:lang w:eastAsia="en-US"/>
        </w:rPr>
        <w:t xml:space="preserve">… päivänä …kuuta … </w:t>
      </w:r>
      <w:r w:rsidR="004F4CFE" w:rsidRPr="00D031FC">
        <w:rPr>
          <w:rFonts w:eastAsia="Calibri"/>
          <w:b/>
          <w:i/>
          <w:szCs w:val="24"/>
          <w:lang w:eastAsia="en-US"/>
        </w:rPr>
        <w:t xml:space="preserve">[6 kuukautta </w:t>
      </w:r>
      <w:r>
        <w:rPr>
          <w:rFonts w:eastAsia="Calibri"/>
          <w:b/>
          <w:i/>
          <w:szCs w:val="24"/>
          <w:lang w:eastAsia="en-US"/>
        </w:rPr>
        <w:t xml:space="preserve">tämän muutosdirektiivin </w:t>
      </w:r>
      <w:r w:rsidR="004F4CFE" w:rsidRPr="00D031FC">
        <w:rPr>
          <w:rFonts w:eastAsia="Calibri"/>
          <w:b/>
          <w:i/>
          <w:szCs w:val="24"/>
          <w:lang w:eastAsia="en-US"/>
        </w:rPr>
        <w:t>voimaantulosta]. Niiden on toimitettava viipymättä tässä direktiivissä säännellyistä kysymyksistä antamansa keskeiset kansalliset säännökset kirjallisina komissiolle.</w:t>
      </w:r>
    </w:p>
    <w:p w14:paraId="1F2F2D62" w14:textId="1016FC21" w:rsidR="00A555E0" w:rsidRDefault="0044571C" w:rsidP="00E335C6">
      <w:pPr>
        <w:pStyle w:val="ManualNumPar1"/>
        <w:ind w:left="567" w:hanging="567"/>
      </w:pPr>
      <w:r>
        <w:t>3</w:t>
      </w:r>
      <w:r w:rsidR="00283102">
        <w:t>.</w:t>
      </w:r>
      <w:r w:rsidR="00283102">
        <w:tab/>
      </w:r>
      <w:r w:rsidR="00283102">
        <w:rPr>
          <w:noProof/>
        </w:rPr>
        <w:t xml:space="preserve">Jäsenvaltioiden on sovellettava 1 artiklan säännöksiä </w:t>
      </w:r>
      <w:r w:rsidR="004F4CFE" w:rsidRPr="00D031FC">
        <w:rPr>
          <w:rFonts w:eastAsia="Calibri"/>
          <w:b/>
          <w:i/>
          <w:szCs w:val="24"/>
        </w:rPr>
        <w:t>1 päivästä tammikuuta 2022</w:t>
      </w:r>
      <w:r w:rsidR="004F4CFE" w:rsidRPr="00D031FC">
        <w:rPr>
          <w:rFonts w:eastAsia="Calibri"/>
          <w:szCs w:val="24"/>
        </w:rPr>
        <w:t xml:space="preserve"> ja 2 </w:t>
      </w:r>
      <w:r w:rsidR="004F4CFE" w:rsidRPr="00D031FC">
        <w:rPr>
          <w:rFonts w:eastAsia="Calibri"/>
          <w:b/>
          <w:i/>
          <w:szCs w:val="24"/>
        </w:rPr>
        <w:t xml:space="preserve">ja </w:t>
      </w:r>
      <w:r>
        <w:rPr>
          <w:rFonts w:eastAsia="Calibri"/>
          <w:b/>
          <w:i/>
          <w:szCs w:val="24"/>
        </w:rPr>
        <w:t>3</w:t>
      </w:r>
      <w:r w:rsidR="004F4CFE" w:rsidRPr="00D031FC">
        <w:rPr>
          <w:rFonts w:eastAsia="Calibri"/>
          <w:b/>
          <w:i/>
          <w:szCs w:val="24"/>
        </w:rPr>
        <w:t> artiklan</w:t>
      </w:r>
      <w:r w:rsidR="004F4CFE" w:rsidRPr="00D031FC">
        <w:rPr>
          <w:rFonts w:eastAsia="Calibri"/>
          <w:szCs w:val="24"/>
        </w:rPr>
        <w:t xml:space="preserve"> säännöksiä</w:t>
      </w:r>
      <w:r>
        <w:rPr>
          <w:rFonts w:eastAsia="Calibri"/>
          <w:szCs w:val="24"/>
        </w:rPr>
        <w:t xml:space="preserve"> … päivästä …kuuta …</w:t>
      </w:r>
      <w:r w:rsidR="004F4CFE" w:rsidRPr="00D031FC">
        <w:rPr>
          <w:rFonts w:eastAsia="Calibri"/>
          <w:szCs w:val="24"/>
        </w:rPr>
        <w:t xml:space="preserve"> [</w:t>
      </w:r>
      <w:r w:rsidR="004F4CFE" w:rsidRPr="00D031FC">
        <w:rPr>
          <w:rFonts w:eastAsia="Calibri"/>
          <w:b/>
          <w:i/>
          <w:szCs w:val="24"/>
        </w:rPr>
        <w:t xml:space="preserve">18 kuukautta </w:t>
      </w:r>
      <w:r>
        <w:rPr>
          <w:rFonts w:eastAsia="Calibri"/>
          <w:b/>
          <w:i/>
          <w:szCs w:val="24"/>
        </w:rPr>
        <w:t xml:space="preserve">tämän muutosdirektiivin </w:t>
      </w:r>
      <w:r w:rsidR="004F4CFE" w:rsidRPr="00D031FC">
        <w:rPr>
          <w:rFonts w:eastAsia="Calibri"/>
          <w:b/>
          <w:i/>
          <w:szCs w:val="24"/>
        </w:rPr>
        <w:t>voimaantulosta</w:t>
      </w:r>
      <w:r w:rsidR="004F4CFE" w:rsidRPr="00D031FC">
        <w:rPr>
          <w:rFonts w:eastAsia="Calibri"/>
          <w:szCs w:val="24"/>
        </w:rPr>
        <w:t>].</w:t>
      </w:r>
      <w:r w:rsidR="004F4CFE" w:rsidRPr="00D031FC">
        <w:rPr>
          <w:rFonts w:eastAsia="Calibri"/>
          <w:b/>
          <w:i/>
          <w:szCs w:val="24"/>
        </w:rPr>
        <w:t xml:space="preserve"> Jäsenvaltioiden on sovellettava 2 artiklan -1 kohdan säännöksiä viimeistään</w:t>
      </w:r>
      <w:r>
        <w:rPr>
          <w:rFonts w:eastAsia="Calibri"/>
          <w:b/>
          <w:i/>
          <w:szCs w:val="24"/>
        </w:rPr>
        <w:t xml:space="preserve"> … päivänä …kuuta …</w:t>
      </w:r>
      <w:r w:rsidR="004F4CFE" w:rsidRPr="00D031FC">
        <w:rPr>
          <w:rFonts w:eastAsia="Calibri"/>
          <w:b/>
          <w:i/>
          <w:szCs w:val="24"/>
        </w:rPr>
        <w:t xml:space="preserve"> [6 kuukautta ja yksi päivä tämän direktiivin voimaantulosta].</w:t>
      </w:r>
      <w:r w:rsidR="004F4CFE">
        <w:rPr>
          <w:rFonts w:eastAsia="Calibri"/>
          <w:b/>
          <w:i/>
          <w:szCs w:val="24"/>
        </w:rPr>
        <w:t xml:space="preserve"> </w:t>
      </w:r>
      <w:r>
        <w:t>4.</w:t>
      </w:r>
      <w:r>
        <w:tab/>
      </w:r>
      <w:r w:rsidR="004B7E17" w:rsidRPr="004B7E17">
        <w:t xml:space="preserve">Edellä 1 ja 2 kohdassa tarkoitetuissa jäsenvaltioiden antamissa säädöksissä on viitattava tähän direktiiviin tai niihin on liitettävä tällainen viittaus, kun ne julkaistaan virallisesti. </w:t>
      </w:r>
      <w:r w:rsidR="004B7E17">
        <w:t xml:space="preserve"> </w:t>
      </w:r>
      <w:r w:rsidR="004B7E17" w:rsidRPr="004B7E17">
        <w:t>Jäsenvaltioiden on säädettävä siitä, miten viittaukset tehdään.</w:t>
      </w:r>
    </w:p>
    <w:p w14:paraId="6FECD759" w14:textId="5CD32660" w:rsidR="00283102" w:rsidRDefault="004F4CFE" w:rsidP="00E335C6">
      <w:pPr>
        <w:widowControl/>
        <w:spacing w:before="120" w:after="120"/>
        <w:ind w:left="567" w:hanging="567"/>
        <w:jc w:val="center"/>
        <w:rPr>
          <w:b/>
          <w:noProof/>
        </w:rPr>
      </w:pPr>
      <w:r>
        <w:rPr>
          <w:noProof/>
        </w:rPr>
        <w:br w:type="page"/>
      </w:r>
      <w:r w:rsidR="004B7E17">
        <w:rPr>
          <w:noProof/>
        </w:rPr>
        <w:lastRenderedPageBreak/>
        <w:t>5</w:t>
      </w:r>
      <w:r w:rsidR="00283102">
        <w:rPr>
          <w:noProof/>
        </w:rPr>
        <w:t xml:space="preserve"> artikla</w:t>
      </w:r>
      <w:r w:rsidR="00283102">
        <w:rPr>
          <w:noProof/>
        </w:rPr>
        <w:br/>
      </w:r>
      <w:r w:rsidR="00283102" w:rsidRPr="004B7E17">
        <w:rPr>
          <w:bCs/>
          <w:noProof/>
        </w:rPr>
        <w:t>Voimaantulo</w:t>
      </w:r>
    </w:p>
    <w:p w14:paraId="6C0E6DDC" w14:textId="77777777" w:rsidR="00283102" w:rsidRDefault="00283102" w:rsidP="00283102">
      <w:pPr>
        <w:rPr>
          <w:noProof/>
        </w:rPr>
      </w:pPr>
      <w:r>
        <w:rPr>
          <w:noProof/>
        </w:rPr>
        <w:t xml:space="preserve">Tämä direktiivi tulee voimaan </w:t>
      </w:r>
      <w:r>
        <w:t>kahdentenakymmenentenä</w:t>
      </w:r>
      <w:r>
        <w:rPr>
          <w:noProof/>
        </w:rPr>
        <w:t xml:space="preserve"> päivänä sen jälkeen, kun se on julkaistu </w:t>
      </w:r>
      <w:r>
        <w:rPr>
          <w:i/>
          <w:noProof/>
        </w:rPr>
        <w:t>Euroopan unionin virallisessa lehdessä</w:t>
      </w:r>
      <w:r>
        <w:rPr>
          <w:noProof/>
        </w:rPr>
        <w:t>.</w:t>
      </w:r>
    </w:p>
    <w:p w14:paraId="00998CEF" w14:textId="2B74070B" w:rsidR="00283102" w:rsidRPr="004809A9" w:rsidRDefault="004B7E17">
      <w:pPr>
        <w:pStyle w:val="Titrearticle"/>
        <w:rPr>
          <w:noProof/>
        </w:rPr>
      </w:pPr>
      <w:r>
        <w:rPr>
          <w:noProof/>
        </w:rPr>
        <w:t>6</w:t>
      </w:r>
      <w:r w:rsidR="00283102">
        <w:rPr>
          <w:noProof/>
        </w:rPr>
        <w:t xml:space="preserve"> artikla</w:t>
      </w:r>
      <w:r w:rsidR="00283102">
        <w:rPr>
          <w:noProof/>
        </w:rPr>
        <w:br/>
      </w:r>
      <w:r w:rsidR="00283102" w:rsidRPr="004B7E17">
        <w:rPr>
          <w:bCs/>
          <w:noProof/>
        </w:rPr>
        <w:t>Osoitus</w:t>
      </w:r>
    </w:p>
    <w:p w14:paraId="1DC0519E" w14:textId="77777777" w:rsidR="00283102" w:rsidRDefault="00283102" w:rsidP="00283102">
      <w:pPr>
        <w:keepNext/>
        <w:keepLines/>
        <w:rPr>
          <w:noProof/>
        </w:rPr>
      </w:pPr>
      <w:r>
        <w:rPr>
          <w:noProof/>
        </w:rPr>
        <w:t>Tämä direktiivi on osoitettu kaikille jäsenvaltioille.</w:t>
      </w:r>
    </w:p>
    <w:p w14:paraId="7607D4FE" w14:textId="1D3F067E" w:rsidR="00283102" w:rsidRDefault="00283102">
      <w:pPr>
        <w:pStyle w:val="Fait"/>
      </w:pPr>
      <w:r w:rsidRPr="009F6357">
        <w:t xml:space="preserve">Tehty </w:t>
      </w:r>
      <w:r w:rsidR="004B7E17">
        <w:t>…</w:t>
      </w:r>
    </w:p>
    <w:p w14:paraId="2582FB44" w14:textId="77777777" w:rsidR="00283102" w:rsidRDefault="00283102" w:rsidP="00283102">
      <w:pPr>
        <w:pStyle w:val="Institutionquisigne"/>
      </w:pPr>
      <w:r w:rsidRPr="009F6357">
        <w:t>Euroopan parlamentin puolesta</w:t>
      </w:r>
      <w:r w:rsidRPr="009F6357">
        <w:tab/>
        <w:t>Neuvoston puolesta</w:t>
      </w:r>
    </w:p>
    <w:p w14:paraId="2CEE19A0" w14:textId="77777777" w:rsidR="00283102" w:rsidRDefault="00283102" w:rsidP="005A4182">
      <w:pPr>
        <w:pStyle w:val="Personnequisigne"/>
      </w:pPr>
      <w:r w:rsidRPr="009F6357">
        <w:t>Puhe</w:t>
      </w:r>
      <w:r w:rsidR="004B7E17">
        <w:t>mies</w:t>
      </w:r>
      <w:r w:rsidRPr="009F6357">
        <w:tab/>
        <w:t>Puheenjohtaja</w:t>
      </w:r>
    </w:p>
    <w:p w14:paraId="4559D243" w14:textId="77777777" w:rsidR="00934C25" w:rsidRPr="00934C25" w:rsidRDefault="00934C25" w:rsidP="00283102"/>
    <w:sectPr w:rsidR="00934C25" w:rsidRPr="00934C25" w:rsidSect="00283102">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134" w:bottom="1134"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4CCF0" w14:textId="77777777" w:rsidR="00E70AC4" w:rsidRDefault="00E70AC4">
      <w:r>
        <w:separator/>
      </w:r>
    </w:p>
  </w:endnote>
  <w:endnote w:type="continuationSeparator" w:id="0">
    <w:p w14:paraId="75D378D2" w14:textId="77777777" w:rsidR="00E70AC4" w:rsidRDefault="00E70AC4">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84E9" w14:textId="77777777" w:rsidR="00283102" w:rsidRDefault="0028310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ECD2" w14:textId="05B14AD1" w:rsidR="00753661" w:rsidRDefault="00934C25" w:rsidP="00283102">
    <w:pPr>
      <w:pStyle w:val="Alatunniste"/>
    </w:pPr>
    <w:bookmarkStart w:id="2" w:name="CoteFooter"/>
    <w:bookmarkEnd w:id="2"/>
    <w:r>
      <w:t>PE-CONS 76/19</w:t>
    </w:r>
    <w:r w:rsidR="00753661">
      <w:tab/>
    </w:r>
    <w:bookmarkStart w:id="3" w:name="SuplCote"/>
    <w:bookmarkEnd w:id="3"/>
    <w:r w:rsidR="00283102">
      <w:t>2017/0231 (COD)</w:t>
    </w:r>
    <w:r w:rsidR="00753661">
      <w:tab/>
    </w:r>
    <w:bookmarkStart w:id="4" w:name="Init"/>
    <w:bookmarkEnd w:id="4"/>
    <w:r>
      <w:t>HG/</w:t>
    </w:r>
    <w:r w:rsidR="00753661">
      <w:tab/>
    </w:r>
    <w:r w:rsidR="00283102">
      <w:rPr>
        <w:lang w:val="fr-FR"/>
      </w:rPr>
      <w:tab/>
    </w:r>
    <w:r w:rsidR="00283102">
      <w:fldChar w:fldCharType="begin"/>
    </w:r>
    <w:r w:rsidR="00283102">
      <w:instrText xml:space="preserve"> PAGE   \* MERGEFORMAT </w:instrText>
    </w:r>
    <w:r w:rsidR="00283102">
      <w:fldChar w:fldCharType="separate"/>
    </w:r>
    <w:r w:rsidR="00B74E85">
      <w:rPr>
        <w:noProof/>
      </w:rPr>
      <w:t>28</w:t>
    </w:r>
    <w:r w:rsidR="00283102">
      <w:rPr>
        <w:noProof/>
      </w:rPr>
      <w:fldChar w:fldCharType="end"/>
    </w:r>
    <w:bookmarkStart w:id="5" w:name="DG"/>
    <w:bookmarkEnd w:id="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32DF" w14:textId="77777777" w:rsidR="00283102" w:rsidRDefault="0028310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70E64" w14:textId="77777777" w:rsidR="00E70AC4" w:rsidRDefault="00E70AC4">
      <w:pPr>
        <w:pStyle w:val="Alaviitteenteksti"/>
      </w:pPr>
      <w:r>
        <w:separator/>
      </w:r>
    </w:p>
  </w:footnote>
  <w:footnote w:type="continuationSeparator" w:id="0">
    <w:p w14:paraId="77FC98C0" w14:textId="77777777" w:rsidR="00E70AC4" w:rsidRDefault="00E70AC4">
      <w:pPr>
        <w:pStyle w:val="Alaviitteenteksti"/>
      </w:pPr>
      <w:r>
        <w:separator/>
      </w:r>
    </w:p>
  </w:footnote>
  <w:footnote w:id="1">
    <w:p w14:paraId="653F69D0" w14:textId="77777777" w:rsidR="00283102" w:rsidRPr="00E335C6" w:rsidRDefault="00283102">
      <w:pPr>
        <w:pStyle w:val="Alaviitteenteksti"/>
        <w:rPr>
          <w:lang w:val="sv-FI"/>
        </w:rPr>
      </w:pPr>
      <w:r>
        <w:rPr>
          <w:rStyle w:val="Alaviitteenviite"/>
        </w:rPr>
        <w:footnoteRef/>
      </w:r>
      <w:r w:rsidRPr="00E335C6">
        <w:rPr>
          <w:lang w:val="sv-FI"/>
        </w:rPr>
        <w:tab/>
        <w:t xml:space="preserve">EUVL C </w:t>
      </w:r>
      <w:r w:rsidR="007832F0" w:rsidRPr="00E335C6">
        <w:rPr>
          <w:lang w:val="sv-FI"/>
        </w:rPr>
        <w:t>251</w:t>
      </w:r>
      <w:r w:rsidRPr="00E335C6">
        <w:rPr>
          <w:lang w:val="sv-FI"/>
        </w:rPr>
        <w:t xml:space="preserve">, </w:t>
      </w:r>
      <w:r w:rsidR="007832F0" w:rsidRPr="00E335C6">
        <w:rPr>
          <w:lang w:val="sv-FI"/>
        </w:rPr>
        <w:t>18.7.2018</w:t>
      </w:r>
      <w:r w:rsidRPr="00E335C6">
        <w:rPr>
          <w:lang w:val="sv-FI"/>
        </w:rPr>
        <w:t xml:space="preserve">, s. </w:t>
      </w:r>
      <w:r w:rsidR="007832F0" w:rsidRPr="00E335C6">
        <w:rPr>
          <w:lang w:val="sv-FI"/>
        </w:rPr>
        <w:t>2</w:t>
      </w:r>
      <w:r w:rsidRPr="00E335C6">
        <w:rPr>
          <w:lang w:val="sv-FI"/>
        </w:rPr>
        <w:t>.</w:t>
      </w:r>
    </w:p>
  </w:footnote>
  <w:footnote w:id="2">
    <w:p w14:paraId="4CCB3C4F" w14:textId="77777777" w:rsidR="00283102" w:rsidRPr="00E335C6" w:rsidRDefault="00283102" w:rsidP="00283102">
      <w:pPr>
        <w:pStyle w:val="Alaviitteenteksti"/>
        <w:rPr>
          <w:lang w:val="sv-FI"/>
        </w:rPr>
      </w:pPr>
      <w:r>
        <w:rPr>
          <w:rStyle w:val="Alaviitteenviite"/>
        </w:rPr>
        <w:footnoteRef/>
      </w:r>
      <w:r w:rsidRPr="00E335C6">
        <w:rPr>
          <w:lang w:val="sv-FI"/>
        </w:rPr>
        <w:tab/>
        <w:t xml:space="preserve">EUVL C </w:t>
      </w:r>
      <w:r w:rsidR="007832F0" w:rsidRPr="00E335C6">
        <w:rPr>
          <w:lang w:val="sv-FI"/>
        </w:rPr>
        <w:t>227</w:t>
      </w:r>
      <w:r w:rsidRPr="00E335C6">
        <w:rPr>
          <w:lang w:val="sv-FI"/>
        </w:rPr>
        <w:t xml:space="preserve">, </w:t>
      </w:r>
      <w:r w:rsidR="007832F0" w:rsidRPr="00E335C6">
        <w:rPr>
          <w:lang w:val="sv-FI"/>
        </w:rPr>
        <w:t>28.6.2018</w:t>
      </w:r>
      <w:r w:rsidRPr="00E335C6">
        <w:rPr>
          <w:lang w:val="sv-FI"/>
        </w:rPr>
        <w:t xml:space="preserve">, s. </w:t>
      </w:r>
      <w:r w:rsidR="007832F0" w:rsidRPr="00E335C6">
        <w:rPr>
          <w:lang w:val="sv-FI"/>
        </w:rPr>
        <w:t>63</w:t>
      </w:r>
      <w:r w:rsidRPr="00E335C6">
        <w:rPr>
          <w:lang w:val="sv-FI"/>
        </w:rPr>
        <w:t>.</w:t>
      </w:r>
    </w:p>
  </w:footnote>
  <w:footnote w:id="3">
    <w:p w14:paraId="2BD5842F" w14:textId="77777777" w:rsidR="007832F0" w:rsidRDefault="007832F0">
      <w:pPr>
        <w:pStyle w:val="Alaviitteenteksti"/>
      </w:pPr>
      <w:r>
        <w:rPr>
          <w:rStyle w:val="Alaviitteenviite"/>
        </w:rPr>
        <w:footnoteRef/>
      </w:r>
      <w:r>
        <w:tab/>
      </w:r>
      <w:r w:rsidRPr="007832F0">
        <w:t xml:space="preserve">Euroopan parlamentin kanta, vahvistettu </w:t>
      </w:r>
      <w:r>
        <w:t>…</w:t>
      </w:r>
      <w:r w:rsidRPr="007832F0">
        <w:t xml:space="preserve"> (ei vielä julkaistu virallisessa lehdessä), ja neuvoston päätös, tehty </w:t>
      </w:r>
      <w:r>
        <w:t>…</w:t>
      </w:r>
      <w:r w:rsidRPr="007832F0">
        <w:t>.</w:t>
      </w:r>
    </w:p>
  </w:footnote>
  <w:footnote w:id="4">
    <w:p w14:paraId="393CBE9D" w14:textId="77777777" w:rsidR="007832F0" w:rsidRDefault="007832F0">
      <w:pPr>
        <w:pStyle w:val="Alaviitteenteksti"/>
      </w:pPr>
      <w:r>
        <w:rPr>
          <w:rStyle w:val="Alaviitteenviite"/>
        </w:rPr>
        <w:footnoteRef/>
      </w:r>
      <w:r>
        <w:tab/>
        <w:t>Euroopan parlamentin ja neuvoston direktiivi 2014/65/EU, annettu 15 päivänä toukokuuta 2014, rahoitusvälineiden markkinoista sekä direktiivin 2002/92/EY ja direktiivin 2011/61/EU muuttamisesta (EUVL L 173 12.6.2014, s. 349)</w:t>
      </w:r>
    </w:p>
  </w:footnote>
  <w:footnote w:id="5">
    <w:p w14:paraId="6A696812" w14:textId="77777777" w:rsidR="00717C71" w:rsidRDefault="00717C71" w:rsidP="00717C71">
      <w:pPr>
        <w:pStyle w:val="Alaviitteenteksti"/>
      </w:pPr>
      <w:r>
        <w:rPr>
          <w:rStyle w:val="Alaviitteenviite"/>
        </w:rPr>
        <w:footnoteRef/>
      </w:r>
      <w:r>
        <w:tab/>
        <w:t>Euroopan parlamentin ja neuvoston asetus (EU) N:o 600/2014, annettu 15 päivänä toukokuuta 2014 , rahoitusvälineiden markkinoista sekä asetuksen (EU) N:o 648/2012 muuttamisesta (EUVL L 173, 12.6.2014, s. 84).</w:t>
      </w:r>
    </w:p>
  </w:footnote>
  <w:footnote w:id="6">
    <w:p w14:paraId="68CA6EFA" w14:textId="77777777" w:rsidR="00FC1880" w:rsidRDefault="00FC1880">
      <w:pPr>
        <w:pStyle w:val="Alaviitteenteksti"/>
      </w:pPr>
      <w:r>
        <w:rPr>
          <w:rStyle w:val="Alaviitteenviite"/>
        </w:rPr>
        <w:footnoteRef/>
      </w:r>
      <w:r>
        <w:tab/>
        <w:t>Euroopan parlamentin ja neuvoston asetus (EU) N:o 1095/2010, annettu 24 päivänä marraskuuta 2010, Euroopan valvontaviranomaisen (Euroopan arvopaperimarkkinaviranomainen) perustamisesta sekä päätöksen N:o 716/2009/EY muuttamisesta ja komission päätöksen 2009/77/EY kumoamisesta (EYV L 331, 15.12.2010, p.84).</w:t>
      </w:r>
    </w:p>
  </w:footnote>
  <w:footnote w:id="7">
    <w:p w14:paraId="42004138" w14:textId="77777777" w:rsidR="00283102" w:rsidRDefault="00283102" w:rsidP="00283102">
      <w:pPr>
        <w:pStyle w:val="Alaviitteenteksti"/>
      </w:pPr>
      <w:r>
        <w:rPr>
          <w:rStyle w:val="Alaviitteenviite"/>
        </w:rPr>
        <w:footnoteRef/>
      </w:r>
      <w:r>
        <w:tab/>
        <w:t>Euroopan parlamentin ja neuvoston direktiivi 2009/138/EY, annettu 25 päivänä marraskuuta 2009, vakuutus- ja jälleenvakuutustoiminnan aloittamisesta ja harjoittamisesta (Solvenssi II) (EUVL L 335, 17.12.2009, s. 1).</w:t>
      </w:r>
    </w:p>
  </w:footnote>
  <w:footnote w:id="8">
    <w:p w14:paraId="1ED2E17B" w14:textId="77777777" w:rsidR="001A54AA" w:rsidRDefault="001A54AA">
      <w:pPr>
        <w:pStyle w:val="Alaviitteenteksti"/>
      </w:pPr>
      <w:r>
        <w:rPr>
          <w:rStyle w:val="Alaviitteenviite"/>
        </w:rPr>
        <w:footnoteRef/>
      </w:r>
      <w:r>
        <w:tab/>
        <w:t>Euroopan parlamentin ja neuvoston asetus (EU) N:o 1094/2010, annettu 24 päivänä marraskuuta 2010, Euroopan valvontaviranomaisen (Euroopan vakuutus- ja lisäeläkeviranomainen) perustamisesta sekä päätöksen N:o 716/2009/EY muuttamisesta ja komission päätöksen 2009/79/EY kumoamisesta (EYV L 331, 15.12.2010, p.48).</w:t>
      </w:r>
    </w:p>
  </w:footnote>
  <w:footnote w:id="9">
    <w:p w14:paraId="1B20E0E3" w14:textId="77777777" w:rsidR="00B13A41" w:rsidRDefault="00B13A41">
      <w:pPr>
        <w:pStyle w:val="Alaviitteenteksti"/>
      </w:pPr>
      <w:r>
        <w:rPr>
          <w:rStyle w:val="Alaviitteenviite"/>
        </w:rPr>
        <w:footnoteRef/>
      </w:r>
      <w:r>
        <w:tab/>
      </w:r>
      <w:r w:rsidR="00D6063A">
        <w:t>Euroopan parlamentin ja neuvoston asetus (EU) N:o 1093/2010, annettu 24 päivänä marraskuuta 2010, Euroopan valvontaviranomaisen (Euroopan pankkiviranomainen) perustamisesta sekä päätöksen N:o 716/2009/EY muuttamisesta ja komission päätöksen 2009/78/EY kumoamisesta (EUVL L 331 15.12.2010, s. 12).</w:t>
      </w:r>
    </w:p>
  </w:footnote>
  <w:footnote w:id="10">
    <w:p w14:paraId="57601697" w14:textId="77777777" w:rsidR="00B13A41" w:rsidRDefault="00B13A41">
      <w:pPr>
        <w:pStyle w:val="Alaviitteenteksti"/>
      </w:pPr>
      <w:r>
        <w:rPr>
          <w:rStyle w:val="Alaviitteenviite"/>
        </w:rPr>
        <w:footnoteRef/>
      </w:r>
      <w:r>
        <w:tab/>
      </w:r>
      <w:r w:rsidR="00D6063A">
        <w:t xml:space="preserve">Euroopan parlamentin ja neuvoston direktiivi </w:t>
      </w:r>
      <w:r w:rsidR="00240E8A">
        <w:t>(EU) 2015/849, annettu 20 päivänä toukokuuta 2015, rahoitusjärjestelmän käytön estämisestä rahanpesuun tai terrorismin rahoitukseen, Euroopan parlamentin ja neuvoston asetuksen (EU) N:o 648/2012 muuttamisesta sekä Euroopan parlamentin ja neuvoston direktiivin 2005/60/EY ja komission direktiivin 2006/70/EY kumoamisesta (EUVL L 141 5.6.2015, s. 73).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F463" w14:textId="77777777" w:rsidR="00283102" w:rsidRDefault="0028310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F37F" w14:textId="77777777" w:rsidR="00283102" w:rsidRDefault="00283102">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8FEB" w14:textId="77777777" w:rsidR="00283102" w:rsidRDefault="0028310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E264DC"/>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15:restartNumberingAfterBreak="0">
    <w:nsid w:val="22D918D1"/>
    <w:multiLevelType w:val="multilevel"/>
    <w:tmpl w:val="DE2606C8"/>
    <w:lvl w:ilvl="0">
      <w:start w:val="1"/>
      <w:numFmt w:val="decimal"/>
      <w:pStyle w:val="Otsikko1"/>
      <w:lvlText w:val="%1."/>
      <w:lvlJc w:val="left"/>
      <w:pPr>
        <w:tabs>
          <w:tab w:val="num" w:pos="851"/>
        </w:tabs>
        <w:ind w:left="851" w:hanging="851"/>
      </w:pPr>
    </w:lvl>
    <w:lvl w:ilvl="1">
      <w:start w:val="1"/>
      <w:numFmt w:val="decimal"/>
      <w:pStyle w:val="Otsikko2"/>
      <w:lvlText w:val="%1.%2."/>
      <w:lvlJc w:val="left"/>
      <w:pPr>
        <w:tabs>
          <w:tab w:val="num" w:pos="851"/>
        </w:tabs>
        <w:ind w:left="851" w:hanging="851"/>
      </w:pPr>
    </w:lvl>
    <w:lvl w:ilvl="2">
      <w:start w:val="1"/>
      <w:numFmt w:val="decimal"/>
      <w:pStyle w:val="Otsikko3"/>
      <w:lvlText w:val="%1.%2.%3."/>
      <w:lvlJc w:val="left"/>
      <w:pPr>
        <w:tabs>
          <w:tab w:val="num" w:pos="851"/>
        </w:tabs>
        <w:ind w:left="851" w:hanging="851"/>
      </w:pPr>
    </w:lvl>
    <w:lvl w:ilvl="3">
      <w:start w:val="1"/>
      <w:numFmt w:val="decimal"/>
      <w:pStyle w:val="Otsikko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1"/>
  </w:num>
  <w:num w:numId="4">
    <w:abstractNumId w:val="2"/>
  </w:num>
  <w:num w:numId="5">
    <w:abstractNumId w:val="9"/>
  </w:num>
  <w:num w:numId="6">
    <w:abstractNumId w:val="6"/>
  </w:num>
  <w:num w:numId="7">
    <w:abstractNumId w:val="8"/>
  </w:num>
  <w:num w:numId="8">
    <w:abstractNumId w:val="10"/>
  </w:num>
  <w:num w:numId="9">
    <w:abstractNumId w:val="4"/>
  </w:num>
  <w:num w:numId="10">
    <w:abstractNumId w:val="1"/>
  </w:num>
  <w:num w:numId="11">
    <w:abstractNumId w:val="3"/>
  </w:num>
  <w:num w:numId="12">
    <w:abstractNumId w:val="3"/>
  </w:num>
  <w:num w:numId="13">
    <w:abstractNumId w:val="3"/>
  </w:num>
  <w:num w:numId="14">
    <w:abstractNumId w:val="3"/>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i-FI"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fi-FI" w:vendorID="666" w:dllVersion="513" w:checkStyle="1"/>
  <w:activeWritingStyle w:appName="MSWord" w:lang="sv-FI"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W_DocType" w:val="_GenFi"/>
  </w:docVars>
  <w:rsids>
    <w:rsidRoot w:val="00934C25"/>
    <w:rsid w:val="000129DC"/>
    <w:rsid w:val="000165F4"/>
    <w:rsid w:val="000663A4"/>
    <w:rsid w:val="000718C0"/>
    <w:rsid w:val="00076DA5"/>
    <w:rsid w:val="00080F4B"/>
    <w:rsid w:val="00081DC1"/>
    <w:rsid w:val="00085187"/>
    <w:rsid w:val="0009460C"/>
    <w:rsid w:val="000A5C70"/>
    <w:rsid w:val="000B0A8C"/>
    <w:rsid w:val="000E3D66"/>
    <w:rsid w:val="00100355"/>
    <w:rsid w:val="00101D73"/>
    <w:rsid w:val="00107C30"/>
    <w:rsid w:val="00146A00"/>
    <w:rsid w:val="00165DD7"/>
    <w:rsid w:val="00167F70"/>
    <w:rsid w:val="001A044C"/>
    <w:rsid w:val="001A227B"/>
    <w:rsid w:val="001A54AA"/>
    <w:rsid w:val="001A570D"/>
    <w:rsid w:val="001B45DF"/>
    <w:rsid w:val="001D3E90"/>
    <w:rsid w:val="00204800"/>
    <w:rsid w:val="00240E8A"/>
    <w:rsid w:val="00283102"/>
    <w:rsid w:val="002A3688"/>
    <w:rsid w:val="002C3720"/>
    <w:rsid w:val="002D170C"/>
    <w:rsid w:val="003033A6"/>
    <w:rsid w:val="00371012"/>
    <w:rsid w:val="0037584A"/>
    <w:rsid w:val="003800F3"/>
    <w:rsid w:val="003C0374"/>
    <w:rsid w:val="003C236D"/>
    <w:rsid w:val="003C35C1"/>
    <w:rsid w:val="003C4F89"/>
    <w:rsid w:val="003E2B62"/>
    <w:rsid w:val="003F3226"/>
    <w:rsid w:val="004220C6"/>
    <w:rsid w:val="00435D90"/>
    <w:rsid w:val="0044571C"/>
    <w:rsid w:val="00466701"/>
    <w:rsid w:val="004800DC"/>
    <w:rsid w:val="00495489"/>
    <w:rsid w:val="004A364C"/>
    <w:rsid w:val="004B7E17"/>
    <w:rsid w:val="004F4CFE"/>
    <w:rsid w:val="005165CD"/>
    <w:rsid w:val="00517C85"/>
    <w:rsid w:val="00535366"/>
    <w:rsid w:val="005446A1"/>
    <w:rsid w:val="00566F2E"/>
    <w:rsid w:val="00586AA8"/>
    <w:rsid w:val="005A4182"/>
    <w:rsid w:val="005A4A32"/>
    <w:rsid w:val="005B6ABA"/>
    <w:rsid w:val="005C6CB1"/>
    <w:rsid w:val="005F2F4D"/>
    <w:rsid w:val="0060197C"/>
    <w:rsid w:val="00620308"/>
    <w:rsid w:val="00627197"/>
    <w:rsid w:val="00643652"/>
    <w:rsid w:val="00654487"/>
    <w:rsid w:val="00672095"/>
    <w:rsid w:val="00674115"/>
    <w:rsid w:val="00692445"/>
    <w:rsid w:val="00695D75"/>
    <w:rsid w:val="006B33EA"/>
    <w:rsid w:val="006E7BB2"/>
    <w:rsid w:val="007046CB"/>
    <w:rsid w:val="007112DF"/>
    <w:rsid w:val="00717C71"/>
    <w:rsid w:val="00750F45"/>
    <w:rsid w:val="00753661"/>
    <w:rsid w:val="007832F0"/>
    <w:rsid w:val="00843B71"/>
    <w:rsid w:val="00860580"/>
    <w:rsid w:val="008657F2"/>
    <w:rsid w:val="008805CB"/>
    <w:rsid w:val="00880E69"/>
    <w:rsid w:val="008A53C5"/>
    <w:rsid w:val="008A60CB"/>
    <w:rsid w:val="008C3867"/>
    <w:rsid w:val="009341B6"/>
    <w:rsid w:val="00934C25"/>
    <w:rsid w:val="0093784C"/>
    <w:rsid w:val="009E5C83"/>
    <w:rsid w:val="009F3604"/>
    <w:rsid w:val="00A00219"/>
    <w:rsid w:val="00A07BEE"/>
    <w:rsid w:val="00A15D38"/>
    <w:rsid w:val="00A26048"/>
    <w:rsid w:val="00A2734B"/>
    <w:rsid w:val="00A32711"/>
    <w:rsid w:val="00A5422C"/>
    <w:rsid w:val="00A555E0"/>
    <w:rsid w:val="00A74401"/>
    <w:rsid w:val="00AA34DF"/>
    <w:rsid w:val="00AA507C"/>
    <w:rsid w:val="00AF3F26"/>
    <w:rsid w:val="00AF6FAC"/>
    <w:rsid w:val="00B0680A"/>
    <w:rsid w:val="00B13A41"/>
    <w:rsid w:val="00B16CA0"/>
    <w:rsid w:val="00B34341"/>
    <w:rsid w:val="00B74E85"/>
    <w:rsid w:val="00BA3F95"/>
    <w:rsid w:val="00BB28C1"/>
    <w:rsid w:val="00BB6AEA"/>
    <w:rsid w:val="00BE4894"/>
    <w:rsid w:val="00BF6646"/>
    <w:rsid w:val="00C54A9D"/>
    <w:rsid w:val="00C61EFC"/>
    <w:rsid w:val="00C87AF0"/>
    <w:rsid w:val="00CC03CD"/>
    <w:rsid w:val="00CD403D"/>
    <w:rsid w:val="00CD56AD"/>
    <w:rsid w:val="00CF68F7"/>
    <w:rsid w:val="00D0499A"/>
    <w:rsid w:val="00D23613"/>
    <w:rsid w:val="00D2557A"/>
    <w:rsid w:val="00D428BA"/>
    <w:rsid w:val="00D50A3D"/>
    <w:rsid w:val="00D56450"/>
    <w:rsid w:val="00D6063A"/>
    <w:rsid w:val="00D95C8E"/>
    <w:rsid w:val="00DB6954"/>
    <w:rsid w:val="00E01B6B"/>
    <w:rsid w:val="00E335C6"/>
    <w:rsid w:val="00E70AC4"/>
    <w:rsid w:val="00E90A89"/>
    <w:rsid w:val="00EA62D7"/>
    <w:rsid w:val="00EF0E44"/>
    <w:rsid w:val="00F26070"/>
    <w:rsid w:val="00F50E74"/>
    <w:rsid w:val="00F51635"/>
    <w:rsid w:val="00FC1880"/>
    <w:rsid w:val="00FD41DD"/>
    <w:rsid w:val="00FD75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D98D0F"/>
  <w15:docId w15:val="{DFADCDBD-FB71-4385-9CCC-B89D1E39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32711"/>
    <w:pPr>
      <w:widowControl w:val="0"/>
      <w:spacing w:line="360" w:lineRule="auto"/>
    </w:pPr>
    <w:rPr>
      <w:sz w:val="24"/>
      <w:lang w:val="fi-FI" w:eastAsia="fr-BE"/>
    </w:rPr>
  </w:style>
  <w:style w:type="paragraph" w:styleId="Otsikko1">
    <w:name w:val="heading 1"/>
    <w:basedOn w:val="Normaali"/>
    <w:next w:val="Normaali"/>
    <w:qFormat/>
    <w:pPr>
      <w:keepNext/>
      <w:widowControl/>
      <w:numPr>
        <w:numId w:val="11"/>
      </w:numPr>
      <w:spacing w:before="360" w:after="120" w:line="240" w:lineRule="auto"/>
      <w:jc w:val="both"/>
      <w:outlineLvl w:val="0"/>
    </w:pPr>
    <w:rPr>
      <w:b/>
      <w:smallCaps/>
    </w:rPr>
  </w:style>
  <w:style w:type="paragraph" w:styleId="Otsikko2">
    <w:name w:val="heading 2"/>
    <w:basedOn w:val="Normaali"/>
    <w:next w:val="Normaali"/>
    <w:qFormat/>
    <w:pPr>
      <w:keepNext/>
      <w:widowControl/>
      <w:numPr>
        <w:ilvl w:val="1"/>
        <w:numId w:val="12"/>
      </w:numPr>
      <w:spacing w:before="120" w:after="120" w:line="240" w:lineRule="auto"/>
      <w:jc w:val="both"/>
      <w:outlineLvl w:val="1"/>
    </w:pPr>
    <w:rPr>
      <w:b/>
    </w:rPr>
  </w:style>
  <w:style w:type="paragraph" w:styleId="Otsikko3">
    <w:name w:val="heading 3"/>
    <w:basedOn w:val="Normaali"/>
    <w:next w:val="Normaali"/>
    <w:qFormat/>
    <w:pPr>
      <w:keepNext/>
      <w:widowControl/>
      <w:numPr>
        <w:ilvl w:val="2"/>
        <w:numId w:val="13"/>
      </w:numPr>
      <w:spacing w:before="120" w:after="120" w:line="240" w:lineRule="auto"/>
      <w:jc w:val="both"/>
      <w:outlineLvl w:val="2"/>
    </w:pPr>
    <w:rPr>
      <w:i/>
    </w:rPr>
  </w:style>
  <w:style w:type="paragraph" w:styleId="Otsikko4">
    <w:name w:val="heading 4"/>
    <w:basedOn w:val="Normaali"/>
    <w:next w:val="Normaali"/>
    <w:qFormat/>
    <w:pPr>
      <w:keepNext/>
      <w:widowControl/>
      <w:numPr>
        <w:ilvl w:val="3"/>
        <w:numId w:val="14"/>
      </w:numPr>
      <w:spacing w:before="120" w:after="120" w:line="240" w:lineRule="auto"/>
      <w:jc w:val="both"/>
      <w:outlineLvl w:val="3"/>
    </w:pPr>
  </w:style>
  <w:style w:type="paragraph" w:styleId="Otsikko5">
    <w:name w:val="heading 5"/>
    <w:basedOn w:val="Normaali"/>
    <w:next w:val="Normaali"/>
    <w:qFormat/>
    <w:pPr>
      <w:widowControl/>
      <w:spacing w:before="240" w:after="60" w:line="240" w:lineRule="auto"/>
      <w:jc w:val="both"/>
      <w:outlineLvl w:val="4"/>
    </w:pPr>
    <w:rPr>
      <w:rFonts w:ascii="Arial" w:hAnsi="Arial"/>
      <w:sz w:val="22"/>
    </w:rPr>
  </w:style>
  <w:style w:type="paragraph" w:styleId="Otsikko6">
    <w:name w:val="heading 6"/>
    <w:basedOn w:val="Normaali"/>
    <w:next w:val="Normaali"/>
    <w:qFormat/>
    <w:pPr>
      <w:widowControl/>
      <w:spacing w:before="240" w:after="60" w:line="240" w:lineRule="auto"/>
      <w:jc w:val="both"/>
      <w:outlineLvl w:val="5"/>
    </w:pPr>
    <w:rPr>
      <w:rFonts w:ascii="Arial" w:hAnsi="Arial"/>
      <w:i/>
      <w:sz w:val="22"/>
    </w:rPr>
  </w:style>
  <w:style w:type="paragraph" w:styleId="Otsikko7">
    <w:name w:val="heading 7"/>
    <w:basedOn w:val="Normaali"/>
    <w:next w:val="Normaali"/>
    <w:qFormat/>
    <w:pPr>
      <w:widowControl/>
      <w:spacing w:before="240" w:after="60" w:line="240" w:lineRule="auto"/>
      <w:jc w:val="both"/>
      <w:outlineLvl w:val="6"/>
    </w:pPr>
    <w:rPr>
      <w:rFonts w:ascii="Arial" w:hAnsi="Arial"/>
      <w:sz w:val="20"/>
    </w:rPr>
  </w:style>
  <w:style w:type="paragraph" w:styleId="Otsikko8">
    <w:name w:val="heading 8"/>
    <w:basedOn w:val="Normaali"/>
    <w:next w:val="Normaali"/>
    <w:qFormat/>
    <w:pPr>
      <w:widowControl/>
      <w:spacing w:before="240" w:after="60" w:line="240" w:lineRule="auto"/>
      <w:jc w:val="both"/>
      <w:outlineLvl w:val="7"/>
    </w:pPr>
    <w:rPr>
      <w:rFonts w:ascii="Arial" w:hAnsi="Arial"/>
      <w:i/>
      <w:sz w:val="20"/>
    </w:rPr>
  </w:style>
  <w:style w:type="paragraph" w:styleId="Otsikko9">
    <w:name w:val="heading 9"/>
    <w:basedOn w:val="Normaali"/>
    <w:next w:val="Normaali"/>
    <w:qFormat/>
    <w:pPr>
      <w:widowControl/>
      <w:spacing w:before="240" w:after="60" w:line="240" w:lineRule="auto"/>
      <w:jc w:val="both"/>
      <w:outlineLvl w:val="8"/>
    </w:pPr>
    <w:rPr>
      <w:rFonts w:ascii="Arial" w:hAnsi="Arial"/>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pPr>
      <w:tabs>
        <w:tab w:val="center" w:pos="4820"/>
        <w:tab w:val="center" w:pos="7371"/>
        <w:tab w:val="right" w:pos="9639"/>
      </w:tabs>
      <w:spacing w:line="240" w:lineRule="auto"/>
    </w:pPr>
  </w:style>
  <w:style w:type="paragraph" w:customStyle="1" w:styleId="EntInstit">
    <w:name w:val="EntInstit"/>
    <w:basedOn w:val="Normaali"/>
    <w:pPr>
      <w:spacing w:line="240" w:lineRule="auto"/>
      <w:jc w:val="right"/>
    </w:pPr>
    <w:rPr>
      <w:b/>
    </w:rPr>
  </w:style>
  <w:style w:type="paragraph" w:customStyle="1" w:styleId="EntRefer">
    <w:name w:val="EntRefer"/>
    <w:basedOn w:val="Normaali"/>
    <w:pPr>
      <w:spacing w:line="240" w:lineRule="auto"/>
    </w:pPr>
    <w:rPr>
      <w:b/>
    </w:rPr>
  </w:style>
  <w:style w:type="paragraph" w:customStyle="1" w:styleId="Par-number10">
    <w:name w:val="Par-number 1)"/>
    <w:basedOn w:val="Normaali"/>
    <w:next w:val="Normaali"/>
    <w:pPr>
      <w:numPr>
        <w:numId w:val="7"/>
      </w:numPr>
    </w:pPr>
  </w:style>
  <w:style w:type="paragraph" w:customStyle="1" w:styleId="EntEmet">
    <w:name w:val="EntEmet"/>
    <w:basedOn w:val="Normaali"/>
    <w:pPr>
      <w:tabs>
        <w:tab w:val="left" w:pos="284"/>
        <w:tab w:val="left" w:pos="567"/>
        <w:tab w:val="left" w:pos="851"/>
        <w:tab w:val="left" w:pos="1134"/>
        <w:tab w:val="left" w:pos="1418"/>
      </w:tabs>
      <w:spacing w:before="40" w:line="240" w:lineRule="auto"/>
    </w:pPr>
  </w:style>
  <w:style w:type="character" w:styleId="Alaviitteenviite">
    <w:name w:val="footnote reference"/>
    <w:uiPriority w:val="99"/>
    <w:rPr>
      <w:b/>
      <w:vertAlign w:val="superscript"/>
    </w:rPr>
  </w:style>
  <w:style w:type="paragraph" w:styleId="Alaviitteenteksti">
    <w:name w:val="footnote text"/>
    <w:basedOn w:val="Normaali"/>
    <w:link w:val="AlaviitteentekstiChar"/>
    <w:uiPriority w:val="99"/>
    <w:pPr>
      <w:tabs>
        <w:tab w:val="left" w:pos="567"/>
      </w:tabs>
      <w:spacing w:line="240" w:lineRule="auto"/>
      <w:ind w:left="567" w:hanging="567"/>
    </w:pPr>
  </w:style>
  <w:style w:type="paragraph" w:styleId="Yltunniste">
    <w:name w:val="header"/>
    <w:basedOn w:val="Normaali"/>
    <w:pPr>
      <w:tabs>
        <w:tab w:val="center" w:pos="4820"/>
        <w:tab w:val="right" w:pos="7371"/>
        <w:tab w:val="right" w:pos="9639"/>
      </w:tabs>
      <w:spacing w:line="240" w:lineRule="auto"/>
    </w:pPr>
  </w:style>
  <w:style w:type="paragraph" w:customStyle="1" w:styleId="Par-bullet">
    <w:name w:val="Par-bullet"/>
    <w:basedOn w:val="Normaali"/>
    <w:next w:val="Normaali"/>
    <w:pPr>
      <w:numPr>
        <w:numId w:val="3"/>
      </w:numPr>
    </w:pPr>
  </w:style>
  <w:style w:type="paragraph" w:customStyle="1" w:styleId="Par-equal">
    <w:name w:val="Par-equal"/>
    <w:basedOn w:val="Normaali"/>
    <w:next w:val="Normaali"/>
    <w:pPr>
      <w:numPr>
        <w:numId w:val="5"/>
      </w:numPr>
    </w:pPr>
  </w:style>
  <w:style w:type="paragraph" w:styleId="Sisluet1">
    <w:name w:val="toc 1"/>
    <w:basedOn w:val="Normaali"/>
    <w:next w:val="Normaali"/>
    <w:pPr>
      <w:tabs>
        <w:tab w:val="left" w:pos="567"/>
        <w:tab w:val="right" w:leader="dot" w:pos="9639"/>
      </w:tabs>
      <w:ind w:left="567" w:right="567" w:hanging="567"/>
    </w:pPr>
  </w:style>
  <w:style w:type="paragraph" w:customStyle="1" w:styleId="Par-number1">
    <w:name w:val="Par-number (1)"/>
    <w:basedOn w:val="Normaali"/>
    <w:next w:val="Normaali"/>
    <w:pPr>
      <w:numPr>
        <w:numId w:val="6"/>
      </w:numPr>
    </w:pPr>
  </w:style>
  <w:style w:type="paragraph" w:customStyle="1" w:styleId="Par-number11">
    <w:name w:val="Par-number 1."/>
    <w:basedOn w:val="Normaali"/>
    <w:next w:val="Normaali"/>
    <w:pPr>
      <w:numPr>
        <w:numId w:val="8"/>
      </w:numPr>
    </w:pPr>
  </w:style>
  <w:style w:type="paragraph" w:customStyle="1" w:styleId="Par-numberI">
    <w:name w:val="Par-number I."/>
    <w:basedOn w:val="Normaali"/>
    <w:next w:val="Normaali"/>
    <w:pPr>
      <w:numPr>
        <w:numId w:val="10"/>
      </w:numPr>
    </w:pPr>
  </w:style>
  <w:style w:type="paragraph" w:customStyle="1" w:styleId="Par-dash">
    <w:name w:val="Par-dash"/>
    <w:basedOn w:val="Normaali"/>
    <w:next w:val="Normaali"/>
    <w:pPr>
      <w:numPr>
        <w:numId w:val="4"/>
      </w:numPr>
    </w:pPr>
  </w:style>
  <w:style w:type="paragraph" w:customStyle="1" w:styleId="EntLogo">
    <w:name w:val="EntLogo"/>
    <w:basedOn w:val="Normaali"/>
    <w:next w:val="EntInstit"/>
    <w:rPr>
      <w:b/>
    </w:rPr>
  </w:style>
  <w:style w:type="paragraph" w:customStyle="1" w:styleId="FooterLandscape">
    <w:name w:val="FooterLandscape"/>
    <w:basedOn w:val="Alatunniste"/>
    <w:pPr>
      <w:tabs>
        <w:tab w:val="clear" w:pos="4820"/>
        <w:tab w:val="clear" w:pos="9639"/>
        <w:tab w:val="center" w:pos="11340"/>
        <w:tab w:val="right" w:pos="14572"/>
      </w:tabs>
    </w:pPr>
  </w:style>
  <w:style w:type="paragraph" w:customStyle="1" w:styleId="Par-numberA">
    <w:name w:val="Par-number A."/>
    <w:basedOn w:val="Normaali"/>
    <w:next w:val="Normaali"/>
    <w:pPr>
      <w:numPr>
        <w:numId w:val="9"/>
      </w:numPr>
    </w:pPr>
  </w:style>
  <w:style w:type="paragraph" w:styleId="Sisluet2">
    <w:name w:val="toc 2"/>
    <w:basedOn w:val="Normaali"/>
    <w:next w:val="Normaali"/>
    <w:pPr>
      <w:tabs>
        <w:tab w:val="left" w:pos="1134"/>
        <w:tab w:val="right" w:leader="dot" w:pos="9639"/>
      </w:tabs>
      <w:ind w:left="1134" w:right="567" w:hanging="567"/>
    </w:pPr>
  </w:style>
  <w:style w:type="paragraph" w:styleId="Sisluet3">
    <w:name w:val="toc 3"/>
    <w:basedOn w:val="Normaali"/>
    <w:next w:val="Normaali"/>
    <w:pPr>
      <w:tabs>
        <w:tab w:val="left" w:pos="1701"/>
        <w:tab w:val="right" w:leader="dot" w:pos="9639"/>
      </w:tabs>
      <w:ind w:left="1701" w:right="567" w:hanging="567"/>
    </w:pPr>
  </w:style>
  <w:style w:type="paragraph" w:styleId="Sisluet4">
    <w:name w:val="toc 4"/>
    <w:basedOn w:val="Normaali"/>
    <w:next w:val="Normaali"/>
    <w:pPr>
      <w:tabs>
        <w:tab w:val="left" w:pos="2268"/>
        <w:tab w:val="right" w:pos="9639"/>
      </w:tabs>
      <w:ind w:left="2268" w:right="567" w:hanging="567"/>
    </w:pPr>
  </w:style>
  <w:style w:type="paragraph" w:styleId="Sisluet5">
    <w:name w:val="toc 5"/>
    <w:basedOn w:val="Normaali"/>
    <w:next w:val="Normaali"/>
    <w:pPr>
      <w:tabs>
        <w:tab w:val="left" w:pos="2835"/>
        <w:tab w:val="right" w:leader="dot" w:pos="9639"/>
      </w:tabs>
      <w:ind w:left="2835" w:right="567" w:hanging="567"/>
    </w:pPr>
  </w:style>
  <w:style w:type="paragraph" w:styleId="Sisluet6">
    <w:name w:val="toc 6"/>
    <w:basedOn w:val="Normaali"/>
    <w:next w:val="Normaali"/>
    <w:pPr>
      <w:tabs>
        <w:tab w:val="left" w:pos="3402"/>
        <w:tab w:val="right" w:leader="dot" w:pos="9639"/>
      </w:tabs>
      <w:ind w:left="3402" w:right="567" w:hanging="567"/>
    </w:pPr>
  </w:style>
  <w:style w:type="paragraph" w:styleId="Sisluet7">
    <w:name w:val="toc 7"/>
    <w:basedOn w:val="Normaali"/>
    <w:next w:val="Normaali"/>
    <w:pPr>
      <w:tabs>
        <w:tab w:val="left" w:pos="3969"/>
        <w:tab w:val="right" w:leader="dot" w:pos="9639"/>
      </w:tabs>
      <w:ind w:left="3969" w:right="567" w:hanging="567"/>
    </w:pPr>
  </w:style>
  <w:style w:type="paragraph" w:styleId="Sisluet8">
    <w:name w:val="toc 8"/>
    <w:basedOn w:val="Normaali"/>
    <w:next w:val="Normaali"/>
    <w:pPr>
      <w:tabs>
        <w:tab w:val="left" w:pos="4536"/>
        <w:tab w:val="right" w:leader="dot" w:pos="9639"/>
      </w:tabs>
      <w:ind w:left="4536" w:right="567" w:hanging="567"/>
    </w:pPr>
  </w:style>
  <w:style w:type="paragraph" w:styleId="Sisluet9">
    <w:name w:val="toc 9"/>
    <w:basedOn w:val="Normaali"/>
    <w:next w:val="Normaali"/>
    <w:pPr>
      <w:tabs>
        <w:tab w:val="left" w:pos="5103"/>
        <w:tab w:val="right" w:leader="dot" w:pos="9639"/>
      </w:tabs>
      <w:ind w:left="5103" w:right="567" w:hanging="567"/>
    </w:pPr>
  </w:style>
  <w:style w:type="paragraph" w:styleId="Loppuviitteenteksti">
    <w:name w:val="endnote text"/>
    <w:basedOn w:val="Normaali"/>
    <w:pPr>
      <w:tabs>
        <w:tab w:val="left" w:pos="567"/>
      </w:tabs>
      <w:spacing w:line="240" w:lineRule="auto"/>
      <w:ind w:left="567" w:hanging="567"/>
    </w:pPr>
  </w:style>
  <w:style w:type="character" w:styleId="Loppuviitteenviite">
    <w:name w:val="endnote reference"/>
    <w:rPr>
      <w:b/>
      <w:vertAlign w:val="superscript"/>
    </w:rPr>
  </w:style>
  <w:style w:type="paragraph" w:customStyle="1" w:styleId="AC">
    <w:name w:val="AC"/>
    <w:basedOn w:val="Normaali"/>
    <w:next w:val="Normaali"/>
    <w:rPr>
      <w:b/>
      <w:sz w:val="40"/>
    </w:rPr>
  </w:style>
  <w:style w:type="character" w:styleId="Sivunumero">
    <w:name w:val="page number"/>
    <w:basedOn w:val="Kappaleenoletusfontti"/>
  </w:style>
  <w:style w:type="paragraph" w:customStyle="1" w:styleId="Par-numberi0">
    <w:name w:val="Par-number (i)"/>
    <w:basedOn w:val="Normaali"/>
    <w:next w:val="Normaali"/>
    <w:pPr>
      <w:numPr>
        <w:numId w:val="1"/>
      </w:numPr>
      <w:tabs>
        <w:tab w:val="clear" w:pos="720"/>
        <w:tab w:val="left" w:pos="567"/>
      </w:tabs>
    </w:pPr>
  </w:style>
  <w:style w:type="paragraph" w:customStyle="1" w:styleId="Par-numbera0">
    <w:name w:val="Par-number (a)"/>
    <w:basedOn w:val="Normaali"/>
    <w:next w:val="Normaali"/>
    <w:pPr>
      <w:numPr>
        <w:numId w:val="2"/>
      </w:numPr>
    </w:pPr>
  </w:style>
  <w:style w:type="character" w:customStyle="1" w:styleId="DontTranslate">
    <w:name w:val="DontTranslate"/>
    <w:basedOn w:val="Kappaleenoletusfontti"/>
  </w:style>
  <w:style w:type="paragraph" w:customStyle="1" w:styleId="AddReference">
    <w:name w:val="Add Reference"/>
    <w:basedOn w:val="Normaali"/>
    <w:rsid w:val="003800F3"/>
    <w:pPr>
      <w:pBdr>
        <w:top w:val="single" w:sz="4" w:space="1" w:color="auto"/>
        <w:left w:val="single" w:sz="4" w:space="4" w:color="auto"/>
        <w:bottom w:val="single" w:sz="4" w:space="1" w:color="auto"/>
        <w:right w:val="single" w:sz="4" w:space="4" w:color="auto"/>
      </w:pBdr>
      <w:spacing w:line="240" w:lineRule="auto"/>
      <w:ind w:left="7655" w:right="-454"/>
    </w:pPr>
    <w:rPr>
      <w:i/>
      <w:sz w:val="20"/>
      <w:lang w:val="en-GB" w:eastAsia="en-US"/>
    </w:rPr>
  </w:style>
  <w:style w:type="paragraph" w:styleId="Kommentinteksti">
    <w:name w:val="annotation text"/>
    <w:basedOn w:val="Normaali"/>
    <w:link w:val="KommentintekstiChar"/>
    <w:uiPriority w:val="99"/>
    <w:semiHidden/>
    <w:unhideWhenUsed/>
    <w:rPr>
      <w:sz w:val="20"/>
    </w:rPr>
  </w:style>
  <w:style w:type="character" w:customStyle="1" w:styleId="KommentintekstiChar">
    <w:name w:val="Kommentin teksti Char"/>
    <w:basedOn w:val="Kappaleenoletusfontti"/>
    <w:link w:val="Kommentinteksti"/>
    <w:uiPriority w:val="99"/>
    <w:semiHidden/>
    <w:rPr>
      <w:lang w:val="fi-FI" w:eastAsia="fr-BE"/>
    </w:rPr>
  </w:style>
  <w:style w:type="character" w:styleId="Kommentinviite">
    <w:name w:val="annotation reference"/>
    <w:basedOn w:val="Kappaleenoletusfontti"/>
    <w:uiPriority w:val="99"/>
    <w:semiHidden/>
    <w:unhideWhenUsed/>
    <w:rPr>
      <w:sz w:val="16"/>
      <w:szCs w:val="16"/>
    </w:rPr>
  </w:style>
  <w:style w:type="character" w:customStyle="1" w:styleId="AlaviitteentekstiChar">
    <w:name w:val="Alaviitteen teksti Char"/>
    <w:basedOn w:val="Kappaleenoletusfontti"/>
    <w:link w:val="Alaviitteenteksti"/>
    <w:uiPriority w:val="99"/>
    <w:rsid w:val="00283102"/>
    <w:rPr>
      <w:sz w:val="24"/>
      <w:lang w:val="fi-FI" w:eastAsia="fr-BE"/>
    </w:rPr>
  </w:style>
  <w:style w:type="paragraph" w:customStyle="1" w:styleId="Text1">
    <w:name w:val="Text 1"/>
    <w:basedOn w:val="Normaali"/>
    <w:rsid w:val="00283102"/>
    <w:pPr>
      <w:widowControl/>
      <w:spacing w:before="120" w:after="120"/>
      <w:ind w:left="850"/>
    </w:pPr>
    <w:rPr>
      <w:rFonts w:eastAsiaTheme="minorHAnsi"/>
      <w:szCs w:val="22"/>
      <w:lang w:eastAsia="en-US"/>
    </w:rPr>
  </w:style>
  <w:style w:type="paragraph" w:customStyle="1" w:styleId="Point0">
    <w:name w:val="Point 0"/>
    <w:basedOn w:val="Normaali"/>
    <w:rsid w:val="00283102"/>
    <w:pPr>
      <w:widowControl/>
      <w:spacing w:before="120" w:after="120"/>
      <w:ind w:left="850" w:hanging="850"/>
    </w:pPr>
    <w:rPr>
      <w:rFonts w:eastAsiaTheme="minorHAnsi"/>
      <w:szCs w:val="22"/>
      <w:lang w:eastAsia="en-US"/>
    </w:rPr>
  </w:style>
  <w:style w:type="paragraph" w:customStyle="1" w:styleId="Point1">
    <w:name w:val="Point 1"/>
    <w:basedOn w:val="Normaali"/>
    <w:rsid w:val="00283102"/>
    <w:pPr>
      <w:widowControl/>
      <w:spacing w:before="120" w:after="120"/>
      <w:ind w:left="1417" w:hanging="567"/>
    </w:pPr>
    <w:rPr>
      <w:rFonts w:eastAsiaTheme="minorHAnsi"/>
      <w:szCs w:val="22"/>
      <w:lang w:eastAsia="en-US"/>
    </w:rPr>
  </w:style>
  <w:style w:type="paragraph" w:customStyle="1" w:styleId="ManualNumPar1">
    <w:name w:val="Manual NumPar 1"/>
    <w:basedOn w:val="Normaali"/>
    <w:next w:val="Text1"/>
    <w:rsid w:val="00283102"/>
    <w:pPr>
      <w:widowControl/>
      <w:spacing w:before="120" w:after="120"/>
      <w:ind w:left="850" w:hanging="850"/>
    </w:pPr>
    <w:rPr>
      <w:rFonts w:eastAsiaTheme="minorHAnsi"/>
      <w:szCs w:val="22"/>
      <w:lang w:eastAsia="en-US"/>
    </w:rPr>
  </w:style>
  <w:style w:type="paragraph" w:customStyle="1" w:styleId="Datedadoption">
    <w:name w:val="Date d'adoption"/>
    <w:basedOn w:val="Normaali"/>
    <w:next w:val="Titreobjet"/>
    <w:rsid w:val="00283102"/>
    <w:pPr>
      <w:widowControl/>
      <w:spacing w:before="360"/>
      <w:jc w:val="center"/>
    </w:pPr>
    <w:rPr>
      <w:rFonts w:eastAsiaTheme="minorHAnsi"/>
      <w:b/>
      <w:szCs w:val="22"/>
      <w:lang w:eastAsia="en-US"/>
    </w:rPr>
  </w:style>
  <w:style w:type="paragraph" w:customStyle="1" w:styleId="Fait">
    <w:name w:val="Fait à"/>
    <w:basedOn w:val="Normaali"/>
    <w:next w:val="Institutionquisigne"/>
    <w:rsid w:val="00283102"/>
    <w:pPr>
      <w:keepNext/>
      <w:widowControl/>
      <w:spacing w:before="120"/>
    </w:pPr>
    <w:rPr>
      <w:rFonts w:eastAsiaTheme="minorHAnsi"/>
      <w:szCs w:val="22"/>
      <w:lang w:eastAsia="en-US"/>
    </w:rPr>
  </w:style>
  <w:style w:type="paragraph" w:customStyle="1" w:styleId="Formuledadoption">
    <w:name w:val="Formule d'adoption"/>
    <w:basedOn w:val="Normaali"/>
    <w:next w:val="Titrearticle"/>
    <w:rsid w:val="00283102"/>
    <w:pPr>
      <w:keepNext/>
      <w:widowControl/>
      <w:spacing w:before="120" w:after="120"/>
    </w:pPr>
    <w:rPr>
      <w:rFonts w:eastAsiaTheme="minorHAnsi"/>
      <w:szCs w:val="22"/>
      <w:lang w:eastAsia="en-US"/>
    </w:rPr>
  </w:style>
  <w:style w:type="paragraph" w:customStyle="1" w:styleId="Institutionquiagit">
    <w:name w:val="Institution qui agit"/>
    <w:basedOn w:val="Normaali"/>
    <w:next w:val="Normaali"/>
    <w:rsid w:val="00283102"/>
    <w:pPr>
      <w:keepNext/>
      <w:widowControl/>
      <w:spacing w:before="600" w:after="120"/>
    </w:pPr>
    <w:rPr>
      <w:rFonts w:eastAsiaTheme="minorHAnsi"/>
      <w:szCs w:val="22"/>
      <w:lang w:eastAsia="en-US"/>
    </w:rPr>
  </w:style>
  <w:style w:type="paragraph" w:customStyle="1" w:styleId="Institutionquisigne">
    <w:name w:val="Institution qui signe"/>
    <w:basedOn w:val="Normaali"/>
    <w:next w:val="Personnequisigne"/>
    <w:rsid w:val="00283102"/>
    <w:pPr>
      <w:keepNext/>
      <w:widowControl/>
      <w:tabs>
        <w:tab w:val="left" w:pos="5669"/>
      </w:tabs>
      <w:spacing w:before="720"/>
    </w:pPr>
    <w:rPr>
      <w:rFonts w:eastAsiaTheme="minorHAnsi"/>
      <w:i/>
      <w:szCs w:val="22"/>
      <w:lang w:eastAsia="en-US"/>
    </w:rPr>
  </w:style>
  <w:style w:type="paragraph" w:customStyle="1" w:styleId="ManualConsidrant">
    <w:name w:val="Manual Considérant"/>
    <w:basedOn w:val="Normaali"/>
    <w:rsid w:val="00283102"/>
    <w:pPr>
      <w:widowControl/>
      <w:spacing w:before="120" w:after="120"/>
      <w:ind w:left="850" w:hanging="850"/>
    </w:pPr>
    <w:rPr>
      <w:rFonts w:eastAsiaTheme="minorHAnsi"/>
      <w:szCs w:val="22"/>
      <w:lang w:eastAsia="en-US"/>
    </w:rPr>
  </w:style>
  <w:style w:type="paragraph" w:customStyle="1" w:styleId="Personnequisigne">
    <w:name w:val="Personne qui signe"/>
    <w:basedOn w:val="Normaali"/>
    <w:next w:val="Institutionquisigne"/>
    <w:rsid w:val="00283102"/>
    <w:pPr>
      <w:widowControl/>
      <w:tabs>
        <w:tab w:val="left" w:pos="5669"/>
      </w:tabs>
    </w:pPr>
    <w:rPr>
      <w:rFonts w:eastAsiaTheme="minorHAnsi"/>
      <w:i/>
      <w:szCs w:val="22"/>
      <w:lang w:eastAsia="en-US"/>
    </w:rPr>
  </w:style>
  <w:style w:type="paragraph" w:customStyle="1" w:styleId="Statut">
    <w:name w:val="Statut"/>
    <w:basedOn w:val="Normaali"/>
    <w:next w:val="Typedudocument"/>
    <w:rsid w:val="00283102"/>
    <w:pPr>
      <w:widowControl/>
      <w:spacing w:before="360"/>
      <w:jc w:val="center"/>
    </w:pPr>
    <w:rPr>
      <w:rFonts w:eastAsiaTheme="minorHAnsi"/>
      <w:szCs w:val="22"/>
      <w:lang w:eastAsia="en-US"/>
    </w:rPr>
  </w:style>
  <w:style w:type="paragraph" w:customStyle="1" w:styleId="Titrearticle">
    <w:name w:val="Titre article"/>
    <w:basedOn w:val="Normaali"/>
    <w:next w:val="Normaali"/>
    <w:rsid w:val="00283102"/>
    <w:pPr>
      <w:keepNext/>
      <w:widowControl/>
      <w:spacing w:before="360" w:after="120"/>
      <w:jc w:val="center"/>
    </w:pPr>
    <w:rPr>
      <w:rFonts w:eastAsiaTheme="minorHAnsi"/>
      <w:i/>
      <w:szCs w:val="22"/>
      <w:lang w:eastAsia="en-US"/>
    </w:rPr>
  </w:style>
  <w:style w:type="paragraph" w:customStyle="1" w:styleId="Titreobjet">
    <w:name w:val="Titre objet"/>
    <w:basedOn w:val="Normaali"/>
    <w:next w:val="Normaali"/>
    <w:rsid w:val="00283102"/>
    <w:pPr>
      <w:widowControl/>
      <w:spacing w:before="360" w:after="360"/>
      <w:jc w:val="center"/>
    </w:pPr>
    <w:rPr>
      <w:rFonts w:eastAsiaTheme="minorHAnsi"/>
      <w:b/>
      <w:szCs w:val="22"/>
      <w:lang w:eastAsia="en-US"/>
    </w:rPr>
  </w:style>
  <w:style w:type="paragraph" w:customStyle="1" w:styleId="Typedudocument">
    <w:name w:val="Type du document"/>
    <w:basedOn w:val="Normaali"/>
    <w:next w:val="Datedadoption"/>
    <w:rsid w:val="00283102"/>
    <w:pPr>
      <w:widowControl/>
      <w:spacing w:before="360"/>
      <w:jc w:val="center"/>
    </w:pPr>
    <w:rPr>
      <w:rFonts w:eastAsiaTheme="minorHAnsi"/>
      <w:b/>
      <w:szCs w:val="22"/>
      <w:lang w:eastAsia="en-US"/>
    </w:rPr>
  </w:style>
  <w:style w:type="character" w:customStyle="1" w:styleId="None">
    <w:name w:val="None"/>
    <w:uiPriority w:val="99"/>
    <w:rsid w:val="00283102"/>
  </w:style>
  <w:style w:type="paragraph" w:customStyle="1" w:styleId="Body">
    <w:name w:val="Body"/>
    <w:uiPriority w:val="99"/>
    <w:rsid w:val="0028310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Theme="minorHAnsi" w:eastAsiaTheme="minorHAnsi" w:hAnsiTheme="minorHAnsi" w:cs="Calibri"/>
      <w:color w:val="000000"/>
      <w:sz w:val="22"/>
      <w:szCs w:val="22"/>
      <w:u w:color="000000"/>
      <w:lang w:val="fi-FI" w:eastAsia="fi-FI"/>
    </w:rPr>
  </w:style>
  <w:style w:type="paragraph" w:customStyle="1" w:styleId="Rfrenceinterinstitutionnelle">
    <w:name w:val="Référence interinstitutionnelle"/>
    <w:basedOn w:val="Normaali"/>
    <w:next w:val="Statut"/>
    <w:rsid w:val="00283102"/>
    <w:pPr>
      <w:widowControl/>
      <w:spacing w:line="240" w:lineRule="auto"/>
      <w:ind w:left="5103"/>
    </w:pPr>
    <w:rPr>
      <w:rFonts w:eastAsiaTheme="minorHAnsi"/>
      <w:szCs w:val="22"/>
      <w:lang w:eastAsia="en-GB"/>
    </w:rPr>
  </w:style>
  <w:style w:type="paragraph" w:styleId="Merkittyluettelo">
    <w:name w:val="List Bullet"/>
    <w:basedOn w:val="Normaali"/>
    <w:uiPriority w:val="99"/>
    <w:unhideWhenUsed/>
    <w:rsid w:val="008C3867"/>
    <w:pPr>
      <w:numPr>
        <w:numId w:val="15"/>
      </w:numPr>
      <w:contextualSpacing/>
    </w:pPr>
  </w:style>
  <w:style w:type="character" w:styleId="Hyperlinkki">
    <w:name w:val="Hyperlink"/>
    <w:basedOn w:val="Kappaleenoletusfontti"/>
    <w:uiPriority w:val="99"/>
    <w:unhideWhenUsed/>
    <w:rsid w:val="00080F4B"/>
    <w:rPr>
      <w:color w:val="0000FF" w:themeColor="hyperlink"/>
      <w:u w:val="single"/>
    </w:rPr>
  </w:style>
  <w:style w:type="paragraph" w:customStyle="1" w:styleId="title-doc-first1">
    <w:name w:val="title-doc-first1"/>
    <w:basedOn w:val="Normaali"/>
    <w:rsid w:val="00080F4B"/>
    <w:pPr>
      <w:widowControl/>
      <w:spacing w:before="120" w:line="312" w:lineRule="atLeast"/>
      <w:jc w:val="center"/>
    </w:pPr>
    <w:rPr>
      <w:b/>
      <w:bCs/>
      <w:szCs w:val="24"/>
      <w:lang w:eastAsia="fi-FI"/>
    </w:rPr>
  </w:style>
  <w:style w:type="paragraph" w:customStyle="1" w:styleId="ATHeading6">
    <w:name w:val="AT Heading 6"/>
    <w:basedOn w:val="Normaali"/>
    <w:next w:val="Normaali"/>
    <w:rsid w:val="004F4CFE"/>
    <w:pPr>
      <w:keepNext/>
      <w:keepLines/>
      <w:widowControl/>
      <w:spacing w:before="120" w:after="120" w:line="240" w:lineRule="auto"/>
    </w:pPr>
    <w:rPr>
      <w:smallCaps/>
      <w:noProof/>
      <w:lang w:val="fr-FR" w:eastAsia="fr-FR"/>
    </w:rPr>
  </w:style>
  <w:style w:type="character" w:styleId="AvattuHyperlinkki">
    <w:name w:val="FollowedHyperlink"/>
    <w:basedOn w:val="Kappaleenoletusfontti"/>
    <w:uiPriority w:val="99"/>
    <w:semiHidden/>
    <w:unhideWhenUsed/>
    <w:rsid w:val="009F3604"/>
    <w:rPr>
      <w:color w:val="800080" w:themeColor="followedHyperlink"/>
      <w:u w:val="single"/>
    </w:rPr>
  </w:style>
  <w:style w:type="paragraph" w:styleId="Seliteteksti">
    <w:name w:val="Balloon Text"/>
    <w:basedOn w:val="Normaali"/>
    <w:link w:val="SelitetekstiChar"/>
    <w:uiPriority w:val="99"/>
    <w:semiHidden/>
    <w:unhideWhenUsed/>
    <w:rsid w:val="00B16CA0"/>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16CA0"/>
    <w:rPr>
      <w:rFonts w:ascii="Segoe UI" w:hAnsi="Segoe UI" w:cs="Segoe UI"/>
      <w:sz w:val="18"/>
      <w:szCs w:val="18"/>
      <w:lang w:val="fi-FI" w:eastAsia="fr-BE"/>
    </w:rPr>
  </w:style>
  <w:style w:type="paragraph" w:styleId="Kommentinotsikko">
    <w:name w:val="annotation subject"/>
    <w:basedOn w:val="Kommentinteksti"/>
    <w:next w:val="Kommentinteksti"/>
    <w:link w:val="KommentinotsikkoChar"/>
    <w:uiPriority w:val="99"/>
    <w:semiHidden/>
    <w:unhideWhenUsed/>
    <w:rsid w:val="004800DC"/>
    <w:pPr>
      <w:spacing w:line="240" w:lineRule="auto"/>
    </w:pPr>
    <w:rPr>
      <w:b/>
      <w:bCs/>
    </w:rPr>
  </w:style>
  <w:style w:type="character" w:customStyle="1" w:styleId="KommentinotsikkoChar">
    <w:name w:val="Kommentin otsikko Char"/>
    <w:basedOn w:val="KommentintekstiChar"/>
    <w:link w:val="Kommentinotsikko"/>
    <w:uiPriority w:val="99"/>
    <w:semiHidden/>
    <w:rsid w:val="004800DC"/>
    <w:rPr>
      <w:b/>
      <w:bCs/>
      <w:lang w:val="fi-FI"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11519">
      <w:bodyDiv w:val="1"/>
      <w:marLeft w:val="0"/>
      <w:marRight w:val="0"/>
      <w:marTop w:val="0"/>
      <w:marBottom w:val="0"/>
      <w:divBdr>
        <w:top w:val="none" w:sz="0" w:space="0" w:color="auto"/>
        <w:left w:val="none" w:sz="0" w:space="0" w:color="auto"/>
        <w:bottom w:val="none" w:sz="0" w:space="0" w:color="auto"/>
        <w:right w:val="none" w:sz="0" w:space="0" w:color="auto"/>
      </w:divBdr>
    </w:div>
    <w:div w:id="1674604898">
      <w:bodyDiv w:val="1"/>
      <w:marLeft w:val="0"/>
      <w:marRight w:val="0"/>
      <w:marTop w:val="0"/>
      <w:marBottom w:val="0"/>
      <w:divBdr>
        <w:top w:val="none" w:sz="0" w:space="0" w:color="auto"/>
        <w:left w:val="none" w:sz="0" w:space="0" w:color="auto"/>
        <w:bottom w:val="none" w:sz="0" w:space="0" w:color="auto"/>
        <w:right w:val="none" w:sz="0" w:space="0" w:color="auto"/>
      </w:divBdr>
      <w:divsChild>
        <w:div w:id="1021130058">
          <w:marLeft w:val="0"/>
          <w:marRight w:val="0"/>
          <w:marTop w:val="0"/>
          <w:marBottom w:val="0"/>
          <w:divBdr>
            <w:top w:val="none" w:sz="0" w:space="0" w:color="auto"/>
            <w:left w:val="none" w:sz="0" w:space="0" w:color="auto"/>
            <w:bottom w:val="none" w:sz="0" w:space="0" w:color="auto"/>
            <w:right w:val="none" w:sz="0" w:space="0" w:color="auto"/>
          </w:divBdr>
          <w:divsChild>
            <w:div w:id="1621453426">
              <w:marLeft w:val="0"/>
              <w:marRight w:val="0"/>
              <w:marTop w:val="0"/>
              <w:marBottom w:val="0"/>
              <w:divBdr>
                <w:top w:val="none" w:sz="0" w:space="0" w:color="auto"/>
                <w:left w:val="none" w:sz="0" w:space="0" w:color="auto"/>
                <w:bottom w:val="none" w:sz="0" w:space="0" w:color="auto"/>
                <w:right w:val="none" w:sz="0" w:space="0" w:color="auto"/>
              </w:divBdr>
              <w:divsChild>
                <w:div w:id="1890267122">
                  <w:marLeft w:val="0"/>
                  <w:marRight w:val="0"/>
                  <w:marTop w:val="0"/>
                  <w:marBottom w:val="0"/>
                  <w:divBdr>
                    <w:top w:val="none" w:sz="0" w:space="0" w:color="auto"/>
                    <w:left w:val="none" w:sz="0" w:space="0" w:color="auto"/>
                    <w:bottom w:val="none" w:sz="0" w:space="0" w:color="auto"/>
                    <w:right w:val="none" w:sz="0" w:space="0" w:color="auto"/>
                  </w:divBdr>
                  <w:divsChild>
                    <w:div w:id="1121461974">
                      <w:marLeft w:val="-150"/>
                      <w:marRight w:val="-150"/>
                      <w:marTop w:val="0"/>
                      <w:marBottom w:val="0"/>
                      <w:divBdr>
                        <w:top w:val="none" w:sz="0" w:space="0" w:color="auto"/>
                        <w:left w:val="none" w:sz="0" w:space="0" w:color="auto"/>
                        <w:bottom w:val="none" w:sz="0" w:space="0" w:color="auto"/>
                        <w:right w:val="none" w:sz="0" w:space="0" w:color="auto"/>
                      </w:divBdr>
                      <w:divsChild>
                        <w:div w:id="1257054922">
                          <w:marLeft w:val="0"/>
                          <w:marRight w:val="0"/>
                          <w:marTop w:val="0"/>
                          <w:marBottom w:val="0"/>
                          <w:divBdr>
                            <w:top w:val="none" w:sz="0" w:space="0" w:color="auto"/>
                            <w:left w:val="none" w:sz="0" w:space="0" w:color="auto"/>
                            <w:bottom w:val="none" w:sz="0" w:space="0" w:color="auto"/>
                            <w:right w:val="none" w:sz="0" w:space="0" w:color="auto"/>
                          </w:divBdr>
                          <w:divsChild>
                            <w:div w:id="1868521767">
                              <w:marLeft w:val="0"/>
                              <w:marRight w:val="0"/>
                              <w:marTop w:val="0"/>
                              <w:marBottom w:val="0"/>
                              <w:divBdr>
                                <w:top w:val="none" w:sz="0" w:space="0" w:color="auto"/>
                                <w:left w:val="none" w:sz="0" w:space="0" w:color="auto"/>
                                <w:bottom w:val="none" w:sz="0" w:space="0" w:color="auto"/>
                                <w:right w:val="none" w:sz="0" w:space="0" w:color="auto"/>
                              </w:divBdr>
                              <w:divsChild>
                                <w:div w:id="622270538">
                                  <w:marLeft w:val="0"/>
                                  <w:marRight w:val="0"/>
                                  <w:marTop w:val="0"/>
                                  <w:marBottom w:val="300"/>
                                  <w:divBdr>
                                    <w:top w:val="none" w:sz="0" w:space="0" w:color="auto"/>
                                    <w:left w:val="none" w:sz="0" w:space="0" w:color="auto"/>
                                    <w:bottom w:val="none" w:sz="0" w:space="0" w:color="auto"/>
                                    <w:right w:val="none" w:sz="0" w:space="0" w:color="auto"/>
                                  </w:divBdr>
                                  <w:divsChild>
                                    <w:div w:id="2104716100">
                                      <w:marLeft w:val="0"/>
                                      <w:marRight w:val="0"/>
                                      <w:marTop w:val="0"/>
                                      <w:marBottom w:val="0"/>
                                      <w:divBdr>
                                        <w:top w:val="none" w:sz="0" w:space="0" w:color="auto"/>
                                        <w:left w:val="none" w:sz="0" w:space="0" w:color="auto"/>
                                        <w:bottom w:val="none" w:sz="0" w:space="0" w:color="auto"/>
                                        <w:right w:val="none" w:sz="0" w:space="0" w:color="auto"/>
                                      </w:divBdr>
                                      <w:divsChild>
                                        <w:div w:id="891502166">
                                          <w:marLeft w:val="0"/>
                                          <w:marRight w:val="0"/>
                                          <w:marTop w:val="0"/>
                                          <w:marBottom w:val="0"/>
                                          <w:divBdr>
                                            <w:top w:val="none" w:sz="0" w:space="0" w:color="auto"/>
                                            <w:left w:val="none" w:sz="0" w:space="0" w:color="auto"/>
                                            <w:bottom w:val="none" w:sz="0" w:space="0" w:color="auto"/>
                                            <w:right w:val="none" w:sz="0" w:space="0" w:color="auto"/>
                                          </w:divBdr>
                                          <w:divsChild>
                                            <w:div w:id="1225599237">
                                              <w:marLeft w:val="0"/>
                                              <w:marRight w:val="0"/>
                                              <w:marTop w:val="0"/>
                                              <w:marBottom w:val="0"/>
                                              <w:divBdr>
                                                <w:top w:val="none" w:sz="0" w:space="0" w:color="auto"/>
                                                <w:left w:val="none" w:sz="0" w:space="0" w:color="auto"/>
                                                <w:bottom w:val="none" w:sz="0" w:space="0" w:color="auto"/>
                                                <w:right w:val="none" w:sz="0" w:space="0" w:color="auto"/>
                                              </w:divBdr>
                                              <w:divsChild>
                                                <w:div w:id="2142527023">
                                                  <w:marLeft w:val="0"/>
                                                  <w:marRight w:val="0"/>
                                                  <w:marTop w:val="0"/>
                                                  <w:marBottom w:val="0"/>
                                                  <w:divBdr>
                                                    <w:top w:val="none" w:sz="0" w:space="0" w:color="auto"/>
                                                    <w:left w:val="none" w:sz="0" w:space="0" w:color="auto"/>
                                                    <w:bottom w:val="none" w:sz="0" w:space="0" w:color="auto"/>
                                                    <w:right w:val="none" w:sz="0" w:space="0" w:color="auto"/>
                                                  </w:divBdr>
                                                  <w:divsChild>
                                                    <w:div w:id="609698864">
                                                      <w:marLeft w:val="0"/>
                                                      <w:marRight w:val="0"/>
                                                      <w:marTop w:val="0"/>
                                                      <w:marBottom w:val="0"/>
                                                      <w:divBdr>
                                                        <w:top w:val="none" w:sz="0" w:space="0" w:color="auto"/>
                                                        <w:left w:val="none" w:sz="0" w:space="0" w:color="auto"/>
                                                        <w:bottom w:val="none" w:sz="0" w:space="0" w:color="auto"/>
                                                        <w:right w:val="none" w:sz="0" w:space="0" w:color="auto"/>
                                                      </w:divBdr>
                                                      <w:divsChild>
                                                        <w:div w:id="444811370">
                                                          <w:marLeft w:val="0"/>
                                                          <w:marRight w:val="0"/>
                                                          <w:marTop w:val="0"/>
                                                          <w:marBottom w:val="0"/>
                                                          <w:divBdr>
                                                            <w:top w:val="none" w:sz="0" w:space="0" w:color="auto"/>
                                                            <w:left w:val="none" w:sz="0" w:space="0" w:color="auto"/>
                                                            <w:bottom w:val="none" w:sz="0" w:space="0" w:color="auto"/>
                                                            <w:right w:val="none" w:sz="0" w:space="0" w:color="auto"/>
                                                          </w:divBdr>
                                                          <w:divsChild>
                                                            <w:div w:id="17871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I/TXT/?qid=1561364423877&amp;uri=CELEX:02014L0065-20181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FI/TXT/?qid=1558516688507&amp;uri=CELEX:02014L0065-2018100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nha\AppData\Roaming\Microsoft\Templates\_GenFi.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227A-4D97-4AFA-B116-0DEEBD97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_GenFi.dotm</Template>
  <TotalTime>2</TotalTime>
  <Pages>29</Pages>
  <Words>3390</Words>
  <Characters>27576</Characters>
  <Application>Microsoft Office Word</Application>
  <DocSecurity>0</DocSecurity>
  <Lines>229</Lines>
  <Paragraphs>61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GEN</vt:lpstr>
      <vt:lpstr>GEN</vt:lpstr>
    </vt:vector>
  </TitlesOfParts>
  <Company>DTI</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HAAPOSI</dc:creator>
  <cp:lastModifiedBy>Jokinen Juha (STM)</cp:lastModifiedBy>
  <cp:revision>5</cp:revision>
  <cp:lastPrinted>2004-04-22T10:45:00Z</cp:lastPrinted>
  <dcterms:created xsi:type="dcterms:W3CDTF">2019-08-21T13:27:00Z</dcterms:created>
  <dcterms:modified xsi:type="dcterms:W3CDTF">2019-08-21T13:32:00Z</dcterms:modified>
</cp:coreProperties>
</file>