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9009C" w14:textId="7270904B" w:rsidR="00C10642" w:rsidRDefault="00C10642" w:rsidP="00C10642">
      <w:bookmarkStart w:id="0" w:name="_GoBack"/>
      <w:bookmarkEnd w:id="0"/>
      <w:r>
        <w:rPr>
          <w:b/>
        </w:rPr>
        <w:t>JUSTITIEMINISTERIET</w:t>
      </w:r>
      <w:r>
        <w:rPr>
          <w:b/>
        </w:rPr>
        <w:tab/>
      </w:r>
      <w:r>
        <w:rPr>
          <w:b/>
        </w:rPr>
        <w:tab/>
      </w:r>
      <w:r>
        <w:rPr>
          <w:b/>
        </w:rPr>
        <w:tab/>
      </w:r>
      <w:r>
        <w:rPr>
          <w:b/>
        </w:rPr>
        <w:tab/>
        <w:t>Promemoria</w:t>
      </w:r>
      <w:r>
        <w:rPr>
          <w:b/>
        </w:rPr>
        <w:br/>
      </w:r>
      <w:r>
        <w:t>Avdelningen för demokrati och offentlig rätt</w:t>
      </w:r>
      <w:r>
        <w:tab/>
      </w:r>
      <w:r>
        <w:tab/>
        <w:t>8.5.2020</w:t>
      </w:r>
      <w:r>
        <w:br/>
        <w:t>Eeva Tupi</w:t>
      </w:r>
    </w:p>
    <w:p w14:paraId="68F94F7D" w14:textId="77777777" w:rsidR="00C10642" w:rsidRDefault="00C10642" w:rsidP="00C10642"/>
    <w:p w14:paraId="3F6B610D" w14:textId="77777777" w:rsidR="00C10642" w:rsidRDefault="00C10642" w:rsidP="00C10642"/>
    <w:p w14:paraId="1577061E" w14:textId="77777777" w:rsidR="00C10642" w:rsidRPr="00C10642" w:rsidRDefault="00C10642" w:rsidP="00C10642">
      <w:pPr>
        <w:rPr>
          <w:b/>
        </w:rPr>
      </w:pPr>
      <w:r>
        <w:rPr>
          <w:b/>
        </w:rPr>
        <w:t>Statsrådets förordning om delegationen för teckenspråksärenden</w:t>
      </w:r>
    </w:p>
    <w:p w14:paraId="123270F0" w14:textId="77777777" w:rsidR="00C10642" w:rsidRDefault="00C10642" w:rsidP="00F5619A">
      <w:pPr>
        <w:rPr>
          <w:b/>
        </w:rPr>
      </w:pPr>
    </w:p>
    <w:p w14:paraId="342357F8" w14:textId="77777777" w:rsidR="00111BCD" w:rsidRDefault="00111BCD" w:rsidP="00F5619A">
      <w:pPr>
        <w:rPr>
          <w:b/>
        </w:rPr>
      </w:pPr>
      <w:r>
        <w:rPr>
          <w:b/>
        </w:rPr>
        <w:t>1 Bakgrund</w:t>
      </w:r>
    </w:p>
    <w:p w14:paraId="21D442A0" w14:textId="77777777" w:rsidR="00CD1E8C" w:rsidRDefault="00CD1E8C" w:rsidP="00CD1E8C">
      <w:r>
        <w:t>I regeringsprogrammet för statsminister Marins regering ”Ett inkluderande och kunnigt Finland - ett socialt, ekonomiskt och ekologiskt hållbart samhälle” finns följande skrivning: ”Det ska inrättas en delegation på bred bas med uppgift att bedöma verkställigheten av teckenspråkslagen och tillgodoseendet av teckenspråkigas grundläggande fri- och rättigheter (JM).”</w:t>
      </w:r>
    </w:p>
    <w:p w14:paraId="4AF28216" w14:textId="77777777" w:rsidR="005C0750" w:rsidRDefault="005C0750" w:rsidP="00F5619A">
      <w:r>
        <w:t>Teckenspråkslagen (359/2015) trädde i kraft den 1 maj 2015. I samband med att riksdagen antog lagen förutsatte den att regeringen vidtar åtgärder för att de språkliga rättigheterna för dem som använder teckenspråk ska tillgodoses i hela landet på det sätt som avsetts när lagstiftningen om rättigheterna utarbetades.</w:t>
      </w:r>
    </w:p>
    <w:p w14:paraId="54755A49" w14:textId="4A3522CA" w:rsidR="003C519A" w:rsidRDefault="003C519A" w:rsidP="00F5619A">
      <w:r>
        <w:t>Delegationen för språkärenden, delegationen för romska ärenden och delegationen för etniska relationer främjar de språkliga rättigheterna och dialogen mellan företrädare för olika språk och myndigheter. Teckenspråkiga har för närvarande inget motsvarande permanent organ inom statsförvaltningen.</w:t>
      </w:r>
    </w:p>
    <w:p w14:paraId="3515899F" w14:textId="2D8F43C4" w:rsidR="005C0750" w:rsidRDefault="00FB44BA" w:rsidP="00F5619A">
      <w:r>
        <w:t>Den samarbetsgrupp för teckenspråksfrågor som justitieministeriet tillsatt har inom statsrådet behandlat aktuella frågor som gäller teckenspråk och tryggat ett smidigt informationsutbyte mellan de viktigaste aktörerna. Samarbetsgrupper för teckenspråk har tillsatts för högst två år i sänder från och med 2015. Mandatperioden för den nuvarande samarbetsgruppen är 27.5.2019–31.12.2020.</w:t>
      </w:r>
    </w:p>
    <w:p w14:paraId="164D7035" w14:textId="5B1ECEC4" w:rsidR="00B82DE8" w:rsidRDefault="00EF46E9" w:rsidP="00F5619A">
      <w:r>
        <w:t>Grundlagsutskottet har i sitt betänkande (</w:t>
      </w:r>
      <w:proofErr w:type="spellStart"/>
      <w:r>
        <w:t>GrUB</w:t>
      </w:r>
      <w:proofErr w:type="spellEnd"/>
      <w:r>
        <w:t xml:space="preserve"> 10/2014 </w:t>
      </w:r>
      <w:proofErr w:type="spellStart"/>
      <w:r>
        <w:t>rd</w:t>
      </w:r>
      <w:proofErr w:type="spellEnd"/>
      <w:r>
        <w:t xml:space="preserve"> — RP 294/2014 </w:t>
      </w:r>
      <w:proofErr w:type="spellStart"/>
      <w:r>
        <w:t>rd</w:t>
      </w:r>
      <w:proofErr w:type="spellEnd"/>
      <w:r>
        <w:t>) ansett det vara viktigt att delegationen för språkärenden har en representant för dem som använder teckenspråk. Av denna anledning har en representant för teckenspråksanvändarna varit ordinarie medlem i delegationen för språkärenden 2012–2020. I betänkandet anses det också vara nödvändigt att utreda behovet av att inrätta en delegation för teckenspråk. När delegationen för teckenspråksärenden tillsätts är det inte längre nödvändigt att de teckenspråkiga representeras av en ordinarie medlem i delegationen för språkärenden, och de teckenspråkigas representation kan tryggas t.ex. genom en sakkunnigmedlem.</w:t>
      </w:r>
    </w:p>
    <w:p w14:paraId="4057FD49" w14:textId="77777777" w:rsidR="003B6A32" w:rsidRDefault="00FB44BA" w:rsidP="00F5619A">
      <w:r>
        <w:t>Enligt 3 § i teckenspråkslagen ska myndigheterna i sin verksamhet främja möjligheterna för dem som använder teckenspråk att använda och få information på sitt eget språk. Delegationen för teckenspråksärenden är ett forum för organisationer och myndigheter som företräder dem som använder teckenspråk och som följer upp och utvärderar tillgodoseendet av de teckenspråkigas grundläggande fri- och rättigheter och likabehandling. Delegationen fattar inga bindande beslut, men den bidrar genom sin sakkunskap, sin aktivitet och sitt initiativ till att främja de teckenspråkigas grundläggande fri- och rättigheter och likabehandling.</w:t>
      </w:r>
    </w:p>
    <w:p w14:paraId="0A9CC21F" w14:textId="77777777" w:rsidR="00B82DE8" w:rsidRDefault="00B82DE8" w:rsidP="00F5619A">
      <w:r>
        <w:t>Artikel 4.3 i konventionen om rättigheter för personer med funktionsnedsättning (</w:t>
      </w:r>
      <w:proofErr w:type="spellStart"/>
      <w:r>
        <w:t>FördrS</w:t>
      </w:r>
      <w:proofErr w:type="spellEnd"/>
      <w:r>
        <w:t xml:space="preserve"> 27/2016) förutsätter att personer med funktionsnedsättning involveras i beslutsprocesser som gäller dem  genom de organisationer som företräder dem. Delegationen för teckenspråksärenden är således en delaktighetskanal i ärenden som gäller teckenspråkiga.</w:t>
      </w:r>
    </w:p>
    <w:p w14:paraId="3ACFE89E" w14:textId="77777777" w:rsidR="00F5619A" w:rsidRPr="00FE1335" w:rsidRDefault="00111BCD" w:rsidP="00F5619A">
      <w:pPr>
        <w:rPr>
          <w:b/>
        </w:rPr>
      </w:pPr>
      <w:r>
        <w:rPr>
          <w:b/>
        </w:rPr>
        <w:lastRenderedPageBreak/>
        <w:t>2 Detaljmotivering</w:t>
      </w:r>
    </w:p>
    <w:p w14:paraId="551BC891" w14:textId="77777777" w:rsidR="00F5619A" w:rsidRDefault="00F5619A" w:rsidP="00F5619A">
      <w:r>
        <w:t>1 § Syfte</w:t>
      </w:r>
    </w:p>
    <w:p w14:paraId="25EA5458" w14:textId="77777777" w:rsidR="00796FEE" w:rsidRDefault="00B36A72" w:rsidP="00F5619A">
      <w:r>
        <w:t>I paragrafen föreskrivs om delegationens syfte och tillsättande. I teckenspråkslagen (359/2015) föreskrivs det om främjande av förverkligandet av de språkliga rättigheterna för dem som använder teckenspråk. Statsrådet behöver ett permanent organ som följer upp och bedömer verkställigheten av teckenspråkslagen. Det behövs också en delegation för att främja teckenspråkigas grundläggande fri- och rättigheter och likabehandling.</w:t>
      </w:r>
    </w:p>
    <w:p w14:paraId="29B27C80" w14:textId="340D6133" w:rsidR="00F5619A" w:rsidRDefault="00F5619A" w:rsidP="00F5619A">
      <w:r>
        <w:t>2 § Uppgifter</w:t>
      </w:r>
    </w:p>
    <w:p w14:paraId="0056B7C6" w14:textId="137B8538" w:rsidR="00146C0B" w:rsidRDefault="00146C0B" w:rsidP="00F5619A">
      <w:r>
        <w:t>I paragrafen föreskrivs det om delegationens uppgifter.</w:t>
      </w:r>
    </w:p>
    <w:p w14:paraId="04B266CD" w14:textId="0CC8E510" w:rsidR="00146C0B" w:rsidRDefault="00146C0B" w:rsidP="00F5619A">
      <w:r>
        <w:t>Delegationen sammanför representanter för dem som använder teckenspråk, myndigheter och andra sakkunniga. Delegationen fungerar som ett sakkunnignätverk i frågor som gäller de språkliga rättigheterna för dem som använder teckenspråk.</w:t>
      </w:r>
    </w:p>
    <w:p w14:paraId="6AE30F8C" w14:textId="26A2AB25" w:rsidR="00146C0B" w:rsidRDefault="00146C0B" w:rsidP="00F5619A">
      <w:r>
        <w:t>Med främjande av de teckenspråkigas grundläggande fri- och rättigheter och likabehandling avses bland annat att myndigheternas medvetenhet om och verkställighet av teckenspråkslagen ökas.</w:t>
      </w:r>
    </w:p>
    <w:p w14:paraId="498C6230" w14:textId="3A031D84" w:rsidR="00146C0B" w:rsidRDefault="00146C0B" w:rsidP="00F5619A">
      <w:r>
        <w:t>Som sakkunnigorgan kan delegationen ge utlåtanden om teckenspråkslagen och de teckenspråkigas grundläggande fri- och rättigheter och likabehandling samt lägga fram förslag och initiativ.</w:t>
      </w:r>
    </w:p>
    <w:p w14:paraId="02F240C7" w14:textId="68319621" w:rsidR="00146C0B" w:rsidRDefault="00146C0B" w:rsidP="00146C0B">
      <w:r>
        <w:t>Den 1 maj 2020 har fem år förflutit sedan teckenspråkslagen trädde i kraft, och därför ska verkställigheten av lagen bedömas för första gången och i fortsättningen enligt behov. För att lagens syfte ska uppnås bör den teckenspråkiga servicen och informationen ökas i framtiden, och en av delegationens uppgifter är att följa upp hur teckenspråkslagen verkställs. Delegationen ska dessutom fästa uppmärksamhet vid de särskilda frågor som gäller det finlandssvenska teckenspråket. Dessa har lyfts fram bland annat i en utredning om helhetssituationen för det finlandssvenska teckenspråket (Justitieministeriets publikation 2/2016 Utredningar och anvisningar).</w:t>
      </w:r>
    </w:p>
    <w:p w14:paraId="3C9F2AA9" w14:textId="77777777" w:rsidR="00F5619A" w:rsidRDefault="00F5619A" w:rsidP="00F5619A">
      <w:r>
        <w:t>3 § Sammansättning</w:t>
      </w:r>
    </w:p>
    <w:p w14:paraId="413459CE" w14:textId="77777777" w:rsidR="00270EFD" w:rsidRDefault="00B36A72" w:rsidP="00F5619A">
      <w:r>
        <w:t xml:space="preserve">I paragrafen föreskrivs om delegationens sammansättning. Delegationen är avsedd att vara ett sakkunnigorgan. </w:t>
      </w:r>
    </w:p>
    <w:p w14:paraId="10660776" w14:textId="417481B2" w:rsidR="00270EFD" w:rsidRPr="00901B04" w:rsidRDefault="003C519A" w:rsidP="00F5619A">
      <w:r>
        <w:t>I den samarbetsgrupp för teckenspråk som justitieministeriet tillsatt för mandatperioden 27.5.2019–31.12.2020 finns företrädare för justitieministeriet, undervisnings- och kulturministeriet, social- och hälsovårdsministeriet och finansministeriet. Ministerierna är centrala aktörer med tanke på teckenspråkiga och strävan är att de förfaranden som visat sig vara bra ska fortsättas. Medlemmar från det civila samhället är Finlands Dövas Förbund rf, Finlandssvenska Teckenspråkiga rf och Finlands dövblinda rf, som också har deltagit i samarbetsgruppen för teckenspråk.</w:t>
      </w:r>
    </w:p>
    <w:p w14:paraId="3538E241" w14:textId="77670DEF" w:rsidR="00B36A72" w:rsidRDefault="00CD1E8C" w:rsidP="00F5619A">
      <w:r>
        <w:t xml:space="preserve">Delegationen kan som sakkunniga bjuda in till exempel företrädare för andra organisationer, företrädare för Kommunförbundet, specialombudsmän, företrädare för riksdagens teckenspråksnätverk och företrädare för teckenspråksforskningen. </w:t>
      </w:r>
    </w:p>
    <w:p w14:paraId="624CADC7" w14:textId="77777777" w:rsidR="00F86BCE" w:rsidRDefault="00965F44" w:rsidP="00F5619A">
      <w:r>
        <w:t>4 § Organisering av verksamheten</w:t>
      </w:r>
    </w:p>
    <w:p w14:paraId="32B3A727" w14:textId="77777777" w:rsidR="00B36A72" w:rsidRDefault="00B36A72" w:rsidP="007842C4">
      <w:r>
        <w:t>I paragrafen föreskrivs om delegationens arbetsmetoder och organiseringen av arbetet.</w:t>
      </w:r>
    </w:p>
    <w:p w14:paraId="31204050" w14:textId="77777777" w:rsidR="00F5619A" w:rsidRDefault="00F5619A" w:rsidP="00F5619A">
      <w:r>
        <w:t>5 § Ikraftträdande</w:t>
      </w:r>
    </w:p>
    <w:p w14:paraId="3D4FF8EE" w14:textId="77777777" w:rsidR="00F86BCE" w:rsidRDefault="00B36A72" w:rsidP="00F86BCE">
      <w:r>
        <w:t>Förordningen föreslås träda i kraft den xx 2020.</w:t>
      </w:r>
    </w:p>
    <w:p w14:paraId="400DA152" w14:textId="77777777" w:rsidR="00F86BCE" w:rsidRDefault="00111BCD" w:rsidP="00F86BCE">
      <w:pPr>
        <w:rPr>
          <w:b/>
        </w:rPr>
      </w:pPr>
      <w:r>
        <w:rPr>
          <w:b/>
        </w:rPr>
        <w:lastRenderedPageBreak/>
        <w:t>3 Konsekvenser</w:t>
      </w:r>
    </w:p>
    <w:p w14:paraId="65F29EFA" w14:textId="77777777" w:rsidR="001329D1" w:rsidRDefault="001329D1" w:rsidP="00564582">
      <w:pPr>
        <w:rPr>
          <w:highlight w:val="yellow"/>
        </w:rPr>
      </w:pPr>
      <w:r>
        <w:t>Delegationens kostnader betalas från moment 25.01.01 (justitieministeriets omkostnader).</w:t>
      </w:r>
    </w:p>
    <w:p w14:paraId="27C9D502" w14:textId="77777777" w:rsidR="00111BCD" w:rsidRDefault="00111BCD" w:rsidP="00F86BCE">
      <w:pPr>
        <w:rPr>
          <w:b/>
        </w:rPr>
      </w:pPr>
      <w:r>
        <w:rPr>
          <w:b/>
        </w:rPr>
        <w:t>4 Bemyndigande att utfärda förordning</w:t>
      </w:r>
    </w:p>
    <w:p w14:paraId="04FD6EB1" w14:textId="77777777" w:rsidR="00AE0A09" w:rsidRPr="00AE0A09" w:rsidRDefault="00AE0A09" w:rsidP="00F86BCE">
      <w:r>
        <w:t>119 § 2 mom. i grundlagen</w:t>
      </w:r>
    </w:p>
    <w:p w14:paraId="098C424A" w14:textId="77777777" w:rsidR="00111BCD" w:rsidRDefault="00111BCD" w:rsidP="00F86BCE">
      <w:pPr>
        <w:rPr>
          <w:b/>
        </w:rPr>
      </w:pPr>
      <w:r>
        <w:rPr>
          <w:b/>
        </w:rPr>
        <w:t>5 Beredning</w:t>
      </w:r>
    </w:p>
    <w:p w14:paraId="64D7B705" w14:textId="77777777" w:rsidR="007B085D" w:rsidRDefault="007B085D" w:rsidP="00F86BCE">
      <w:r>
        <w:t xml:space="preserve">Förslaget till förordning har beretts som tjänsteuppdrag vid justitieministeriet. Intressentgrupperna konsulterades redan under beredningsskedet. Utlåtanden begärdes via utlåtandetjänsten </w:t>
      </w:r>
      <w:r>
        <w:rPr>
          <w:highlight w:val="yellow"/>
        </w:rPr>
        <w:t>X.X–X.X.2020</w:t>
      </w:r>
      <w:r>
        <w:t xml:space="preserve">. </w:t>
      </w:r>
    </w:p>
    <w:p w14:paraId="4295261D" w14:textId="77777777" w:rsidR="007B085D" w:rsidRDefault="007B085D" w:rsidP="00F86BCE">
      <w:r>
        <w:t xml:space="preserve">Ministeriet erhöll sammanlagt Y remissyttranden. </w:t>
      </w:r>
    </w:p>
    <w:p w14:paraId="3C902D4E" w14:textId="4EC90A4F" w:rsidR="00AE0A09" w:rsidRPr="00AE0A09" w:rsidRDefault="007B085D" w:rsidP="00F86BCE">
      <w:r>
        <w:rPr>
          <w:highlight w:val="yellow"/>
        </w:rPr>
        <w:t>(huvudlinjerna för remissvaren och beaktandet av responsen</w:t>
      </w:r>
      <w:r>
        <w:t>)</w:t>
      </w:r>
    </w:p>
    <w:sectPr w:rsidR="00AE0A09" w:rsidRPr="00AE0A09">
      <w:headerReference w:type="even" r:id="rId7"/>
      <w:headerReference w:type="default" r:id="rId8"/>
      <w:footerReference w:type="even" r:id="rId9"/>
      <w:footerReference w:type="default" r:id="rId10"/>
      <w:headerReference w:type="first" r:id="rId11"/>
      <w:footerReference w:type="firs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2E4B9" w14:textId="77777777" w:rsidR="00CA1ED2" w:rsidRDefault="00CA1ED2" w:rsidP="00CA1ED2">
      <w:pPr>
        <w:spacing w:after="0" w:line="240" w:lineRule="auto"/>
      </w:pPr>
      <w:r>
        <w:separator/>
      </w:r>
    </w:p>
  </w:endnote>
  <w:endnote w:type="continuationSeparator" w:id="0">
    <w:p w14:paraId="66E596E4" w14:textId="77777777" w:rsidR="00CA1ED2" w:rsidRDefault="00CA1ED2" w:rsidP="00CA1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0F591" w14:textId="77777777" w:rsidR="00CA1ED2" w:rsidRDefault="00CA1ED2">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2AF6F" w14:textId="77777777" w:rsidR="00CA1ED2" w:rsidRDefault="00CA1ED2">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D4321" w14:textId="77777777" w:rsidR="00CA1ED2" w:rsidRDefault="00CA1ED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88E4F" w14:textId="77777777" w:rsidR="00CA1ED2" w:rsidRDefault="00CA1ED2" w:rsidP="00CA1ED2">
      <w:pPr>
        <w:spacing w:after="0" w:line="240" w:lineRule="auto"/>
      </w:pPr>
      <w:r>
        <w:separator/>
      </w:r>
    </w:p>
  </w:footnote>
  <w:footnote w:type="continuationSeparator" w:id="0">
    <w:p w14:paraId="1FA822B4" w14:textId="77777777" w:rsidR="00CA1ED2" w:rsidRDefault="00CA1ED2" w:rsidP="00CA1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6A69F" w14:textId="77777777" w:rsidR="00CA1ED2" w:rsidRDefault="00CA1ED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4E90E" w14:textId="77777777" w:rsidR="00CA1ED2" w:rsidRDefault="00CA1ED2">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D0714" w14:textId="77777777" w:rsidR="00CA1ED2" w:rsidRDefault="00CA1ED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022E8"/>
    <w:multiLevelType w:val="hybridMultilevel"/>
    <w:tmpl w:val="84D67C8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19A"/>
    <w:rsid w:val="00030F2F"/>
    <w:rsid w:val="000A72ED"/>
    <w:rsid w:val="00111BCD"/>
    <w:rsid w:val="00116EAF"/>
    <w:rsid w:val="001329D1"/>
    <w:rsid w:val="00146C0B"/>
    <w:rsid w:val="00270764"/>
    <w:rsid w:val="00270EFD"/>
    <w:rsid w:val="00287231"/>
    <w:rsid w:val="002F3F75"/>
    <w:rsid w:val="00351C6F"/>
    <w:rsid w:val="003B6A32"/>
    <w:rsid w:val="003C519A"/>
    <w:rsid w:val="004C47C0"/>
    <w:rsid w:val="004C62A6"/>
    <w:rsid w:val="00506BEA"/>
    <w:rsid w:val="00564582"/>
    <w:rsid w:val="005A701D"/>
    <w:rsid w:val="005C0750"/>
    <w:rsid w:val="005C34C2"/>
    <w:rsid w:val="005E184C"/>
    <w:rsid w:val="005F1E66"/>
    <w:rsid w:val="0061139F"/>
    <w:rsid w:val="0063648F"/>
    <w:rsid w:val="00657845"/>
    <w:rsid w:val="00675C77"/>
    <w:rsid w:val="006A013B"/>
    <w:rsid w:val="006A0E7F"/>
    <w:rsid w:val="006A350C"/>
    <w:rsid w:val="006B7E56"/>
    <w:rsid w:val="006C2990"/>
    <w:rsid w:val="006D435F"/>
    <w:rsid w:val="0074482F"/>
    <w:rsid w:val="00780E4E"/>
    <w:rsid w:val="007842C4"/>
    <w:rsid w:val="00796FEE"/>
    <w:rsid w:val="007B085D"/>
    <w:rsid w:val="008843C8"/>
    <w:rsid w:val="008D1707"/>
    <w:rsid w:val="008E108B"/>
    <w:rsid w:val="008F64B1"/>
    <w:rsid w:val="00901B04"/>
    <w:rsid w:val="00926CD4"/>
    <w:rsid w:val="00942048"/>
    <w:rsid w:val="00965F44"/>
    <w:rsid w:val="00966C76"/>
    <w:rsid w:val="00987EC2"/>
    <w:rsid w:val="00987F91"/>
    <w:rsid w:val="00A3496F"/>
    <w:rsid w:val="00AD5A8C"/>
    <w:rsid w:val="00AE0A09"/>
    <w:rsid w:val="00B36A72"/>
    <w:rsid w:val="00B82DE8"/>
    <w:rsid w:val="00BA7E06"/>
    <w:rsid w:val="00C10642"/>
    <w:rsid w:val="00C2206A"/>
    <w:rsid w:val="00C55D8B"/>
    <w:rsid w:val="00C611CA"/>
    <w:rsid w:val="00CA0AE8"/>
    <w:rsid w:val="00CA1ED2"/>
    <w:rsid w:val="00CD1E8C"/>
    <w:rsid w:val="00D1692F"/>
    <w:rsid w:val="00D9062F"/>
    <w:rsid w:val="00DE012E"/>
    <w:rsid w:val="00E27663"/>
    <w:rsid w:val="00E50FE7"/>
    <w:rsid w:val="00E660BC"/>
    <w:rsid w:val="00E7213B"/>
    <w:rsid w:val="00EF46E9"/>
    <w:rsid w:val="00F3116A"/>
    <w:rsid w:val="00F5619A"/>
    <w:rsid w:val="00F56EEE"/>
    <w:rsid w:val="00F76E67"/>
    <w:rsid w:val="00F86BCE"/>
    <w:rsid w:val="00FB44BA"/>
    <w:rsid w:val="00FB5174"/>
    <w:rsid w:val="00FB5704"/>
    <w:rsid w:val="00FE1335"/>
    <w:rsid w:val="00FE5151"/>
    <w:rsid w:val="00FF0110"/>
    <w:rsid w:val="00FF2F3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4FDA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basedOn w:val="Kappaleenoletusfontti"/>
    <w:uiPriority w:val="99"/>
    <w:semiHidden/>
    <w:unhideWhenUsed/>
    <w:rsid w:val="00E660BC"/>
    <w:rPr>
      <w:sz w:val="16"/>
      <w:szCs w:val="16"/>
    </w:rPr>
  </w:style>
  <w:style w:type="paragraph" w:styleId="Kommentinteksti">
    <w:name w:val="annotation text"/>
    <w:basedOn w:val="Normaali"/>
    <w:link w:val="KommentintekstiChar"/>
    <w:uiPriority w:val="99"/>
    <w:semiHidden/>
    <w:unhideWhenUsed/>
    <w:rsid w:val="00E660BC"/>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E660BC"/>
    <w:rPr>
      <w:sz w:val="20"/>
      <w:szCs w:val="20"/>
    </w:rPr>
  </w:style>
  <w:style w:type="paragraph" w:styleId="Kommentinotsikko">
    <w:name w:val="annotation subject"/>
    <w:basedOn w:val="Kommentinteksti"/>
    <w:next w:val="Kommentinteksti"/>
    <w:link w:val="KommentinotsikkoChar"/>
    <w:uiPriority w:val="99"/>
    <w:semiHidden/>
    <w:unhideWhenUsed/>
    <w:rsid w:val="00E660BC"/>
    <w:rPr>
      <w:b/>
      <w:bCs/>
    </w:rPr>
  </w:style>
  <w:style w:type="character" w:customStyle="1" w:styleId="KommentinotsikkoChar">
    <w:name w:val="Kommentin otsikko Char"/>
    <w:basedOn w:val="KommentintekstiChar"/>
    <w:link w:val="Kommentinotsikko"/>
    <w:uiPriority w:val="99"/>
    <w:semiHidden/>
    <w:rsid w:val="00E660BC"/>
    <w:rPr>
      <w:b/>
      <w:bCs/>
      <w:sz w:val="20"/>
      <w:szCs w:val="20"/>
    </w:rPr>
  </w:style>
  <w:style w:type="paragraph" w:styleId="Seliteteksti">
    <w:name w:val="Balloon Text"/>
    <w:basedOn w:val="Normaali"/>
    <w:link w:val="SelitetekstiChar"/>
    <w:uiPriority w:val="99"/>
    <w:semiHidden/>
    <w:unhideWhenUsed/>
    <w:rsid w:val="00E660BC"/>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E660BC"/>
    <w:rPr>
      <w:rFonts w:ascii="Segoe UI" w:hAnsi="Segoe UI" w:cs="Segoe UI"/>
      <w:sz w:val="18"/>
      <w:szCs w:val="18"/>
    </w:rPr>
  </w:style>
  <w:style w:type="paragraph" w:styleId="Luettelokappale">
    <w:name w:val="List Paragraph"/>
    <w:basedOn w:val="Normaali"/>
    <w:uiPriority w:val="34"/>
    <w:qFormat/>
    <w:rsid w:val="006A0E7F"/>
    <w:pPr>
      <w:ind w:left="720"/>
      <w:contextualSpacing/>
    </w:pPr>
  </w:style>
  <w:style w:type="paragraph" w:styleId="Yltunniste">
    <w:name w:val="header"/>
    <w:basedOn w:val="Normaali"/>
    <w:link w:val="YltunnisteChar"/>
    <w:uiPriority w:val="99"/>
    <w:unhideWhenUsed/>
    <w:rsid w:val="00CA1ED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A1ED2"/>
  </w:style>
  <w:style w:type="paragraph" w:styleId="Alatunniste">
    <w:name w:val="footer"/>
    <w:basedOn w:val="Normaali"/>
    <w:link w:val="AlatunnisteChar"/>
    <w:uiPriority w:val="99"/>
    <w:unhideWhenUsed/>
    <w:rsid w:val="00CA1ED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A1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5882</Characters>
  <Application>Microsoft Office Word</Application>
  <DocSecurity>4</DocSecurity>
  <Lines>49</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2020-05-12T13:16:00Z</dcterms:created>
  <dcterms:modified xsi:type="dcterms:W3CDTF">2020-05-12T13:16:00Z</dcterms:modified>
</cp:coreProperties>
</file>