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bookmarkStart w:id="0" w:name="_GoBack"/>
      <w:bookmarkEnd w:id="0"/>
    </w:p>
    <w:p w:rsidR="00EF3AF3" w:rsidRDefault="00EF3AF3" w:rsidP="00536F30">
      <w:pPr>
        <w:pStyle w:val="LLEsityksennimi"/>
      </w:pPr>
      <w:r>
        <w:t xml:space="preserve">Hallituksen esitys eduskunnalle </w:t>
      </w:r>
      <w:r w:rsidR="0089684C" w:rsidRPr="0089684C">
        <w:t>laiksi väylämaksulain muuttamisesta ja väliaikaisesta muuttamisesta annetun lain voimaantulosäännöksen muuttamisesta</w:t>
      </w:r>
    </w:p>
    <w:bookmarkStart w:id="1" w:name="_Toc43729670" w:displacedByCustomXml="next"/>
    <w:sdt>
      <w:sdtPr>
        <w:alias w:val="Otsikko"/>
        <w:tag w:val="CCOtsikko"/>
        <w:id w:val="-717274869"/>
        <w:lock w:val="sdtLocked"/>
        <w:placeholder>
          <w:docPart w:val="F453EB603375418A89123DB89C2484CE"/>
        </w:placeholder>
        <w15:color w:val="00CCFF"/>
      </w:sdtPr>
      <w:sdtEndPr/>
      <w:sdtContent>
        <w:p w:rsidR="005A0584" w:rsidRDefault="005A0584" w:rsidP="005A0584">
          <w:pPr>
            <w:pStyle w:val="LLPasiallinensislt"/>
          </w:pPr>
          <w:r>
            <w:t>Esityksen pääasiallinen sisältö</w:t>
          </w:r>
        </w:p>
      </w:sdtContent>
    </w:sdt>
    <w:bookmarkEnd w:id="1" w:displacedByCustomXml="prev"/>
    <w:sdt>
      <w:sdtPr>
        <w:alias w:val="Pääasiallinen sisältö"/>
        <w:tag w:val="CCsisaltokappale"/>
        <w:id w:val="773754789"/>
        <w:lock w:val="sdtLocked"/>
        <w:placeholder>
          <w:docPart w:val="FFA966EF144F42C29B19B0759A9031DC"/>
        </w:placeholder>
        <w15:color w:val="00CCFF"/>
      </w:sdtPr>
      <w:sdtEndPr/>
      <w:sdtContent>
        <w:p w:rsidR="0089684C" w:rsidRDefault="0089684C" w:rsidP="0089684C">
          <w:pPr>
            <w:pStyle w:val="LLPerustelujenkappalejako"/>
          </w:pPr>
          <w:r>
            <w:t>Esityksessä ehdotetaan muutettavaksi väylämaksulain muuttamisesta ja väliaikaisesta muuttamisesta annettua</w:t>
          </w:r>
          <w:r w:rsidR="00BD6F46">
            <w:t xml:space="preserve"> lakia. Väylämaksu</w:t>
          </w:r>
          <w:r w:rsidR="00006393">
            <w:t xml:space="preserve"> on kannettu </w:t>
          </w:r>
          <w:r>
            <w:t>puolitettu</w:t>
          </w:r>
          <w:r w:rsidR="00006393">
            <w:t>na vuosin</w:t>
          </w:r>
          <w:r w:rsidR="00BD6F46">
            <w:t>a</w:t>
          </w:r>
          <w:r>
            <w:t xml:space="preserve"> 2015–2020. Puolituksen voimassaoloa ehdotetaan jatkettavan vielä vuodeksi 2021.</w:t>
          </w:r>
        </w:p>
        <w:p w:rsidR="00A2544B" w:rsidRDefault="0089684C" w:rsidP="0089684C">
          <w:pPr>
            <w:pStyle w:val="LLPerustelujenkappalejako"/>
          </w:pPr>
          <w:r>
            <w:t>Esitys liittyy vuoden 2021 talousarvioesitykseen ja on tarkoitettu käsiteltäväksi sen yhteydessä.</w:t>
          </w:r>
        </w:p>
        <w:p w:rsidR="005A0584" w:rsidRPr="00BC6172" w:rsidRDefault="0089684C" w:rsidP="00BC6172">
          <w:pPr>
            <w:pStyle w:val="LLPerustelujenkappalejako"/>
          </w:pPr>
          <w:r w:rsidRPr="0089684C">
            <w:t>Laki on tarkoitettu tulemaan voimaan 1 päivänä tammikuuta 2021 ja olemaan voimassa 31 päivään joulukuuta 2021 saakka.</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816EB6"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3729670" w:history="1">
        <w:r w:rsidR="00816EB6" w:rsidRPr="00B02D20">
          <w:rPr>
            <w:rStyle w:val="Hyperlinkki"/>
            <w:noProof/>
          </w:rPr>
          <w:t>Esityksen pääasiallinen sisältö</w:t>
        </w:r>
        <w:r w:rsidR="00816EB6">
          <w:rPr>
            <w:noProof/>
            <w:webHidden/>
          </w:rPr>
          <w:tab/>
        </w:r>
        <w:r w:rsidR="00816EB6">
          <w:rPr>
            <w:noProof/>
            <w:webHidden/>
          </w:rPr>
          <w:fldChar w:fldCharType="begin"/>
        </w:r>
        <w:r w:rsidR="00816EB6">
          <w:rPr>
            <w:noProof/>
            <w:webHidden/>
          </w:rPr>
          <w:instrText xml:space="preserve"> PAGEREF _Toc43729670 \h </w:instrText>
        </w:r>
        <w:r w:rsidR="00816EB6">
          <w:rPr>
            <w:noProof/>
            <w:webHidden/>
          </w:rPr>
        </w:r>
        <w:r w:rsidR="00816EB6">
          <w:rPr>
            <w:noProof/>
            <w:webHidden/>
          </w:rPr>
          <w:fldChar w:fldCharType="separate"/>
        </w:r>
        <w:r w:rsidR="00816EB6">
          <w:rPr>
            <w:noProof/>
            <w:webHidden/>
          </w:rPr>
          <w:t>1</w:t>
        </w:r>
        <w:r w:rsidR="00816EB6">
          <w:rPr>
            <w:noProof/>
            <w:webHidden/>
          </w:rPr>
          <w:fldChar w:fldCharType="end"/>
        </w:r>
      </w:hyperlink>
    </w:p>
    <w:p w:rsidR="00816EB6" w:rsidRDefault="007F6FAD">
      <w:pPr>
        <w:pStyle w:val="Sisluet1"/>
        <w:rPr>
          <w:rFonts w:asciiTheme="minorHAnsi" w:eastAsiaTheme="minorEastAsia" w:hAnsiTheme="minorHAnsi" w:cstheme="minorBidi"/>
          <w:bCs w:val="0"/>
          <w:caps w:val="0"/>
          <w:noProof/>
          <w:szCs w:val="22"/>
        </w:rPr>
      </w:pPr>
      <w:hyperlink w:anchor="_Toc43729671" w:history="1">
        <w:r w:rsidR="00816EB6" w:rsidRPr="00B02D20">
          <w:rPr>
            <w:rStyle w:val="Hyperlinkki"/>
            <w:noProof/>
          </w:rPr>
          <w:t>PERUSTELUT</w:t>
        </w:r>
        <w:r w:rsidR="00816EB6">
          <w:rPr>
            <w:noProof/>
            <w:webHidden/>
          </w:rPr>
          <w:tab/>
        </w:r>
        <w:r w:rsidR="00816EB6">
          <w:rPr>
            <w:noProof/>
            <w:webHidden/>
          </w:rPr>
          <w:fldChar w:fldCharType="begin"/>
        </w:r>
        <w:r w:rsidR="00816EB6">
          <w:rPr>
            <w:noProof/>
            <w:webHidden/>
          </w:rPr>
          <w:instrText xml:space="preserve"> PAGEREF _Toc43729671 \h </w:instrText>
        </w:r>
        <w:r w:rsidR="00816EB6">
          <w:rPr>
            <w:noProof/>
            <w:webHidden/>
          </w:rPr>
        </w:r>
        <w:r w:rsidR="00816EB6">
          <w:rPr>
            <w:noProof/>
            <w:webHidden/>
          </w:rPr>
          <w:fldChar w:fldCharType="separate"/>
        </w:r>
        <w:r w:rsidR="00816EB6">
          <w:rPr>
            <w:noProof/>
            <w:webHidden/>
          </w:rPr>
          <w:t>3</w:t>
        </w:r>
        <w:r w:rsidR="00816EB6">
          <w:rPr>
            <w:noProof/>
            <w:webHidden/>
          </w:rPr>
          <w:fldChar w:fldCharType="end"/>
        </w:r>
      </w:hyperlink>
    </w:p>
    <w:p w:rsidR="00816EB6" w:rsidRDefault="007F6FAD">
      <w:pPr>
        <w:pStyle w:val="Sisluet2"/>
        <w:rPr>
          <w:rFonts w:asciiTheme="minorHAnsi" w:eastAsiaTheme="minorEastAsia" w:hAnsiTheme="minorHAnsi" w:cstheme="minorBidi"/>
          <w:szCs w:val="22"/>
        </w:rPr>
      </w:pPr>
      <w:hyperlink w:anchor="_Toc43729672" w:history="1">
        <w:r w:rsidR="00816EB6" w:rsidRPr="00B02D20">
          <w:rPr>
            <w:rStyle w:val="Hyperlinkki"/>
          </w:rPr>
          <w:t>1 Asian tausta ja valmistelu</w:t>
        </w:r>
        <w:r w:rsidR="00816EB6">
          <w:rPr>
            <w:webHidden/>
          </w:rPr>
          <w:tab/>
        </w:r>
        <w:r w:rsidR="00816EB6">
          <w:rPr>
            <w:webHidden/>
          </w:rPr>
          <w:fldChar w:fldCharType="begin"/>
        </w:r>
        <w:r w:rsidR="00816EB6">
          <w:rPr>
            <w:webHidden/>
          </w:rPr>
          <w:instrText xml:space="preserve"> PAGEREF _Toc43729672 \h </w:instrText>
        </w:r>
        <w:r w:rsidR="00816EB6">
          <w:rPr>
            <w:webHidden/>
          </w:rPr>
        </w:r>
        <w:r w:rsidR="00816EB6">
          <w:rPr>
            <w:webHidden/>
          </w:rPr>
          <w:fldChar w:fldCharType="separate"/>
        </w:r>
        <w:r w:rsidR="00816EB6">
          <w:rPr>
            <w:webHidden/>
          </w:rPr>
          <w:t>3</w:t>
        </w:r>
        <w:r w:rsidR="00816EB6">
          <w:rPr>
            <w:webHidden/>
          </w:rPr>
          <w:fldChar w:fldCharType="end"/>
        </w:r>
      </w:hyperlink>
    </w:p>
    <w:p w:rsidR="00816EB6" w:rsidRDefault="007F6FAD">
      <w:pPr>
        <w:pStyle w:val="Sisluet2"/>
        <w:rPr>
          <w:rFonts w:asciiTheme="minorHAnsi" w:eastAsiaTheme="minorEastAsia" w:hAnsiTheme="minorHAnsi" w:cstheme="minorBidi"/>
          <w:szCs w:val="22"/>
        </w:rPr>
      </w:pPr>
      <w:hyperlink w:anchor="_Toc43729673" w:history="1">
        <w:r w:rsidR="00816EB6" w:rsidRPr="00B02D20">
          <w:rPr>
            <w:rStyle w:val="Hyperlinkki"/>
          </w:rPr>
          <w:t>2 Nykytila ja sen arviointi</w:t>
        </w:r>
        <w:r w:rsidR="00816EB6">
          <w:rPr>
            <w:webHidden/>
          </w:rPr>
          <w:tab/>
        </w:r>
        <w:r w:rsidR="00816EB6">
          <w:rPr>
            <w:webHidden/>
          </w:rPr>
          <w:fldChar w:fldCharType="begin"/>
        </w:r>
        <w:r w:rsidR="00816EB6">
          <w:rPr>
            <w:webHidden/>
          </w:rPr>
          <w:instrText xml:space="preserve"> PAGEREF _Toc43729673 \h </w:instrText>
        </w:r>
        <w:r w:rsidR="00816EB6">
          <w:rPr>
            <w:webHidden/>
          </w:rPr>
        </w:r>
        <w:r w:rsidR="00816EB6">
          <w:rPr>
            <w:webHidden/>
          </w:rPr>
          <w:fldChar w:fldCharType="separate"/>
        </w:r>
        <w:r w:rsidR="00816EB6">
          <w:rPr>
            <w:webHidden/>
          </w:rPr>
          <w:t>3</w:t>
        </w:r>
        <w:r w:rsidR="00816EB6">
          <w:rPr>
            <w:webHidden/>
          </w:rPr>
          <w:fldChar w:fldCharType="end"/>
        </w:r>
      </w:hyperlink>
    </w:p>
    <w:p w:rsidR="00816EB6" w:rsidRDefault="007F6FAD">
      <w:pPr>
        <w:pStyle w:val="Sisluet2"/>
        <w:rPr>
          <w:rFonts w:asciiTheme="minorHAnsi" w:eastAsiaTheme="minorEastAsia" w:hAnsiTheme="minorHAnsi" w:cstheme="minorBidi"/>
          <w:szCs w:val="22"/>
        </w:rPr>
      </w:pPr>
      <w:hyperlink w:anchor="_Toc43729674" w:history="1">
        <w:r w:rsidR="00816EB6" w:rsidRPr="00B02D20">
          <w:rPr>
            <w:rStyle w:val="Hyperlinkki"/>
          </w:rPr>
          <w:t>3 Tavoitteet</w:t>
        </w:r>
        <w:r w:rsidR="00816EB6">
          <w:rPr>
            <w:webHidden/>
          </w:rPr>
          <w:tab/>
        </w:r>
        <w:r w:rsidR="00816EB6">
          <w:rPr>
            <w:webHidden/>
          </w:rPr>
          <w:fldChar w:fldCharType="begin"/>
        </w:r>
        <w:r w:rsidR="00816EB6">
          <w:rPr>
            <w:webHidden/>
          </w:rPr>
          <w:instrText xml:space="preserve"> PAGEREF _Toc43729674 \h </w:instrText>
        </w:r>
        <w:r w:rsidR="00816EB6">
          <w:rPr>
            <w:webHidden/>
          </w:rPr>
        </w:r>
        <w:r w:rsidR="00816EB6">
          <w:rPr>
            <w:webHidden/>
          </w:rPr>
          <w:fldChar w:fldCharType="separate"/>
        </w:r>
        <w:r w:rsidR="00816EB6">
          <w:rPr>
            <w:webHidden/>
          </w:rPr>
          <w:t>7</w:t>
        </w:r>
        <w:r w:rsidR="00816EB6">
          <w:rPr>
            <w:webHidden/>
          </w:rPr>
          <w:fldChar w:fldCharType="end"/>
        </w:r>
      </w:hyperlink>
    </w:p>
    <w:p w:rsidR="00816EB6" w:rsidRDefault="007F6FAD">
      <w:pPr>
        <w:pStyle w:val="Sisluet2"/>
        <w:rPr>
          <w:rFonts w:asciiTheme="minorHAnsi" w:eastAsiaTheme="minorEastAsia" w:hAnsiTheme="minorHAnsi" w:cstheme="minorBidi"/>
          <w:szCs w:val="22"/>
        </w:rPr>
      </w:pPr>
      <w:hyperlink w:anchor="_Toc43729675" w:history="1">
        <w:r w:rsidR="00816EB6" w:rsidRPr="00B02D20">
          <w:rPr>
            <w:rStyle w:val="Hyperlinkki"/>
          </w:rPr>
          <w:t>4 Ehdotukset ja niiden vaikutukset</w:t>
        </w:r>
        <w:r w:rsidR="00816EB6">
          <w:rPr>
            <w:webHidden/>
          </w:rPr>
          <w:tab/>
        </w:r>
        <w:r w:rsidR="00816EB6">
          <w:rPr>
            <w:webHidden/>
          </w:rPr>
          <w:fldChar w:fldCharType="begin"/>
        </w:r>
        <w:r w:rsidR="00816EB6">
          <w:rPr>
            <w:webHidden/>
          </w:rPr>
          <w:instrText xml:space="preserve"> PAGEREF _Toc43729675 \h </w:instrText>
        </w:r>
        <w:r w:rsidR="00816EB6">
          <w:rPr>
            <w:webHidden/>
          </w:rPr>
        </w:r>
        <w:r w:rsidR="00816EB6">
          <w:rPr>
            <w:webHidden/>
          </w:rPr>
          <w:fldChar w:fldCharType="separate"/>
        </w:r>
        <w:r w:rsidR="00816EB6">
          <w:rPr>
            <w:webHidden/>
          </w:rPr>
          <w:t>7</w:t>
        </w:r>
        <w:r w:rsidR="00816EB6">
          <w:rPr>
            <w:webHidden/>
          </w:rPr>
          <w:fldChar w:fldCharType="end"/>
        </w:r>
      </w:hyperlink>
    </w:p>
    <w:p w:rsidR="00816EB6" w:rsidRDefault="007F6FAD">
      <w:pPr>
        <w:pStyle w:val="Sisluet2"/>
        <w:rPr>
          <w:rFonts w:asciiTheme="minorHAnsi" w:eastAsiaTheme="minorEastAsia" w:hAnsiTheme="minorHAnsi" w:cstheme="minorBidi"/>
          <w:szCs w:val="22"/>
        </w:rPr>
      </w:pPr>
      <w:hyperlink w:anchor="_Toc43729676" w:history="1">
        <w:r w:rsidR="00816EB6" w:rsidRPr="00B02D20">
          <w:rPr>
            <w:rStyle w:val="Hyperlinkki"/>
          </w:rPr>
          <w:t>5 Muut toteuttamisvaihtoehdot</w:t>
        </w:r>
        <w:r w:rsidR="00816EB6">
          <w:rPr>
            <w:webHidden/>
          </w:rPr>
          <w:tab/>
        </w:r>
        <w:r w:rsidR="00816EB6">
          <w:rPr>
            <w:webHidden/>
          </w:rPr>
          <w:fldChar w:fldCharType="begin"/>
        </w:r>
        <w:r w:rsidR="00816EB6">
          <w:rPr>
            <w:webHidden/>
          </w:rPr>
          <w:instrText xml:space="preserve"> PAGEREF _Toc43729676 \h </w:instrText>
        </w:r>
        <w:r w:rsidR="00816EB6">
          <w:rPr>
            <w:webHidden/>
          </w:rPr>
        </w:r>
        <w:r w:rsidR="00816EB6">
          <w:rPr>
            <w:webHidden/>
          </w:rPr>
          <w:fldChar w:fldCharType="separate"/>
        </w:r>
        <w:r w:rsidR="00816EB6">
          <w:rPr>
            <w:webHidden/>
          </w:rPr>
          <w:t>8</w:t>
        </w:r>
        <w:r w:rsidR="00816EB6">
          <w:rPr>
            <w:webHidden/>
          </w:rPr>
          <w:fldChar w:fldCharType="end"/>
        </w:r>
      </w:hyperlink>
    </w:p>
    <w:p w:rsidR="00816EB6" w:rsidRDefault="007F6FAD">
      <w:pPr>
        <w:pStyle w:val="Sisluet2"/>
        <w:rPr>
          <w:rFonts w:asciiTheme="minorHAnsi" w:eastAsiaTheme="minorEastAsia" w:hAnsiTheme="minorHAnsi" w:cstheme="minorBidi"/>
          <w:szCs w:val="22"/>
        </w:rPr>
      </w:pPr>
      <w:hyperlink w:anchor="_Toc43729677" w:history="1">
        <w:r w:rsidR="00816EB6" w:rsidRPr="00B02D20">
          <w:rPr>
            <w:rStyle w:val="Hyperlinkki"/>
          </w:rPr>
          <w:t>6 Lausuntopalaute</w:t>
        </w:r>
        <w:r w:rsidR="00816EB6">
          <w:rPr>
            <w:webHidden/>
          </w:rPr>
          <w:tab/>
        </w:r>
        <w:r w:rsidR="00816EB6">
          <w:rPr>
            <w:webHidden/>
          </w:rPr>
          <w:fldChar w:fldCharType="begin"/>
        </w:r>
        <w:r w:rsidR="00816EB6">
          <w:rPr>
            <w:webHidden/>
          </w:rPr>
          <w:instrText xml:space="preserve"> PAGEREF _Toc43729677 \h </w:instrText>
        </w:r>
        <w:r w:rsidR="00816EB6">
          <w:rPr>
            <w:webHidden/>
          </w:rPr>
        </w:r>
        <w:r w:rsidR="00816EB6">
          <w:rPr>
            <w:webHidden/>
          </w:rPr>
          <w:fldChar w:fldCharType="separate"/>
        </w:r>
        <w:r w:rsidR="00816EB6">
          <w:rPr>
            <w:webHidden/>
          </w:rPr>
          <w:t>8</w:t>
        </w:r>
        <w:r w:rsidR="00816EB6">
          <w:rPr>
            <w:webHidden/>
          </w:rPr>
          <w:fldChar w:fldCharType="end"/>
        </w:r>
      </w:hyperlink>
    </w:p>
    <w:p w:rsidR="00816EB6" w:rsidRDefault="007F6FAD">
      <w:pPr>
        <w:pStyle w:val="Sisluet2"/>
        <w:rPr>
          <w:rFonts w:asciiTheme="minorHAnsi" w:eastAsiaTheme="minorEastAsia" w:hAnsiTheme="minorHAnsi" w:cstheme="minorBidi"/>
          <w:szCs w:val="22"/>
        </w:rPr>
      </w:pPr>
      <w:hyperlink w:anchor="_Toc43729678" w:history="1">
        <w:r w:rsidR="00816EB6" w:rsidRPr="00B02D20">
          <w:rPr>
            <w:rStyle w:val="Hyperlinkki"/>
          </w:rPr>
          <w:t>7 Voimaantulo</w:t>
        </w:r>
        <w:r w:rsidR="00816EB6">
          <w:rPr>
            <w:webHidden/>
          </w:rPr>
          <w:tab/>
        </w:r>
        <w:r w:rsidR="00816EB6">
          <w:rPr>
            <w:webHidden/>
          </w:rPr>
          <w:fldChar w:fldCharType="begin"/>
        </w:r>
        <w:r w:rsidR="00816EB6">
          <w:rPr>
            <w:webHidden/>
          </w:rPr>
          <w:instrText xml:space="preserve"> PAGEREF _Toc43729678 \h </w:instrText>
        </w:r>
        <w:r w:rsidR="00816EB6">
          <w:rPr>
            <w:webHidden/>
          </w:rPr>
        </w:r>
        <w:r w:rsidR="00816EB6">
          <w:rPr>
            <w:webHidden/>
          </w:rPr>
          <w:fldChar w:fldCharType="separate"/>
        </w:r>
        <w:r w:rsidR="00816EB6">
          <w:rPr>
            <w:webHidden/>
          </w:rPr>
          <w:t>8</w:t>
        </w:r>
        <w:r w:rsidR="00816EB6">
          <w:rPr>
            <w:webHidden/>
          </w:rPr>
          <w:fldChar w:fldCharType="end"/>
        </w:r>
      </w:hyperlink>
    </w:p>
    <w:p w:rsidR="00816EB6" w:rsidRDefault="007F6FAD">
      <w:pPr>
        <w:pStyle w:val="Sisluet2"/>
        <w:rPr>
          <w:rFonts w:asciiTheme="minorHAnsi" w:eastAsiaTheme="minorEastAsia" w:hAnsiTheme="minorHAnsi" w:cstheme="minorBidi"/>
          <w:szCs w:val="22"/>
        </w:rPr>
      </w:pPr>
      <w:hyperlink w:anchor="_Toc43729679" w:history="1">
        <w:r w:rsidR="00816EB6" w:rsidRPr="00B02D20">
          <w:rPr>
            <w:rStyle w:val="Hyperlinkki"/>
          </w:rPr>
          <w:t>8 Suhde muihin esityksiin</w:t>
        </w:r>
        <w:r w:rsidR="00816EB6">
          <w:rPr>
            <w:webHidden/>
          </w:rPr>
          <w:tab/>
        </w:r>
        <w:r w:rsidR="00816EB6">
          <w:rPr>
            <w:webHidden/>
          </w:rPr>
          <w:fldChar w:fldCharType="begin"/>
        </w:r>
        <w:r w:rsidR="00816EB6">
          <w:rPr>
            <w:webHidden/>
          </w:rPr>
          <w:instrText xml:space="preserve"> PAGEREF _Toc43729679 \h </w:instrText>
        </w:r>
        <w:r w:rsidR="00816EB6">
          <w:rPr>
            <w:webHidden/>
          </w:rPr>
        </w:r>
        <w:r w:rsidR="00816EB6">
          <w:rPr>
            <w:webHidden/>
          </w:rPr>
          <w:fldChar w:fldCharType="separate"/>
        </w:r>
        <w:r w:rsidR="00816EB6">
          <w:rPr>
            <w:webHidden/>
          </w:rPr>
          <w:t>8</w:t>
        </w:r>
        <w:r w:rsidR="00816EB6">
          <w:rPr>
            <w:webHidden/>
          </w:rPr>
          <w:fldChar w:fldCharType="end"/>
        </w:r>
      </w:hyperlink>
    </w:p>
    <w:p w:rsidR="00816EB6" w:rsidRDefault="007F6FAD">
      <w:pPr>
        <w:pStyle w:val="Sisluet2"/>
        <w:rPr>
          <w:rFonts w:asciiTheme="minorHAnsi" w:eastAsiaTheme="minorEastAsia" w:hAnsiTheme="minorHAnsi" w:cstheme="minorBidi"/>
          <w:szCs w:val="22"/>
        </w:rPr>
      </w:pPr>
      <w:hyperlink w:anchor="_Toc43729680" w:history="1">
        <w:r w:rsidR="00816EB6" w:rsidRPr="00B02D20">
          <w:rPr>
            <w:rStyle w:val="Hyperlinkki"/>
          </w:rPr>
          <w:t>9 Suhde perustuslakiin ja säätämisjärjestys</w:t>
        </w:r>
        <w:r w:rsidR="00816EB6">
          <w:rPr>
            <w:webHidden/>
          </w:rPr>
          <w:tab/>
        </w:r>
        <w:r w:rsidR="00816EB6">
          <w:rPr>
            <w:webHidden/>
          </w:rPr>
          <w:fldChar w:fldCharType="begin"/>
        </w:r>
        <w:r w:rsidR="00816EB6">
          <w:rPr>
            <w:webHidden/>
          </w:rPr>
          <w:instrText xml:space="preserve"> PAGEREF _Toc43729680 \h </w:instrText>
        </w:r>
        <w:r w:rsidR="00816EB6">
          <w:rPr>
            <w:webHidden/>
          </w:rPr>
        </w:r>
        <w:r w:rsidR="00816EB6">
          <w:rPr>
            <w:webHidden/>
          </w:rPr>
          <w:fldChar w:fldCharType="separate"/>
        </w:r>
        <w:r w:rsidR="00816EB6">
          <w:rPr>
            <w:webHidden/>
          </w:rPr>
          <w:t>9</w:t>
        </w:r>
        <w:r w:rsidR="00816EB6">
          <w:rPr>
            <w:webHidden/>
          </w:rPr>
          <w:fldChar w:fldCharType="end"/>
        </w:r>
      </w:hyperlink>
    </w:p>
    <w:p w:rsidR="00816EB6" w:rsidRDefault="007F6FAD">
      <w:pPr>
        <w:pStyle w:val="Sisluet1"/>
        <w:rPr>
          <w:rFonts w:asciiTheme="minorHAnsi" w:eastAsiaTheme="minorEastAsia" w:hAnsiTheme="minorHAnsi" w:cstheme="minorBidi"/>
          <w:bCs w:val="0"/>
          <w:caps w:val="0"/>
          <w:noProof/>
          <w:szCs w:val="22"/>
        </w:rPr>
      </w:pPr>
      <w:hyperlink w:anchor="_Toc43729681" w:history="1">
        <w:r w:rsidR="00816EB6" w:rsidRPr="00B02D20">
          <w:rPr>
            <w:rStyle w:val="Hyperlinkki"/>
            <w:noProof/>
          </w:rPr>
          <w:t>Lakiehdotus</w:t>
        </w:r>
        <w:r w:rsidR="00816EB6">
          <w:rPr>
            <w:noProof/>
            <w:webHidden/>
          </w:rPr>
          <w:tab/>
        </w:r>
        <w:r w:rsidR="00816EB6">
          <w:rPr>
            <w:noProof/>
            <w:webHidden/>
          </w:rPr>
          <w:fldChar w:fldCharType="begin"/>
        </w:r>
        <w:r w:rsidR="00816EB6">
          <w:rPr>
            <w:noProof/>
            <w:webHidden/>
          </w:rPr>
          <w:instrText xml:space="preserve"> PAGEREF _Toc43729681 \h </w:instrText>
        </w:r>
        <w:r w:rsidR="00816EB6">
          <w:rPr>
            <w:noProof/>
            <w:webHidden/>
          </w:rPr>
        </w:r>
        <w:r w:rsidR="00816EB6">
          <w:rPr>
            <w:noProof/>
            <w:webHidden/>
          </w:rPr>
          <w:fldChar w:fldCharType="separate"/>
        </w:r>
        <w:r w:rsidR="00816EB6">
          <w:rPr>
            <w:noProof/>
            <w:webHidden/>
          </w:rPr>
          <w:t>10</w:t>
        </w:r>
        <w:r w:rsidR="00816EB6">
          <w:rPr>
            <w:noProof/>
            <w:webHidden/>
          </w:rPr>
          <w:fldChar w:fldCharType="end"/>
        </w:r>
      </w:hyperlink>
    </w:p>
    <w:p w:rsidR="00816EB6" w:rsidRDefault="007F6FAD">
      <w:pPr>
        <w:pStyle w:val="Sisluet3"/>
        <w:rPr>
          <w:rFonts w:asciiTheme="minorHAnsi" w:eastAsiaTheme="minorEastAsia" w:hAnsiTheme="minorHAnsi" w:cstheme="minorBidi"/>
          <w:noProof/>
          <w:szCs w:val="22"/>
        </w:rPr>
      </w:pPr>
      <w:hyperlink w:anchor="_Toc43729682" w:history="1">
        <w:r w:rsidR="00816EB6">
          <w:rPr>
            <w:rStyle w:val="Hyperlinkki"/>
            <w:noProof/>
          </w:rPr>
          <w:t>Laki v</w:t>
        </w:r>
        <w:r w:rsidR="00816EB6" w:rsidRPr="00B02D20">
          <w:rPr>
            <w:rStyle w:val="Hyperlinkki"/>
            <w:noProof/>
          </w:rPr>
          <w:t>äylämaksulain muuttamisesta ja väliaikaisesta muuttamisesta annetun lain voimaantulosäännöksen muuttamisesta</w:t>
        </w:r>
        <w:r w:rsidR="00816EB6">
          <w:rPr>
            <w:noProof/>
            <w:webHidden/>
          </w:rPr>
          <w:tab/>
        </w:r>
        <w:r w:rsidR="00816EB6">
          <w:rPr>
            <w:noProof/>
            <w:webHidden/>
          </w:rPr>
          <w:fldChar w:fldCharType="begin"/>
        </w:r>
        <w:r w:rsidR="00816EB6">
          <w:rPr>
            <w:noProof/>
            <w:webHidden/>
          </w:rPr>
          <w:instrText xml:space="preserve"> PAGEREF _Toc43729682 \h </w:instrText>
        </w:r>
        <w:r w:rsidR="00816EB6">
          <w:rPr>
            <w:noProof/>
            <w:webHidden/>
          </w:rPr>
        </w:r>
        <w:r w:rsidR="00816EB6">
          <w:rPr>
            <w:noProof/>
            <w:webHidden/>
          </w:rPr>
          <w:fldChar w:fldCharType="separate"/>
        </w:r>
        <w:r w:rsidR="00816EB6">
          <w:rPr>
            <w:noProof/>
            <w:webHidden/>
          </w:rPr>
          <w:t>10</w:t>
        </w:r>
        <w:r w:rsidR="00816EB6">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2" w:name="_Toc43729671" w:displacedByCustomXml="next"/>
    <w:sdt>
      <w:sdtPr>
        <w:rPr>
          <w:rFonts w:eastAsia="Calibri"/>
          <w:b w:val="0"/>
          <w:caps w:val="0"/>
          <w:sz w:val="22"/>
          <w:szCs w:val="22"/>
          <w:lang w:eastAsia="en-US"/>
        </w:rPr>
        <w:alias w:val="Perustelut"/>
        <w:tag w:val="CCPerustelut"/>
        <w:id w:val="2058971695"/>
        <w:lock w:val="sdtLocked"/>
        <w:placeholder>
          <w:docPart w:val="99110BDB547B4CD0AF65E7B7ED57AF89"/>
        </w:placeholder>
        <w15:color w:val="33CCCC"/>
      </w:sdtPr>
      <w:sdtEndPr>
        <w:rPr>
          <w:rFonts w:eastAsia="Times New Roman"/>
          <w:szCs w:val="24"/>
          <w:lang w:eastAsia="fi-FI"/>
        </w:rPr>
      </w:sdtEndPr>
      <w:sdtContent>
        <w:p w:rsidR="008414FE" w:rsidRDefault="004D2778" w:rsidP="008414FE">
          <w:pPr>
            <w:pStyle w:val="LLperustelut"/>
          </w:pPr>
          <w:r>
            <w:t>PERUSTELUT</w:t>
          </w:r>
          <w:bookmarkEnd w:id="2"/>
        </w:p>
        <w:p w:rsidR="0075180F" w:rsidRDefault="0075180F" w:rsidP="0075180F">
          <w:pPr>
            <w:pStyle w:val="LLP1Otsikkotaso"/>
          </w:pPr>
          <w:bookmarkStart w:id="3" w:name="_Toc43729672"/>
          <w:r>
            <w:t>Asian tausta ja valmistelu</w:t>
          </w:r>
          <w:bookmarkEnd w:id="3"/>
        </w:p>
        <w:p w:rsidR="0089684C" w:rsidRDefault="0089684C" w:rsidP="0089684C">
          <w:pPr>
            <w:pStyle w:val="LLPerustelujenkappalejako"/>
          </w:pPr>
          <w:r>
            <w:t xml:space="preserve">Väylämaksu perustuu väylämaksulakiin (1122/2005), jonka perusteella Suomen vesialueella kauppamerenkulkua harjoittavasta aluksesta suoritetaan valtiolle väylämaksua. Väylämaksu puolitettiin </w:t>
          </w:r>
          <w:r w:rsidR="00BD6F46">
            <w:t xml:space="preserve">väliaikaisesti </w:t>
          </w:r>
          <w:r>
            <w:t xml:space="preserve">vuosiksi 2015–2017 väylämaksulain muuttamisesta ja väliaikaisesta muuttamisesta </w:t>
          </w:r>
          <w:r w:rsidR="00BD6F46">
            <w:t xml:space="preserve">annetulla lailla </w:t>
          </w:r>
          <w:r>
            <w:t xml:space="preserve">(1214/2014). Väylämaksun </w:t>
          </w:r>
          <w:r w:rsidR="00BD6F46">
            <w:t xml:space="preserve">väliaikaisen </w:t>
          </w:r>
          <w:r>
            <w:t xml:space="preserve">puolituksen voimassa oloa jatkettiin </w:t>
          </w:r>
          <w:r w:rsidR="00BD6F46">
            <w:t xml:space="preserve">ensin </w:t>
          </w:r>
          <w:r>
            <w:t xml:space="preserve">vuodelle 2018 </w:t>
          </w:r>
          <w:r w:rsidR="00BD6F46">
            <w:t xml:space="preserve">ja sitten vuosille 2019–2020 </w:t>
          </w:r>
          <w:r>
            <w:t>väylämaksulain muuttamisesta ja väliaikaisesta muuttamisesta annetun lain voimaantulosäännöksen muuttamisesta annetu</w:t>
          </w:r>
          <w:r w:rsidR="00BD6F46">
            <w:t>illa laei</w:t>
          </w:r>
          <w:r>
            <w:t>lla (896/2017</w:t>
          </w:r>
          <w:r w:rsidR="00BD6F46">
            <w:t xml:space="preserve"> ja </w:t>
          </w:r>
          <w:r>
            <w:t>904/2018).</w:t>
          </w:r>
        </w:p>
        <w:p w:rsidR="0089684C" w:rsidRDefault="0089684C" w:rsidP="0089684C">
          <w:pPr>
            <w:pStyle w:val="LLPerustelujenkappalejako"/>
          </w:pPr>
          <w:r>
            <w:t xml:space="preserve">Vuonna 2020 pääministeri Sanna </w:t>
          </w:r>
          <w:proofErr w:type="spellStart"/>
          <w:r>
            <w:t>Marinin</w:t>
          </w:r>
          <w:proofErr w:type="spellEnd"/>
          <w:r>
            <w:t xml:space="preserve"> hallitus on toteuttanut toimenpiteitä yhteiskunnan toiminnan turvaamiseksi ja elinkeinoelämän ja kansalaisten ahdingon helpottamiseksi COVID-19-tartuntatautiepidemian aiheuttamien poikkeusolojen vuoksi. Osana näitä toimenpiteitä esitetään puolitetun väylämaksun kantamisen jatkamista vuodelle 2021. Toimenpiteellä pyritään kompensoimaan kauppamerenkululle </w:t>
          </w:r>
          <w:r w:rsidR="00BD6F46">
            <w:t xml:space="preserve">ja niiden kuljetusasiakkaille </w:t>
          </w:r>
          <w:r>
            <w:t>aiheutuneita tulojen menetyksiä ja kannattavuushaasteita</w:t>
          </w:r>
          <w:r w:rsidR="00BD6F46">
            <w:t xml:space="preserve"> taloudellisesti epävarmoissa olosuhteissa</w:t>
          </w:r>
          <w:r>
            <w:t>. Toimenpide tukee</w:t>
          </w:r>
          <w:r w:rsidR="00BD6F46">
            <w:t xml:space="preserve"> </w:t>
          </w:r>
          <w:r>
            <w:t>Suomen kilpailukykyä. Lakimuutos toteutetaan muuttamalla väylämaksulain muuttamisesta ja väliaikaisesta muuttamisesta annetun lain (1214/2014) voimaantulosäännöstä sellaisena kuin se on laissa väylämaksulain muuttamisesta ja väliaikaisesta muuttamisesta annetun voimaantulosäännöksen muuttamisesta (904/2018).</w:t>
          </w:r>
        </w:p>
        <w:p w:rsidR="00A939B2" w:rsidRDefault="0089684C" w:rsidP="0089684C">
          <w:pPr>
            <w:pStyle w:val="LLPerustelujenkappalejako"/>
          </w:pPr>
          <w:r>
            <w:t>Esitys on valmisteltu liikenne- ja viestintäministeriössä.</w:t>
          </w:r>
        </w:p>
        <w:p w:rsidR="00530165" w:rsidRDefault="00530165" w:rsidP="0089684C">
          <w:pPr>
            <w:pStyle w:val="LLPerustelujenkappalejako"/>
          </w:pPr>
        </w:p>
        <w:p w:rsidR="008414FE" w:rsidRDefault="00A939B2" w:rsidP="000E61DF">
          <w:pPr>
            <w:pStyle w:val="LLP1Otsikkotaso"/>
          </w:pPr>
          <w:bookmarkStart w:id="4" w:name="_Toc43729673"/>
          <w:r>
            <w:t>Nykytila ja sen arviointi</w:t>
          </w:r>
          <w:bookmarkEnd w:id="4"/>
        </w:p>
        <w:p w:rsidR="0089684C" w:rsidRDefault="0089684C" w:rsidP="0089684C">
          <w:pPr>
            <w:pStyle w:val="LLPerustelujenkappalejako"/>
          </w:pPr>
          <w:r>
            <w:t>Suomen vesialueella kauppamerenkulkua harjoittavasta aluksesta suoritetaan valtiolle väylämaksua, kun alus saapuu suomalaiseen satamaan ulkomailta tai alus siirtyy suomalaisesta satamasta toiseen suomalaiseen satamaan. Maksun kantaa Tulli. Maksu kannetaan aluksen tyypin, jääluokan ja nettovetoisuusluvun mukaisesti voimassa olevaa hinnastoa soveltaen. Maksulla on käyntikertakohtainen enimmäismäärä, kalenterivuoden aikaisten maksukertojen enimmäismäärät sekä lastin määrän ja liikenteen tyypin mukaisia huojennuksia koskevat säännökset. Matkustaja-alus maksaa maksun enintään 30 kertaa ja lastialus enintään 10 kertaa kalenterivuoden aikana.  Tulli kantaa vuosittain noin 6 000–7 000 väylämaksua liikenteen kokonaismäärästä ja yksittäisten alusten liikennöintitiheydestä riippuen. Väylämaksutulot osoitetaan valtion talousarvioon yleiskatteellisesti valtion menojen hoitoon.</w:t>
          </w:r>
        </w:p>
        <w:p w:rsidR="0089684C" w:rsidRDefault="0089684C" w:rsidP="0089684C">
          <w:pPr>
            <w:pStyle w:val="LLPerustelujenkappalejako"/>
          </w:pPr>
          <w:r>
            <w:t xml:space="preserve">Hallituksen valtiontalouden kehyspäätöksessä 3. huhtikuuta 2014 todettiin, että väylämaksu puolitetaan vuosiksi 2015–2017 vähentämään 1. tammikuuta 2015 voimaan tulevien merenkulun rikkirajoitusten (IMO </w:t>
          </w:r>
          <w:proofErr w:type="spellStart"/>
          <w:r>
            <w:t>Marpol</w:t>
          </w:r>
          <w:proofErr w:type="spellEnd"/>
          <w:r>
            <w:t xml:space="preserve"> </w:t>
          </w:r>
          <w:proofErr w:type="spellStart"/>
          <w:r>
            <w:t>Annex</w:t>
          </w:r>
          <w:proofErr w:type="spellEnd"/>
          <w:r>
            <w:t xml:space="preserve"> VI) kustannusvaikutuksia sekä tukemaan 30. elokuuta 2013 tehtyä työmarkkinaratkaisua. Puolitus toteutettiin niin, että lastialusten ja etenkin hyvien jääluokkien lastialusten yksikköhintoja alennettiin enemmän kuin matkustaja-alusten, risteilyalusten ja alhaisten jääluokkien alusten yksikköhintoja.</w:t>
          </w:r>
        </w:p>
        <w:p w:rsidR="0089684C" w:rsidRDefault="0089684C" w:rsidP="0089684C">
          <w:pPr>
            <w:pStyle w:val="LLPerustelujenkappalejako"/>
          </w:pPr>
          <w:r>
            <w:t xml:space="preserve">Väylämaksun puolituksen voimassaoloa on jatkettu kaksi kertaa. Tavoitteena on ollut keventää elinkeinoelämän kustannuksia Suomen kansainvälisen kilpailukyvyn hyväksi. Rikkirajoitusten kompensointitarve väistyi </w:t>
          </w:r>
          <w:r w:rsidR="00530165">
            <w:t>k</w:t>
          </w:r>
          <w:r>
            <w:t>auppamerenkulun rikkisääntely</w:t>
          </w:r>
          <w:r w:rsidR="00530165">
            <w:t>n laajennuttua</w:t>
          </w:r>
          <w:r>
            <w:t xml:space="preserve"> IMO:n toimin vuoden 2020 alusta kaikille merialueille. Itämeri ja muut SECA-alueet (</w:t>
          </w:r>
          <w:proofErr w:type="spellStart"/>
          <w:r>
            <w:t>Sulphur</w:t>
          </w:r>
          <w:proofErr w:type="spellEnd"/>
          <w:r>
            <w:t xml:space="preserve"> </w:t>
          </w:r>
          <w:proofErr w:type="spellStart"/>
          <w:r>
            <w:t>Emissions</w:t>
          </w:r>
          <w:proofErr w:type="spellEnd"/>
          <w:r>
            <w:t xml:space="preserve"> Control Area) ovat edelleen tiukemman rikkisääntelyn alaisia.</w:t>
          </w:r>
        </w:p>
        <w:p w:rsidR="0089684C" w:rsidRDefault="0089684C" w:rsidP="0089684C">
          <w:pPr>
            <w:pStyle w:val="LLPerustelujenkappalejako"/>
            <w:spacing w:after="0"/>
            <w:rPr>
              <w:i/>
            </w:rPr>
          </w:pPr>
          <w:r w:rsidRPr="0089684C">
            <w:rPr>
              <w:i/>
            </w:rPr>
            <w:lastRenderedPageBreak/>
            <w:t>Vuosina 2012–2014 kannetun väylämaksun yksikköhinnat ja vuosina 2015–2020 kannetun alennetun väylämaksun yksikköhinnat.</w:t>
          </w:r>
        </w:p>
        <w:tbl>
          <w:tblPr>
            <w:tblW w:w="8505" w:type="dxa"/>
            <w:shd w:val="clear" w:color="000000" w:fill="auto"/>
            <w:tblCellMar>
              <w:left w:w="70" w:type="dxa"/>
              <w:right w:w="70" w:type="dxa"/>
            </w:tblCellMar>
            <w:tblLook w:val="04A0" w:firstRow="1" w:lastRow="0" w:firstColumn="1" w:lastColumn="0" w:noHBand="0" w:noVBand="1"/>
          </w:tblPr>
          <w:tblGrid>
            <w:gridCol w:w="2268"/>
            <w:gridCol w:w="851"/>
            <w:gridCol w:w="1984"/>
            <w:gridCol w:w="1418"/>
            <w:gridCol w:w="1984"/>
          </w:tblGrid>
          <w:tr w:rsidR="0089684C" w:rsidRPr="009F3D53" w:rsidTr="00FA1DA0">
            <w:trPr>
              <w:trHeight w:val="300"/>
            </w:trPr>
            <w:tc>
              <w:tcPr>
                <w:tcW w:w="2268" w:type="dxa"/>
                <w:tcBorders>
                  <w:top w:val="single" w:sz="4" w:space="0" w:color="auto"/>
                  <w:bottom w:val="single" w:sz="4" w:space="0" w:color="auto"/>
                </w:tcBorders>
                <w:shd w:val="clear" w:color="000000" w:fill="auto"/>
              </w:tcPr>
              <w:p w:rsidR="0089684C" w:rsidRPr="00FA1DA0" w:rsidRDefault="0089684C" w:rsidP="00FA1DA0">
                <w:pPr>
                  <w:spacing w:line="240" w:lineRule="auto"/>
                  <w:rPr>
                    <w:b/>
                    <w:bCs/>
                    <w:color w:val="000000"/>
                    <w:sz w:val="18"/>
                    <w:szCs w:val="18"/>
                  </w:rPr>
                </w:pPr>
                <w:r w:rsidRPr="00FA1DA0">
                  <w:rPr>
                    <w:bCs/>
                    <w:color w:val="000000"/>
                    <w:sz w:val="18"/>
                    <w:szCs w:val="18"/>
                  </w:rPr>
                  <w:t>Yksikköhinnat</w:t>
                </w:r>
              </w:p>
            </w:tc>
            <w:tc>
              <w:tcPr>
                <w:tcW w:w="2835" w:type="dxa"/>
                <w:gridSpan w:val="2"/>
                <w:tcBorders>
                  <w:top w:val="single" w:sz="4" w:space="0" w:color="auto"/>
                  <w:bottom w:val="single" w:sz="4" w:space="0" w:color="auto"/>
                </w:tcBorders>
                <w:shd w:val="clear" w:color="000000" w:fill="auto"/>
              </w:tcPr>
              <w:p w:rsidR="0089684C" w:rsidRPr="00FA1DA0" w:rsidRDefault="0089684C" w:rsidP="00FA1DA0">
                <w:pPr>
                  <w:spacing w:line="240" w:lineRule="auto"/>
                  <w:jc w:val="center"/>
                  <w:rPr>
                    <w:color w:val="000000"/>
                    <w:sz w:val="18"/>
                    <w:szCs w:val="18"/>
                  </w:rPr>
                </w:pPr>
                <w:r w:rsidRPr="00FA1DA0">
                  <w:rPr>
                    <w:color w:val="000000"/>
                    <w:sz w:val="18"/>
                    <w:szCs w:val="18"/>
                  </w:rPr>
                  <w:t>Väylämaksu 2012–2014</w:t>
                </w:r>
              </w:p>
            </w:tc>
            <w:tc>
              <w:tcPr>
                <w:tcW w:w="3402" w:type="dxa"/>
                <w:gridSpan w:val="2"/>
                <w:tcBorders>
                  <w:top w:val="single" w:sz="4" w:space="0" w:color="auto"/>
                  <w:left w:val="single" w:sz="4" w:space="0" w:color="auto"/>
                  <w:bottom w:val="single" w:sz="4" w:space="0" w:color="auto"/>
                </w:tcBorders>
                <w:shd w:val="clear" w:color="000000" w:fill="auto"/>
              </w:tcPr>
              <w:p w:rsidR="0089684C" w:rsidRPr="00FA1DA0" w:rsidRDefault="0089684C" w:rsidP="00FA1DA0">
                <w:pPr>
                  <w:spacing w:line="240" w:lineRule="auto"/>
                  <w:jc w:val="center"/>
                  <w:rPr>
                    <w:color w:val="000000"/>
                    <w:sz w:val="18"/>
                    <w:szCs w:val="18"/>
                  </w:rPr>
                </w:pPr>
                <w:r w:rsidRPr="00FA1DA0">
                  <w:rPr>
                    <w:color w:val="000000"/>
                    <w:sz w:val="18"/>
                    <w:szCs w:val="18"/>
                  </w:rPr>
                  <w:t>Väylämaksu 2015–2020</w:t>
                </w:r>
              </w:p>
              <w:p w:rsidR="0089684C" w:rsidRPr="00FA1DA0" w:rsidRDefault="0089684C" w:rsidP="00FA1DA0">
                <w:pPr>
                  <w:spacing w:line="240" w:lineRule="auto"/>
                  <w:jc w:val="center"/>
                  <w:rPr>
                    <w:color w:val="000000"/>
                    <w:sz w:val="18"/>
                    <w:szCs w:val="18"/>
                  </w:rPr>
                </w:pPr>
                <w:r w:rsidRPr="00FA1DA0">
                  <w:rPr>
                    <w:color w:val="000000"/>
                    <w:sz w:val="18"/>
                    <w:szCs w:val="18"/>
                  </w:rPr>
                  <w:t>(muutos suluissa)</w:t>
                </w:r>
              </w:p>
            </w:tc>
          </w:tr>
          <w:tr w:rsidR="0089684C" w:rsidRPr="009F3D53" w:rsidTr="00FA1DA0">
            <w:trPr>
              <w:trHeight w:val="300"/>
            </w:trPr>
            <w:tc>
              <w:tcPr>
                <w:tcW w:w="2268" w:type="dxa"/>
                <w:tcBorders>
                  <w:top w:val="single" w:sz="4" w:space="0" w:color="auto"/>
                  <w:bottom w:val="single" w:sz="4" w:space="0" w:color="auto"/>
                </w:tcBorders>
                <w:shd w:val="clear" w:color="000000" w:fill="auto"/>
                <w:hideMark/>
              </w:tcPr>
              <w:p w:rsidR="0089684C" w:rsidRPr="00FA1DA0" w:rsidRDefault="0089684C" w:rsidP="00FA1DA0">
                <w:pPr>
                  <w:spacing w:line="240" w:lineRule="auto"/>
                  <w:rPr>
                    <w:b/>
                    <w:bCs/>
                    <w:color w:val="000000"/>
                    <w:sz w:val="18"/>
                    <w:szCs w:val="18"/>
                  </w:rPr>
                </w:pPr>
                <w:r w:rsidRPr="00FA1DA0">
                  <w:rPr>
                    <w:bCs/>
                    <w:color w:val="000000"/>
                    <w:sz w:val="18"/>
                    <w:szCs w:val="18"/>
                  </w:rPr>
                  <w:t>Euroa/nettotonni/jääluokka</w:t>
                </w:r>
              </w:p>
            </w:tc>
            <w:tc>
              <w:tcPr>
                <w:tcW w:w="851" w:type="dxa"/>
                <w:tcBorders>
                  <w:top w:val="single" w:sz="4" w:space="0" w:color="auto"/>
                  <w:bottom w:val="single" w:sz="4" w:space="0" w:color="auto"/>
                </w:tcBorders>
                <w:shd w:val="clear" w:color="000000" w:fill="auto"/>
              </w:tcPr>
              <w:p w:rsidR="0089684C" w:rsidRPr="00FA1DA0" w:rsidRDefault="0089684C" w:rsidP="00FA1DA0">
                <w:pPr>
                  <w:spacing w:line="240" w:lineRule="auto"/>
                  <w:jc w:val="center"/>
                  <w:rPr>
                    <w:color w:val="000000"/>
                    <w:sz w:val="18"/>
                    <w:szCs w:val="18"/>
                  </w:rPr>
                </w:pPr>
                <w:r w:rsidRPr="00FA1DA0">
                  <w:rPr>
                    <w:color w:val="000000"/>
                    <w:sz w:val="18"/>
                    <w:szCs w:val="18"/>
                  </w:rPr>
                  <w:t>Lastialus</w:t>
                </w:r>
              </w:p>
            </w:tc>
            <w:tc>
              <w:tcPr>
                <w:tcW w:w="1984" w:type="dxa"/>
                <w:tcBorders>
                  <w:top w:val="single" w:sz="4" w:space="0" w:color="auto"/>
                  <w:bottom w:val="single" w:sz="4" w:space="0" w:color="auto"/>
                  <w:right w:val="single" w:sz="4" w:space="0" w:color="auto"/>
                </w:tcBorders>
                <w:shd w:val="clear" w:color="000000" w:fill="auto"/>
              </w:tcPr>
              <w:p w:rsidR="0089684C" w:rsidRPr="00FA1DA0" w:rsidRDefault="0089684C" w:rsidP="00FA1DA0">
                <w:pPr>
                  <w:spacing w:line="240" w:lineRule="auto"/>
                  <w:jc w:val="center"/>
                  <w:rPr>
                    <w:color w:val="000000"/>
                    <w:sz w:val="18"/>
                    <w:szCs w:val="18"/>
                  </w:rPr>
                </w:pPr>
                <w:r w:rsidRPr="00FA1DA0">
                  <w:rPr>
                    <w:color w:val="000000"/>
                    <w:sz w:val="18"/>
                    <w:szCs w:val="18"/>
                  </w:rPr>
                  <w:t>Matkustaja-alus</w:t>
                </w:r>
              </w:p>
            </w:tc>
            <w:tc>
              <w:tcPr>
                <w:tcW w:w="1418" w:type="dxa"/>
                <w:tcBorders>
                  <w:top w:val="single" w:sz="4" w:space="0" w:color="auto"/>
                  <w:left w:val="single" w:sz="4" w:space="0" w:color="auto"/>
                  <w:bottom w:val="single" w:sz="4" w:space="0" w:color="auto"/>
                </w:tcBorders>
                <w:shd w:val="clear" w:color="000000" w:fill="auto"/>
                <w:hideMark/>
              </w:tcPr>
              <w:p w:rsidR="0089684C" w:rsidRPr="00FA1DA0" w:rsidRDefault="0089684C" w:rsidP="00FA1DA0">
                <w:pPr>
                  <w:spacing w:line="240" w:lineRule="auto"/>
                  <w:jc w:val="center"/>
                  <w:rPr>
                    <w:color w:val="000000"/>
                    <w:sz w:val="18"/>
                    <w:szCs w:val="18"/>
                  </w:rPr>
                </w:pPr>
                <w:r w:rsidRPr="00FA1DA0">
                  <w:rPr>
                    <w:color w:val="000000"/>
                    <w:sz w:val="18"/>
                    <w:szCs w:val="18"/>
                  </w:rPr>
                  <w:t>Lastialus</w:t>
                </w:r>
              </w:p>
            </w:tc>
            <w:tc>
              <w:tcPr>
                <w:tcW w:w="1984" w:type="dxa"/>
                <w:tcBorders>
                  <w:top w:val="single" w:sz="4" w:space="0" w:color="auto"/>
                  <w:bottom w:val="single" w:sz="4" w:space="0" w:color="auto"/>
                </w:tcBorders>
                <w:shd w:val="clear" w:color="000000" w:fill="auto"/>
                <w:hideMark/>
              </w:tcPr>
              <w:p w:rsidR="0089684C" w:rsidRPr="00FA1DA0" w:rsidRDefault="0089684C" w:rsidP="00FA1DA0">
                <w:pPr>
                  <w:spacing w:line="240" w:lineRule="auto"/>
                  <w:jc w:val="center"/>
                  <w:rPr>
                    <w:color w:val="000000"/>
                    <w:sz w:val="18"/>
                    <w:szCs w:val="18"/>
                  </w:rPr>
                </w:pPr>
                <w:r w:rsidRPr="00FA1DA0">
                  <w:rPr>
                    <w:color w:val="000000"/>
                    <w:sz w:val="18"/>
                    <w:szCs w:val="18"/>
                  </w:rPr>
                  <w:t>Matkustaja-alus</w:t>
                </w:r>
              </w:p>
            </w:tc>
          </w:tr>
          <w:tr w:rsidR="0089684C" w:rsidRPr="009F3D53" w:rsidTr="00FA1DA0">
            <w:trPr>
              <w:trHeight w:val="300"/>
            </w:trPr>
            <w:tc>
              <w:tcPr>
                <w:tcW w:w="2268" w:type="dxa"/>
                <w:tcBorders>
                  <w:top w:val="single" w:sz="4" w:space="0" w:color="auto"/>
                </w:tcBorders>
                <w:shd w:val="clear" w:color="000000" w:fill="auto"/>
                <w:noWrap/>
                <w:vAlign w:val="bottom"/>
                <w:hideMark/>
              </w:tcPr>
              <w:p w:rsidR="0089684C" w:rsidRPr="00FA1DA0" w:rsidRDefault="0089684C" w:rsidP="00FA1DA0">
                <w:pPr>
                  <w:spacing w:line="240" w:lineRule="auto"/>
                  <w:rPr>
                    <w:color w:val="000000"/>
                    <w:sz w:val="18"/>
                    <w:szCs w:val="18"/>
                  </w:rPr>
                </w:pPr>
                <w:r w:rsidRPr="00FA1DA0">
                  <w:rPr>
                    <w:color w:val="000000"/>
                    <w:sz w:val="18"/>
                    <w:szCs w:val="18"/>
                  </w:rPr>
                  <w:t>IAS</w:t>
                </w:r>
              </w:p>
            </w:tc>
            <w:tc>
              <w:tcPr>
                <w:tcW w:w="851" w:type="dxa"/>
                <w:tcBorders>
                  <w:top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1,277</w:t>
                </w:r>
              </w:p>
            </w:tc>
            <w:tc>
              <w:tcPr>
                <w:tcW w:w="1984" w:type="dxa"/>
                <w:tcBorders>
                  <w:top w:val="single" w:sz="4" w:space="0" w:color="auto"/>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0,860</w:t>
                </w:r>
              </w:p>
            </w:tc>
            <w:tc>
              <w:tcPr>
                <w:tcW w:w="1418" w:type="dxa"/>
                <w:tcBorders>
                  <w:top w:val="single" w:sz="4" w:space="0" w:color="auto"/>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0,470 (-63,2 %)</w:t>
                </w:r>
              </w:p>
            </w:tc>
            <w:tc>
              <w:tcPr>
                <w:tcW w:w="1984" w:type="dxa"/>
                <w:tcBorders>
                  <w:top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0,625 (-27,3 %)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sidRPr="00FA1DA0">
                  <w:rPr>
                    <w:color w:val="000000"/>
                    <w:sz w:val="18"/>
                    <w:szCs w:val="18"/>
                  </w:rPr>
                  <w:t>IA</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2,389</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1,694</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1,098 (-54,0 %)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1,294 (-23,6 %)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sidRPr="00FA1DA0">
                  <w:rPr>
                    <w:color w:val="000000"/>
                    <w:sz w:val="18"/>
                    <w:szCs w:val="18"/>
                  </w:rPr>
                  <w:t>IB ja IC</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4,821</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2,919</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2,578 (-46,5 %)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2,358 (-19,2 %)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sidRPr="00FA1DA0">
                  <w:rPr>
                    <w:color w:val="000000"/>
                    <w:sz w:val="18"/>
                    <w:szCs w:val="18"/>
                  </w:rPr>
                  <w:t>II ja III</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6,918</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4,878</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4,381 (-36,7 %)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4,169 (-14,5 %)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sidRPr="00FA1DA0">
                  <w:rPr>
                    <w:color w:val="000000"/>
                    <w:sz w:val="18"/>
                    <w:szCs w:val="18"/>
                  </w:rPr>
                  <w:t>Risteilyalus</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 </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1,045</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0,911 (-12,8 %)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sidRPr="00FA1DA0">
                  <w:rPr>
                    <w:color w:val="000000"/>
                    <w:sz w:val="18"/>
                    <w:szCs w:val="18"/>
                  </w:rPr>
                  <w:t>Suurnopeusalus</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 </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6,303</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5,381 (-14,6 %)</w:t>
                </w:r>
              </w:p>
            </w:tc>
          </w:tr>
          <w:tr w:rsidR="0089684C" w:rsidRPr="009F3D53" w:rsidTr="00FA1DA0">
            <w:trPr>
              <w:trHeight w:val="300"/>
            </w:trPr>
            <w:tc>
              <w:tcPr>
                <w:tcW w:w="2268" w:type="dxa"/>
                <w:tcBorders>
                  <w:bottom w:val="single" w:sz="4" w:space="0" w:color="auto"/>
                </w:tcBorders>
                <w:shd w:val="clear" w:color="000000" w:fill="auto"/>
                <w:noWrap/>
                <w:vAlign w:val="bottom"/>
                <w:hideMark/>
              </w:tcPr>
              <w:p w:rsidR="0089684C" w:rsidRPr="00FA1DA0" w:rsidRDefault="0089684C" w:rsidP="00FA1DA0">
                <w:pPr>
                  <w:spacing w:line="240" w:lineRule="auto"/>
                  <w:rPr>
                    <w:color w:val="000000"/>
                    <w:sz w:val="18"/>
                    <w:szCs w:val="18"/>
                  </w:rPr>
                </w:pPr>
                <w:r w:rsidRPr="00FA1DA0">
                  <w:rPr>
                    <w:color w:val="000000"/>
                    <w:sz w:val="18"/>
                    <w:szCs w:val="18"/>
                  </w:rPr>
                  <w:t>Proomu</w:t>
                </w:r>
              </w:p>
            </w:tc>
            <w:tc>
              <w:tcPr>
                <w:tcW w:w="851" w:type="dxa"/>
                <w:tcBorders>
                  <w:bottom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3,473</w:t>
                </w:r>
              </w:p>
            </w:tc>
            <w:tc>
              <w:tcPr>
                <w:tcW w:w="1984" w:type="dxa"/>
                <w:tcBorders>
                  <w:bottom w:val="single" w:sz="4" w:space="0" w:color="auto"/>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p>
            </w:tc>
            <w:tc>
              <w:tcPr>
                <w:tcW w:w="1418" w:type="dxa"/>
                <w:tcBorders>
                  <w:left w:val="single" w:sz="4" w:space="0" w:color="auto"/>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2,107 (-39,3 %)</w:t>
                </w:r>
              </w:p>
            </w:tc>
            <w:tc>
              <w:tcPr>
                <w:tcW w:w="1984" w:type="dxa"/>
                <w:tcBorders>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r>
          <w:tr w:rsidR="0089684C" w:rsidRPr="009F3D53" w:rsidTr="00FA1DA0">
            <w:trPr>
              <w:trHeight w:val="300"/>
            </w:trPr>
            <w:tc>
              <w:tcPr>
                <w:tcW w:w="5103" w:type="dxa"/>
                <w:gridSpan w:val="3"/>
                <w:tcBorders>
                  <w:top w:val="single" w:sz="4" w:space="0" w:color="auto"/>
                  <w:bottom w:val="single" w:sz="4" w:space="0" w:color="auto"/>
                  <w:right w:val="single" w:sz="4" w:space="0" w:color="auto"/>
                </w:tcBorders>
                <w:shd w:val="clear" w:color="000000" w:fill="auto"/>
                <w:noWrap/>
                <w:vAlign w:val="bottom"/>
              </w:tcPr>
              <w:p w:rsidR="0089684C" w:rsidRPr="00FA1DA0" w:rsidRDefault="0089684C" w:rsidP="00FA1DA0">
                <w:pPr>
                  <w:spacing w:line="240" w:lineRule="auto"/>
                  <w:rPr>
                    <w:color w:val="000000"/>
                    <w:sz w:val="18"/>
                    <w:szCs w:val="18"/>
                  </w:rPr>
                </w:pPr>
                <w:r w:rsidRPr="00FA1DA0">
                  <w:rPr>
                    <w:color w:val="000000"/>
                    <w:sz w:val="18"/>
                    <w:szCs w:val="18"/>
                  </w:rPr>
                  <w:t>Enimmäismaksu, euroa/käyntikerta</w:t>
                </w:r>
              </w:p>
            </w:tc>
            <w:tc>
              <w:tcPr>
                <w:tcW w:w="1418" w:type="dxa"/>
                <w:tcBorders>
                  <w:top w:val="single" w:sz="4" w:space="0" w:color="auto"/>
                  <w:left w:val="single" w:sz="4" w:space="0" w:color="auto"/>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c>
              <w:tcPr>
                <w:tcW w:w="1984" w:type="dxa"/>
                <w:tcBorders>
                  <w:top w:val="single" w:sz="4" w:space="0" w:color="auto"/>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r>
          <w:tr w:rsidR="0089684C" w:rsidRPr="009F3D53" w:rsidTr="00FA1DA0">
            <w:trPr>
              <w:trHeight w:val="300"/>
            </w:trPr>
            <w:tc>
              <w:tcPr>
                <w:tcW w:w="2268" w:type="dxa"/>
                <w:tcBorders>
                  <w:top w:val="single" w:sz="4" w:space="0" w:color="auto"/>
                </w:tcBorders>
                <w:shd w:val="clear" w:color="000000" w:fill="auto"/>
                <w:noWrap/>
                <w:vAlign w:val="bottom"/>
              </w:tcPr>
              <w:p w:rsidR="0089684C" w:rsidRPr="00FA1DA0" w:rsidRDefault="0089684C" w:rsidP="00FA1DA0">
                <w:pPr>
                  <w:spacing w:line="240" w:lineRule="auto"/>
                  <w:rPr>
                    <w:color w:val="000000"/>
                    <w:sz w:val="18"/>
                    <w:szCs w:val="18"/>
                  </w:rPr>
                </w:pPr>
                <w:r w:rsidRPr="00FA1DA0">
                  <w:rPr>
                    <w:color w:val="000000"/>
                    <w:sz w:val="18"/>
                    <w:szCs w:val="18"/>
                  </w:rPr>
                  <w:t>Lastialus</w:t>
                </w:r>
              </w:p>
            </w:tc>
            <w:tc>
              <w:tcPr>
                <w:tcW w:w="851" w:type="dxa"/>
                <w:tcBorders>
                  <w:top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107 750</w:t>
                </w:r>
              </w:p>
            </w:tc>
            <w:tc>
              <w:tcPr>
                <w:tcW w:w="1984" w:type="dxa"/>
                <w:tcBorders>
                  <w:top w:val="single" w:sz="4" w:space="0" w:color="auto"/>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p>
            </w:tc>
            <w:tc>
              <w:tcPr>
                <w:tcW w:w="1418" w:type="dxa"/>
                <w:tcBorders>
                  <w:top w:val="single" w:sz="4" w:space="0" w:color="auto"/>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53 875 (-50 %)</w:t>
                </w:r>
              </w:p>
            </w:tc>
            <w:tc>
              <w:tcPr>
                <w:tcW w:w="1984" w:type="dxa"/>
                <w:tcBorders>
                  <w:top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r>
          <w:tr w:rsidR="0089684C" w:rsidRPr="009F3D53" w:rsidTr="00FA1DA0">
            <w:trPr>
              <w:trHeight w:val="300"/>
            </w:trPr>
            <w:tc>
              <w:tcPr>
                <w:tcW w:w="2268" w:type="dxa"/>
                <w:shd w:val="clear" w:color="000000" w:fill="auto"/>
                <w:noWrap/>
                <w:vAlign w:val="bottom"/>
              </w:tcPr>
              <w:p w:rsidR="0089684C" w:rsidRPr="00FA1DA0" w:rsidRDefault="0089684C" w:rsidP="00FA1DA0">
                <w:pPr>
                  <w:spacing w:line="240" w:lineRule="auto"/>
                  <w:rPr>
                    <w:color w:val="000000"/>
                    <w:sz w:val="18"/>
                    <w:szCs w:val="18"/>
                  </w:rPr>
                </w:pPr>
                <w:r w:rsidRPr="00FA1DA0">
                  <w:rPr>
                    <w:color w:val="000000"/>
                    <w:sz w:val="18"/>
                    <w:szCs w:val="18"/>
                  </w:rPr>
                  <w:t>Matkustaja-alus</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32 430</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16 215 (-50 %)</w:t>
                </w:r>
              </w:p>
            </w:tc>
          </w:tr>
          <w:tr w:rsidR="0089684C" w:rsidRPr="009F3D53" w:rsidTr="00FA1DA0">
            <w:trPr>
              <w:trHeight w:val="300"/>
            </w:trPr>
            <w:tc>
              <w:tcPr>
                <w:tcW w:w="2268" w:type="dxa"/>
                <w:tcBorders>
                  <w:bottom w:val="single" w:sz="4" w:space="0" w:color="auto"/>
                </w:tcBorders>
                <w:shd w:val="clear" w:color="000000" w:fill="auto"/>
                <w:noWrap/>
                <w:vAlign w:val="bottom"/>
              </w:tcPr>
              <w:p w:rsidR="0089684C" w:rsidRPr="00FA1DA0" w:rsidRDefault="0089684C" w:rsidP="00FA1DA0">
                <w:pPr>
                  <w:spacing w:line="240" w:lineRule="auto"/>
                  <w:rPr>
                    <w:color w:val="000000"/>
                    <w:sz w:val="18"/>
                    <w:szCs w:val="18"/>
                  </w:rPr>
                </w:pPr>
                <w:r w:rsidRPr="00FA1DA0">
                  <w:rPr>
                    <w:color w:val="000000"/>
                    <w:sz w:val="18"/>
                    <w:szCs w:val="18"/>
                  </w:rPr>
                  <w:t>Risteilyalus</w:t>
                </w:r>
              </w:p>
            </w:tc>
            <w:tc>
              <w:tcPr>
                <w:tcW w:w="851" w:type="dxa"/>
                <w:tcBorders>
                  <w:bottom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p>
            </w:tc>
            <w:tc>
              <w:tcPr>
                <w:tcW w:w="1984" w:type="dxa"/>
                <w:tcBorders>
                  <w:bottom w:val="single" w:sz="4" w:space="0" w:color="auto"/>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44 500</w:t>
                </w:r>
              </w:p>
            </w:tc>
            <w:tc>
              <w:tcPr>
                <w:tcW w:w="1418" w:type="dxa"/>
                <w:tcBorders>
                  <w:left w:val="single" w:sz="4" w:space="0" w:color="auto"/>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c>
              <w:tcPr>
                <w:tcW w:w="1984" w:type="dxa"/>
                <w:tcBorders>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sidRPr="00FA1DA0">
                  <w:rPr>
                    <w:color w:val="000000"/>
                    <w:sz w:val="18"/>
                    <w:szCs w:val="18"/>
                  </w:rPr>
                  <w:t>22 250 (-50 %)</w:t>
                </w:r>
              </w:p>
            </w:tc>
          </w:tr>
        </w:tbl>
        <w:p w:rsidR="00F959A4" w:rsidRDefault="00F959A4" w:rsidP="00F959A4">
          <w:pPr>
            <w:pStyle w:val="LLNormaali"/>
          </w:pPr>
        </w:p>
        <w:p w:rsidR="0089684C" w:rsidRPr="00572522" w:rsidRDefault="0089684C" w:rsidP="0089684C">
          <w:pPr>
            <w:pStyle w:val="LLPerustelujenkappalejako"/>
          </w:pPr>
          <w:r w:rsidRPr="00572522">
            <w:t xml:space="preserve">Kuljetus- ja </w:t>
          </w:r>
          <w:r w:rsidR="00C02E57">
            <w:t>ulkomaan</w:t>
          </w:r>
          <w:r w:rsidRPr="00572522">
            <w:t xml:space="preserve">kauppatilastot kuvaavat kauppamerenkulun toimivuuden </w:t>
          </w:r>
          <w:r>
            <w:t xml:space="preserve">turvaamisen </w:t>
          </w:r>
          <w:r w:rsidRPr="00572522">
            <w:t>merkitystä Suomelle. Tullin mukaan vuonna 2019 Suomen tuonnin ja viennin kuljetusmäärä meriteitse oli yhteensä 91,5 miljoonaa tonnia (tuonti 45 miljoonaa tonnia ja vienti 47 miljoonaa tonnia). Suomen ulkomaankaupasta tonneilla mitattuna 84 prosenttia kulki meriteitse vuosina 2018–2019. Vuonna 2019 viennissä merireittien osuus tonneista oli 92 prosenttia ja tuonnissa 78 prosenttia. Kun huomioon otetaan Venäjän kauttakulkukuljetukset, kulki Suomen meriyhteyksien kautta tavaraa ja rahtia vuosina 2016–2019 yhteensä 95–104 miljoonaa tonnia vuosittain.</w:t>
          </w:r>
          <w:r>
            <w:t xml:space="preserve"> Koko rahtimäärästä on esimerkiksi vuosina 2016–2019 kulkenut 32–34 prosenttia suomalaisten varustamojen aluksilla.</w:t>
          </w:r>
          <w:r w:rsidR="00C02E57">
            <w:t xml:space="preserve"> </w:t>
          </w:r>
          <w:r w:rsidR="00C02E57" w:rsidRPr="00572522">
            <w:t>Vuonna 2019 Suomen tavarakaupan kokonaisarvo oli</w:t>
          </w:r>
          <w:r w:rsidR="00C02E57">
            <w:t xml:space="preserve"> yhteensä 131 miljardia euroa, ja siitä p</w:t>
          </w:r>
          <w:r w:rsidR="00C02E57" w:rsidRPr="00572522">
            <w:t>ääosa kulki meriteitse.</w:t>
          </w:r>
        </w:p>
        <w:p w:rsidR="0089684C" w:rsidRPr="00572522" w:rsidRDefault="0089684C" w:rsidP="0089684C">
          <w:pPr>
            <w:pStyle w:val="LLPerustelujenkappalejako"/>
          </w:pPr>
          <w:r w:rsidRPr="00572522">
            <w:t xml:space="preserve">Suomen ja </w:t>
          </w:r>
          <w:r>
            <w:t>ulkom</w:t>
          </w:r>
          <w:r w:rsidRPr="00572522">
            <w:t xml:space="preserve">aiden välillä on viime vuosina matkustanut meriteitse yhteensä noin 19 miljoonaa matkustajaa vuosittain. </w:t>
          </w:r>
          <w:r>
            <w:t>Lisäksi m</w:t>
          </w:r>
          <w:r w:rsidRPr="00572522">
            <w:t xml:space="preserve">atkustaja-autolautoilla kuljetettiin vuonna 2019 yhteensä 3,3 miljoonaa ajoneuvoa, joista henkilöautoja oli 2,2 miljoonaa, linja-autoja 40 000, kuorma-autoja 660 000, perävaunuja 445 000 ja </w:t>
          </w:r>
          <w:r>
            <w:t>muita kuljetusvälineitä 46 000.</w:t>
          </w:r>
        </w:p>
        <w:p w:rsidR="0089684C" w:rsidRPr="00572522" w:rsidRDefault="0089684C" w:rsidP="0089684C">
          <w:pPr>
            <w:pStyle w:val="LLPerustelujenkappalejako"/>
          </w:pPr>
          <w:r w:rsidRPr="00572522">
            <w:t xml:space="preserve">Vuosina 2010–2018 suomalaisissa satamissa on ollut 30 000–31 000 </w:t>
          </w:r>
          <w:r>
            <w:t xml:space="preserve">ulkomailta saapuvaa </w:t>
          </w:r>
          <w:r w:rsidRPr="00572522">
            <w:t xml:space="preserve">aluskäyntiä. Suomen ja naapurimaiden sekä Suomen ja Itämeren eteläisten ja Pohjanmeren satamien välillä ajavien reittialusten osuus käynneistä on merkittävä. Yksittäisiä käyntejä on myös paljon. </w:t>
          </w:r>
          <w:r>
            <w:t>A</w:t>
          </w:r>
          <w:r w:rsidRPr="00572522">
            <w:t>luskäynneistä yli 80 prosenttia tapahtuu parhaiden jääluokkien (1A ja 1AS) aluksilla.</w:t>
          </w:r>
        </w:p>
        <w:p w:rsidR="0089684C" w:rsidRDefault="0089684C" w:rsidP="0089684C">
          <w:pPr>
            <w:pStyle w:val="LLPerustelujenkappalejako"/>
            <w:rPr>
              <w:szCs w:val="22"/>
            </w:rPr>
          </w:pPr>
          <w:r w:rsidRPr="00572522">
            <w:t>P</w:t>
          </w:r>
          <w:r w:rsidR="00C02E57">
            <w:t xml:space="preserve">uolituksen aikaiset </w:t>
          </w:r>
          <w:r w:rsidRPr="00572522">
            <w:t xml:space="preserve">väylämaksut vaihtelevat alusten </w:t>
          </w:r>
          <w:r>
            <w:t xml:space="preserve">tyyppi-, </w:t>
          </w:r>
          <w:r w:rsidRPr="00572522">
            <w:t>koko</w:t>
          </w:r>
          <w:r>
            <w:t>- ja jääluokkaerojen mukaan</w:t>
          </w:r>
          <w:r w:rsidRPr="00572522">
            <w:t xml:space="preserve"> muutamasta sadasta </w:t>
          </w:r>
          <w:r>
            <w:t xml:space="preserve">tai tuhannesta </w:t>
          </w:r>
          <w:r w:rsidRPr="00572522">
            <w:t>e</w:t>
          </w:r>
          <w:r>
            <w:t>urosta aina hinnaston mukaisiin enimmäismääriin</w:t>
          </w:r>
          <w:r w:rsidRPr="00572522">
            <w:t xml:space="preserve">. </w:t>
          </w:r>
          <w:r>
            <w:t>K</w:t>
          </w:r>
          <w:r w:rsidRPr="00572522">
            <w:t>äyntikertaleikkurit vaikuttavat yksittäisen aluksen koko vuoden liikennöinnissä laskennallisesti muo</w:t>
          </w:r>
          <w:r w:rsidRPr="00572522">
            <w:rPr>
              <w:szCs w:val="22"/>
            </w:rPr>
            <w:t xml:space="preserve">dostuvaan keskimääräiseen käyntikertakohtaiseen maksuun suuresti. </w:t>
          </w:r>
          <w:r>
            <w:rPr>
              <w:szCs w:val="22"/>
            </w:rPr>
            <w:t>Säännöllisen matkustaja-autolautta</w:t>
          </w:r>
          <w:r w:rsidRPr="00572522">
            <w:rPr>
              <w:szCs w:val="22"/>
            </w:rPr>
            <w:t xml:space="preserve">liikenteen </w:t>
          </w:r>
          <w:r>
            <w:rPr>
              <w:szCs w:val="22"/>
            </w:rPr>
            <w:t>aluksista maksetaan</w:t>
          </w:r>
          <w:r w:rsidRPr="00572522">
            <w:rPr>
              <w:szCs w:val="22"/>
            </w:rPr>
            <w:t xml:space="preserve"> vuoden väylämaksut yleensä jo alkuvuodesta. Tyypillisesti</w:t>
          </w:r>
          <w:r>
            <w:rPr>
              <w:szCs w:val="22"/>
            </w:rPr>
            <w:t xml:space="preserve"> matkustaja-aluksen</w:t>
          </w:r>
          <w:r w:rsidRPr="00572522">
            <w:rPr>
              <w:szCs w:val="22"/>
            </w:rPr>
            <w:t xml:space="preserve"> </w:t>
          </w:r>
          <w:r>
            <w:rPr>
              <w:szCs w:val="22"/>
            </w:rPr>
            <w:t>30 käynnin</w:t>
          </w:r>
          <w:r w:rsidRPr="00572522">
            <w:rPr>
              <w:szCs w:val="22"/>
            </w:rPr>
            <w:t xml:space="preserve"> maksut ovat </w:t>
          </w:r>
          <w:r>
            <w:rPr>
              <w:szCs w:val="22"/>
            </w:rPr>
            <w:t>yhteensä</w:t>
          </w:r>
          <w:r w:rsidRPr="00572522">
            <w:rPr>
              <w:szCs w:val="22"/>
            </w:rPr>
            <w:t xml:space="preserve"> noin 200 000 eurosta enintään 486 450 euroon. Nämä alukset saattavat saapua Suomeen jopa satoja kertoja vuodessa. Lastialuksilla </w:t>
          </w:r>
          <w:r w:rsidRPr="00572522">
            <w:rPr>
              <w:szCs w:val="22"/>
            </w:rPr>
            <w:lastRenderedPageBreak/>
            <w:t>yksittäiset maksut vaihte</w:t>
          </w:r>
          <w:r>
            <w:rPr>
              <w:szCs w:val="22"/>
            </w:rPr>
            <w:t>levat muutamasta tuhannesta eurosta hinnaston</w:t>
          </w:r>
          <w:r w:rsidRPr="00572522">
            <w:rPr>
              <w:szCs w:val="22"/>
            </w:rPr>
            <w:t xml:space="preserve"> ylärajaan saakka. Suuren kokoluokan </w:t>
          </w:r>
          <w:r w:rsidR="00C02E57">
            <w:rPr>
              <w:szCs w:val="22"/>
            </w:rPr>
            <w:t xml:space="preserve">säännöllisen liikenteen </w:t>
          </w:r>
          <w:r w:rsidRPr="00572522">
            <w:rPr>
              <w:szCs w:val="22"/>
            </w:rPr>
            <w:t>lastialuksilla 10 käynnin maksut voivat olla yhteensä 200</w:t>
          </w:r>
          <w:r>
            <w:rPr>
              <w:szCs w:val="22"/>
            </w:rPr>
            <w:t xml:space="preserve"> 000 euroa.</w:t>
          </w:r>
          <w:r w:rsidR="00C02E57">
            <w:rPr>
              <w:szCs w:val="22"/>
            </w:rPr>
            <w:t xml:space="preserve"> Nämäkin alukset saattavat käydä Suomessa useita kymmeniä kertoja vuodessa.</w:t>
          </w:r>
        </w:p>
        <w:p w:rsidR="0089684C" w:rsidRDefault="0089684C" w:rsidP="0089684C">
          <w:pPr>
            <w:pStyle w:val="LLPerustelujenkappalejako"/>
            <w:rPr>
              <w:bCs/>
              <w:szCs w:val="22"/>
            </w:rPr>
          </w:pPr>
          <w:r>
            <w:rPr>
              <w:bCs/>
              <w:szCs w:val="22"/>
            </w:rPr>
            <w:t xml:space="preserve">Väylämaksun yksikköhinnat on mitoitettu kauppamerenkululle </w:t>
          </w:r>
          <w:r w:rsidR="006D73A1">
            <w:rPr>
              <w:bCs/>
              <w:szCs w:val="22"/>
            </w:rPr>
            <w:t xml:space="preserve">tarjottavien palvelujen tuottamisesta aiheutuvien </w:t>
          </w:r>
          <w:r>
            <w:rPr>
              <w:bCs/>
              <w:szCs w:val="22"/>
            </w:rPr>
            <w:t>kustannusten kattamisen tavoittein. Palveluja ovat väylänpito, meriliikenteen ohjaus, jäänmurto sekä merenmittaus. Vuosina 2010–2019 nämä k</w:t>
          </w:r>
          <w:r w:rsidR="006D73A1">
            <w:rPr>
              <w:bCs/>
              <w:szCs w:val="22"/>
            </w:rPr>
            <w:t>ustannukset vaihtelivat</w:t>
          </w:r>
          <w:r>
            <w:rPr>
              <w:bCs/>
              <w:szCs w:val="22"/>
            </w:rPr>
            <w:t xml:space="preserve"> 74,9–99,4 miljoonan euron välillä. </w:t>
          </w:r>
          <w:r w:rsidR="006D73A1">
            <w:rPr>
              <w:bCs/>
              <w:szCs w:val="22"/>
            </w:rPr>
            <w:t>Jäänmurtopalvelujen tarjoaminen on m</w:t>
          </w:r>
          <w:r>
            <w:rPr>
              <w:bCs/>
              <w:szCs w:val="22"/>
            </w:rPr>
            <w:t>erkittävin erä</w:t>
          </w:r>
          <w:r w:rsidR="00FA1DA0">
            <w:rPr>
              <w:bCs/>
              <w:szCs w:val="22"/>
            </w:rPr>
            <w:t>. Kustannuksiin vaikuttavat jäänmurron kustannusrakenne, polttoaineen hinta</w:t>
          </w:r>
          <w:r>
            <w:rPr>
              <w:bCs/>
              <w:szCs w:val="22"/>
            </w:rPr>
            <w:t xml:space="preserve"> ja talvien vaihtelu.</w:t>
          </w:r>
        </w:p>
        <w:p w:rsidR="0089684C" w:rsidRDefault="0089684C" w:rsidP="0089684C">
          <w:pPr>
            <w:pStyle w:val="LLPerustelujenkappalejako"/>
            <w:rPr>
              <w:szCs w:val="22"/>
            </w:rPr>
          </w:pPr>
          <w:r>
            <w:rPr>
              <w:szCs w:val="22"/>
            </w:rPr>
            <w:t>Ennen puolitusta vuosina 2010–2014 väylämaksu</w:t>
          </w:r>
          <w:r w:rsidR="006D73A1">
            <w:rPr>
              <w:szCs w:val="22"/>
            </w:rPr>
            <w:t>n tuotto oli 69,0–87,6 miljoonaa</w:t>
          </w:r>
          <w:r>
            <w:rPr>
              <w:szCs w:val="22"/>
            </w:rPr>
            <w:t xml:space="preserve"> euroa/vuosi. Puolitetun väylämaksun v</w:t>
          </w:r>
          <w:r w:rsidRPr="00520DDB">
            <w:rPr>
              <w:szCs w:val="22"/>
            </w:rPr>
            <w:t>uosina 2015–2019 tuott</w:t>
          </w:r>
          <w:r>
            <w:rPr>
              <w:szCs w:val="22"/>
            </w:rPr>
            <w:t>o oli</w:t>
          </w:r>
          <w:r w:rsidRPr="00520DDB">
            <w:rPr>
              <w:szCs w:val="22"/>
            </w:rPr>
            <w:t xml:space="preserve"> 45,3–52,2 miljoonaa euroa/vuosi. </w:t>
          </w:r>
          <w:r w:rsidR="006D73A1">
            <w:rPr>
              <w:szCs w:val="22"/>
            </w:rPr>
            <w:t>Tuottoo</w:t>
          </w:r>
          <w:r>
            <w:rPr>
              <w:szCs w:val="22"/>
            </w:rPr>
            <w:t>n</w:t>
          </w:r>
          <w:r w:rsidR="006D73A1">
            <w:rPr>
              <w:szCs w:val="22"/>
            </w:rPr>
            <w:t xml:space="preserve"> vaikuttavat hinnaston muutosten</w:t>
          </w:r>
          <w:r>
            <w:rPr>
              <w:szCs w:val="22"/>
            </w:rPr>
            <w:t xml:space="preserve"> ohella liikent</w:t>
          </w:r>
          <w:r w:rsidR="006D73A1">
            <w:rPr>
              <w:szCs w:val="22"/>
            </w:rPr>
            <w:t>eessä olevien alusten ja</w:t>
          </w:r>
          <w:r>
            <w:rPr>
              <w:szCs w:val="22"/>
            </w:rPr>
            <w:t xml:space="preserve"> niiden suorittamien aluskäyntien lukumäärä</w:t>
          </w:r>
          <w:r w:rsidR="006D73A1">
            <w:rPr>
              <w:szCs w:val="22"/>
            </w:rPr>
            <w:t>t</w:t>
          </w:r>
          <w:r>
            <w:rPr>
              <w:szCs w:val="22"/>
            </w:rPr>
            <w:t xml:space="preserve"> (käyntikertaleikkureihin saakka) sekä alusten tyyppi, jääluokka ja </w:t>
          </w:r>
          <w:r w:rsidR="006D73A1">
            <w:rPr>
              <w:szCs w:val="22"/>
            </w:rPr>
            <w:t>koko (</w:t>
          </w:r>
          <w:r>
            <w:rPr>
              <w:szCs w:val="22"/>
            </w:rPr>
            <w:t>nettovetoisuus</w:t>
          </w:r>
          <w:r w:rsidR="006D73A1">
            <w:rPr>
              <w:szCs w:val="22"/>
            </w:rPr>
            <w:t>). V</w:t>
          </w:r>
          <w:r>
            <w:rPr>
              <w:szCs w:val="22"/>
            </w:rPr>
            <w:t xml:space="preserve">aikutusta on myös vajaalastien ja transitokuljetusten toteutumisella. </w:t>
          </w:r>
          <w:r w:rsidR="006D73A1">
            <w:rPr>
              <w:szCs w:val="22"/>
            </w:rPr>
            <w:t xml:space="preserve">Ennen </w:t>
          </w:r>
          <w:r>
            <w:rPr>
              <w:szCs w:val="22"/>
            </w:rPr>
            <w:t xml:space="preserve">väylämaksun </w:t>
          </w:r>
          <w:r w:rsidR="006D73A1">
            <w:rPr>
              <w:szCs w:val="22"/>
            </w:rPr>
            <w:t xml:space="preserve">puolitusta </w:t>
          </w:r>
          <w:r>
            <w:rPr>
              <w:szCs w:val="22"/>
            </w:rPr>
            <w:t xml:space="preserve">vuosina </w:t>
          </w:r>
          <w:r w:rsidR="006D73A1">
            <w:rPr>
              <w:szCs w:val="22"/>
            </w:rPr>
            <w:t xml:space="preserve">2010–2014 </w:t>
          </w:r>
          <w:r>
            <w:rPr>
              <w:szCs w:val="22"/>
            </w:rPr>
            <w:t>väylämaksutulojen suhde palvelutarjonnan kustan</w:t>
          </w:r>
          <w:r w:rsidR="006D73A1">
            <w:rPr>
              <w:szCs w:val="22"/>
            </w:rPr>
            <w:t>nuksiin</w:t>
          </w:r>
          <w:r>
            <w:rPr>
              <w:szCs w:val="22"/>
            </w:rPr>
            <w:t xml:space="preserve"> vaihteli 77,7–105,3 prosentin välillä. Puolitetun väylämaksun aikana tunnusluku on ollut 53,4–61,2 prosenttia.</w:t>
          </w:r>
        </w:p>
        <w:p w:rsidR="0089684C" w:rsidRDefault="0089684C" w:rsidP="0089684C">
          <w:pPr>
            <w:pStyle w:val="LLPerustelujenkappalejako"/>
            <w:rPr>
              <w:szCs w:val="22"/>
            </w:rPr>
          </w:pPr>
          <w:r w:rsidRPr="00520DDB">
            <w:rPr>
              <w:szCs w:val="22"/>
            </w:rPr>
            <w:t xml:space="preserve">Valtion talousarviossa </w:t>
          </w:r>
          <w:r>
            <w:rPr>
              <w:szCs w:val="22"/>
            </w:rPr>
            <w:t xml:space="preserve">vuodelle 2020 väylämaksutuloksi </w:t>
          </w:r>
          <w:r w:rsidR="00053D25">
            <w:rPr>
              <w:szCs w:val="22"/>
            </w:rPr>
            <w:t>on arvioitu</w:t>
          </w:r>
          <w:r w:rsidRPr="00520DDB">
            <w:rPr>
              <w:szCs w:val="22"/>
            </w:rPr>
            <w:t xml:space="preserve"> 50,16 miljoonaa euroa. </w:t>
          </w:r>
          <w:r w:rsidR="00053D25">
            <w:rPr>
              <w:szCs w:val="22"/>
            </w:rPr>
            <w:t>T</w:t>
          </w:r>
          <w:r w:rsidR="00F959A4">
            <w:rPr>
              <w:szCs w:val="22"/>
            </w:rPr>
            <w:t>ulot jäänevät 40–45 miljoonaan euroon</w:t>
          </w:r>
          <w:r w:rsidRPr="00520DDB">
            <w:rPr>
              <w:szCs w:val="22"/>
            </w:rPr>
            <w:t>.</w:t>
          </w:r>
          <w:r>
            <w:rPr>
              <w:szCs w:val="22"/>
            </w:rPr>
            <w:t xml:space="preserve"> </w:t>
          </w:r>
          <w:r w:rsidR="006D73A1">
            <w:rPr>
              <w:szCs w:val="22"/>
            </w:rPr>
            <w:t>K</w:t>
          </w:r>
          <w:r>
            <w:rPr>
              <w:szCs w:val="22"/>
            </w:rPr>
            <w:t xml:space="preserve">esän </w:t>
          </w:r>
          <w:r w:rsidR="00053D25">
            <w:rPr>
              <w:szCs w:val="22"/>
            </w:rPr>
            <w:t>risteilyalusvierailut eivät toteudu ja l</w:t>
          </w:r>
          <w:r>
            <w:rPr>
              <w:szCs w:val="22"/>
            </w:rPr>
            <w:t>astialuskäynnit voivat vähentyä kaupankäynnin ja tuotannon supistuessa. Linjaliikenteen keskeytykset eivät vähennä väylämaksutuloja, koska</w:t>
          </w:r>
          <w:r w:rsidR="00F959A4">
            <w:rPr>
              <w:szCs w:val="22"/>
            </w:rPr>
            <w:t xml:space="preserve"> alukset maksoivat väylämaksut</w:t>
          </w:r>
          <w:r>
            <w:rPr>
              <w:szCs w:val="22"/>
            </w:rPr>
            <w:t xml:space="preserve"> jo alkuvuodesta. </w:t>
          </w:r>
          <w:r w:rsidR="007F6FAD">
            <w:rPr>
              <w:szCs w:val="22"/>
            </w:rPr>
            <w:t>Liikenne- ja viestintäministeriön esityksessä valtion talousarvioksi</w:t>
          </w:r>
          <w:r w:rsidR="00053D25">
            <w:rPr>
              <w:szCs w:val="22"/>
            </w:rPr>
            <w:t xml:space="preserve"> </w:t>
          </w:r>
          <w:r w:rsidR="007F6FAD">
            <w:rPr>
              <w:szCs w:val="22"/>
            </w:rPr>
            <w:t>vu</w:t>
          </w:r>
          <w:r w:rsidR="007F6FAD">
            <w:rPr>
              <w:szCs w:val="22"/>
            </w:rPr>
            <w:t>odelle</w:t>
          </w:r>
          <w:r w:rsidR="007F6FAD">
            <w:rPr>
              <w:szCs w:val="22"/>
            </w:rPr>
            <w:t xml:space="preserve"> 2021 </w:t>
          </w:r>
          <w:r w:rsidR="00053D25">
            <w:rPr>
              <w:szCs w:val="22"/>
            </w:rPr>
            <w:t>väylämaksutuloja o</w:t>
          </w:r>
          <w:r w:rsidR="007F6FAD">
            <w:rPr>
              <w:szCs w:val="22"/>
            </w:rPr>
            <w:t>letetaa</w:t>
          </w:r>
          <w:r w:rsidR="00053D25">
            <w:rPr>
              <w:szCs w:val="22"/>
            </w:rPr>
            <w:t>n kertyvän 48,1 miljoonaa euroa.</w:t>
          </w:r>
        </w:p>
        <w:p w:rsidR="0089684C" w:rsidRPr="0089684C" w:rsidRDefault="0089684C" w:rsidP="0089684C">
          <w:pPr>
            <w:pStyle w:val="LLPerustelujenkappalejako"/>
            <w:spacing w:after="0"/>
            <w:rPr>
              <w:i/>
              <w:szCs w:val="22"/>
            </w:rPr>
          </w:pPr>
          <w:r w:rsidRPr="0089684C">
            <w:rPr>
              <w:i/>
              <w:szCs w:val="22"/>
            </w:rPr>
            <w:t>Kauppamerenkulun palvelujen kustannukset ja väylämaksutulot 2010–2019 (Väylävirasto).</w:t>
          </w:r>
        </w:p>
        <w:tbl>
          <w:tblPr>
            <w:tblW w:w="5000" w:type="pct"/>
            <w:tblLayout w:type="fixed"/>
            <w:tblCellMar>
              <w:left w:w="70" w:type="dxa"/>
              <w:right w:w="70" w:type="dxa"/>
            </w:tblCellMar>
            <w:tblLook w:val="04A0" w:firstRow="1" w:lastRow="0" w:firstColumn="1" w:lastColumn="0" w:noHBand="0" w:noVBand="1"/>
          </w:tblPr>
          <w:tblGrid>
            <w:gridCol w:w="1560"/>
            <w:gridCol w:w="133"/>
            <w:gridCol w:w="149"/>
            <w:gridCol w:w="426"/>
            <w:gridCol w:w="33"/>
            <w:gridCol w:w="609"/>
            <w:gridCol w:w="584"/>
            <w:gridCol w:w="693"/>
            <w:gridCol w:w="693"/>
            <w:gridCol w:w="693"/>
            <w:gridCol w:w="693"/>
            <w:gridCol w:w="693"/>
            <w:gridCol w:w="693"/>
            <w:gridCol w:w="694"/>
          </w:tblGrid>
          <w:tr w:rsidR="0089684C" w:rsidRPr="00A3401A" w:rsidTr="00F959A4">
            <w:trPr>
              <w:trHeight w:val="315"/>
            </w:trPr>
            <w:tc>
              <w:tcPr>
                <w:tcW w:w="101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sidRPr="00A3401A">
                  <w:rPr>
                    <w:rFonts w:cstheme="minorHAnsi"/>
                    <w:b/>
                    <w:bCs/>
                    <w:sz w:val="16"/>
                    <w:szCs w:val="16"/>
                  </w:rPr>
                  <w:t>Kauppamerenkulun palvelut, 1 000 euroa</w:t>
                </w:r>
              </w:p>
            </w:tc>
            <w:tc>
              <w:tcPr>
                <w:tcW w:w="36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2010</w:t>
                </w: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2011</w:t>
                </w: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2012</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2013</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2014</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2015</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2016</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2017</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2018</w:t>
                </w:r>
              </w:p>
            </w:tc>
            <w:tc>
              <w:tcPr>
                <w:tcW w:w="416" w:type="pct"/>
                <w:tcBorders>
                  <w:top w:val="single" w:sz="4" w:space="0" w:color="auto"/>
                  <w:left w:val="nil"/>
                  <w:bottom w:val="single" w:sz="4" w:space="0" w:color="auto"/>
                  <w:right w:val="nil"/>
                </w:tcBorders>
                <w:vAlign w:val="bottom"/>
              </w:tcPr>
              <w:p w:rsidR="0089684C" w:rsidRPr="00A3401A" w:rsidRDefault="0089684C" w:rsidP="00A03AD0">
                <w:pPr>
                  <w:spacing w:before="120"/>
                  <w:jc w:val="center"/>
                  <w:rPr>
                    <w:rFonts w:cstheme="minorHAnsi"/>
                    <w:b/>
                    <w:bCs/>
                    <w:sz w:val="16"/>
                    <w:szCs w:val="16"/>
                  </w:rPr>
                </w:pPr>
                <w:r>
                  <w:rPr>
                    <w:rFonts w:cstheme="minorHAnsi"/>
                    <w:b/>
                    <w:bCs/>
                    <w:sz w:val="16"/>
                    <w:szCs w:val="16"/>
                  </w:rPr>
                  <w:t>2019*</w:t>
                </w:r>
              </w:p>
            </w:tc>
          </w:tr>
          <w:tr w:rsidR="0089684C" w:rsidRPr="00A3401A" w:rsidTr="00F959A4">
            <w:trPr>
              <w:trHeight w:val="300"/>
            </w:trPr>
            <w:tc>
              <w:tcPr>
                <w:tcW w:w="1015" w:type="pct"/>
                <w:gridSpan w:val="2"/>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rPr>
                    <w:rFonts w:cstheme="minorHAnsi"/>
                    <w:sz w:val="16"/>
                    <w:szCs w:val="16"/>
                  </w:rPr>
                </w:pPr>
                <w:r w:rsidRPr="00A3401A">
                  <w:rPr>
                    <w:rFonts w:cstheme="minorHAnsi"/>
                    <w:sz w:val="16"/>
                    <w:szCs w:val="16"/>
                  </w:rPr>
                  <w:t>Rannikon kauppamerenkulun väylänpito</w:t>
                </w:r>
              </w:p>
            </w:tc>
            <w:tc>
              <w:tcPr>
                <w:tcW w:w="364" w:type="pct"/>
                <w:gridSpan w:val="3"/>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24 450</w:t>
                </w:r>
              </w:p>
            </w:tc>
            <w:tc>
              <w:tcPr>
                <w:tcW w:w="364"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24 978</w:t>
                </w:r>
              </w:p>
            </w:tc>
            <w:tc>
              <w:tcPr>
                <w:tcW w:w="350"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25 326</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21 454</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23 644</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20 642</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20 868</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23 355</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24 540</w:t>
                </w:r>
              </w:p>
            </w:tc>
            <w:tc>
              <w:tcPr>
                <w:tcW w:w="416" w:type="pct"/>
                <w:tcBorders>
                  <w:top w:val="single" w:sz="4" w:space="0" w:color="auto"/>
                  <w:left w:val="nil"/>
                  <w:bottom w:val="nil"/>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nil"/>
                  <w:left w:val="nil"/>
                  <w:bottom w:val="nil"/>
                  <w:right w:val="nil"/>
                </w:tcBorders>
                <w:shd w:val="clear" w:color="auto" w:fill="auto"/>
                <w:noWrap/>
                <w:vAlign w:val="bottom"/>
                <w:hideMark/>
              </w:tcPr>
              <w:p w:rsidR="0089684C" w:rsidRPr="00A3401A" w:rsidRDefault="0089684C" w:rsidP="00A03AD0">
                <w:pPr>
                  <w:spacing w:before="60"/>
                  <w:rPr>
                    <w:rFonts w:cstheme="minorHAnsi"/>
                    <w:sz w:val="16"/>
                    <w:szCs w:val="16"/>
                  </w:rPr>
                </w:pPr>
                <w:r w:rsidRPr="00A3401A">
                  <w:rPr>
                    <w:rFonts w:cstheme="minorHAnsi"/>
                    <w:sz w:val="16"/>
                    <w:szCs w:val="16"/>
                  </w:rPr>
                  <w:t>Rannikon meriliikenteen ohjaus</w:t>
                </w:r>
                <w:r>
                  <w:rPr>
                    <w:rFonts w:cstheme="minorHAnsi"/>
                    <w:sz w:val="16"/>
                    <w:szCs w:val="16"/>
                  </w:rPr>
                  <w:t xml:space="preserve"> VTS</w:t>
                </w:r>
              </w:p>
            </w:tc>
            <w:tc>
              <w:tcPr>
                <w:tcW w:w="364" w:type="pct"/>
                <w:gridSpan w:val="3"/>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10 780</w:t>
                </w:r>
              </w:p>
            </w:tc>
            <w:tc>
              <w:tcPr>
                <w:tcW w:w="364"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12 207</w:t>
                </w:r>
              </w:p>
            </w:tc>
            <w:tc>
              <w:tcPr>
                <w:tcW w:w="350"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12 170</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14 626</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13 909</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15 253</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14 055</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11 769</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14 035</w:t>
                </w:r>
              </w:p>
            </w:tc>
            <w:tc>
              <w:tcPr>
                <w:tcW w:w="416" w:type="pct"/>
                <w:tcBorders>
                  <w:top w:val="nil"/>
                  <w:left w:val="nil"/>
                  <w:bottom w:val="nil"/>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nil"/>
                  <w:left w:val="nil"/>
                  <w:bottom w:val="nil"/>
                  <w:right w:val="nil"/>
                </w:tcBorders>
                <w:shd w:val="clear" w:color="auto" w:fill="auto"/>
                <w:noWrap/>
                <w:vAlign w:val="bottom"/>
                <w:hideMark/>
              </w:tcPr>
              <w:p w:rsidR="0089684C" w:rsidRPr="00A3401A" w:rsidRDefault="0089684C" w:rsidP="00A03AD0">
                <w:pPr>
                  <w:spacing w:before="60"/>
                  <w:rPr>
                    <w:rFonts w:cstheme="minorHAnsi"/>
                    <w:sz w:val="16"/>
                    <w:szCs w:val="16"/>
                  </w:rPr>
                </w:pPr>
                <w:r w:rsidRPr="00A3401A">
                  <w:rPr>
                    <w:rFonts w:cstheme="minorHAnsi"/>
                    <w:sz w:val="16"/>
                    <w:szCs w:val="16"/>
                  </w:rPr>
                  <w:t>Talvimerenkulku</w:t>
                </w:r>
              </w:p>
            </w:tc>
            <w:tc>
              <w:tcPr>
                <w:tcW w:w="364" w:type="pct"/>
                <w:gridSpan w:val="3"/>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44 703</w:t>
                </w:r>
              </w:p>
            </w:tc>
            <w:tc>
              <w:tcPr>
                <w:tcW w:w="364"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56 771</w:t>
                </w:r>
              </w:p>
            </w:tc>
            <w:tc>
              <w:tcPr>
                <w:tcW w:w="350"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41 731</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53 131</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42 866</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34 213</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46 167</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47 928</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55 369</w:t>
                </w:r>
              </w:p>
            </w:tc>
            <w:tc>
              <w:tcPr>
                <w:tcW w:w="416" w:type="pct"/>
                <w:tcBorders>
                  <w:top w:val="nil"/>
                  <w:left w:val="nil"/>
                  <w:bottom w:val="nil"/>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sz w:val="16"/>
                    <w:szCs w:val="16"/>
                  </w:rPr>
                </w:pPr>
                <w:r w:rsidRPr="00A3401A">
                  <w:rPr>
                    <w:rFonts w:cstheme="minorHAnsi"/>
                    <w:sz w:val="16"/>
                    <w:szCs w:val="16"/>
                  </w:rPr>
                  <w:t>Rannikon kauppamerenkulun merenmittaus</w:t>
                </w:r>
              </w:p>
            </w:tc>
            <w:tc>
              <w:tcPr>
                <w:tcW w:w="364" w:type="pct"/>
                <w:gridSpan w:val="3"/>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4 641</w:t>
                </w:r>
              </w:p>
            </w:tc>
            <w:tc>
              <w:tcPr>
                <w:tcW w:w="364"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5 460</w:t>
                </w:r>
              </w:p>
            </w:tc>
            <w:tc>
              <w:tcPr>
                <w:tcW w:w="350"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3 570</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2 334</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2 244</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4 755</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2 985</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800</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1 479</w:t>
                </w:r>
              </w:p>
            </w:tc>
            <w:tc>
              <w:tcPr>
                <w:tcW w:w="416" w:type="pct"/>
                <w:tcBorders>
                  <w:top w:val="nil"/>
                  <w:left w:val="nil"/>
                  <w:bottom w:val="single" w:sz="4" w:space="0" w:color="auto"/>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single" w:sz="4" w:space="0" w:color="auto"/>
                  <w:left w:val="nil"/>
                  <w:right w:val="nil"/>
                </w:tcBorders>
                <w:shd w:val="clear" w:color="auto" w:fill="auto"/>
                <w:noWrap/>
                <w:vAlign w:val="bottom"/>
              </w:tcPr>
              <w:p w:rsidR="0089684C" w:rsidRPr="00A3401A" w:rsidRDefault="0089684C" w:rsidP="00A03AD0">
                <w:pPr>
                  <w:spacing w:before="60"/>
                  <w:rPr>
                    <w:rFonts w:cstheme="minorHAnsi"/>
                    <w:sz w:val="16"/>
                    <w:szCs w:val="16"/>
                  </w:rPr>
                </w:pPr>
                <w:r>
                  <w:rPr>
                    <w:rFonts w:cstheme="minorHAnsi"/>
                    <w:sz w:val="16"/>
                    <w:szCs w:val="16"/>
                  </w:rPr>
                  <w:t>Palvelujen ostot (2019)</w:t>
                </w:r>
              </w:p>
            </w:tc>
            <w:tc>
              <w:tcPr>
                <w:tcW w:w="364" w:type="pct"/>
                <w:gridSpan w:val="3"/>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364"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350"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6" w:type="pct"/>
                <w:tcBorders>
                  <w:top w:val="single" w:sz="4" w:space="0" w:color="auto"/>
                  <w:left w:val="nil"/>
                  <w:right w:val="nil"/>
                </w:tcBorders>
              </w:tcPr>
              <w:p w:rsidR="0089684C" w:rsidRDefault="0089684C" w:rsidP="00A03AD0">
                <w:pPr>
                  <w:spacing w:before="120"/>
                  <w:jc w:val="center"/>
                  <w:rPr>
                    <w:rFonts w:cstheme="minorHAnsi"/>
                    <w:sz w:val="16"/>
                    <w:szCs w:val="16"/>
                  </w:rPr>
                </w:pPr>
                <w:r>
                  <w:rPr>
                    <w:rFonts w:cstheme="minorHAnsi"/>
                    <w:sz w:val="16"/>
                    <w:szCs w:val="16"/>
                  </w:rPr>
                  <w:t>72 584</w:t>
                </w:r>
              </w:p>
            </w:tc>
          </w:tr>
          <w:tr w:rsidR="0089684C" w:rsidRPr="00A3401A" w:rsidTr="00F959A4">
            <w:trPr>
              <w:trHeight w:val="300"/>
            </w:trPr>
            <w:tc>
              <w:tcPr>
                <w:tcW w:w="1015" w:type="pct"/>
                <w:gridSpan w:val="2"/>
                <w:tcBorders>
                  <w:top w:val="nil"/>
                  <w:left w:val="nil"/>
                  <w:bottom w:val="single" w:sz="4" w:space="0" w:color="auto"/>
                  <w:right w:val="nil"/>
                </w:tcBorders>
                <w:shd w:val="clear" w:color="auto" w:fill="auto"/>
                <w:noWrap/>
                <w:vAlign w:val="bottom"/>
              </w:tcPr>
              <w:p w:rsidR="0089684C" w:rsidRPr="00A3401A" w:rsidRDefault="0089684C" w:rsidP="00A03AD0">
                <w:pPr>
                  <w:spacing w:before="60"/>
                  <w:rPr>
                    <w:rFonts w:cstheme="minorHAnsi"/>
                    <w:sz w:val="16"/>
                    <w:szCs w:val="16"/>
                  </w:rPr>
                </w:pPr>
                <w:r>
                  <w:rPr>
                    <w:rFonts w:cstheme="minorHAnsi"/>
                    <w:sz w:val="16"/>
                    <w:szCs w:val="16"/>
                  </w:rPr>
                  <w:t>Muut kulut (2019)</w:t>
                </w:r>
              </w:p>
            </w:tc>
            <w:tc>
              <w:tcPr>
                <w:tcW w:w="364" w:type="pct"/>
                <w:gridSpan w:val="3"/>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364"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350"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6" w:type="pct"/>
                <w:tcBorders>
                  <w:top w:val="nil"/>
                  <w:left w:val="nil"/>
                  <w:bottom w:val="single" w:sz="4" w:space="0" w:color="auto"/>
                  <w:right w:val="nil"/>
                </w:tcBorders>
              </w:tcPr>
              <w:p w:rsidR="0089684C" w:rsidRDefault="0089684C" w:rsidP="00A03AD0">
                <w:pPr>
                  <w:spacing w:before="120"/>
                  <w:jc w:val="center"/>
                  <w:rPr>
                    <w:rFonts w:cstheme="minorHAnsi"/>
                    <w:sz w:val="16"/>
                    <w:szCs w:val="16"/>
                  </w:rPr>
                </w:pPr>
                <w:r>
                  <w:rPr>
                    <w:rFonts w:cstheme="minorHAnsi"/>
                    <w:sz w:val="16"/>
                    <w:szCs w:val="16"/>
                  </w:rPr>
                  <w:t>20 829</w:t>
                </w:r>
              </w:p>
            </w:tc>
          </w:tr>
          <w:tr w:rsidR="0089684C" w:rsidRPr="00A3401A" w:rsidTr="00F959A4">
            <w:trPr>
              <w:trHeight w:val="315"/>
            </w:trPr>
            <w:tc>
              <w:tcPr>
                <w:tcW w:w="101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sidRPr="00A3401A">
                  <w:rPr>
                    <w:rFonts w:cstheme="minorHAnsi"/>
                    <w:b/>
                    <w:bCs/>
                    <w:sz w:val="16"/>
                    <w:szCs w:val="16"/>
                  </w:rPr>
                  <w:t>Yhteensä</w:t>
                </w:r>
              </w:p>
            </w:tc>
            <w:tc>
              <w:tcPr>
                <w:tcW w:w="36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84 574</w:t>
                </w: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99 416</w:t>
                </w: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82 797</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91 545</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82 663</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74 863</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84 075</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83 852</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95 423</w:t>
                </w:r>
              </w:p>
            </w:tc>
            <w:tc>
              <w:tcPr>
                <w:tcW w:w="416" w:type="pct"/>
                <w:tcBorders>
                  <w:top w:val="single" w:sz="4" w:space="0" w:color="auto"/>
                  <w:left w:val="nil"/>
                  <w:bottom w:val="single" w:sz="4" w:space="0" w:color="auto"/>
                  <w:right w:val="nil"/>
                </w:tcBorders>
              </w:tcPr>
              <w:p w:rsidR="0089684C" w:rsidRPr="00A3401A" w:rsidRDefault="0089684C" w:rsidP="00A03AD0">
                <w:pPr>
                  <w:spacing w:before="120"/>
                  <w:jc w:val="center"/>
                  <w:rPr>
                    <w:rFonts w:cstheme="minorHAnsi"/>
                    <w:b/>
                    <w:bCs/>
                    <w:sz w:val="16"/>
                    <w:szCs w:val="16"/>
                  </w:rPr>
                </w:pPr>
                <w:r>
                  <w:rPr>
                    <w:rFonts w:cstheme="minorHAnsi"/>
                    <w:b/>
                    <w:bCs/>
                    <w:sz w:val="16"/>
                    <w:szCs w:val="16"/>
                  </w:rPr>
                  <w:t>93 413</w:t>
                </w:r>
              </w:p>
            </w:tc>
          </w:tr>
          <w:tr w:rsidR="0089684C" w:rsidRPr="00A3401A" w:rsidTr="00F959A4">
            <w:trPr>
              <w:trHeight w:val="315"/>
            </w:trPr>
            <w:tc>
              <w:tcPr>
                <w:tcW w:w="101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sidRPr="00A3401A">
                  <w:rPr>
                    <w:rFonts w:cstheme="minorHAnsi"/>
                    <w:b/>
                    <w:bCs/>
                    <w:sz w:val="16"/>
                    <w:szCs w:val="16"/>
                  </w:rPr>
                  <w:t>Tulot, 1 000 euroa</w:t>
                </w:r>
              </w:p>
            </w:tc>
            <w:tc>
              <w:tcPr>
                <w:tcW w:w="36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6" w:type="pct"/>
                <w:tcBorders>
                  <w:top w:val="single" w:sz="4" w:space="0" w:color="auto"/>
                  <w:left w:val="nil"/>
                  <w:bottom w:val="single" w:sz="4" w:space="0" w:color="auto"/>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rPr>
                    <w:rFonts w:cstheme="minorHAnsi"/>
                    <w:sz w:val="16"/>
                    <w:szCs w:val="16"/>
                  </w:rPr>
                </w:pPr>
                <w:r w:rsidRPr="00A3401A">
                  <w:rPr>
                    <w:rFonts w:cstheme="minorHAnsi"/>
                    <w:sz w:val="16"/>
                    <w:szCs w:val="16"/>
                  </w:rPr>
                  <w:t>Väylämaksu</w:t>
                </w:r>
              </w:p>
            </w:tc>
            <w:tc>
              <w:tcPr>
                <w:tcW w:w="364" w:type="pct"/>
                <w:gridSpan w:val="3"/>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69 017</w:t>
                </w:r>
              </w:p>
            </w:tc>
            <w:tc>
              <w:tcPr>
                <w:tcW w:w="364"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75 740</w:t>
                </w:r>
              </w:p>
            </w:tc>
            <w:tc>
              <w:tcPr>
                <w:tcW w:w="350"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81 374</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81 926</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87 587</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45 338</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46 335</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47 366</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49 078</w:t>
                </w:r>
              </w:p>
            </w:tc>
            <w:tc>
              <w:tcPr>
                <w:tcW w:w="416" w:type="pct"/>
                <w:tcBorders>
                  <w:top w:val="single" w:sz="4" w:space="0" w:color="auto"/>
                  <w:left w:val="nil"/>
                  <w:bottom w:val="nil"/>
                  <w:right w:val="nil"/>
                </w:tcBorders>
              </w:tcPr>
              <w:p w:rsidR="0089684C" w:rsidRPr="00A3401A" w:rsidRDefault="0089684C" w:rsidP="00A03AD0">
                <w:pPr>
                  <w:spacing w:before="120"/>
                  <w:jc w:val="center"/>
                  <w:rPr>
                    <w:rFonts w:cstheme="minorHAnsi"/>
                    <w:sz w:val="16"/>
                    <w:szCs w:val="16"/>
                  </w:rPr>
                </w:pPr>
                <w:r>
                  <w:rPr>
                    <w:rFonts w:cstheme="minorHAnsi"/>
                    <w:sz w:val="16"/>
                    <w:szCs w:val="16"/>
                  </w:rPr>
                  <w:t>52 166</w:t>
                </w:r>
              </w:p>
            </w:tc>
          </w:tr>
          <w:tr w:rsidR="0089684C" w:rsidRPr="00A3401A" w:rsidTr="00F959A4">
            <w:trPr>
              <w:trHeight w:val="300"/>
            </w:trPr>
            <w:tc>
              <w:tcPr>
                <w:tcW w:w="1015" w:type="pct"/>
                <w:gridSpan w:val="2"/>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sz w:val="16"/>
                    <w:szCs w:val="16"/>
                  </w:rPr>
                </w:pPr>
                <w:r w:rsidRPr="00A3401A">
                  <w:rPr>
                    <w:rFonts w:cstheme="minorHAnsi"/>
                    <w:sz w:val="16"/>
                    <w:szCs w:val="16"/>
                  </w:rPr>
                  <w:t>Muut tulot</w:t>
                </w:r>
              </w:p>
            </w:tc>
            <w:tc>
              <w:tcPr>
                <w:tcW w:w="364" w:type="pct"/>
                <w:gridSpan w:val="3"/>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1 328</w:t>
                </w:r>
              </w:p>
            </w:tc>
            <w:tc>
              <w:tcPr>
                <w:tcW w:w="364"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1 516</w:t>
                </w:r>
              </w:p>
            </w:tc>
            <w:tc>
              <w:tcPr>
                <w:tcW w:w="350"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508</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1 578</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132</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1 291</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24</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169</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sidRPr="00A3401A">
                  <w:rPr>
                    <w:rFonts w:cstheme="minorHAnsi"/>
                    <w:sz w:val="16"/>
                    <w:szCs w:val="16"/>
                  </w:rPr>
                  <w:t>1 488</w:t>
                </w:r>
              </w:p>
            </w:tc>
            <w:tc>
              <w:tcPr>
                <w:tcW w:w="416" w:type="pct"/>
                <w:tcBorders>
                  <w:top w:val="nil"/>
                  <w:left w:val="nil"/>
                  <w:bottom w:val="single" w:sz="4" w:space="0" w:color="auto"/>
                  <w:right w:val="nil"/>
                </w:tcBorders>
              </w:tcPr>
              <w:p w:rsidR="0089684C" w:rsidRPr="00A3401A" w:rsidRDefault="0089684C" w:rsidP="00A03AD0">
                <w:pPr>
                  <w:spacing w:before="120"/>
                  <w:jc w:val="center"/>
                  <w:rPr>
                    <w:rFonts w:cstheme="minorHAnsi"/>
                    <w:sz w:val="16"/>
                    <w:szCs w:val="16"/>
                  </w:rPr>
                </w:pPr>
                <w:r>
                  <w:rPr>
                    <w:rFonts w:cstheme="minorHAnsi"/>
                    <w:sz w:val="16"/>
                    <w:szCs w:val="16"/>
                  </w:rPr>
                  <w:t>484</w:t>
                </w:r>
              </w:p>
            </w:tc>
          </w:tr>
          <w:tr w:rsidR="0089684C" w:rsidRPr="00A3401A" w:rsidTr="00F959A4">
            <w:trPr>
              <w:trHeight w:val="315"/>
            </w:trPr>
            <w:tc>
              <w:tcPr>
                <w:tcW w:w="101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sidRPr="00A3401A">
                  <w:rPr>
                    <w:rFonts w:cstheme="minorHAnsi"/>
                    <w:b/>
                    <w:bCs/>
                    <w:sz w:val="16"/>
                    <w:szCs w:val="16"/>
                  </w:rPr>
                  <w:t>Yhteensä</w:t>
                </w:r>
              </w:p>
            </w:tc>
            <w:tc>
              <w:tcPr>
                <w:tcW w:w="36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70 345</w:t>
                </w: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77 256</w:t>
                </w: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81 882</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83 504</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87 719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46 629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46 359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47 535</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50 566</w:t>
                </w:r>
              </w:p>
            </w:tc>
            <w:tc>
              <w:tcPr>
                <w:tcW w:w="416" w:type="pct"/>
                <w:tcBorders>
                  <w:top w:val="single" w:sz="4" w:space="0" w:color="auto"/>
                  <w:left w:val="nil"/>
                  <w:bottom w:val="single" w:sz="4" w:space="0" w:color="auto"/>
                  <w:right w:val="nil"/>
                </w:tcBorders>
              </w:tcPr>
              <w:p w:rsidR="0089684C" w:rsidRPr="00A3401A" w:rsidRDefault="0089684C" w:rsidP="00A03AD0">
                <w:pPr>
                  <w:spacing w:before="120"/>
                  <w:jc w:val="center"/>
                  <w:rPr>
                    <w:rFonts w:cstheme="minorHAnsi"/>
                    <w:b/>
                    <w:bCs/>
                    <w:sz w:val="16"/>
                    <w:szCs w:val="16"/>
                  </w:rPr>
                </w:pPr>
                <w:r>
                  <w:rPr>
                    <w:rFonts w:cstheme="minorHAnsi"/>
                    <w:b/>
                    <w:bCs/>
                    <w:sz w:val="16"/>
                    <w:szCs w:val="16"/>
                  </w:rPr>
                  <w:t>52 650</w:t>
                </w:r>
              </w:p>
            </w:tc>
          </w:tr>
          <w:tr w:rsidR="0089684C" w:rsidRPr="00A3401A" w:rsidTr="00F959A4">
            <w:trPr>
              <w:trHeight w:val="315"/>
            </w:trPr>
            <w:tc>
              <w:tcPr>
                <w:tcW w:w="935" w:type="pct"/>
                <w:tcBorders>
                  <w:top w:val="single" w:sz="4" w:space="0" w:color="auto"/>
                  <w:left w:val="nil"/>
                  <w:bottom w:val="single" w:sz="4" w:space="0" w:color="auto"/>
                  <w:right w:val="nil"/>
                </w:tcBorders>
                <w:shd w:val="clear" w:color="auto" w:fill="auto"/>
                <w:noWrap/>
                <w:vAlign w:val="bottom"/>
              </w:tcPr>
              <w:p w:rsidR="0089684C" w:rsidRPr="00A3401A" w:rsidRDefault="00F959A4" w:rsidP="00A03AD0">
                <w:pPr>
                  <w:spacing w:before="60"/>
                  <w:rPr>
                    <w:rFonts w:cstheme="minorHAnsi"/>
                    <w:b/>
                    <w:bCs/>
                    <w:sz w:val="16"/>
                    <w:szCs w:val="16"/>
                  </w:rPr>
                </w:pPr>
                <w:r>
                  <w:rPr>
                    <w:rFonts w:cstheme="minorHAnsi"/>
                    <w:b/>
                    <w:bCs/>
                    <w:sz w:val="16"/>
                    <w:szCs w:val="16"/>
                  </w:rPr>
                  <w:t>Yli-/alijäämä</w:t>
                </w:r>
              </w:p>
            </w:tc>
            <w:tc>
              <w:tcPr>
                <w:tcW w:w="424" w:type="pct"/>
                <w:gridSpan w:val="3"/>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-14 229</w:t>
                </w:r>
              </w:p>
            </w:tc>
            <w:tc>
              <w:tcPr>
                <w:tcW w:w="385" w:type="pct"/>
                <w:gridSpan w:val="2"/>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-22 160</w:t>
                </w:r>
              </w:p>
            </w:tc>
            <w:tc>
              <w:tcPr>
                <w:tcW w:w="350"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-915</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-8 041</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5 056</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-28 234</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-37 716</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-36 317</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sidRPr="00E36FDA">
                  <w:rPr>
                    <w:rFonts w:cs="Arial"/>
                    <w:sz w:val="16"/>
                    <w:szCs w:val="16"/>
                  </w:rPr>
                  <w:t>-44</w:t>
                </w:r>
                <w:r>
                  <w:rPr>
                    <w:rFonts w:cs="Arial"/>
                    <w:sz w:val="16"/>
                    <w:szCs w:val="16"/>
                  </w:rPr>
                  <w:t> </w:t>
                </w:r>
                <w:r w:rsidRPr="00E36FDA">
                  <w:rPr>
                    <w:rFonts w:cs="Arial"/>
                    <w:sz w:val="16"/>
                    <w:szCs w:val="16"/>
                  </w:rPr>
                  <w:t>857</w:t>
                </w:r>
              </w:p>
            </w:tc>
            <w:tc>
              <w:tcPr>
                <w:tcW w:w="416" w:type="pct"/>
                <w:tcBorders>
                  <w:top w:val="single" w:sz="4" w:space="0" w:color="auto"/>
                  <w:left w:val="nil"/>
                  <w:bottom w:val="single" w:sz="4" w:space="0" w:color="auto"/>
                  <w:right w:val="nil"/>
                </w:tcBorders>
              </w:tcPr>
              <w:p w:rsidR="0089684C" w:rsidRPr="00E36FDA" w:rsidRDefault="0089684C" w:rsidP="00A03AD0">
                <w:pPr>
                  <w:spacing w:before="120"/>
                  <w:jc w:val="center"/>
                  <w:rPr>
                    <w:rFonts w:cs="Arial"/>
                    <w:sz w:val="16"/>
                    <w:szCs w:val="16"/>
                  </w:rPr>
                </w:pPr>
                <w:r>
                  <w:rPr>
                    <w:rFonts w:cs="Arial"/>
                    <w:sz w:val="16"/>
                    <w:szCs w:val="16"/>
                  </w:rPr>
                  <w:t>-40 763</w:t>
                </w:r>
              </w:p>
            </w:tc>
          </w:tr>
          <w:tr w:rsidR="0089684C" w:rsidRPr="00A3401A" w:rsidTr="00F959A4">
            <w:trPr>
              <w:trHeight w:val="315"/>
            </w:trPr>
            <w:tc>
              <w:tcPr>
                <w:tcW w:w="110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sidRPr="00A3401A">
                  <w:rPr>
                    <w:rFonts w:cstheme="minorHAnsi"/>
                    <w:b/>
                    <w:bCs/>
                    <w:sz w:val="16"/>
                    <w:szCs w:val="16"/>
                  </w:rPr>
                  <w:t>Kustannusvastaavuus, %</w:t>
                </w:r>
              </w:p>
            </w:tc>
            <w:tc>
              <w:tcPr>
                <w:tcW w:w="27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rFonts w:cstheme="minorHAnsi"/>
                    <w:b/>
                    <w:bCs/>
                    <w:sz w:val="16"/>
                    <w:szCs w:val="16"/>
                  </w:rPr>
                  <w:t>83,2</w:t>
                </w: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rFonts w:cstheme="minorHAnsi"/>
                    <w:b/>
                    <w:bCs/>
                    <w:sz w:val="16"/>
                    <w:szCs w:val="16"/>
                  </w:rPr>
                  <w:t>77,7</w:t>
                </w: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rFonts w:cstheme="minorHAnsi"/>
                    <w:b/>
                    <w:bCs/>
                    <w:sz w:val="16"/>
                    <w:szCs w:val="16"/>
                  </w:rPr>
                  <w:t>98,</w:t>
                </w:r>
                <w:r w:rsidR="0089684C" w:rsidRPr="00A3401A">
                  <w:rPr>
                    <w:rFonts w:cstheme="minorHAnsi"/>
                    <w:b/>
                    <w:bCs/>
                    <w:sz w:val="16"/>
                    <w:szCs w:val="16"/>
                  </w:rPr>
                  <w:t>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rFonts w:cstheme="minorHAnsi"/>
                    <w:b/>
                    <w:bCs/>
                    <w:sz w:val="16"/>
                    <w:szCs w:val="16"/>
                  </w:rPr>
                  <w:t>91,2</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F959A4">
                <w:pPr>
                  <w:spacing w:before="60"/>
                  <w:jc w:val="center"/>
                  <w:rPr>
                    <w:rFonts w:cstheme="minorHAnsi"/>
                    <w:b/>
                    <w:bCs/>
                    <w:sz w:val="16"/>
                    <w:szCs w:val="16"/>
                  </w:rPr>
                </w:pPr>
                <w:r>
                  <w:rPr>
                    <w:rFonts w:cstheme="minorHAnsi"/>
                    <w:b/>
                    <w:bCs/>
                    <w:sz w:val="16"/>
                    <w:szCs w:val="16"/>
                  </w:rPr>
                  <w:t>105,3</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sidRPr="00A3401A">
                  <w:rPr>
                    <w:rFonts w:cstheme="minorHAnsi"/>
                    <w:b/>
                    <w:bCs/>
                    <w:sz w:val="16"/>
                    <w:szCs w:val="16"/>
                  </w:rPr>
                  <w:t>6</w:t>
                </w:r>
                <w:r w:rsidR="00F959A4">
                  <w:rPr>
                    <w:rFonts w:cstheme="minorHAnsi"/>
                    <w:b/>
                    <w:bCs/>
                    <w:sz w:val="16"/>
                    <w:szCs w:val="16"/>
                  </w:rPr>
                  <w:t>1,8</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rFonts w:cstheme="minorHAnsi"/>
                    <w:b/>
                    <w:bCs/>
                    <w:sz w:val="16"/>
                    <w:szCs w:val="16"/>
                  </w:rPr>
                  <w:t>55,0</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rFonts w:cstheme="minorHAnsi"/>
                    <w:b/>
                    <w:bCs/>
                    <w:sz w:val="16"/>
                    <w:szCs w:val="16"/>
                  </w:rPr>
                  <w:t>56,9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rFonts w:cstheme="minorHAnsi"/>
                    <w:b/>
                    <w:bCs/>
                    <w:sz w:val="16"/>
                    <w:szCs w:val="16"/>
                  </w:rPr>
                  <w:t>53,4</w:t>
                </w:r>
              </w:p>
            </w:tc>
            <w:tc>
              <w:tcPr>
                <w:tcW w:w="416" w:type="pct"/>
                <w:tcBorders>
                  <w:top w:val="single" w:sz="4" w:space="0" w:color="auto"/>
                  <w:left w:val="nil"/>
                  <w:bottom w:val="single" w:sz="4" w:space="0" w:color="auto"/>
                  <w:right w:val="nil"/>
                </w:tcBorders>
              </w:tcPr>
              <w:p w:rsidR="0089684C" w:rsidRPr="00A3401A" w:rsidRDefault="0089684C" w:rsidP="00A03AD0">
                <w:pPr>
                  <w:spacing w:before="120"/>
                  <w:jc w:val="center"/>
                  <w:rPr>
                    <w:rFonts w:cstheme="minorHAnsi"/>
                    <w:b/>
                    <w:bCs/>
                    <w:sz w:val="16"/>
                    <w:szCs w:val="16"/>
                  </w:rPr>
                </w:pPr>
                <w:r>
                  <w:rPr>
                    <w:rFonts w:cstheme="minorHAnsi"/>
                    <w:b/>
                    <w:bCs/>
                    <w:sz w:val="16"/>
                    <w:szCs w:val="16"/>
                  </w:rPr>
                  <w:t>56,4</w:t>
                </w:r>
              </w:p>
            </w:tc>
          </w:tr>
        </w:tbl>
        <w:p w:rsidR="0089684C" w:rsidRPr="0074028C" w:rsidRDefault="0089684C" w:rsidP="0089684C">
          <w:pPr>
            <w:rPr>
              <w:sz w:val="16"/>
              <w:szCs w:val="16"/>
            </w:rPr>
          </w:pPr>
          <w:r w:rsidRPr="0074028C">
            <w:rPr>
              <w:sz w:val="16"/>
              <w:szCs w:val="16"/>
            </w:rPr>
            <w:lastRenderedPageBreak/>
            <w:t>*Vuoden 2019 alusta toteutuneen virastouudistuksen myötä kustannusten erittelyjä muutettiin.</w:t>
          </w:r>
        </w:p>
        <w:p w:rsidR="0089684C" w:rsidRDefault="0089684C" w:rsidP="00F959A4">
          <w:pPr>
            <w:pStyle w:val="LLNormaali"/>
          </w:pPr>
        </w:p>
        <w:p w:rsidR="0089684C" w:rsidRPr="0089684C" w:rsidRDefault="0089684C" w:rsidP="0089684C">
          <w:pPr>
            <w:pStyle w:val="LLPerustelujenkappalejako"/>
            <w:rPr>
              <w:bCs/>
              <w:szCs w:val="22"/>
            </w:rPr>
          </w:pPr>
          <w:r w:rsidRPr="0089684C">
            <w:rPr>
              <w:bCs/>
              <w:szCs w:val="22"/>
            </w:rPr>
            <w:t>Vuosina 2018–2019 väylämaksutuloista noin 67,8–68,0 prosenttia (33,8–35,6 miljoonaa euroa) kertyi lastialuksilta. Matkustaja-autolauttojen osuus oli 21,1–21,7 prosenttia (noin 11 miljoonaa euroa) ja risteilyalusten 10,2–10,5 prosenttia (5,1–5,5 miljoonaa euroa). Proomujen ja puskujen osuus oli vähäinen. Jääluokittain tarkas</w:t>
          </w:r>
          <w:r w:rsidR="00F959A4">
            <w:rPr>
              <w:bCs/>
              <w:szCs w:val="22"/>
            </w:rPr>
            <w:t>teltuna suurimman osuuden väylämaksutuloist</w:t>
          </w:r>
          <w:r w:rsidRPr="0089684C">
            <w:rPr>
              <w:bCs/>
              <w:szCs w:val="22"/>
            </w:rPr>
            <w:t>a, 35,2–37,7 prosenttia, maksoivat toiseksi parhaan jääluokan IA alukset. Parhaan jääluokan IAS alusten osuus oli 18,4–20,5 prosenttia. Parhaiden jääluokkien (IAS ja IA) osuus väylämaksutuloista oli yhteensä 53,6–58,2 prosenttia. Muiden jääluokkien (IB, IC, II ja III) osuudet olivat yhteensä 31,4–35,5 prosenttia. Jääluokattomat alukset, joista merkittävämpänä alustyyppinä risteilyalukset, osuus oli 10,5–10,9 prosenttia.</w:t>
          </w:r>
        </w:p>
        <w:p w:rsidR="0089684C" w:rsidRDefault="00C3097F" w:rsidP="0089684C">
          <w:pPr>
            <w:pStyle w:val="LLPerustelujenkappalejako"/>
            <w:rPr>
              <w:bCs/>
              <w:szCs w:val="22"/>
            </w:rPr>
          </w:pPr>
          <w:r>
            <w:rPr>
              <w:bCs/>
              <w:szCs w:val="22"/>
            </w:rPr>
            <w:t>V</w:t>
          </w:r>
          <w:r w:rsidR="0089684C" w:rsidRPr="0089684C">
            <w:rPr>
              <w:bCs/>
              <w:szCs w:val="22"/>
            </w:rPr>
            <w:t>äylämaksun merkitystä Suomen logistisille kustannuksille voidaan suhteuttaa kuljetusvolyymeihin. Matkustaja- ja risteilyalusten osuus väylämaksuista, yhteensä noin 16 miljoonaa euroa, on viime vuosina kohdentunut noin 19 miljoonan matkustajan matkalippuihin ja yli kolmesta miljoonasta matkustaja-autolautoilla kuljetetuista ajoneuvosta perittyihin maksuihin. Lastialusten noin 34–36 miljoonan euron väylämaksut kohdentuvat vuodesta riippuen lastialusten lähes 100 miljoonan tonnin tavarakulje</w:t>
          </w:r>
          <w:r w:rsidR="00B53A6A">
            <w:rPr>
              <w:bCs/>
              <w:szCs w:val="22"/>
            </w:rPr>
            <w:t>tuksille. Kuljetus</w:t>
          </w:r>
          <w:r w:rsidR="0089684C" w:rsidRPr="0089684C">
            <w:rPr>
              <w:bCs/>
              <w:szCs w:val="22"/>
            </w:rPr>
            <w:t xml:space="preserve">määrien suhteen </w:t>
          </w:r>
          <w:r w:rsidR="00B53A6A">
            <w:rPr>
              <w:bCs/>
              <w:szCs w:val="22"/>
            </w:rPr>
            <w:t xml:space="preserve">tarkasteltuna </w:t>
          </w:r>
          <w:r w:rsidR="0089684C" w:rsidRPr="0089684C">
            <w:rPr>
              <w:bCs/>
              <w:szCs w:val="22"/>
            </w:rPr>
            <w:t xml:space="preserve">väylämaksun merkitys </w:t>
          </w:r>
          <w:r w:rsidR="00B53A6A">
            <w:rPr>
              <w:bCs/>
              <w:szCs w:val="22"/>
            </w:rPr>
            <w:t xml:space="preserve">kuljetuskustannuksille on </w:t>
          </w:r>
          <w:r w:rsidR="0089684C" w:rsidRPr="0089684C">
            <w:rPr>
              <w:bCs/>
              <w:szCs w:val="22"/>
            </w:rPr>
            <w:t>vähäinen. Lastin arvon suhteen väylämaksun muodostama kustannuslisä voi olla merkittävä vähempiarvoisille tavaralajeille. Arvokkaita tavaralajeja kuljetettaessa väylämaksun suhteellinen merkitys kustannuslisänä on vähäinen.</w:t>
          </w:r>
        </w:p>
        <w:p w:rsidR="0089684C" w:rsidRPr="002066AC" w:rsidRDefault="0089684C" w:rsidP="0089684C">
          <w:pPr>
            <w:autoSpaceDE w:val="0"/>
            <w:autoSpaceDN w:val="0"/>
            <w:adjustRightInd w:val="0"/>
            <w:rPr>
              <w:bCs/>
              <w:i/>
              <w:lang w:eastAsia="fi-FI"/>
            </w:rPr>
          </w:pPr>
          <w:r w:rsidRPr="002066AC">
            <w:rPr>
              <w:bCs/>
              <w:i/>
              <w:lang w:eastAsia="fi-FI"/>
            </w:rPr>
            <w:t>Väylämaksukertymä alustyypeittäin ja jääluokittain vuosina 2018–2019 (Tulli).</w:t>
          </w:r>
        </w:p>
        <w:tbl>
          <w:tblPr>
            <w:tblW w:w="7797" w:type="dxa"/>
            <w:tblInd w:w="-5" w:type="dxa"/>
            <w:tblCellMar>
              <w:left w:w="70" w:type="dxa"/>
              <w:right w:w="70" w:type="dxa"/>
            </w:tblCellMar>
            <w:tblLook w:val="04A0" w:firstRow="1" w:lastRow="0" w:firstColumn="1" w:lastColumn="0" w:noHBand="0" w:noVBand="1"/>
          </w:tblPr>
          <w:tblGrid>
            <w:gridCol w:w="2220"/>
            <w:gridCol w:w="1680"/>
            <w:gridCol w:w="1203"/>
            <w:gridCol w:w="1437"/>
            <w:gridCol w:w="1257"/>
          </w:tblGrid>
          <w:tr w:rsidR="0089684C" w:rsidRPr="00A13168" w:rsidTr="00A03AD0">
            <w:trPr>
              <w:trHeight w:val="31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b/>
                    <w:color w:val="000000"/>
                    <w:sz w:val="18"/>
                    <w:szCs w:val="18"/>
                    <w:lang w:eastAsia="fi-FI"/>
                  </w:rPr>
                </w:pPr>
                <w:r w:rsidRPr="00C3097F">
                  <w:rPr>
                    <w:b/>
                    <w:color w:val="000000"/>
                    <w:sz w:val="18"/>
                    <w:szCs w:val="18"/>
                    <w:lang w:eastAsia="fi-FI"/>
                  </w:rPr>
                  <w:t> </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lang w:eastAsia="fi-FI"/>
                  </w:rPr>
                </w:pPr>
                <w:r w:rsidRPr="00C3097F">
                  <w:rPr>
                    <w:b/>
                    <w:sz w:val="18"/>
                    <w:szCs w:val="18"/>
                    <w:lang w:eastAsia="fi-FI"/>
                  </w:rPr>
                  <w:t>2018, euroa</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lang w:eastAsia="fi-FI"/>
                  </w:rPr>
                </w:pPr>
                <w:r w:rsidRPr="00C3097F">
                  <w:rPr>
                    <w:b/>
                    <w:color w:val="000000"/>
                    <w:sz w:val="18"/>
                    <w:szCs w:val="18"/>
                    <w:lang w:eastAsia="fi-FI"/>
                  </w:rPr>
                  <w:t>Osuus, %</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lang w:eastAsia="fi-FI"/>
                  </w:rPr>
                </w:pPr>
                <w:r w:rsidRPr="00C3097F">
                  <w:rPr>
                    <w:b/>
                    <w:sz w:val="18"/>
                    <w:szCs w:val="18"/>
                    <w:lang w:eastAsia="fi-FI"/>
                  </w:rPr>
                  <w:t>2019, euroa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lang w:eastAsia="fi-FI"/>
                  </w:rPr>
                </w:pPr>
                <w:r w:rsidRPr="00C3097F">
                  <w:rPr>
                    <w:b/>
                    <w:color w:val="000000"/>
                    <w:sz w:val="18"/>
                    <w:szCs w:val="18"/>
                    <w:lang w:eastAsia="fi-FI"/>
                  </w:rPr>
                  <w:t>Osuus, %</w:t>
                </w:r>
              </w:p>
            </w:tc>
          </w:tr>
          <w:tr w:rsidR="0089684C" w:rsidRPr="00A13168" w:rsidTr="00A03AD0">
            <w:trPr>
              <w:trHeight w:val="310"/>
            </w:trPr>
            <w:tc>
              <w:tcPr>
                <w:tcW w:w="2220" w:type="dxa"/>
                <w:tcBorders>
                  <w:top w:val="single" w:sz="4" w:space="0" w:color="auto"/>
                  <w:left w:val="single" w:sz="4" w:space="0" w:color="auto"/>
                  <w:bottom w:val="single" w:sz="4" w:space="0" w:color="auto"/>
                </w:tcBorders>
                <w:shd w:val="clear" w:color="auto" w:fill="auto"/>
                <w:noWrap/>
                <w:vAlign w:val="bottom"/>
                <w:hideMark/>
              </w:tcPr>
              <w:p w:rsidR="0089684C" w:rsidRPr="00C3097F" w:rsidRDefault="0089684C" w:rsidP="00A03AD0">
                <w:pPr>
                  <w:rPr>
                    <w:b/>
                    <w:color w:val="000000"/>
                    <w:sz w:val="18"/>
                    <w:szCs w:val="18"/>
                    <w:lang w:eastAsia="fi-FI"/>
                  </w:rPr>
                </w:pPr>
                <w:r w:rsidRPr="00C3097F">
                  <w:rPr>
                    <w:b/>
                    <w:color w:val="000000"/>
                    <w:sz w:val="18"/>
                    <w:szCs w:val="18"/>
                    <w:lang w:eastAsia="fi-FI"/>
                  </w:rPr>
                  <w:t>Alustyyppi</w:t>
                </w:r>
              </w:p>
            </w:tc>
            <w:tc>
              <w:tcPr>
                <w:tcW w:w="1680"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 </w:t>
                </w:r>
              </w:p>
            </w:tc>
            <w:tc>
              <w:tcPr>
                <w:tcW w:w="1203"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 </w:t>
                </w:r>
              </w:p>
            </w:tc>
            <w:tc>
              <w:tcPr>
                <w:tcW w:w="1437"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 </w:t>
                </w:r>
              </w:p>
            </w:tc>
            <w:tc>
              <w:tcPr>
                <w:tcW w:w="1257" w:type="dxa"/>
                <w:tcBorders>
                  <w:top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 </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Risteilyalus</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5 100 229</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10,2</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5 508 700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10,5</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Matkustaja-alus</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10 834 049</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21,7</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11 064 202</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21,1</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Lastialus</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33 833 813</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67,8</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35 612 330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68,0</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Kuljetuskoneeton alus</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137 597</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0,3</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202 856</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0,4</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b/>
                    <w:color w:val="000000"/>
                    <w:sz w:val="18"/>
                    <w:szCs w:val="18"/>
                    <w:lang w:eastAsia="fi-FI"/>
                  </w:rPr>
                </w:pPr>
                <w:r w:rsidRPr="00C3097F">
                  <w:rPr>
                    <w:b/>
                    <w:color w:val="000000"/>
                    <w:sz w:val="18"/>
                    <w:szCs w:val="18"/>
                    <w:lang w:eastAsia="fi-FI"/>
                  </w:rPr>
                  <w:t>Yhteensä</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lang w:eastAsia="fi-FI"/>
                  </w:rPr>
                </w:pPr>
                <w:r w:rsidRPr="00C3097F">
                  <w:rPr>
                    <w:b/>
                    <w:sz w:val="18"/>
                    <w:szCs w:val="18"/>
                    <w:lang w:eastAsia="fi-FI"/>
                  </w:rPr>
                  <w:t>49 905 689</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lang w:eastAsia="fi-FI"/>
                  </w:rPr>
                </w:pPr>
                <w:r w:rsidRPr="00C3097F">
                  <w:rPr>
                    <w:b/>
                    <w:color w:val="000000"/>
                    <w:sz w:val="18"/>
                    <w:szCs w:val="18"/>
                    <w:lang w:eastAsia="fi-FI"/>
                  </w:rPr>
                  <w:t>100,0</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lang w:eastAsia="fi-FI"/>
                  </w:rPr>
                </w:pPr>
                <w:r w:rsidRPr="00C3097F">
                  <w:rPr>
                    <w:b/>
                    <w:sz w:val="18"/>
                    <w:szCs w:val="18"/>
                    <w:lang w:eastAsia="fi-FI"/>
                  </w:rPr>
                  <w:t>52 388 088</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lang w:eastAsia="fi-FI"/>
                  </w:rPr>
                </w:pPr>
                <w:r w:rsidRPr="00C3097F">
                  <w:rPr>
                    <w:b/>
                    <w:color w:val="000000"/>
                    <w:sz w:val="18"/>
                    <w:szCs w:val="18"/>
                    <w:lang w:eastAsia="fi-FI"/>
                  </w:rPr>
                  <w:t>100,0</w:t>
                </w:r>
              </w:p>
            </w:tc>
          </w:tr>
          <w:tr w:rsidR="0089684C" w:rsidRPr="00A13168" w:rsidTr="00A03AD0">
            <w:trPr>
              <w:trHeight w:val="310"/>
            </w:trPr>
            <w:tc>
              <w:tcPr>
                <w:tcW w:w="2220" w:type="dxa"/>
                <w:tcBorders>
                  <w:top w:val="single" w:sz="4" w:space="0" w:color="auto"/>
                  <w:left w:val="single" w:sz="4" w:space="0" w:color="auto"/>
                  <w:bottom w:val="single" w:sz="4" w:space="0" w:color="auto"/>
                </w:tcBorders>
                <w:shd w:val="clear" w:color="auto" w:fill="auto"/>
                <w:noWrap/>
                <w:vAlign w:val="bottom"/>
                <w:hideMark/>
              </w:tcPr>
              <w:p w:rsidR="0089684C" w:rsidRPr="00C3097F" w:rsidRDefault="0089684C" w:rsidP="00A03AD0">
                <w:pPr>
                  <w:rPr>
                    <w:b/>
                    <w:sz w:val="18"/>
                    <w:szCs w:val="18"/>
                    <w:lang w:eastAsia="fi-FI"/>
                  </w:rPr>
                </w:pPr>
                <w:r w:rsidRPr="00C3097F">
                  <w:rPr>
                    <w:b/>
                    <w:sz w:val="18"/>
                    <w:szCs w:val="18"/>
                    <w:lang w:eastAsia="fi-FI"/>
                  </w:rPr>
                  <w:t>Jääluokka</w:t>
                </w:r>
              </w:p>
            </w:tc>
            <w:tc>
              <w:tcPr>
                <w:tcW w:w="1680"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 </w:t>
                </w:r>
              </w:p>
            </w:tc>
            <w:tc>
              <w:tcPr>
                <w:tcW w:w="1203"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 </w:t>
                </w:r>
              </w:p>
            </w:tc>
            <w:tc>
              <w:tcPr>
                <w:tcW w:w="1437"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 </w:t>
                </w:r>
              </w:p>
            </w:tc>
            <w:tc>
              <w:tcPr>
                <w:tcW w:w="1257" w:type="dxa"/>
                <w:tcBorders>
                  <w:top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 </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IA Super</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10 209 358</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20,5</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9 619 454</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18,4</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IA</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18 791 910</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37,7</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18 462 750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35,2</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IB</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3 552 992</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7,1</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3 834 459</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7,3</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IC</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1 728 096</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3,5</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1 809 520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3,5</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color w:val="000000"/>
                    <w:sz w:val="18"/>
                    <w:szCs w:val="18"/>
                    <w:lang w:eastAsia="fi-FI"/>
                  </w:rPr>
                </w:pPr>
                <w:r w:rsidRPr="00C3097F">
                  <w:rPr>
                    <w:color w:val="000000"/>
                    <w:sz w:val="18"/>
                    <w:szCs w:val="18"/>
                    <w:lang w:eastAsia="fi-FI"/>
                  </w:rPr>
                  <w:t>II</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10 370 693</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20,8</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12 854 188</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24,5</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III</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14 813</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0,0</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96 160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0,2</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lang w:eastAsia="fi-FI"/>
                  </w:rPr>
                </w:pPr>
                <w:r w:rsidRPr="00C3097F">
                  <w:rPr>
                    <w:sz w:val="18"/>
                    <w:szCs w:val="18"/>
                    <w:lang w:eastAsia="fi-FI"/>
                  </w:rPr>
                  <w:t>Ei jääluokkaa</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5 237 827</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10,5</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lang w:eastAsia="fi-FI"/>
                  </w:rPr>
                </w:pPr>
                <w:r w:rsidRPr="00C3097F">
                  <w:rPr>
                    <w:sz w:val="18"/>
                    <w:szCs w:val="18"/>
                    <w:lang w:eastAsia="fi-FI"/>
                  </w:rPr>
                  <w:t>5 711 556</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lang w:eastAsia="fi-FI"/>
                  </w:rPr>
                </w:pPr>
                <w:r w:rsidRPr="00C3097F">
                  <w:rPr>
                    <w:color w:val="000000"/>
                    <w:sz w:val="18"/>
                    <w:szCs w:val="18"/>
                    <w:lang w:eastAsia="fi-FI"/>
                  </w:rPr>
                  <w:t>10,9</w:t>
                </w:r>
              </w:p>
            </w:tc>
          </w:tr>
          <w:tr w:rsidR="0089684C" w:rsidRPr="00A13168" w:rsidTr="00A03AD0">
            <w:trPr>
              <w:trHeight w:val="31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b/>
                    <w:sz w:val="18"/>
                    <w:szCs w:val="18"/>
                    <w:lang w:eastAsia="fi-FI"/>
                  </w:rPr>
                </w:pPr>
                <w:r w:rsidRPr="00C3097F">
                  <w:rPr>
                    <w:b/>
                    <w:sz w:val="18"/>
                    <w:szCs w:val="18"/>
                    <w:lang w:eastAsia="fi-FI"/>
                  </w:rPr>
                  <w:t>Yhteensä</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lang w:eastAsia="fi-FI"/>
                  </w:rPr>
                </w:pPr>
                <w:r w:rsidRPr="00C3097F">
                  <w:rPr>
                    <w:b/>
                    <w:sz w:val="18"/>
                    <w:szCs w:val="18"/>
                    <w:lang w:eastAsia="fi-FI"/>
                  </w:rPr>
                  <w:t>49 905 689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lang w:eastAsia="fi-FI"/>
                  </w:rPr>
                </w:pPr>
                <w:r w:rsidRPr="00C3097F">
                  <w:rPr>
                    <w:b/>
                    <w:color w:val="000000"/>
                    <w:sz w:val="18"/>
                    <w:szCs w:val="18"/>
                    <w:lang w:eastAsia="fi-FI"/>
                  </w:rPr>
                  <w:t>100,0</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lang w:eastAsia="fi-FI"/>
                  </w:rPr>
                </w:pPr>
                <w:r w:rsidRPr="00C3097F">
                  <w:rPr>
                    <w:b/>
                    <w:sz w:val="18"/>
                    <w:szCs w:val="18"/>
                    <w:lang w:eastAsia="fi-FI"/>
                  </w:rPr>
                  <w:t>52 388 088</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lang w:eastAsia="fi-FI"/>
                  </w:rPr>
                </w:pPr>
                <w:r w:rsidRPr="00C3097F">
                  <w:rPr>
                    <w:b/>
                    <w:color w:val="000000"/>
                    <w:sz w:val="18"/>
                    <w:szCs w:val="18"/>
                    <w:lang w:eastAsia="fi-FI"/>
                  </w:rPr>
                  <w:t>100,0</w:t>
                </w:r>
              </w:p>
            </w:tc>
          </w:tr>
        </w:tbl>
        <w:p w:rsidR="00F959A4" w:rsidRDefault="00F959A4" w:rsidP="00F959A4">
          <w:pPr>
            <w:pStyle w:val="LLNormaali"/>
          </w:pPr>
        </w:p>
        <w:p w:rsidR="00F959A4" w:rsidRDefault="00F959A4" w:rsidP="00F959A4">
          <w:pPr>
            <w:pStyle w:val="LLPerustelujenkappalejako"/>
          </w:pPr>
          <w:r>
            <w:t>V</w:t>
          </w:r>
          <w:r w:rsidRPr="00165E5C">
            <w:t>uoden 2020</w:t>
          </w:r>
          <w:r>
            <w:t xml:space="preserve"> keväällä kauppamerenkulun varustamojen taloudellinen tilanne heikkeni </w:t>
          </w:r>
          <w:r w:rsidRPr="00165E5C">
            <w:t>COVID-19-tartuntatauti</w:t>
          </w:r>
          <w:r>
            <w:t>epidemian takia</w:t>
          </w:r>
          <w:r w:rsidRPr="00165E5C">
            <w:t xml:space="preserve"> </w:t>
          </w:r>
          <w:r>
            <w:t>etenkin matkustaja-alusliikenteessä. Laivamatkustamin</w:t>
          </w:r>
          <w:r w:rsidRPr="00165E5C">
            <w:t xml:space="preserve">en </w:t>
          </w:r>
          <w:r>
            <w:t>väheni ensin matkustajien reagoitua epidemian riskeihin.</w:t>
          </w:r>
          <w:r w:rsidRPr="00165E5C">
            <w:t xml:space="preserve"> Varustamot keskeyttivät lipunmyynnin </w:t>
          </w:r>
          <w:r w:rsidRPr="00165E5C">
            <w:lastRenderedPageBreak/>
            <w:t xml:space="preserve">hallituksen suosituksesta 11.4.2020 alkaen ja 13.5.2020 saakka. </w:t>
          </w:r>
          <w:r>
            <w:t>Liikennöityjä reittejä vähennettiin, aluksia makuutettiin ja henkilöstöä lomautettiin laajasti. Liikennöineissä aluksissa kuljetettiin runsaasti kuorma-autorahtia, mutta sen tuomat tulot eivät taanneet vuorojen kannattavaa liikennöintiä. Osaa liikenteestä Viroon ja Ruotsiin tuettiin Huoltovarmuuskeskuksen toimesta.</w:t>
          </w:r>
          <w:r w:rsidRPr="00165E5C">
            <w:t xml:space="preserve"> </w:t>
          </w:r>
          <w:r>
            <w:t>Toukokuun lopulla</w:t>
          </w:r>
          <w:r w:rsidRPr="00165E5C">
            <w:t xml:space="preserve"> matkustaminen </w:t>
          </w:r>
          <w:r>
            <w:t>alkoi</w:t>
          </w:r>
          <w:r w:rsidRPr="00165E5C">
            <w:t xml:space="preserve"> lisääntyä</w:t>
          </w:r>
          <w:r>
            <w:t xml:space="preserve"> ja matkustaja-autolauttoja alettiin palauttaa</w:t>
          </w:r>
          <w:r w:rsidRPr="0015503C">
            <w:t xml:space="preserve"> liiken</w:t>
          </w:r>
          <w:r>
            <w:t>teeseen. K</w:t>
          </w:r>
          <w:r w:rsidRPr="0015503C">
            <w:t>oko vuoden matkust</w:t>
          </w:r>
          <w:r>
            <w:t>ajamäärä jäänee</w:t>
          </w:r>
          <w:r w:rsidRPr="0015503C">
            <w:t xml:space="preserve"> </w:t>
          </w:r>
          <w:r>
            <w:t>silti selvästi</w:t>
          </w:r>
          <w:r w:rsidRPr="0015503C">
            <w:t xml:space="preserve"> </w:t>
          </w:r>
          <w:r>
            <w:t xml:space="preserve">edellisiä vuosia </w:t>
          </w:r>
          <w:r w:rsidRPr="0015503C">
            <w:t>alhaisemmalle tasolle. Lastialusliikenne toimi kevään ajan kutakuinkin normaalisti</w:t>
          </w:r>
          <w:r>
            <w:t>, mutta lastit alkoivat jossain määrin vähentyä touko-kesäkuussa</w:t>
          </w:r>
          <w:r w:rsidRPr="00165E5C">
            <w:t>.</w:t>
          </w:r>
          <w:r>
            <w:t xml:space="preserve"> Joitain kuivalastialuksia laitettiin seisontaan. Lastialusliikenteen k</w:t>
          </w:r>
          <w:r w:rsidRPr="00165E5C">
            <w:t xml:space="preserve">annattavuusongelmien </w:t>
          </w:r>
          <w:r>
            <w:t>pelätään</w:t>
          </w:r>
          <w:r w:rsidRPr="00165E5C">
            <w:t xml:space="preserve"> </w:t>
          </w:r>
          <w:r>
            <w:t>lisääntyvän kansainvälisen kaupankäynnin vähentyessä talousennusteiden mukaisesti vuoden 2020 aikana.</w:t>
          </w:r>
        </w:p>
        <w:p w:rsidR="00F959A4" w:rsidRDefault="00F959A4" w:rsidP="00F959A4">
          <w:pPr>
            <w:pStyle w:val="LLPerustelujenkappalejako"/>
          </w:pPr>
        </w:p>
        <w:p w:rsidR="000E61DF" w:rsidRDefault="0075180F" w:rsidP="00A95059">
          <w:pPr>
            <w:pStyle w:val="LLP1Otsikkotaso"/>
          </w:pPr>
          <w:bookmarkStart w:id="5" w:name="_Toc43729674"/>
          <w:r>
            <w:t>Tavoitteet</w:t>
          </w:r>
          <w:bookmarkEnd w:id="5"/>
        </w:p>
        <w:p w:rsidR="0089684C" w:rsidRDefault="0089684C" w:rsidP="00EA4139">
          <w:pPr>
            <w:pStyle w:val="LLPerustelujenkappalejako"/>
          </w:pPr>
          <w:r w:rsidRPr="006423C6">
            <w:t xml:space="preserve">Esityksen tavoitteena on osaltaan </w:t>
          </w:r>
          <w:r w:rsidRPr="0083203B">
            <w:t>kompensoida</w:t>
          </w:r>
          <w:r w:rsidRPr="006423C6">
            <w:t xml:space="preserve"> </w:t>
          </w:r>
          <w:r w:rsidRPr="00A968D9">
            <w:t xml:space="preserve">COVID-19-tartuntatautiepidemian </w:t>
          </w:r>
          <w:r w:rsidRPr="006423C6">
            <w:t xml:space="preserve">varustamoille </w:t>
          </w:r>
          <w:r w:rsidR="00530165">
            <w:t xml:space="preserve">ja niiden kuljetusasiakkaille </w:t>
          </w:r>
          <w:r w:rsidRPr="006423C6">
            <w:t>aiheuttamia taloudellisia vahinkoja ja tukea Suomen meri</w:t>
          </w:r>
          <w:r>
            <w:t>kuljetusyhteyksien toimintakyvyn palautumista kriisiä edeltäneelle tasolle</w:t>
          </w:r>
          <w:r w:rsidR="00530165">
            <w:t xml:space="preserve"> taloudellisesti epävarmoissa oloissa</w:t>
          </w:r>
          <w:r w:rsidRPr="006423C6">
            <w:t>. Merikuljetusten toimivuutta pyritään tukemaan kansantaloudelle ja kansalaisten hyvinvoinnill</w:t>
          </w:r>
          <w:r>
            <w:t>e keskeisen merkityksen vuoksi.</w:t>
          </w:r>
        </w:p>
        <w:p w:rsidR="0089684C" w:rsidRDefault="0089684C" w:rsidP="00EA4139">
          <w:pPr>
            <w:pStyle w:val="LLPerustelujenkappalejako"/>
          </w:pPr>
        </w:p>
        <w:p w:rsidR="00A939B2" w:rsidRDefault="006D3C8B" w:rsidP="00A939B2">
          <w:pPr>
            <w:pStyle w:val="LLP1Otsikkotaso"/>
          </w:pPr>
          <w:bookmarkStart w:id="6" w:name="_Toc43729675"/>
          <w:r>
            <w:t>Ehdotukset ja nii</w:t>
          </w:r>
          <w:r w:rsidR="00A939B2">
            <w:t>den vaikutukset</w:t>
          </w:r>
          <w:bookmarkEnd w:id="6"/>
        </w:p>
        <w:p w:rsidR="0089684C" w:rsidRDefault="0089684C" w:rsidP="0089684C">
          <w:pPr>
            <w:pStyle w:val="LLPerustelujenkappalejako"/>
          </w:pPr>
          <w:r>
            <w:t>Esityksessä ehdotetaan, että väylämaksu kannetaan vuosina 2015–2020 käytössä olleen hinnaston mukaisesti alennettuna vielä vuonna 2021.</w:t>
          </w:r>
        </w:p>
        <w:p w:rsidR="0089684C" w:rsidRDefault="00530165" w:rsidP="0089684C">
          <w:pPr>
            <w:pStyle w:val="LLPerustelujenkappalejako"/>
          </w:pPr>
          <w:r>
            <w:t>Toimenpiteen vuoksi alusten liikennöinnin ja merikuljetusten kustannukset</w:t>
          </w:r>
          <w:r w:rsidR="0089684C">
            <w:t xml:space="preserve"> </w:t>
          </w:r>
          <w:r>
            <w:t>eivät nouse</w:t>
          </w:r>
          <w:r w:rsidR="0089684C">
            <w:t xml:space="preserve"> verrattuna siihen, että vuonna 2021 palattaisiin väylämaksun väliaikaista puolittamista edeltäneeseen väylämaksuhinnastoon tai määritettäisiin nykyisiä palvelutarjonnan kustannuksia vastaava uusi hinnasto. Toimenpiteen vaikuttavuus olisi välitön ja se kohdistuisi tasapuolisesti kaikkeen Suomen kauppamerenkulkua palvelevaan alusliikenteeseen kokonaisen liikennöintivuoden ajan. </w:t>
          </w:r>
        </w:p>
        <w:p w:rsidR="0089684C" w:rsidRDefault="0089684C" w:rsidP="0089684C">
          <w:pPr>
            <w:pStyle w:val="LLPerustelujenkappalejako"/>
          </w:pPr>
          <w:r>
            <w:t xml:space="preserve">Alennetun väylämaksun kantamisen jatkamisella kauppamerenkulun varustamot ja niiden kuljetusasiakkaat välttyvät maksamasta vuonna 2021 noin 35,6 miljoonan euron verran väylämaksuja verrattuna siihen, että palattaisiin vuosina 2012–2014 voimassa olleeseen hinnastoon. </w:t>
          </w:r>
          <w:r w:rsidR="00530165">
            <w:t xml:space="preserve">Hyöty siirtyisi kuljetusasiakkaille. </w:t>
          </w:r>
          <w:r>
            <w:t xml:space="preserve">Arvio perustuu </w:t>
          </w:r>
          <w:r w:rsidR="00530165">
            <w:t xml:space="preserve">eri hinnastoilla vuosina 2012– 2014 ja 2015–2019 kannettujen </w:t>
          </w:r>
          <w:r>
            <w:t>väylämaksutulo</w:t>
          </w:r>
          <w:r w:rsidR="00530165">
            <w:t>je</w:t>
          </w:r>
          <w:r>
            <w:t>n</w:t>
          </w:r>
          <w:r w:rsidR="00530165">
            <w:t xml:space="preserve"> keskimääräiseen eroon</w:t>
          </w:r>
          <w:r>
            <w:t xml:space="preserve">. Oletuksena on, että alusliikenteen määrä palautuu vuonna 2021 </w:t>
          </w:r>
          <w:r w:rsidR="003509C9">
            <w:t>vuoden</w:t>
          </w:r>
          <w:r>
            <w:t xml:space="preserve"> 2020 kriisiä edeltäneelle tasolle.</w:t>
          </w:r>
          <w:r w:rsidR="003509C9">
            <w:t xml:space="preserve"> Tarkkaa alusliikenteen määrän ja </w:t>
          </w:r>
          <w:r w:rsidR="00B53A6A">
            <w:t xml:space="preserve">muiden kannattavaan </w:t>
          </w:r>
          <w:r w:rsidR="003509C9">
            <w:t>väylämaksuun vaikuttavien yksityiskohtien ennustetta ei ole mahdollista laatia.</w:t>
          </w:r>
        </w:p>
        <w:p w:rsidR="0089684C" w:rsidRDefault="0089684C" w:rsidP="0089684C">
          <w:pPr>
            <w:pStyle w:val="LLPerustelujenkappalejako"/>
          </w:pPr>
          <w:r>
            <w:t>Kustannusten nousun välttäminen hyödyttää eniten säännöllistä liikennettä harjoittavia varustamoja, mutta myös epäsäännöllistä liikennettä. Ulkomaankaupan kuljetuksissa ja matkustamisessa vältetään arviolta muutamien kymmenien senttien ja enintään muutamien eurojen suuruinen hinnannousu rahtitonnia, matkalippua ja kuljetettua ajoneuvoa kohti.</w:t>
          </w:r>
        </w:p>
        <w:p w:rsidR="003371A9" w:rsidRDefault="0089684C" w:rsidP="0089684C">
          <w:pPr>
            <w:pStyle w:val="LLPerustelujenkappalejako"/>
          </w:pPr>
          <w:r>
            <w:t xml:space="preserve">Esityksestä seuraa </w:t>
          </w:r>
          <w:r w:rsidR="003371A9">
            <w:t xml:space="preserve">valtiolle vuonna 2021 </w:t>
          </w:r>
          <w:r>
            <w:t xml:space="preserve">edellä esitettyä </w:t>
          </w:r>
          <w:r w:rsidR="003371A9">
            <w:t>kuljetus</w:t>
          </w:r>
          <w:r>
            <w:t>kustannusten säästöä vastaava</w:t>
          </w:r>
          <w:r w:rsidR="003371A9">
            <w:t xml:space="preserve"> arvioitu</w:t>
          </w:r>
          <w:r>
            <w:t xml:space="preserve"> 35,6 miljoonan euron tulojen menetys verrattuna siihen, että</w:t>
          </w:r>
          <w:r w:rsidR="00A45287">
            <w:t xml:space="preserve"> väylämaksu kannettaisiin vuosina</w:t>
          </w:r>
          <w:r>
            <w:t xml:space="preserve"> </w:t>
          </w:r>
          <w:r w:rsidR="00A45287">
            <w:t>2012–</w:t>
          </w:r>
          <w:r>
            <w:t xml:space="preserve">2014 </w:t>
          </w:r>
          <w:r w:rsidR="00A45287">
            <w:t xml:space="preserve">käytössä olleen </w:t>
          </w:r>
          <w:r>
            <w:t>hinnaston mukaisesti.</w:t>
          </w:r>
          <w:r w:rsidR="003371A9">
            <w:t xml:space="preserve"> </w:t>
          </w:r>
          <w:r w:rsidR="007F6FAD">
            <w:t>Kustannusvaikutusten ja valtionta</w:t>
          </w:r>
          <w:r w:rsidR="007F6FAD">
            <w:lastRenderedPageBreak/>
            <w:t xml:space="preserve">loudellisten vaikutusten arvioinnin vertailukohtana käytetyn </w:t>
          </w:r>
          <w:r w:rsidR="007F6FAD">
            <w:t>puolitusta edeltäneen</w:t>
          </w:r>
          <w:r w:rsidR="007F6FAD">
            <w:t xml:space="preserve"> väylämaksuhinnaston kykyä toteuttaa tarkasti väylämaksun kustannusvastaavuustavoitetta vuonna 2021 ei ole </w:t>
          </w:r>
          <w:r w:rsidR="007F6FAD">
            <w:t xml:space="preserve">nyt </w:t>
          </w:r>
          <w:r w:rsidR="007F6FAD">
            <w:t>arvioitu.</w:t>
          </w:r>
          <w:r w:rsidR="007F6FAD">
            <w:t xml:space="preserve"> </w:t>
          </w:r>
          <w:r w:rsidR="007F6FAD">
            <w:rPr>
              <w:szCs w:val="22"/>
            </w:rPr>
            <w:t>Liikenne- ja viestintäministeriö</w:t>
          </w:r>
          <w:r w:rsidR="007F6FAD">
            <w:rPr>
              <w:szCs w:val="22"/>
            </w:rPr>
            <w:t xml:space="preserve"> on esittänyt</w:t>
          </w:r>
          <w:r w:rsidR="007F6FAD">
            <w:rPr>
              <w:szCs w:val="22"/>
            </w:rPr>
            <w:t xml:space="preserve"> valtion </w:t>
          </w:r>
          <w:r w:rsidR="007F6FAD">
            <w:rPr>
              <w:szCs w:val="22"/>
            </w:rPr>
            <w:t>talousarvioesitykseen</w:t>
          </w:r>
          <w:r w:rsidR="007F6FAD">
            <w:rPr>
              <w:szCs w:val="22"/>
            </w:rPr>
            <w:t xml:space="preserve"> vuodelle 2021 väylämaksutuloja</w:t>
          </w:r>
          <w:r w:rsidR="007F6FAD">
            <w:rPr>
              <w:szCs w:val="22"/>
            </w:rPr>
            <w:t xml:space="preserve"> kertyväksi</w:t>
          </w:r>
          <w:r w:rsidR="007F6FAD">
            <w:rPr>
              <w:szCs w:val="22"/>
            </w:rPr>
            <w:t xml:space="preserve"> 48,1 miljoonaa euroa.</w:t>
          </w:r>
        </w:p>
        <w:p w:rsidR="00A939B2" w:rsidRDefault="00A45287" w:rsidP="0089684C">
          <w:pPr>
            <w:pStyle w:val="LLPerustelujenkappalejako"/>
          </w:pPr>
          <w:r>
            <w:t>V</w:t>
          </w:r>
          <w:r w:rsidR="0089684C">
            <w:t xml:space="preserve">äylämaksun kantaminen edelleen alennettuna saattaa </w:t>
          </w:r>
          <w:r>
            <w:t xml:space="preserve">välillisesti parantaa </w:t>
          </w:r>
          <w:r w:rsidR="0089684C">
            <w:t>Suomen kansainvälistä kilpailukykyä ja elinkeinojen työllistävyyttä ja veronmaksukykyä</w:t>
          </w:r>
          <w:r w:rsidR="005A623B" w:rsidRPr="005A623B">
            <w:t xml:space="preserve"> </w:t>
          </w:r>
          <w:r w:rsidR="005A623B">
            <w:t>hieman</w:t>
          </w:r>
          <w:r w:rsidR="0089684C">
            <w:t>.</w:t>
          </w:r>
        </w:p>
        <w:p w:rsidR="00A939B2" w:rsidRDefault="00A939B2" w:rsidP="003371A9">
          <w:pPr>
            <w:pStyle w:val="LLPerustelujenkappalejako"/>
          </w:pPr>
        </w:p>
        <w:p w:rsidR="005A623B" w:rsidRDefault="005A623B" w:rsidP="003371A9">
          <w:pPr>
            <w:pStyle w:val="LLPerustelujenkappalejako"/>
          </w:pPr>
        </w:p>
        <w:p w:rsidR="00A939B2" w:rsidRDefault="00A939B2" w:rsidP="00A939B2">
          <w:pPr>
            <w:pStyle w:val="LLP1Otsikkotaso"/>
          </w:pPr>
          <w:bookmarkStart w:id="7" w:name="_Toc43729676"/>
          <w:r>
            <w:t>Muut toteuttamisvaihtoehdot</w:t>
          </w:r>
          <w:bookmarkEnd w:id="7"/>
        </w:p>
        <w:p w:rsidR="0089684C" w:rsidRDefault="0089684C" w:rsidP="0089684C">
          <w:pPr>
            <w:pStyle w:val="LLPerustelujenkappalejako"/>
          </w:pPr>
          <w:r>
            <w:t>Ilman toimenpiteitä väylämaksu</w:t>
          </w:r>
          <w:r w:rsidR="00EB0CC7">
            <w:t xml:space="preserve"> palaa vuosina</w:t>
          </w:r>
          <w:r>
            <w:t xml:space="preserve"> 2012–2014 </w:t>
          </w:r>
          <w:r w:rsidR="00EB0CC7">
            <w:t xml:space="preserve">käytössä olleen </w:t>
          </w:r>
          <w:r>
            <w:t>hinnaston mukais</w:t>
          </w:r>
          <w:r w:rsidR="00EB0CC7">
            <w:t>eksi. Taloudellisesti epävarmoissa olosuhteissa</w:t>
          </w:r>
          <w:r>
            <w:t xml:space="preserve"> väylämaksun korottaminen olisi merenkulkuelinkeinoille ja niiden kuljetusasiakkaille haastavaa. Väylämaksun puolittamisen jatkamiselle vaihtoehtona väylämaksua voitaisiin alentaa väliaikaisesti lisää tai väylämaksu voitaisiin poistaa väliaikaisesti joko kaikelta liikenteeltä tai osalta alusliikennettä. Tästä seuraisi valtiontaloudelle liian suu</w:t>
          </w:r>
          <w:r w:rsidR="002F1CAA">
            <w:t>ret tulojen menetykset ja</w:t>
          </w:r>
          <w:r>
            <w:t xml:space="preserve"> kauppamerenkulun palveluja jouduttaisiin kustantamaan </w:t>
          </w:r>
          <w:r w:rsidR="002F1CAA">
            <w:t xml:space="preserve">liian suuressa määrin </w:t>
          </w:r>
          <w:r>
            <w:t>valtion velkaa lisäämällä. Alusl</w:t>
          </w:r>
          <w:r w:rsidR="00EB0CC7">
            <w:t>iikennettä eri tavoin kohteleva väylämaksutoimenpide ei olisi tasapuolinen ja se olisi</w:t>
          </w:r>
          <w:r>
            <w:t xml:space="preserve"> valtiontukisäännösten vuoksi</w:t>
          </w:r>
          <w:r w:rsidR="00EB0CC7">
            <w:t xml:space="preserve"> vaikea toteuttaa</w:t>
          </w:r>
          <w:r>
            <w:t>.</w:t>
          </w:r>
        </w:p>
        <w:p w:rsidR="00A939B2" w:rsidRDefault="0089684C" w:rsidP="0089684C">
          <w:pPr>
            <w:pStyle w:val="LLPerustelujenkappalejako"/>
          </w:pPr>
          <w:r>
            <w:t xml:space="preserve">Yhdelle vuodelle käyttöön otettavat </w:t>
          </w:r>
          <w:r w:rsidR="00D8152C">
            <w:t>vaihtoehtoiset</w:t>
          </w:r>
          <w:r w:rsidR="00EB0CC7">
            <w:t xml:space="preserve"> </w:t>
          </w:r>
          <w:r>
            <w:t>tukikeinot, kuten esimerkiksi suorat elinkeinotuet ja lainantakaukset, kohdistu</w:t>
          </w:r>
          <w:r w:rsidR="00D8152C">
            <w:t>isi</w:t>
          </w:r>
          <w:r>
            <w:t xml:space="preserve">vat ainoastaan Suomen lipun alla kulkeville aluksille. </w:t>
          </w:r>
          <w:r w:rsidR="00EB0CC7">
            <w:t>Saman aikaisesti väylämaksua korotettaisiin</w:t>
          </w:r>
          <w:r>
            <w:t xml:space="preserve"> </w:t>
          </w:r>
          <w:r w:rsidR="00EB0CC7">
            <w:t>puolitetusta</w:t>
          </w:r>
          <w:r>
            <w:t xml:space="preserve"> tasostaan</w:t>
          </w:r>
          <w:r w:rsidR="003371A9">
            <w:t xml:space="preserve"> ja </w:t>
          </w:r>
          <w:r w:rsidR="00E61ED6">
            <w:t>se kärjistäisi alusliikenteen erilaista kohtelua</w:t>
          </w:r>
          <w:r>
            <w:t>.</w:t>
          </w:r>
        </w:p>
        <w:p w:rsidR="00A939B2" w:rsidRDefault="00A939B2" w:rsidP="00A939B2">
          <w:pPr>
            <w:pStyle w:val="LLPerustelujenkappalejako"/>
          </w:pPr>
        </w:p>
        <w:p w:rsidR="007E0CB1" w:rsidRDefault="007E0CB1" w:rsidP="0089684C">
          <w:pPr>
            <w:pStyle w:val="LLP1Otsikkotaso"/>
          </w:pPr>
          <w:bookmarkStart w:id="8" w:name="_Toc43729677"/>
          <w:r>
            <w:t>Lausuntopalaute</w:t>
          </w:r>
          <w:bookmarkEnd w:id="8"/>
        </w:p>
        <w:p w:rsidR="007E0CB1" w:rsidRDefault="007E0CB1" w:rsidP="007E0CB1">
          <w:pPr>
            <w:pStyle w:val="LLPerustelujenkappalejako"/>
          </w:pPr>
        </w:p>
        <w:p w:rsidR="007E0CB1" w:rsidRDefault="007E0CB1" w:rsidP="007E0CB1">
          <w:pPr>
            <w:pStyle w:val="LLP1Otsikkotaso"/>
          </w:pPr>
          <w:bookmarkStart w:id="9" w:name="_Toc43729678"/>
          <w:r>
            <w:t>Voimaantulo</w:t>
          </w:r>
          <w:bookmarkEnd w:id="9"/>
        </w:p>
        <w:p w:rsidR="007E0CB1" w:rsidRDefault="0089684C" w:rsidP="0089684C">
          <w:pPr>
            <w:pStyle w:val="LLPerustelujenkappalejako"/>
          </w:pPr>
          <w:r w:rsidRPr="0089684C">
            <w:t>Ehdotetaan, että laki tulee voimaan 1.1.2021 ja sen voimassaolo päättyy 31.12.2021.</w:t>
          </w:r>
        </w:p>
        <w:p w:rsidR="003D729C" w:rsidRDefault="003D729C" w:rsidP="003D729C">
          <w:pPr>
            <w:pStyle w:val="LLPerustelujenkappalejako"/>
          </w:pPr>
        </w:p>
        <w:p w:rsidR="003D729C" w:rsidRDefault="003D729C" w:rsidP="003D729C">
          <w:pPr>
            <w:pStyle w:val="LLP1Otsikkotaso"/>
          </w:pPr>
          <w:bookmarkStart w:id="10" w:name="_Toc43729679"/>
          <w:r>
            <w:t>Suhde muihin esityksiin</w:t>
          </w:r>
          <w:bookmarkEnd w:id="10"/>
        </w:p>
        <w:p w:rsidR="003D729C" w:rsidRDefault="0089684C" w:rsidP="0089684C">
          <w:pPr>
            <w:pStyle w:val="LLPerustelujenkappalejako"/>
          </w:pPr>
          <w:r w:rsidRPr="0089684C">
            <w:t>Esitys liittyy esitykseen valtion vuoden 2021 talousarvioksi ja on tarkoitettu käsiteltäväksi sen yhteydessä.</w:t>
          </w:r>
        </w:p>
        <w:p w:rsidR="003D729C" w:rsidRDefault="003D729C" w:rsidP="003D729C">
          <w:pPr>
            <w:pStyle w:val="LLPerustelujenkappalejako"/>
          </w:pPr>
        </w:p>
        <w:p w:rsidR="003D729C" w:rsidRDefault="006461AD" w:rsidP="003D729C">
          <w:pPr>
            <w:pStyle w:val="LLP1Otsikkotaso"/>
          </w:pPr>
          <w:bookmarkStart w:id="11" w:name="_Toc43729680"/>
          <w:r>
            <w:t>Suhde perustuslakiin ja säätämisjärjestys</w:t>
          </w:r>
          <w:bookmarkEnd w:id="11"/>
        </w:p>
        <w:p w:rsidR="0089684C" w:rsidRPr="008941DE" w:rsidRDefault="0089684C" w:rsidP="0089684C">
          <w:pPr>
            <w:pStyle w:val="LLPerustelujenkappalejako"/>
          </w:pPr>
          <w:r w:rsidRPr="0089684C">
            <w:t xml:space="preserve">Väylämaksun puolittamisen jatkamisella ei arvioida olevan vaikutuksia perusoikeuksien toteutumiseen. Väylämaksu on oikeudelliselta luonteeltaan vero ja esityksessä ehdotetaan sen alentamisen jatkamista kaikilta lain soveltamisalan piiriin kuuluvilta toimijoilta, jolloin toimenpide </w:t>
          </w:r>
          <w:r w:rsidRPr="0089684C">
            <w:lastRenderedPageBreak/>
            <w:t>kohtelee mainittuja toimijoita perustuslain 6 §:n mukaisen yhdenvertaisuusperiaatteen mukaisesti keskenään yhdenvertaisesti. Esityksellä ei arvioida olevan vaikutuksia perustuslain 18 §:n mukaiseen elinkeinovapauteen.</w:t>
          </w:r>
        </w:p>
        <w:p w:rsidR="0089684C" w:rsidRPr="0089684C" w:rsidRDefault="0089684C" w:rsidP="0089684C">
          <w:pPr>
            <w:pStyle w:val="LLPerustelujenkappalejako"/>
          </w:pPr>
          <w:r w:rsidRPr="0089684C">
            <w:t>Esityksellä pyritään tukemaan merenkulkuelinkeinoa COVID-19-tartuntatautiepidemian aiheuttamissa poikkeusoloissa.</w:t>
          </w:r>
        </w:p>
        <w:p w:rsidR="008414FE" w:rsidRPr="0089684C" w:rsidRDefault="0089684C" w:rsidP="0089684C">
          <w:pPr>
            <w:pStyle w:val="LLPerustelujenkappalejako"/>
          </w:pPr>
          <w:r w:rsidRPr="0089684C">
            <w:t>Edellä mainituilla perusteilla lakiehdotus voidaan käsitellä tavallisessa lainsäätämisjärjestyksessä.</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12" w:name="_Toc43729681"/>
    <w:p w:rsidR="00646DE3" w:rsidRDefault="007F6FAD" w:rsidP="00646DE3">
      <w:pPr>
        <w:pStyle w:val="LLLakiehdotukset"/>
      </w:pPr>
      <w:sdt>
        <w:sdtPr>
          <w:alias w:val="Lakiehdotukset"/>
          <w:tag w:val="CCLakiehdotukset"/>
          <w:id w:val="1834638829"/>
          <w:placeholder>
            <w:docPart w:val="3C3F5981C0FF4077BBA77D87D4E97621"/>
          </w:placeholder>
          <w15:color w:val="00FFFF"/>
          <w:dropDownList>
            <w:listItem w:value="Valitse kohde."/>
            <w:listItem w:displayText="Lakiehdotus" w:value="Lakiehdotus"/>
            <w:listItem w:displayText="Lakiehdotukset" w:value="Lakiehdotukset"/>
          </w:dropDownList>
        </w:sdtPr>
        <w:sdtEndPr/>
        <w:sdtContent>
          <w:r w:rsidR="00606930">
            <w:t>Lakiehdotus</w:t>
          </w:r>
        </w:sdtContent>
      </w:sdt>
      <w:bookmarkEnd w:id="12"/>
    </w:p>
    <w:sdt>
      <w:sdtPr>
        <w:alias w:val="Lakiehdotus"/>
        <w:tag w:val="CCLakiehdotukset"/>
        <w:id w:val="1695884352"/>
        <w:placeholder>
          <w:docPart w:val="A4FE41D9F9744D31B5D6F556A776E670"/>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606930" w:rsidP="0082264A">
          <w:pPr>
            <w:pStyle w:val="LLSaadoksenNimi"/>
          </w:pPr>
          <w:bookmarkStart w:id="13" w:name="_Toc43729682"/>
          <w:r w:rsidRPr="00606930">
            <w:t>väylämaksulain muuttamisesta ja väliaikaisesta muuttamisesta annetun lain voimaantulosäännöksen muuttamisesta</w:t>
          </w:r>
          <w:bookmarkEnd w:id="13"/>
        </w:p>
        <w:p w:rsidR="009167E1" w:rsidRPr="00606930" w:rsidRDefault="009167E1" w:rsidP="009167E1">
          <w:pPr>
            <w:pStyle w:val="LLJohtolauseKappaleet"/>
          </w:pPr>
          <w:r w:rsidRPr="009167E1">
            <w:t xml:space="preserve">Eduskunnan päätöksen mukaisesti </w:t>
          </w:r>
        </w:p>
        <w:p w:rsidR="00DD46C1" w:rsidRDefault="009167E1" w:rsidP="009167E1">
          <w:pPr>
            <w:pStyle w:val="LLJohtolauseKappaleet"/>
          </w:pPr>
          <w:r w:rsidRPr="009167E1">
            <w:rPr>
              <w:i/>
            </w:rPr>
            <w:t>muutetaan</w:t>
          </w:r>
          <w:r w:rsidR="00606930">
            <w:rPr>
              <w:i/>
            </w:rPr>
            <w:t xml:space="preserve"> </w:t>
          </w:r>
          <w:r w:rsidR="00606930" w:rsidRPr="00606930">
            <w:t>väylämaksulain muuttamisesta ja väliaikaisesta muuttamisesta annetun lain (1214/2014) voimaantulosäännöksen 1 momentti, sellaisena kuin se on laissa 904/2018, seuraavasti:</w:t>
          </w:r>
        </w:p>
        <w:p w:rsidR="008941DE" w:rsidRDefault="008941DE" w:rsidP="008941DE">
          <w:pPr>
            <w:pStyle w:val="LLNormaali"/>
          </w:pPr>
        </w:p>
        <w:p w:rsidR="008941DE" w:rsidRPr="00606930" w:rsidRDefault="008941DE" w:rsidP="008941DE">
          <w:pPr>
            <w:pStyle w:val="LLNormaali"/>
          </w:pPr>
        </w:p>
        <w:p w:rsidR="008941DE" w:rsidRDefault="008941DE" w:rsidP="002241CC">
          <w:pPr>
            <w:pStyle w:val="LLKappalejako"/>
          </w:pPr>
          <w:r>
            <w:t>Tämä laki tulee voimaan 1 päivänä tammikuuta 2021. Lain 6 ja 8 § ovat voimassa 31 päivää</w:t>
          </w:r>
          <w:r w:rsidR="002241CC">
            <w:t>n  j</w:t>
          </w:r>
          <w:r>
            <w:t>oulukuuta 2021.</w:t>
          </w:r>
        </w:p>
        <w:p w:rsidR="0000497A" w:rsidRDefault="008941DE" w:rsidP="008941DE">
          <w:pPr>
            <w:pStyle w:val="LLNormaali"/>
          </w:pPr>
          <w:r w:rsidRPr="009167E1">
            <w:t>— — — — — — — — — — — — — — — — — — — — — — — — — — — — — —</w:t>
          </w:r>
        </w:p>
        <w:p w:rsidR="009167E1" w:rsidRDefault="009167E1" w:rsidP="00F06DEC">
          <w:pPr>
            <w:pStyle w:val="LLKappalejako"/>
          </w:pPr>
        </w:p>
        <w:p w:rsidR="008941DE" w:rsidRDefault="008941DE" w:rsidP="00F06DEC">
          <w:pPr>
            <w:pStyle w:val="LLKappalejako"/>
          </w:pPr>
        </w:p>
        <w:p w:rsidR="00BA71BD" w:rsidRPr="009167E1" w:rsidRDefault="00BA71BD" w:rsidP="00BA71BD">
          <w:pPr>
            <w:pStyle w:val="LLNormaali"/>
            <w:jc w:val="center"/>
          </w:pPr>
          <w:r>
            <w:t>———</w:t>
          </w:r>
        </w:p>
        <w:p w:rsidR="00606930" w:rsidRDefault="008941DE" w:rsidP="008941DE">
          <w:pPr>
            <w:pStyle w:val="LLVoimaantulokappale"/>
          </w:pPr>
          <w:r w:rsidRPr="008941DE">
            <w:t xml:space="preserve">Tämä laki tulee voimaan     päivänä         kuuta </w:t>
          </w:r>
          <w:proofErr w:type="gramStart"/>
          <w:r w:rsidRPr="008941DE">
            <w:t>20  .</w:t>
          </w:r>
          <w:proofErr w:type="gramEnd"/>
        </w:p>
        <w:p w:rsidR="00AB6FBD" w:rsidRPr="009167E1" w:rsidRDefault="00AB6FBD" w:rsidP="0000497A">
          <w:pPr>
            <w:pStyle w:val="LLNormaali"/>
            <w:jc w:val="center"/>
          </w:pPr>
          <w:r>
            <w:t>—————</w:t>
          </w:r>
        </w:p>
        <w:p w:rsidR="003E4E0F" w:rsidRDefault="003E4E0F" w:rsidP="00BA71BD">
          <w:pPr>
            <w:pStyle w:val="LLNormaali"/>
            <w:jc w:val="center"/>
          </w:pPr>
        </w:p>
        <w:p w:rsidR="004A648F" w:rsidRDefault="007F6FAD" w:rsidP="003E4E0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F453EB603375418A89123DB89C2484CE"/>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F453EB603375418A89123DB89C2484CE"/>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606930" w:rsidP="005F6E65">
      <w:pPr>
        <w:pStyle w:val="LLVarmennus"/>
      </w:pPr>
      <w:r w:rsidRPr="00606930">
        <w:t>Liikenne- ja viestintäministeri Timo Harakka</w:t>
      </w:r>
    </w:p>
    <w:p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rsidR="00247DAA" w:rsidRDefault="00247DAA" w:rsidP="00247DAA">
      <w:pPr>
        <w:pStyle w:val="LLNormaali"/>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A1" w:rsidRDefault="006D73A1">
      <w:r>
        <w:separator/>
      </w:r>
    </w:p>
  </w:endnote>
  <w:endnote w:type="continuationSeparator" w:id="0">
    <w:p w:rsidR="006D73A1" w:rsidRDefault="006D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A1" w:rsidRDefault="006D73A1"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D73A1" w:rsidRDefault="006D73A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D73A1" w:rsidTr="000C5020">
      <w:trPr>
        <w:trHeight w:hRule="exact" w:val="356"/>
      </w:trPr>
      <w:tc>
        <w:tcPr>
          <w:tcW w:w="2828" w:type="dxa"/>
          <w:shd w:val="clear" w:color="auto" w:fill="auto"/>
          <w:vAlign w:val="bottom"/>
        </w:tcPr>
        <w:p w:rsidR="006D73A1" w:rsidRPr="000C5020" w:rsidRDefault="006D73A1" w:rsidP="001310B9">
          <w:pPr>
            <w:pStyle w:val="Alatunniste"/>
            <w:rPr>
              <w:sz w:val="18"/>
              <w:szCs w:val="18"/>
            </w:rPr>
          </w:pPr>
        </w:p>
      </w:tc>
      <w:tc>
        <w:tcPr>
          <w:tcW w:w="2829" w:type="dxa"/>
          <w:shd w:val="clear" w:color="auto" w:fill="auto"/>
          <w:vAlign w:val="bottom"/>
        </w:tcPr>
        <w:p w:rsidR="006D73A1" w:rsidRPr="000C5020" w:rsidRDefault="006D73A1"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F6FAD">
            <w:rPr>
              <w:rStyle w:val="Sivunumero"/>
              <w:noProof/>
              <w:sz w:val="22"/>
            </w:rPr>
            <w:t>10</w:t>
          </w:r>
          <w:r w:rsidRPr="000C5020">
            <w:rPr>
              <w:rStyle w:val="Sivunumero"/>
              <w:sz w:val="22"/>
            </w:rPr>
            <w:fldChar w:fldCharType="end"/>
          </w:r>
        </w:p>
      </w:tc>
      <w:tc>
        <w:tcPr>
          <w:tcW w:w="2829" w:type="dxa"/>
          <w:shd w:val="clear" w:color="auto" w:fill="auto"/>
          <w:vAlign w:val="bottom"/>
        </w:tcPr>
        <w:p w:rsidR="006D73A1" w:rsidRPr="000C5020" w:rsidRDefault="006D73A1" w:rsidP="001310B9">
          <w:pPr>
            <w:pStyle w:val="Alatunniste"/>
            <w:rPr>
              <w:sz w:val="18"/>
              <w:szCs w:val="18"/>
            </w:rPr>
          </w:pPr>
        </w:p>
      </w:tc>
    </w:tr>
  </w:tbl>
  <w:p w:rsidR="006D73A1" w:rsidRDefault="006D73A1" w:rsidP="001310B9">
    <w:pPr>
      <w:pStyle w:val="Alatunniste"/>
    </w:pPr>
  </w:p>
  <w:p w:rsidR="006D73A1" w:rsidRDefault="006D73A1" w:rsidP="001310B9">
    <w:pPr>
      <w:pStyle w:val="Alatunniste"/>
      <w:framePr w:wrap="around" w:vAnchor="text" w:hAnchor="page" w:x="5921" w:y="729"/>
      <w:rPr>
        <w:rStyle w:val="Sivunumero"/>
      </w:rPr>
    </w:pPr>
  </w:p>
  <w:p w:rsidR="006D73A1" w:rsidRDefault="006D73A1"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D73A1" w:rsidTr="000C5020">
      <w:trPr>
        <w:trHeight w:val="841"/>
      </w:trPr>
      <w:tc>
        <w:tcPr>
          <w:tcW w:w="2829" w:type="dxa"/>
          <w:shd w:val="clear" w:color="auto" w:fill="auto"/>
        </w:tcPr>
        <w:p w:rsidR="006D73A1" w:rsidRPr="000C5020" w:rsidRDefault="006D73A1" w:rsidP="005224A0">
          <w:pPr>
            <w:pStyle w:val="Alatunniste"/>
            <w:rPr>
              <w:sz w:val="17"/>
              <w:szCs w:val="18"/>
            </w:rPr>
          </w:pPr>
        </w:p>
      </w:tc>
      <w:tc>
        <w:tcPr>
          <w:tcW w:w="2829" w:type="dxa"/>
          <w:shd w:val="clear" w:color="auto" w:fill="auto"/>
          <w:vAlign w:val="bottom"/>
        </w:tcPr>
        <w:p w:rsidR="006D73A1" w:rsidRPr="000C5020" w:rsidRDefault="006D73A1" w:rsidP="000C5020">
          <w:pPr>
            <w:pStyle w:val="Alatunniste"/>
            <w:jc w:val="center"/>
            <w:rPr>
              <w:sz w:val="22"/>
              <w:szCs w:val="22"/>
            </w:rPr>
          </w:pPr>
        </w:p>
      </w:tc>
      <w:tc>
        <w:tcPr>
          <w:tcW w:w="2829" w:type="dxa"/>
          <w:shd w:val="clear" w:color="auto" w:fill="auto"/>
        </w:tcPr>
        <w:p w:rsidR="006D73A1" w:rsidRPr="000C5020" w:rsidRDefault="006D73A1" w:rsidP="005224A0">
          <w:pPr>
            <w:pStyle w:val="Alatunniste"/>
            <w:rPr>
              <w:sz w:val="17"/>
              <w:szCs w:val="18"/>
            </w:rPr>
          </w:pPr>
        </w:p>
      </w:tc>
    </w:tr>
  </w:tbl>
  <w:p w:rsidR="006D73A1" w:rsidRPr="001310B9" w:rsidRDefault="006D73A1">
    <w:pPr>
      <w:pStyle w:val="Alatunniste"/>
      <w:rPr>
        <w:sz w:val="22"/>
        <w:szCs w:val="22"/>
      </w:rPr>
    </w:pPr>
  </w:p>
  <w:p w:rsidR="006D73A1" w:rsidRDefault="006D73A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A1" w:rsidRDefault="006D73A1">
      <w:r>
        <w:separator/>
      </w:r>
    </w:p>
  </w:footnote>
  <w:footnote w:type="continuationSeparator" w:id="0">
    <w:p w:rsidR="006D73A1" w:rsidRDefault="006D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A1" w:rsidRDefault="006D73A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D73A1" w:rsidTr="00C95716">
      <w:tc>
        <w:tcPr>
          <w:tcW w:w="2140" w:type="dxa"/>
        </w:tcPr>
        <w:p w:rsidR="006D73A1" w:rsidRDefault="006D73A1" w:rsidP="00C95716">
          <w:pPr>
            <w:rPr>
              <w:lang w:val="en-US"/>
            </w:rPr>
          </w:pPr>
        </w:p>
      </w:tc>
      <w:tc>
        <w:tcPr>
          <w:tcW w:w="4281" w:type="dxa"/>
          <w:gridSpan w:val="2"/>
        </w:tcPr>
        <w:p w:rsidR="006D73A1" w:rsidRDefault="006D73A1" w:rsidP="00C95716">
          <w:pPr>
            <w:jc w:val="center"/>
          </w:pPr>
        </w:p>
      </w:tc>
      <w:tc>
        <w:tcPr>
          <w:tcW w:w="2141" w:type="dxa"/>
        </w:tcPr>
        <w:p w:rsidR="006D73A1" w:rsidRDefault="006D73A1" w:rsidP="00C95716">
          <w:pPr>
            <w:rPr>
              <w:lang w:val="en-US"/>
            </w:rPr>
          </w:pPr>
        </w:p>
      </w:tc>
    </w:tr>
    <w:tr w:rsidR="006D73A1" w:rsidTr="00C95716">
      <w:tc>
        <w:tcPr>
          <w:tcW w:w="4281" w:type="dxa"/>
          <w:gridSpan w:val="2"/>
        </w:tcPr>
        <w:p w:rsidR="006D73A1" w:rsidRPr="00AC3BA6" w:rsidRDefault="006D73A1" w:rsidP="00C95716">
          <w:pPr>
            <w:rPr>
              <w:i/>
            </w:rPr>
          </w:pPr>
        </w:p>
      </w:tc>
      <w:tc>
        <w:tcPr>
          <w:tcW w:w="4281" w:type="dxa"/>
          <w:gridSpan w:val="2"/>
        </w:tcPr>
        <w:p w:rsidR="006D73A1" w:rsidRPr="00AC3BA6" w:rsidRDefault="006D73A1" w:rsidP="00C95716">
          <w:pPr>
            <w:rPr>
              <w:i/>
            </w:rPr>
          </w:pPr>
        </w:p>
      </w:tc>
    </w:tr>
  </w:tbl>
  <w:p w:rsidR="006D73A1" w:rsidRDefault="006D73A1"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D73A1" w:rsidTr="00F674CC">
      <w:tc>
        <w:tcPr>
          <w:tcW w:w="2140" w:type="dxa"/>
        </w:tcPr>
        <w:p w:rsidR="006D73A1" w:rsidRPr="00A34F4E" w:rsidRDefault="006D73A1" w:rsidP="00F674CC"/>
      </w:tc>
      <w:tc>
        <w:tcPr>
          <w:tcW w:w="4281" w:type="dxa"/>
          <w:gridSpan w:val="2"/>
        </w:tcPr>
        <w:p w:rsidR="006D73A1" w:rsidRDefault="006D73A1" w:rsidP="00F674CC">
          <w:pPr>
            <w:jc w:val="center"/>
          </w:pPr>
        </w:p>
      </w:tc>
      <w:tc>
        <w:tcPr>
          <w:tcW w:w="2141" w:type="dxa"/>
        </w:tcPr>
        <w:p w:rsidR="006D73A1" w:rsidRPr="00A34F4E" w:rsidRDefault="006D73A1" w:rsidP="00F674CC"/>
      </w:tc>
    </w:tr>
    <w:tr w:rsidR="006D73A1" w:rsidTr="00F674CC">
      <w:tc>
        <w:tcPr>
          <w:tcW w:w="4281" w:type="dxa"/>
          <w:gridSpan w:val="2"/>
        </w:tcPr>
        <w:p w:rsidR="006D73A1" w:rsidRPr="00AC3BA6" w:rsidRDefault="006D73A1" w:rsidP="00F674CC">
          <w:pPr>
            <w:rPr>
              <w:i/>
            </w:rPr>
          </w:pPr>
        </w:p>
      </w:tc>
      <w:tc>
        <w:tcPr>
          <w:tcW w:w="4281" w:type="dxa"/>
          <w:gridSpan w:val="2"/>
        </w:tcPr>
        <w:p w:rsidR="006D73A1" w:rsidRPr="00AC3BA6" w:rsidRDefault="006D73A1" w:rsidP="00F674CC">
          <w:pPr>
            <w:rPr>
              <w:i/>
            </w:rPr>
          </w:pPr>
        </w:p>
      </w:tc>
    </w:tr>
  </w:tbl>
  <w:p w:rsidR="006D73A1" w:rsidRDefault="006D73A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E9"/>
    <w:rsid w:val="00000B13"/>
    <w:rsid w:val="00000D79"/>
    <w:rsid w:val="00001C65"/>
    <w:rsid w:val="000026A6"/>
    <w:rsid w:val="00002765"/>
    <w:rsid w:val="00003D02"/>
    <w:rsid w:val="000046E8"/>
    <w:rsid w:val="0000497A"/>
    <w:rsid w:val="00005736"/>
    <w:rsid w:val="00006393"/>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D29"/>
    <w:rsid w:val="00052E56"/>
    <w:rsid w:val="00053D25"/>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6652"/>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41CC"/>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1CAA"/>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1A9"/>
    <w:rsid w:val="00337B35"/>
    <w:rsid w:val="00342547"/>
    <w:rsid w:val="00343148"/>
    <w:rsid w:val="003433C2"/>
    <w:rsid w:val="00343EC6"/>
    <w:rsid w:val="003509C9"/>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513C"/>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703"/>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D73A9"/>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165"/>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23B"/>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30"/>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0FE9"/>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D73A1"/>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5A0A"/>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7F6FAD"/>
    <w:rsid w:val="00800ADC"/>
    <w:rsid w:val="00801EDC"/>
    <w:rsid w:val="00803E18"/>
    <w:rsid w:val="00807643"/>
    <w:rsid w:val="008130D3"/>
    <w:rsid w:val="00814E3D"/>
    <w:rsid w:val="00815458"/>
    <w:rsid w:val="00815D87"/>
    <w:rsid w:val="00816AFB"/>
    <w:rsid w:val="00816EB6"/>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77B99"/>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41DE"/>
    <w:rsid w:val="00896403"/>
    <w:rsid w:val="0089684C"/>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3AD0"/>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287"/>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FB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3A6A"/>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D6F46"/>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2E57"/>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097F"/>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2C"/>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D6"/>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0CC7"/>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9A4"/>
    <w:rsid w:val="00F95AD1"/>
    <w:rsid w:val="00F973F8"/>
    <w:rsid w:val="00F9744E"/>
    <w:rsid w:val="00F97695"/>
    <w:rsid w:val="00FA0014"/>
    <w:rsid w:val="00FA015D"/>
    <w:rsid w:val="00FA1026"/>
    <w:rsid w:val="00FA1DA0"/>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4210CF"/>
  <w15:docId w15:val="{082FC91D-9518-4C7E-87BB-67BA8934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5890\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53EB603375418A89123DB89C2484CE"/>
        <w:category>
          <w:name w:val="Yleiset"/>
          <w:gallery w:val="placeholder"/>
        </w:category>
        <w:types>
          <w:type w:val="bbPlcHdr"/>
        </w:types>
        <w:behaviors>
          <w:behavior w:val="content"/>
        </w:behaviors>
        <w:guid w:val="{AB359093-3405-4204-BC29-9D3C1C1F704B}"/>
      </w:docPartPr>
      <w:docPartBody>
        <w:p w:rsidR="004A1D3E" w:rsidRDefault="004A1D3E">
          <w:pPr>
            <w:pStyle w:val="F453EB603375418A89123DB89C2484CE"/>
          </w:pPr>
          <w:r w:rsidRPr="005D3E42">
            <w:rPr>
              <w:rStyle w:val="Paikkamerkkiteksti"/>
            </w:rPr>
            <w:t>Click or tap here to enter text.</w:t>
          </w:r>
        </w:p>
      </w:docPartBody>
    </w:docPart>
    <w:docPart>
      <w:docPartPr>
        <w:name w:val="FFA966EF144F42C29B19B0759A9031DC"/>
        <w:category>
          <w:name w:val="Yleiset"/>
          <w:gallery w:val="placeholder"/>
        </w:category>
        <w:types>
          <w:type w:val="bbPlcHdr"/>
        </w:types>
        <w:behaviors>
          <w:behavior w:val="content"/>
        </w:behaviors>
        <w:guid w:val="{09FD0FAE-10FE-4269-B157-14B0A4C21831}"/>
      </w:docPartPr>
      <w:docPartBody>
        <w:p w:rsidR="004A1D3E" w:rsidRDefault="004A1D3E">
          <w:pPr>
            <w:pStyle w:val="FFA966EF144F42C29B19B0759A9031DC"/>
          </w:pPr>
          <w:r w:rsidRPr="005D3E42">
            <w:rPr>
              <w:rStyle w:val="Paikkamerkkiteksti"/>
            </w:rPr>
            <w:t>Click or tap here to enter text.</w:t>
          </w:r>
        </w:p>
      </w:docPartBody>
    </w:docPart>
    <w:docPart>
      <w:docPartPr>
        <w:name w:val="99110BDB547B4CD0AF65E7B7ED57AF89"/>
        <w:category>
          <w:name w:val="Yleiset"/>
          <w:gallery w:val="placeholder"/>
        </w:category>
        <w:types>
          <w:type w:val="bbPlcHdr"/>
        </w:types>
        <w:behaviors>
          <w:behavior w:val="content"/>
        </w:behaviors>
        <w:guid w:val="{6C7C2660-5918-40FE-9865-F03F348070C7}"/>
      </w:docPartPr>
      <w:docPartBody>
        <w:p w:rsidR="004A1D3E" w:rsidRDefault="004A1D3E">
          <w:pPr>
            <w:pStyle w:val="99110BDB547B4CD0AF65E7B7ED57AF89"/>
          </w:pPr>
          <w:r w:rsidRPr="002B458A">
            <w:rPr>
              <w:rStyle w:val="Paikkamerkkiteksti"/>
            </w:rPr>
            <w:t>Kirjoita tekstiä napsauttamalla tai napauttamalla tätä.</w:t>
          </w:r>
        </w:p>
      </w:docPartBody>
    </w:docPart>
    <w:docPart>
      <w:docPartPr>
        <w:name w:val="3C3F5981C0FF4077BBA77D87D4E97621"/>
        <w:category>
          <w:name w:val="Yleiset"/>
          <w:gallery w:val="placeholder"/>
        </w:category>
        <w:types>
          <w:type w:val="bbPlcHdr"/>
        </w:types>
        <w:behaviors>
          <w:behavior w:val="content"/>
        </w:behaviors>
        <w:guid w:val="{E65F186C-D931-4462-B12B-7DD71B129C0D}"/>
      </w:docPartPr>
      <w:docPartBody>
        <w:p w:rsidR="004A1D3E" w:rsidRDefault="004A1D3E">
          <w:pPr>
            <w:pStyle w:val="3C3F5981C0FF4077BBA77D87D4E97621"/>
          </w:pPr>
          <w:r w:rsidRPr="00E27C6D">
            <w:t>Valitse kohde.</w:t>
          </w:r>
        </w:p>
      </w:docPartBody>
    </w:docPart>
    <w:docPart>
      <w:docPartPr>
        <w:name w:val="A4FE41D9F9744D31B5D6F556A776E670"/>
        <w:category>
          <w:name w:val="Yleiset"/>
          <w:gallery w:val="placeholder"/>
        </w:category>
        <w:types>
          <w:type w:val="bbPlcHdr"/>
        </w:types>
        <w:behaviors>
          <w:behavior w:val="content"/>
        </w:behaviors>
        <w:guid w:val="{D4E74602-1701-4DDB-92BD-FE7BBF23AAA0}"/>
      </w:docPartPr>
      <w:docPartBody>
        <w:p w:rsidR="004A1D3E" w:rsidRDefault="004A1D3E">
          <w:pPr>
            <w:pStyle w:val="A4FE41D9F9744D31B5D6F556A776E670"/>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3E"/>
    <w:rsid w:val="004A1D3E"/>
    <w:rsid w:val="006549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453EB603375418A89123DB89C2484CE">
    <w:name w:val="F453EB603375418A89123DB89C2484CE"/>
  </w:style>
  <w:style w:type="paragraph" w:customStyle="1" w:styleId="FFA966EF144F42C29B19B0759A9031DC">
    <w:name w:val="FFA966EF144F42C29B19B0759A9031DC"/>
  </w:style>
  <w:style w:type="paragraph" w:customStyle="1" w:styleId="99110BDB547B4CD0AF65E7B7ED57AF89">
    <w:name w:val="99110BDB547B4CD0AF65E7B7ED57AF89"/>
  </w:style>
  <w:style w:type="paragraph" w:customStyle="1" w:styleId="3C3F5981C0FF4077BBA77D87D4E97621">
    <w:name w:val="3C3F5981C0FF4077BBA77D87D4E97621"/>
  </w:style>
  <w:style w:type="paragraph" w:customStyle="1" w:styleId="A4FE41D9F9744D31B5D6F556A776E670">
    <w:name w:val="A4FE41D9F9744D31B5D6F556A776E670"/>
  </w:style>
  <w:style w:type="paragraph" w:customStyle="1" w:styleId="C0A781E88652408B8474C30851FDDAFB">
    <w:name w:val="C0A781E88652408B8474C30851FDD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E194-6E16-47AE-AF2D-B39B550C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7</TotalTime>
  <Pages>10</Pages>
  <Words>2284</Words>
  <Characters>18537</Characters>
  <Application>Microsoft Office Word</Application>
  <DocSecurity>0</DocSecurity>
  <Lines>154</Lines>
  <Paragraphs>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Ahonen Emma</dc:creator>
  <cp:keywords/>
  <dc:description/>
  <cp:lastModifiedBy>Tervonen Juha (LVM)</cp:lastModifiedBy>
  <cp:revision>3</cp:revision>
  <cp:lastPrinted>2017-12-04T10:02:00Z</cp:lastPrinted>
  <dcterms:created xsi:type="dcterms:W3CDTF">2020-06-24T07:13:00Z</dcterms:created>
  <dcterms:modified xsi:type="dcterms:W3CDTF">2020-06-24T07:50:00Z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