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4DCC" w:rsidRDefault="003C4DCC" w:rsidP="000A06A9">
      <w:bookmarkStart w:id="0" w:name="_GoBack"/>
      <w:bookmarkEnd w:id="0"/>
    </w:p>
    <w:p w:rsidR="00EF3AF3" w:rsidRDefault="00EF3AF3" w:rsidP="00536F30">
      <w:pPr>
        <w:pStyle w:val="LLEsityksennimi"/>
      </w:pPr>
      <w:r>
        <w:t>Regeringens proposition till riksdagen med förslag till lag om ändring av ikraftträdandebestämmelsen i en lag om ändring och temporär ändring av lagen om farledsavgift</w:t>
      </w:r>
    </w:p>
    <w:bookmarkStart w:id="1" w:name="_Toc43729670" w:displacedByCustomXml="next"/>
    <w:sdt>
      <w:sdtPr>
        <w:alias w:val="Rubrik"/>
        <w:tag w:val="CCOtsikko"/>
        <w:id w:val="-717274869"/>
        <w:lock w:val="sdtLocked"/>
        <w:placeholder>
          <w:docPart w:val="F453EB603375418A89123DB89C2484CE"/>
        </w:placeholder>
        <w15:color w:val="00CCFF"/>
      </w:sdtPr>
      <w:sdtEndPr/>
      <w:sdtContent>
        <w:p w:rsidR="005A0584" w:rsidRDefault="005A0584" w:rsidP="005A0584">
          <w:pPr>
            <w:pStyle w:val="LLPasiallinensislt"/>
          </w:pPr>
          <w:r>
            <w:t>PROPOSITIONENS HUVUDSAKLIGA INNEHÅLL</w:t>
          </w:r>
        </w:p>
      </w:sdtContent>
    </w:sdt>
    <w:bookmarkEnd w:id="1" w:displacedByCustomXml="prev"/>
    <w:sdt>
      <w:sdtPr>
        <w:alias w:val="Huvudsakligt innehåll"/>
        <w:tag w:val="CCsisaltokappale"/>
        <w:id w:val="773754789"/>
        <w:lock w:val="sdtLocked"/>
        <w:placeholder>
          <w:docPart w:val="FFA966EF144F42C29B19B0759A9031DC"/>
        </w:placeholder>
        <w15:color w:val="00CCFF"/>
      </w:sdtPr>
      <w:sdtEndPr/>
      <w:sdtContent>
        <w:p w:rsidR="0089684C" w:rsidRDefault="0089684C" w:rsidP="0089684C">
          <w:pPr>
            <w:pStyle w:val="LLPerustelujenkappalejako"/>
          </w:pPr>
          <w:r>
            <w:t>I denna proposition föreslås det en ändring av en lag om ändring och temporär ändring av lagen om farledsavgift. Farledsavgiften har varit halverad 2015–2020. Det föreslås att halveringen ska fortsätta att gälla också under 2021.</w:t>
          </w:r>
        </w:p>
        <w:p w:rsidR="00A2544B" w:rsidRDefault="0089684C" w:rsidP="0089684C">
          <w:pPr>
            <w:pStyle w:val="LLPerustelujenkappalejako"/>
          </w:pPr>
          <w:r>
            <w:t>Propositionen hänför sig till budgetpropositionen för 2021 och avses bli behandlad i samband med den.</w:t>
          </w:r>
        </w:p>
        <w:p w:rsidR="005A0584" w:rsidRPr="00BC6172" w:rsidRDefault="0089684C" w:rsidP="00BC6172">
          <w:pPr>
            <w:pStyle w:val="LLPerustelujenkappalejako"/>
          </w:pPr>
          <w:r>
            <w:t>Lagen avses träda i kraft den 1 januari 2021 och gälla till och med den 31 december 2021.</w:t>
          </w:r>
        </w:p>
      </w:sdtContent>
    </w:sdt>
    <w:p w:rsidR="005A0584" w:rsidRPr="000852C2" w:rsidRDefault="0076114C" w:rsidP="00612C71">
      <w:pPr>
        <w:pStyle w:val="LLNormaali"/>
        <w:jc w:val="center"/>
      </w:pPr>
      <w:r>
        <w:t>—————</w:t>
      </w:r>
      <w:r>
        <w:br w:type="page"/>
      </w:r>
    </w:p>
    <w:p w:rsidR="00095BC2" w:rsidRDefault="00095BC2" w:rsidP="00612C71">
      <w:pPr>
        <w:pStyle w:val="LLSisllys"/>
      </w:pPr>
      <w:r>
        <w:lastRenderedPageBreak/>
        <w:t>Innehåll</w:t>
      </w:r>
    </w:p>
    <w:p w:rsidR="00816EB6" w:rsidRDefault="00EF5E41">
      <w:pPr>
        <w:pStyle w:val="Sisluet1"/>
        <w:rPr>
          <w:rFonts w:asciiTheme="minorHAnsi" w:eastAsiaTheme="minorEastAsia" w:hAnsiTheme="minorHAnsi" w:cstheme="minorBidi"/>
          <w:bCs w:val="0"/>
          <w:caps w:val="0"/>
          <w:noProof/>
          <w:szCs w:val="22"/>
        </w:rPr>
      </w:pPr>
      <w:r w:rsidRPr="00EF5E41">
        <w:rPr>
          <w:bCs w:val="0"/>
          <w:caps w:val="0"/>
        </w:rPr>
        <w:t>PROPOSITIONENS HUVUDSAKLIGA INNEHÅLL</w:t>
      </w:r>
      <w:r w:rsidR="00095BC2">
        <w:rPr>
          <w:bCs w:val="0"/>
          <w:caps w:val="0"/>
        </w:rPr>
        <w:fldChar w:fldCharType="begin"/>
      </w:r>
      <w:r w:rsidR="00095BC2">
        <w:rPr>
          <w:bCs w:val="0"/>
          <w:caps w:val="0"/>
        </w:rPr>
        <w:instrText xml:space="preserve"> TOC \o "3-3" \h \z \t "Otsikko 1;1;Otsikko 2;2;LLLakiehdotukset;1;LLLiite;1;LLAsetusluonnokset;1;LLMuutliitteet;1;LLRinnakkaistekstit;1;LLPääasiallinensisältö;1;LLperustelut;1;LLP1Otsikkotaso;2;LLP2Otsikkotaso;3;LLP4Otsikkotaso;3;LLLiiteOtsikko;1" </w:instrText>
      </w:r>
      <w:r w:rsidR="00095BC2">
        <w:rPr>
          <w:bCs w:val="0"/>
          <w:caps w:val="0"/>
        </w:rPr>
        <w:fldChar w:fldCharType="separate"/>
      </w:r>
      <w:hyperlink w:anchor="_Toc43729670" w:history="1">
        <w:r w:rsidR="00816EB6">
          <w:rPr>
            <w:noProof/>
            <w:webHidden/>
          </w:rPr>
          <w:tab/>
        </w:r>
        <w:r w:rsidR="00816EB6">
          <w:rPr>
            <w:noProof/>
            <w:webHidden/>
          </w:rPr>
          <w:fldChar w:fldCharType="begin"/>
        </w:r>
        <w:r w:rsidR="00816EB6">
          <w:rPr>
            <w:noProof/>
            <w:webHidden/>
          </w:rPr>
          <w:instrText xml:space="preserve"> PAGEREF _Toc43729670 \h </w:instrText>
        </w:r>
        <w:r w:rsidR="00816EB6">
          <w:rPr>
            <w:noProof/>
            <w:webHidden/>
          </w:rPr>
        </w:r>
        <w:r w:rsidR="00816EB6">
          <w:rPr>
            <w:noProof/>
            <w:webHidden/>
          </w:rPr>
          <w:fldChar w:fldCharType="separate"/>
        </w:r>
        <w:r w:rsidR="007E1D48">
          <w:rPr>
            <w:noProof/>
            <w:webHidden/>
          </w:rPr>
          <w:t>1</w:t>
        </w:r>
        <w:r w:rsidR="00816EB6">
          <w:rPr>
            <w:noProof/>
            <w:webHidden/>
          </w:rPr>
          <w:fldChar w:fldCharType="end"/>
        </w:r>
      </w:hyperlink>
    </w:p>
    <w:p w:rsidR="00816EB6" w:rsidRDefault="002C6F0A">
      <w:pPr>
        <w:pStyle w:val="Sisluet1"/>
        <w:rPr>
          <w:rFonts w:asciiTheme="minorHAnsi" w:eastAsiaTheme="minorEastAsia" w:hAnsiTheme="minorHAnsi" w:cstheme="minorBidi"/>
          <w:bCs w:val="0"/>
          <w:caps w:val="0"/>
          <w:noProof/>
          <w:szCs w:val="22"/>
        </w:rPr>
      </w:pPr>
      <w:hyperlink w:anchor="_Toc43729671" w:history="1">
        <w:r w:rsidR="00EF5E41">
          <w:rPr>
            <w:rStyle w:val="Hyperlinkki"/>
            <w:noProof/>
          </w:rPr>
          <w:t>MOTIVERING</w:t>
        </w:r>
        <w:r w:rsidR="00816EB6">
          <w:rPr>
            <w:noProof/>
            <w:webHidden/>
          </w:rPr>
          <w:tab/>
        </w:r>
        <w:r w:rsidR="00816EB6">
          <w:rPr>
            <w:noProof/>
            <w:webHidden/>
          </w:rPr>
          <w:fldChar w:fldCharType="begin"/>
        </w:r>
        <w:r w:rsidR="00816EB6">
          <w:rPr>
            <w:noProof/>
            <w:webHidden/>
          </w:rPr>
          <w:instrText xml:space="preserve"> PAGEREF _Toc43729671 \h </w:instrText>
        </w:r>
        <w:r w:rsidR="00816EB6">
          <w:rPr>
            <w:noProof/>
            <w:webHidden/>
          </w:rPr>
        </w:r>
        <w:r w:rsidR="00816EB6">
          <w:rPr>
            <w:noProof/>
            <w:webHidden/>
          </w:rPr>
          <w:fldChar w:fldCharType="separate"/>
        </w:r>
        <w:r w:rsidR="007E1D48">
          <w:rPr>
            <w:noProof/>
            <w:webHidden/>
          </w:rPr>
          <w:t>3</w:t>
        </w:r>
        <w:r w:rsidR="00816EB6">
          <w:rPr>
            <w:noProof/>
            <w:webHidden/>
          </w:rPr>
          <w:fldChar w:fldCharType="end"/>
        </w:r>
      </w:hyperlink>
    </w:p>
    <w:p w:rsidR="00816EB6" w:rsidRDefault="002C6F0A">
      <w:pPr>
        <w:pStyle w:val="Sisluet2"/>
        <w:rPr>
          <w:rFonts w:asciiTheme="minorHAnsi" w:eastAsiaTheme="minorEastAsia" w:hAnsiTheme="minorHAnsi" w:cstheme="minorBidi"/>
          <w:szCs w:val="22"/>
        </w:rPr>
      </w:pPr>
      <w:hyperlink w:anchor="_Toc43729672" w:history="1">
        <w:r w:rsidR="00EF5E41" w:rsidRPr="00EF5E41">
          <w:rPr>
            <w:rStyle w:val="Hyperlinkki"/>
          </w:rPr>
          <w:t>1 Bakgrund och beredning</w:t>
        </w:r>
        <w:r w:rsidR="00816EB6">
          <w:rPr>
            <w:webHidden/>
          </w:rPr>
          <w:tab/>
        </w:r>
        <w:r w:rsidR="00816EB6">
          <w:rPr>
            <w:webHidden/>
          </w:rPr>
          <w:fldChar w:fldCharType="begin"/>
        </w:r>
        <w:r w:rsidR="00816EB6">
          <w:rPr>
            <w:webHidden/>
          </w:rPr>
          <w:instrText xml:space="preserve"> PAGEREF _Toc43729672 \h </w:instrText>
        </w:r>
        <w:r w:rsidR="00816EB6">
          <w:rPr>
            <w:webHidden/>
          </w:rPr>
        </w:r>
        <w:r w:rsidR="00816EB6">
          <w:rPr>
            <w:webHidden/>
          </w:rPr>
          <w:fldChar w:fldCharType="separate"/>
        </w:r>
        <w:r w:rsidR="007E1D48">
          <w:rPr>
            <w:webHidden/>
          </w:rPr>
          <w:t>3</w:t>
        </w:r>
        <w:r w:rsidR="00816EB6">
          <w:rPr>
            <w:webHidden/>
          </w:rPr>
          <w:fldChar w:fldCharType="end"/>
        </w:r>
      </w:hyperlink>
    </w:p>
    <w:p w:rsidR="00816EB6" w:rsidRDefault="00EF5E41">
      <w:pPr>
        <w:pStyle w:val="Sisluet2"/>
        <w:rPr>
          <w:rFonts w:asciiTheme="minorHAnsi" w:eastAsiaTheme="minorEastAsia" w:hAnsiTheme="minorHAnsi" w:cstheme="minorBidi"/>
          <w:szCs w:val="22"/>
        </w:rPr>
      </w:pPr>
      <w:r w:rsidRPr="00EF5E41">
        <w:t>2 Nuläge och bedömning av nuläget</w:t>
      </w:r>
      <w:hyperlink w:anchor="_Toc43729673" w:history="1">
        <w:r w:rsidR="00816EB6">
          <w:rPr>
            <w:webHidden/>
          </w:rPr>
          <w:tab/>
        </w:r>
        <w:r w:rsidR="00816EB6">
          <w:rPr>
            <w:webHidden/>
          </w:rPr>
          <w:fldChar w:fldCharType="begin"/>
        </w:r>
        <w:r w:rsidR="00816EB6">
          <w:rPr>
            <w:webHidden/>
          </w:rPr>
          <w:instrText xml:space="preserve"> PAGEREF _Toc43729673 \h </w:instrText>
        </w:r>
        <w:r w:rsidR="00816EB6">
          <w:rPr>
            <w:webHidden/>
          </w:rPr>
        </w:r>
        <w:r w:rsidR="00816EB6">
          <w:rPr>
            <w:webHidden/>
          </w:rPr>
          <w:fldChar w:fldCharType="separate"/>
        </w:r>
        <w:r w:rsidR="007E1D48">
          <w:rPr>
            <w:webHidden/>
          </w:rPr>
          <w:t>3</w:t>
        </w:r>
        <w:r w:rsidR="00816EB6">
          <w:rPr>
            <w:webHidden/>
          </w:rPr>
          <w:fldChar w:fldCharType="end"/>
        </w:r>
      </w:hyperlink>
    </w:p>
    <w:p w:rsidR="00816EB6" w:rsidRDefault="002C6F0A">
      <w:pPr>
        <w:pStyle w:val="Sisluet2"/>
        <w:rPr>
          <w:rFonts w:asciiTheme="minorHAnsi" w:eastAsiaTheme="minorEastAsia" w:hAnsiTheme="minorHAnsi" w:cstheme="minorBidi"/>
          <w:szCs w:val="22"/>
        </w:rPr>
      </w:pPr>
      <w:hyperlink w:anchor="_Toc43729674" w:history="1">
        <w:r w:rsidR="00EF5E41">
          <w:rPr>
            <w:rStyle w:val="Hyperlinkki"/>
          </w:rPr>
          <w:t xml:space="preserve">3 </w:t>
        </w:r>
        <w:r w:rsidR="00EF5E41" w:rsidRPr="00EF5E41">
          <w:rPr>
            <w:rStyle w:val="Hyperlinkki"/>
          </w:rPr>
          <w:t>Målsättning</w:t>
        </w:r>
        <w:r w:rsidR="00816EB6">
          <w:rPr>
            <w:webHidden/>
          </w:rPr>
          <w:tab/>
        </w:r>
        <w:r w:rsidR="00816EB6">
          <w:rPr>
            <w:webHidden/>
          </w:rPr>
          <w:fldChar w:fldCharType="begin"/>
        </w:r>
        <w:r w:rsidR="00816EB6">
          <w:rPr>
            <w:webHidden/>
          </w:rPr>
          <w:instrText xml:space="preserve"> PAGEREF _Toc43729674 \h </w:instrText>
        </w:r>
        <w:r w:rsidR="00816EB6">
          <w:rPr>
            <w:webHidden/>
          </w:rPr>
        </w:r>
        <w:r w:rsidR="00816EB6">
          <w:rPr>
            <w:webHidden/>
          </w:rPr>
          <w:fldChar w:fldCharType="separate"/>
        </w:r>
        <w:r w:rsidR="007E1D48">
          <w:rPr>
            <w:webHidden/>
          </w:rPr>
          <w:t>7</w:t>
        </w:r>
        <w:r w:rsidR="00816EB6">
          <w:rPr>
            <w:webHidden/>
          </w:rPr>
          <w:fldChar w:fldCharType="end"/>
        </w:r>
      </w:hyperlink>
    </w:p>
    <w:p w:rsidR="00816EB6" w:rsidRDefault="00EF5E41">
      <w:pPr>
        <w:pStyle w:val="Sisluet2"/>
        <w:rPr>
          <w:rFonts w:asciiTheme="minorHAnsi" w:eastAsiaTheme="minorEastAsia" w:hAnsiTheme="minorHAnsi" w:cstheme="minorBidi"/>
          <w:szCs w:val="22"/>
        </w:rPr>
      </w:pPr>
      <w:r w:rsidRPr="00EF5E41">
        <w:t>4 Förslagen och deras konsekvenser</w:t>
      </w:r>
      <w:hyperlink w:anchor="_Toc43729675" w:history="1">
        <w:r w:rsidR="00816EB6">
          <w:rPr>
            <w:webHidden/>
          </w:rPr>
          <w:tab/>
        </w:r>
        <w:r w:rsidR="00816EB6">
          <w:rPr>
            <w:webHidden/>
          </w:rPr>
          <w:fldChar w:fldCharType="begin"/>
        </w:r>
        <w:r w:rsidR="00816EB6">
          <w:rPr>
            <w:webHidden/>
          </w:rPr>
          <w:instrText xml:space="preserve"> PAGEREF _Toc43729675 \h </w:instrText>
        </w:r>
        <w:r w:rsidR="00816EB6">
          <w:rPr>
            <w:webHidden/>
          </w:rPr>
        </w:r>
        <w:r w:rsidR="00816EB6">
          <w:rPr>
            <w:webHidden/>
          </w:rPr>
          <w:fldChar w:fldCharType="separate"/>
        </w:r>
        <w:r w:rsidR="007E1D48">
          <w:rPr>
            <w:webHidden/>
          </w:rPr>
          <w:t>7</w:t>
        </w:r>
        <w:r w:rsidR="00816EB6">
          <w:rPr>
            <w:webHidden/>
          </w:rPr>
          <w:fldChar w:fldCharType="end"/>
        </w:r>
      </w:hyperlink>
    </w:p>
    <w:p w:rsidR="00816EB6" w:rsidRPr="00EF5E41" w:rsidRDefault="002C6F0A" w:rsidP="00EF5E41">
      <w:pPr>
        <w:pStyle w:val="Sisluet2"/>
        <w:rPr>
          <w:color w:val="0000FF"/>
          <w:u w:val="single"/>
        </w:rPr>
      </w:pPr>
      <w:hyperlink w:anchor="_Toc43729676" w:history="1">
        <w:r w:rsidR="00EF5E41" w:rsidRPr="00EF5E41">
          <w:rPr>
            <w:rStyle w:val="Hyperlinkki"/>
          </w:rPr>
          <w:t>5 Alternativa handlingsvägar</w:t>
        </w:r>
        <w:r w:rsidR="00816EB6">
          <w:rPr>
            <w:webHidden/>
          </w:rPr>
          <w:tab/>
        </w:r>
        <w:r w:rsidR="00816EB6">
          <w:rPr>
            <w:webHidden/>
          </w:rPr>
          <w:fldChar w:fldCharType="begin"/>
        </w:r>
        <w:r w:rsidR="00816EB6">
          <w:rPr>
            <w:webHidden/>
          </w:rPr>
          <w:instrText xml:space="preserve"> PAGEREF _Toc43729676 \h </w:instrText>
        </w:r>
        <w:r w:rsidR="00816EB6">
          <w:rPr>
            <w:webHidden/>
          </w:rPr>
        </w:r>
        <w:r w:rsidR="00816EB6">
          <w:rPr>
            <w:webHidden/>
          </w:rPr>
          <w:fldChar w:fldCharType="separate"/>
        </w:r>
        <w:r w:rsidR="007E1D48">
          <w:rPr>
            <w:webHidden/>
          </w:rPr>
          <w:t>8</w:t>
        </w:r>
        <w:r w:rsidR="00816EB6">
          <w:rPr>
            <w:webHidden/>
          </w:rPr>
          <w:fldChar w:fldCharType="end"/>
        </w:r>
      </w:hyperlink>
    </w:p>
    <w:p w:rsidR="00816EB6" w:rsidRDefault="002C6F0A">
      <w:pPr>
        <w:pStyle w:val="Sisluet2"/>
        <w:rPr>
          <w:rFonts w:asciiTheme="minorHAnsi" w:eastAsiaTheme="minorEastAsia" w:hAnsiTheme="minorHAnsi" w:cstheme="minorBidi"/>
          <w:szCs w:val="22"/>
        </w:rPr>
      </w:pPr>
      <w:hyperlink w:anchor="_Toc43729677" w:history="1">
        <w:r w:rsidR="00EF5E41">
          <w:rPr>
            <w:rStyle w:val="Hyperlinkki"/>
          </w:rPr>
          <w:t xml:space="preserve">6 </w:t>
        </w:r>
        <w:r w:rsidR="00EF5E41" w:rsidRPr="00EF5E41">
          <w:rPr>
            <w:rStyle w:val="Hyperlinkki"/>
          </w:rPr>
          <w:t>Remissvar</w:t>
        </w:r>
        <w:r w:rsidR="00816EB6">
          <w:rPr>
            <w:webHidden/>
          </w:rPr>
          <w:tab/>
        </w:r>
        <w:r w:rsidR="00816EB6">
          <w:rPr>
            <w:webHidden/>
          </w:rPr>
          <w:fldChar w:fldCharType="begin"/>
        </w:r>
        <w:r w:rsidR="00816EB6">
          <w:rPr>
            <w:webHidden/>
          </w:rPr>
          <w:instrText xml:space="preserve"> PAGEREF _Toc43729677 \h </w:instrText>
        </w:r>
        <w:r w:rsidR="00816EB6">
          <w:rPr>
            <w:webHidden/>
          </w:rPr>
        </w:r>
        <w:r w:rsidR="00816EB6">
          <w:rPr>
            <w:webHidden/>
          </w:rPr>
          <w:fldChar w:fldCharType="separate"/>
        </w:r>
        <w:r w:rsidR="007E1D48">
          <w:rPr>
            <w:webHidden/>
          </w:rPr>
          <w:t>8</w:t>
        </w:r>
        <w:r w:rsidR="00816EB6">
          <w:rPr>
            <w:webHidden/>
          </w:rPr>
          <w:fldChar w:fldCharType="end"/>
        </w:r>
      </w:hyperlink>
    </w:p>
    <w:p w:rsidR="00816EB6" w:rsidRDefault="002C6F0A">
      <w:pPr>
        <w:pStyle w:val="Sisluet2"/>
        <w:rPr>
          <w:rFonts w:asciiTheme="minorHAnsi" w:eastAsiaTheme="minorEastAsia" w:hAnsiTheme="minorHAnsi" w:cstheme="minorBidi"/>
          <w:szCs w:val="22"/>
        </w:rPr>
      </w:pPr>
      <w:hyperlink w:anchor="_Toc43729678" w:history="1">
        <w:r w:rsidR="003C5A37">
          <w:rPr>
            <w:rStyle w:val="Hyperlinkki"/>
          </w:rPr>
          <w:t xml:space="preserve">7 </w:t>
        </w:r>
        <w:r w:rsidR="003C5A37" w:rsidRPr="003C5A37">
          <w:rPr>
            <w:rStyle w:val="Hyperlinkki"/>
          </w:rPr>
          <w:t>Ikraftträdande</w:t>
        </w:r>
        <w:r w:rsidR="00816EB6">
          <w:rPr>
            <w:webHidden/>
          </w:rPr>
          <w:tab/>
        </w:r>
        <w:r w:rsidR="00816EB6">
          <w:rPr>
            <w:webHidden/>
          </w:rPr>
          <w:fldChar w:fldCharType="begin"/>
        </w:r>
        <w:r w:rsidR="00816EB6">
          <w:rPr>
            <w:webHidden/>
          </w:rPr>
          <w:instrText xml:space="preserve"> PAGEREF _Toc43729678 \h </w:instrText>
        </w:r>
        <w:r w:rsidR="00816EB6">
          <w:rPr>
            <w:webHidden/>
          </w:rPr>
        </w:r>
        <w:r w:rsidR="00816EB6">
          <w:rPr>
            <w:webHidden/>
          </w:rPr>
          <w:fldChar w:fldCharType="separate"/>
        </w:r>
        <w:r w:rsidR="007E1D48">
          <w:rPr>
            <w:webHidden/>
          </w:rPr>
          <w:t>8</w:t>
        </w:r>
        <w:r w:rsidR="00816EB6">
          <w:rPr>
            <w:webHidden/>
          </w:rPr>
          <w:fldChar w:fldCharType="end"/>
        </w:r>
      </w:hyperlink>
    </w:p>
    <w:p w:rsidR="00816EB6" w:rsidRPr="003C5A37" w:rsidRDefault="002C6F0A" w:rsidP="003C5A37">
      <w:pPr>
        <w:pStyle w:val="Sisluet2"/>
        <w:rPr>
          <w:color w:val="0000FF"/>
          <w:u w:val="single"/>
        </w:rPr>
      </w:pPr>
      <w:hyperlink w:anchor="_Toc43729679" w:history="1">
        <w:r w:rsidR="003C5A37" w:rsidRPr="003C5A37">
          <w:rPr>
            <w:rStyle w:val="Hyperlinkki"/>
          </w:rPr>
          <w:t>8 Förhållande till andra propositioner</w:t>
        </w:r>
        <w:r w:rsidR="00816EB6">
          <w:rPr>
            <w:webHidden/>
          </w:rPr>
          <w:tab/>
        </w:r>
        <w:r w:rsidR="00816EB6">
          <w:rPr>
            <w:webHidden/>
          </w:rPr>
          <w:fldChar w:fldCharType="begin"/>
        </w:r>
        <w:r w:rsidR="00816EB6">
          <w:rPr>
            <w:webHidden/>
          </w:rPr>
          <w:instrText xml:space="preserve"> PAGEREF _Toc43729679 \h </w:instrText>
        </w:r>
        <w:r w:rsidR="00816EB6">
          <w:rPr>
            <w:webHidden/>
          </w:rPr>
        </w:r>
        <w:r w:rsidR="00816EB6">
          <w:rPr>
            <w:webHidden/>
          </w:rPr>
          <w:fldChar w:fldCharType="separate"/>
        </w:r>
        <w:r w:rsidR="007E1D48">
          <w:rPr>
            <w:webHidden/>
          </w:rPr>
          <w:t>8</w:t>
        </w:r>
        <w:r w:rsidR="00816EB6">
          <w:rPr>
            <w:webHidden/>
          </w:rPr>
          <w:fldChar w:fldCharType="end"/>
        </w:r>
      </w:hyperlink>
    </w:p>
    <w:p w:rsidR="00816EB6" w:rsidRDefault="002C6F0A">
      <w:pPr>
        <w:pStyle w:val="Sisluet2"/>
        <w:rPr>
          <w:rFonts w:asciiTheme="minorHAnsi" w:eastAsiaTheme="minorEastAsia" w:hAnsiTheme="minorHAnsi" w:cstheme="minorBidi"/>
          <w:szCs w:val="22"/>
        </w:rPr>
      </w:pPr>
      <w:hyperlink w:anchor="_Toc43729680" w:history="1">
        <w:r w:rsidR="003C5A37">
          <w:rPr>
            <w:rStyle w:val="Hyperlinkki"/>
          </w:rPr>
          <w:t xml:space="preserve">9 </w:t>
        </w:r>
        <w:r w:rsidR="003C5A37" w:rsidRPr="003C5A37">
          <w:rPr>
            <w:rStyle w:val="Hyperlinkki"/>
          </w:rPr>
          <w:t>Förhållande till grundlagen samt lagstiftningsordning</w:t>
        </w:r>
        <w:r w:rsidR="00816EB6">
          <w:rPr>
            <w:webHidden/>
          </w:rPr>
          <w:tab/>
        </w:r>
        <w:r w:rsidR="00816EB6">
          <w:rPr>
            <w:webHidden/>
          </w:rPr>
          <w:fldChar w:fldCharType="begin"/>
        </w:r>
        <w:r w:rsidR="00816EB6">
          <w:rPr>
            <w:webHidden/>
          </w:rPr>
          <w:instrText xml:space="preserve"> PAGEREF _Toc43729680 \h </w:instrText>
        </w:r>
        <w:r w:rsidR="00816EB6">
          <w:rPr>
            <w:webHidden/>
          </w:rPr>
        </w:r>
        <w:r w:rsidR="00816EB6">
          <w:rPr>
            <w:webHidden/>
          </w:rPr>
          <w:fldChar w:fldCharType="separate"/>
        </w:r>
        <w:r w:rsidR="007E1D48">
          <w:rPr>
            <w:webHidden/>
          </w:rPr>
          <w:t>9</w:t>
        </w:r>
        <w:r w:rsidR="00816EB6">
          <w:rPr>
            <w:webHidden/>
          </w:rPr>
          <w:fldChar w:fldCharType="end"/>
        </w:r>
      </w:hyperlink>
    </w:p>
    <w:p w:rsidR="00816EB6" w:rsidRDefault="002C6F0A">
      <w:pPr>
        <w:pStyle w:val="Sisluet1"/>
        <w:rPr>
          <w:rFonts w:asciiTheme="minorHAnsi" w:eastAsiaTheme="minorEastAsia" w:hAnsiTheme="minorHAnsi" w:cstheme="minorBidi"/>
          <w:bCs w:val="0"/>
          <w:caps w:val="0"/>
          <w:noProof/>
          <w:szCs w:val="22"/>
        </w:rPr>
      </w:pPr>
      <w:hyperlink w:anchor="_Toc43729681" w:history="1">
        <w:r w:rsidR="003C5A37">
          <w:rPr>
            <w:rStyle w:val="Hyperlinkki"/>
            <w:noProof/>
          </w:rPr>
          <w:t>LAGFÖRSLAG</w:t>
        </w:r>
        <w:r w:rsidR="00816EB6">
          <w:rPr>
            <w:noProof/>
            <w:webHidden/>
          </w:rPr>
          <w:tab/>
        </w:r>
        <w:r w:rsidR="00816EB6">
          <w:rPr>
            <w:noProof/>
            <w:webHidden/>
          </w:rPr>
          <w:fldChar w:fldCharType="begin"/>
        </w:r>
        <w:r w:rsidR="00816EB6">
          <w:rPr>
            <w:noProof/>
            <w:webHidden/>
          </w:rPr>
          <w:instrText xml:space="preserve"> PAGEREF _Toc43729681 \h </w:instrText>
        </w:r>
        <w:r w:rsidR="00816EB6">
          <w:rPr>
            <w:noProof/>
            <w:webHidden/>
          </w:rPr>
        </w:r>
        <w:r w:rsidR="00816EB6">
          <w:rPr>
            <w:noProof/>
            <w:webHidden/>
          </w:rPr>
          <w:fldChar w:fldCharType="separate"/>
        </w:r>
        <w:r w:rsidR="007E1D48">
          <w:rPr>
            <w:noProof/>
            <w:webHidden/>
          </w:rPr>
          <w:t>10</w:t>
        </w:r>
        <w:r w:rsidR="00816EB6">
          <w:rPr>
            <w:noProof/>
            <w:webHidden/>
          </w:rPr>
          <w:fldChar w:fldCharType="end"/>
        </w:r>
      </w:hyperlink>
    </w:p>
    <w:p w:rsidR="00816EB6" w:rsidRDefault="002C6F0A">
      <w:pPr>
        <w:pStyle w:val="Sisluet3"/>
        <w:rPr>
          <w:rFonts w:asciiTheme="minorHAnsi" w:eastAsiaTheme="minorEastAsia" w:hAnsiTheme="minorHAnsi" w:cstheme="minorBidi"/>
          <w:noProof/>
          <w:szCs w:val="22"/>
        </w:rPr>
      </w:pPr>
      <w:hyperlink w:anchor="_Toc43729682" w:history="1">
        <w:r w:rsidR="00380D02">
          <w:rPr>
            <w:rStyle w:val="Hyperlinkki"/>
            <w:noProof/>
          </w:rPr>
          <w:t xml:space="preserve">Lag </w:t>
        </w:r>
        <w:r w:rsidR="00380D02" w:rsidRPr="00380D02">
          <w:rPr>
            <w:rStyle w:val="Hyperlinkki"/>
            <w:noProof/>
          </w:rPr>
          <w:t>om ändring av ikraftträdandebestämmelsen i en lag om ändring och temporär ändring av lagen om farledsavgift</w:t>
        </w:r>
        <w:r w:rsidR="00816EB6">
          <w:rPr>
            <w:noProof/>
            <w:webHidden/>
          </w:rPr>
          <w:tab/>
        </w:r>
        <w:r w:rsidR="00816EB6">
          <w:rPr>
            <w:noProof/>
            <w:webHidden/>
          </w:rPr>
          <w:fldChar w:fldCharType="begin"/>
        </w:r>
        <w:r w:rsidR="00816EB6">
          <w:rPr>
            <w:noProof/>
            <w:webHidden/>
          </w:rPr>
          <w:instrText xml:space="preserve"> PAGEREF _Toc43729682 \h </w:instrText>
        </w:r>
        <w:r w:rsidR="00816EB6">
          <w:rPr>
            <w:noProof/>
            <w:webHidden/>
          </w:rPr>
        </w:r>
        <w:r w:rsidR="00816EB6">
          <w:rPr>
            <w:noProof/>
            <w:webHidden/>
          </w:rPr>
          <w:fldChar w:fldCharType="separate"/>
        </w:r>
        <w:r w:rsidR="007E1D48">
          <w:rPr>
            <w:noProof/>
            <w:webHidden/>
          </w:rPr>
          <w:t>10</w:t>
        </w:r>
        <w:r w:rsidR="00816EB6">
          <w:rPr>
            <w:noProof/>
            <w:webHidden/>
          </w:rPr>
          <w:fldChar w:fldCharType="end"/>
        </w:r>
      </w:hyperlink>
    </w:p>
    <w:p w:rsidR="00A17195" w:rsidRPr="00A17195" w:rsidRDefault="00095BC2" w:rsidP="00A17195">
      <w:r>
        <w:rPr>
          <w:rFonts w:eastAsia="Times New Roman"/>
          <w:bCs/>
          <w:caps/>
          <w:szCs w:val="20"/>
        </w:rPr>
        <w:fldChar w:fldCharType="end"/>
      </w:r>
    </w:p>
    <w:p w:rsidR="006E6F46" w:rsidRDefault="005A0584" w:rsidP="00EB0A9A">
      <w:pPr>
        <w:pStyle w:val="LLNormaali"/>
      </w:pPr>
      <w:r>
        <w:br w:type="page"/>
      </w:r>
    </w:p>
    <w:bookmarkStart w:id="2" w:name="_Toc43729671" w:displacedByCustomXml="next"/>
    <w:sdt>
      <w:sdtPr>
        <w:rPr>
          <w:rFonts w:eastAsia="Calibri"/>
          <w:b w:val="0"/>
          <w:caps w:val="0"/>
          <w:sz w:val="22"/>
          <w:szCs w:val="22"/>
        </w:rPr>
        <w:alias w:val="Motivering"/>
        <w:tag w:val="CCPerustelut"/>
        <w:id w:val="2058971695"/>
        <w:lock w:val="sdtLocked"/>
        <w:placeholder>
          <w:docPart w:val="99110BDB547B4CD0AF65E7B7ED57AF89"/>
        </w:placeholder>
        <w15:color w:val="33CCCC"/>
      </w:sdtPr>
      <w:sdtEndPr>
        <w:rPr>
          <w:rFonts w:eastAsia="Times New Roman"/>
          <w:szCs w:val="24"/>
        </w:rPr>
      </w:sdtEndPr>
      <w:sdtContent>
        <w:p w:rsidR="008414FE" w:rsidRDefault="004D2778" w:rsidP="008414FE">
          <w:pPr>
            <w:pStyle w:val="LLperustelut"/>
          </w:pPr>
          <w:r>
            <w:t>MOTIVERING</w:t>
          </w:r>
          <w:bookmarkEnd w:id="2"/>
        </w:p>
        <w:p w:rsidR="0075180F" w:rsidRDefault="0075180F" w:rsidP="0075180F">
          <w:pPr>
            <w:pStyle w:val="LLP1Otsikkotaso"/>
          </w:pPr>
          <w:bookmarkStart w:id="3" w:name="_Toc43729672"/>
          <w:r>
            <w:t>Bakgrund och beredning</w:t>
          </w:r>
          <w:bookmarkEnd w:id="3"/>
        </w:p>
        <w:p w:rsidR="0089684C" w:rsidRDefault="0089684C" w:rsidP="0089684C">
          <w:pPr>
            <w:pStyle w:val="LLPerustelujenkappalejako"/>
          </w:pPr>
          <w:r>
            <w:t>Farledsavgiften grundar sig på lagen om farledsavgift (1122/2005), enligt vilken det för fartyg som bedriver handelssjöfart på finskt vattenområde ska betalas farledsavgift till staten. Farledsavgiften halverades temporärt 2015–2017 genom en lag om ändring och temporär ändring av lagen om farledsavgift (1214/2014). Giltighetstiden för den temporära halveringen av farledsavgiften förlängdes först till 2018 och sedan till 2019–2020 genom lagar om ändring av ikraftträdandebestämmelsen i en lag om ändring och temporär ändring av lagen om farledsavgift (896/2017 och 904/2018).</w:t>
          </w:r>
        </w:p>
        <w:p w:rsidR="0089684C" w:rsidRDefault="0089684C" w:rsidP="0089684C">
          <w:pPr>
            <w:pStyle w:val="LLPerustelujenkappalejako"/>
          </w:pPr>
          <w:r>
            <w:t>År 2020 har statsminister Sanna Marins regering genomfört åtgärder för att trygga samhällets funktion och för att underlätta näringslivets och medborgarnas svåra situation under undantagsförhållandena till följd av covid-19-epidemin. Som ett led i dessa åtgärder föreslås det att farledsavgiften fortsättningsvis ska vara halverad år 2021. Syftet med åtgärden är att kompensera de inkomstförluster och utmaningar i fråga om lönsamheten som berör handelssjöfarten och dess transportkunder under osäkra ekonomiska förhållanden. Åtgärden stöder Finlands konkurrenskraft. Lagändringen genomförs genom ändring av ikraftträdandebestämmelsen i lagen om ändring och temporär ändring av lagen om farledsavgift, sådan den lyder i lagen om ändring av ikraftträdandebestämmelsen i en lag om ändring och temporär ändring av lagen om farledsavgift (904/2018).</w:t>
          </w:r>
        </w:p>
        <w:p w:rsidR="00A939B2" w:rsidRDefault="0089684C" w:rsidP="0089684C">
          <w:pPr>
            <w:pStyle w:val="LLPerustelujenkappalejako"/>
          </w:pPr>
          <w:r>
            <w:t>Propositionen har beretts vid kommunikationsministeriet.</w:t>
          </w:r>
        </w:p>
        <w:p w:rsidR="00530165" w:rsidRDefault="00530165" w:rsidP="0089684C">
          <w:pPr>
            <w:pStyle w:val="LLPerustelujenkappalejako"/>
          </w:pPr>
        </w:p>
        <w:p w:rsidR="008414FE" w:rsidRDefault="00A939B2" w:rsidP="000E61DF">
          <w:pPr>
            <w:pStyle w:val="LLP1Otsikkotaso"/>
          </w:pPr>
          <w:bookmarkStart w:id="4" w:name="_Toc43729673"/>
          <w:r>
            <w:t>Nuläge och bedömning av nuläget</w:t>
          </w:r>
          <w:bookmarkEnd w:id="4"/>
        </w:p>
        <w:p w:rsidR="0089684C" w:rsidRDefault="0089684C" w:rsidP="0089684C">
          <w:pPr>
            <w:pStyle w:val="LLPerustelujenkappalejako"/>
          </w:pPr>
          <w:r>
            <w:t>Farledsavgift ska betalas till staten för fartyg som bedriver handelssjöfart på finskt vattenområde, när ett fartyg ankommer till en finsk hamn från utlandet eller från en finsk hamn till en finsk hamn. Avgiften tas ut av Tullen. Avgiften debiteras på basis av fartygstyp, isklass och nettodräktighet i enlighet med den gällande prislistan. Det finns övre gränser för avgiftsbeloppet per anlöp och för antalet betalningar under ett kalenderår samt bestämmelser om lättnader på basis av mängden last och typen av trafik. Ett passagerarfartyg betalar avgiften högst 30 gånger och ett lastfartyg högst 10 gånger under ett kalenderår.  Tullen tar årligen ut 6 000–7 000 farledsavgifter beroende på den totala trafikvolymen och trafikeringsfrekvensen för enskilda fartyg. Intäkterna av farledsavgifterna redovisas i statsbudgeten som medel med allmän täckning och används till täckande av statens utgifter.</w:t>
          </w:r>
        </w:p>
        <w:p w:rsidR="0089684C" w:rsidRDefault="0089684C" w:rsidP="0089684C">
          <w:pPr>
            <w:pStyle w:val="LLPerustelujenkappalejako"/>
          </w:pPr>
          <w:r>
            <w:t>Det konstaterades i regeringens beslut av den 3 april 2014 om ramarna för statsfinanserna att farledsavgiften ska halveras för åren 2015–2017 som en del av kompensationen för kostnadseffekterna av svaveldirektivet (IMO Marpol Annex VI), som trädde i kraft inom sjöfarten den 1 januari 2015, och för att stödja den arbetsmarknadsuppgörelse som nåddes den 30 augusti 2013. Halveringen genomfördes så att priset per enhet för lastfartyg och särskilt för lastfartyg av högre isklass sänktes mer än priset per enhet för passagerarfartyg, kryssningsfartyg och fartyg av lägre isklass.</w:t>
          </w:r>
        </w:p>
        <w:p w:rsidR="0089684C" w:rsidRDefault="0089684C" w:rsidP="0089684C">
          <w:pPr>
            <w:pStyle w:val="LLPerustelujenkappalejako"/>
          </w:pPr>
          <w:r>
            <w:t>Halveringen av farledsavgiften har förlängts två gånger. Målsättningen har varit att minska kostnaderna inom näringslivet för att stärka Finlands internationella konkurrenskraft. Behovet att kompensera för svaveldirektivet försvann när regleringen av svavelutsläpp inom handelssjöfar</w:t>
          </w:r>
          <w:r>
            <w:lastRenderedPageBreak/>
            <w:t>ten utvidgades genom IMO:s åtgärder vid ingången av 2020 till att omfatta samtliga havsområden. Östersjön och andra SECA-områden (Sulphur Emissions Control Area) omfattas fortfarande av strängare bestämmelser om svavelutsläpp.</w:t>
          </w:r>
        </w:p>
        <w:p w:rsidR="0089684C" w:rsidRDefault="0089684C" w:rsidP="0089684C">
          <w:pPr>
            <w:pStyle w:val="LLPerustelujenkappalejako"/>
            <w:spacing w:after="0"/>
            <w:rPr>
              <w:i/>
            </w:rPr>
          </w:pPr>
          <w:r>
            <w:rPr>
              <w:i/>
            </w:rPr>
            <w:t>Farledsavgiftens priser per enhet 2012–2014 och den nedsatta farledsavgiftens priser per enhet 2015–2020.</w:t>
          </w:r>
        </w:p>
        <w:tbl>
          <w:tblPr>
            <w:tblW w:w="8505" w:type="dxa"/>
            <w:shd w:val="clear" w:color="000000" w:fill="auto"/>
            <w:tblCellMar>
              <w:left w:w="70" w:type="dxa"/>
              <w:right w:w="70" w:type="dxa"/>
            </w:tblCellMar>
            <w:tblLook w:val="04A0" w:firstRow="1" w:lastRow="0" w:firstColumn="1" w:lastColumn="0" w:noHBand="0" w:noVBand="1"/>
          </w:tblPr>
          <w:tblGrid>
            <w:gridCol w:w="2268"/>
            <w:gridCol w:w="851"/>
            <w:gridCol w:w="1984"/>
            <w:gridCol w:w="1418"/>
            <w:gridCol w:w="1984"/>
          </w:tblGrid>
          <w:tr w:rsidR="0089684C" w:rsidRPr="009F3D53" w:rsidTr="00FA1DA0">
            <w:trPr>
              <w:trHeight w:val="300"/>
            </w:trPr>
            <w:tc>
              <w:tcPr>
                <w:tcW w:w="2268" w:type="dxa"/>
                <w:tcBorders>
                  <w:top w:val="single" w:sz="4" w:space="0" w:color="auto"/>
                  <w:bottom w:val="single" w:sz="4" w:space="0" w:color="auto"/>
                </w:tcBorders>
                <w:shd w:val="clear" w:color="000000" w:fill="auto"/>
              </w:tcPr>
              <w:p w:rsidR="0089684C" w:rsidRPr="00FA1DA0" w:rsidRDefault="0089684C" w:rsidP="00FA1DA0">
                <w:pPr>
                  <w:spacing w:line="240" w:lineRule="auto"/>
                  <w:rPr>
                    <w:b/>
                    <w:bCs/>
                    <w:color w:val="000000"/>
                    <w:sz w:val="18"/>
                    <w:szCs w:val="18"/>
                  </w:rPr>
                </w:pPr>
                <w:r>
                  <w:rPr>
                    <w:bCs/>
                    <w:color w:val="000000"/>
                    <w:sz w:val="18"/>
                    <w:szCs w:val="18"/>
                  </w:rPr>
                  <w:t>Priser per enhet</w:t>
                </w:r>
              </w:p>
            </w:tc>
            <w:tc>
              <w:tcPr>
                <w:tcW w:w="2835" w:type="dxa"/>
                <w:gridSpan w:val="2"/>
                <w:tcBorders>
                  <w:top w:val="single" w:sz="4" w:space="0" w:color="auto"/>
                  <w:bottom w:val="single" w:sz="4" w:space="0" w:color="auto"/>
                </w:tcBorders>
                <w:shd w:val="clear" w:color="000000" w:fill="auto"/>
              </w:tcPr>
              <w:p w:rsidR="0089684C" w:rsidRPr="00FA1DA0" w:rsidRDefault="0089684C" w:rsidP="00FA1DA0">
                <w:pPr>
                  <w:spacing w:line="240" w:lineRule="auto"/>
                  <w:jc w:val="center"/>
                  <w:rPr>
                    <w:color w:val="000000"/>
                    <w:sz w:val="18"/>
                    <w:szCs w:val="18"/>
                  </w:rPr>
                </w:pPr>
                <w:r>
                  <w:rPr>
                    <w:color w:val="000000"/>
                    <w:sz w:val="18"/>
                    <w:szCs w:val="18"/>
                  </w:rPr>
                  <w:t>Farledsavgift 2012–2014</w:t>
                </w:r>
              </w:p>
            </w:tc>
            <w:tc>
              <w:tcPr>
                <w:tcW w:w="3402" w:type="dxa"/>
                <w:gridSpan w:val="2"/>
                <w:tcBorders>
                  <w:top w:val="single" w:sz="4" w:space="0" w:color="auto"/>
                  <w:left w:val="single" w:sz="4" w:space="0" w:color="auto"/>
                  <w:bottom w:val="single" w:sz="4" w:space="0" w:color="auto"/>
                </w:tcBorders>
                <w:shd w:val="clear" w:color="000000" w:fill="auto"/>
              </w:tcPr>
              <w:p w:rsidR="0089684C" w:rsidRPr="00FA1DA0" w:rsidRDefault="0089684C" w:rsidP="00FA1DA0">
                <w:pPr>
                  <w:spacing w:line="240" w:lineRule="auto"/>
                  <w:jc w:val="center"/>
                  <w:rPr>
                    <w:color w:val="000000"/>
                    <w:sz w:val="18"/>
                    <w:szCs w:val="18"/>
                  </w:rPr>
                </w:pPr>
                <w:r>
                  <w:rPr>
                    <w:color w:val="000000"/>
                    <w:sz w:val="18"/>
                    <w:szCs w:val="18"/>
                  </w:rPr>
                  <w:t>Farledsavgift 2015–2020</w:t>
                </w:r>
              </w:p>
              <w:p w:rsidR="0089684C" w:rsidRPr="00FA1DA0" w:rsidRDefault="0089684C" w:rsidP="00FA1DA0">
                <w:pPr>
                  <w:spacing w:line="240" w:lineRule="auto"/>
                  <w:jc w:val="center"/>
                  <w:rPr>
                    <w:color w:val="000000"/>
                    <w:sz w:val="18"/>
                    <w:szCs w:val="18"/>
                  </w:rPr>
                </w:pPr>
                <w:r>
                  <w:rPr>
                    <w:color w:val="000000"/>
                    <w:sz w:val="18"/>
                    <w:szCs w:val="18"/>
                  </w:rPr>
                  <w:t>(ändring inom parentes)</w:t>
                </w:r>
              </w:p>
            </w:tc>
          </w:tr>
          <w:tr w:rsidR="0089684C" w:rsidRPr="009F3D53" w:rsidTr="00FA1DA0">
            <w:trPr>
              <w:trHeight w:val="300"/>
            </w:trPr>
            <w:tc>
              <w:tcPr>
                <w:tcW w:w="2268" w:type="dxa"/>
                <w:tcBorders>
                  <w:top w:val="single" w:sz="4" w:space="0" w:color="auto"/>
                  <w:bottom w:val="single" w:sz="4" w:space="0" w:color="auto"/>
                </w:tcBorders>
                <w:shd w:val="clear" w:color="000000" w:fill="auto"/>
                <w:hideMark/>
              </w:tcPr>
              <w:p w:rsidR="0089684C" w:rsidRPr="00FA1DA0" w:rsidRDefault="0089684C" w:rsidP="00FA1DA0">
                <w:pPr>
                  <w:spacing w:line="240" w:lineRule="auto"/>
                  <w:rPr>
                    <w:b/>
                    <w:bCs/>
                    <w:color w:val="000000"/>
                    <w:sz w:val="18"/>
                    <w:szCs w:val="18"/>
                  </w:rPr>
                </w:pPr>
                <w:r>
                  <w:rPr>
                    <w:bCs/>
                    <w:color w:val="000000"/>
                    <w:sz w:val="18"/>
                    <w:szCs w:val="18"/>
                  </w:rPr>
                  <w:t>Euro/nettoton/isklass</w:t>
                </w:r>
              </w:p>
            </w:tc>
            <w:tc>
              <w:tcPr>
                <w:tcW w:w="851" w:type="dxa"/>
                <w:tcBorders>
                  <w:top w:val="single" w:sz="4" w:space="0" w:color="auto"/>
                  <w:bottom w:val="single" w:sz="4" w:space="0" w:color="auto"/>
                </w:tcBorders>
                <w:shd w:val="clear" w:color="000000" w:fill="auto"/>
              </w:tcPr>
              <w:p w:rsidR="0089684C" w:rsidRPr="00FA1DA0" w:rsidRDefault="0089684C" w:rsidP="00FA1DA0">
                <w:pPr>
                  <w:spacing w:line="240" w:lineRule="auto"/>
                  <w:jc w:val="center"/>
                  <w:rPr>
                    <w:color w:val="000000"/>
                    <w:sz w:val="18"/>
                    <w:szCs w:val="18"/>
                  </w:rPr>
                </w:pPr>
                <w:r>
                  <w:rPr>
                    <w:color w:val="000000"/>
                    <w:sz w:val="18"/>
                    <w:szCs w:val="18"/>
                  </w:rPr>
                  <w:t>Lastfartyg</w:t>
                </w:r>
              </w:p>
            </w:tc>
            <w:tc>
              <w:tcPr>
                <w:tcW w:w="1984" w:type="dxa"/>
                <w:tcBorders>
                  <w:top w:val="single" w:sz="4" w:space="0" w:color="auto"/>
                  <w:bottom w:val="single" w:sz="4" w:space="0" w:color="auto"/>
                  <w:right w:val="single" w:sz="4" w:space="0" w:color="auto"/>
                </w:tcBorders>
                <w:shd w:val="clear" w:color="000000" w:fill="auto"/>
              </w:tcPr>
              <w:p w:rsidR="0089684C" w:rsidRPr="00FA1DA0" w:rsidRDefault="0089684C" w:rsidP="00FA1DA0">
                <w:pPr>
                  <w:spacing w:line="240" w:lineRule="auto"/>
                  <w:jc w:val="center"/>
                  <w:rPr>
                    <w:color w:val="000000"/>
                    <w:sz w:val="18"/>
                    <w:szCs w:val="18"/>
                  </w:rPr>
                </w:pPr>
                <w:r>
                  <w:rPr>
                    <w:color w:val="000000"/>
                    <w:sz w:val="18"/>
                    <w:szCs w:val="18"/>
                  </w:rPr>
                  <w:t>Passagerarfartyg</w:t>
                </w:r>
              </w:p>
            </w:tc>
            <w:tc>
              <w:tcPr>
                <w:tcW w:w="1418" w:type="dxa"/>
                <w:tcBorders>
                  <w:top w:val="single" w:sz="4" w:space="0" w:color="auto"/>
                  <w:left w:val="single" w:sz="4" w:space="0" w:color="auto"/>
                  <w:bottom w:val="single" w:sz="4" w:space="0" w:color="auto"/>
                </w:tcBorders>
                <w:shd w:val="clear" w:color="000000" w:fill="auto"/>
                <w:hideMark/>
              </w:tcPr>
              <w:p w:rsidR="0089684C" w:rsidRPr="00FA1DA0" w:rsidRDefault="0089684C" w:rsidP="00FA1DA0">
                <w:pPr>
                  <w:spacing w:line="240" w:lineRule="auto"/>
                  <w:jc w:val="center"/>
                  <w:rPr>
                    <w:color w:val="000000"/>
                    <w:sz w:val="18"/>
                    <w:szCs w:val="18"/>
                  </w:rPr>
                </w:pPr>
                <w:r>
                  <w:rPr>
                    <w:color w:val="000000"/>
                    <w:sz w:val="18"/>
                    <w:szCs w:val="18"/>
                  </w:rPr>
                  <w:t>Lastfartyg</w:t>
                </w:r>
              </w:p>
            </w:tc>
            <w:tc>
              <w:tcPr>
                <w:tcW w:w="1984" w:type="dxa"/>
                <w:tcBorders>
                  <w:top w:val="single" w:sz="4" w:space="0" w:color="auto"/>
                  <w:bottom w:val="single" w:sz="4" w:space="0" w:color="auto"/>
                </w:tcBorders>
                <w:shd w:val="clear" w:color="000000" w:fill="auto"/>
                <w:hideMark/>
              </w:tcPr>
              <w:p w:rsidR="0089684C" w:rsidRPr="00FA1DA0" w:rsidRDefault="0089684C" w:rsidP="00FA1DA0">
                <w:pPr>
                  <w:spacing w:line="240" w:lineRule="auto"/>
                  <w:jc w:val="center"/>
                  <w:rPr>
                    <w:color w:val="000000"/>
                    <w:sz w:val="18"/>
                    <w:szCs w:val="18"/>
                  </w:rPr>
                </w:pPr>
                <w:r>
                  <w:rPr>
                    <w:color w:val="000000"/>
                    <w:sz w:val="18"/>
                    <w:szCs w:val="18"/>
                  </w:rPr>
                  <w:t>Passagerarfartyg</w:t>
                </w:r>
              </w:p>
            </w:tc>
          </w:tr>
          <w:tr w:rsidR="0089684C" w:rsidRPr="009F3D53" w:rsidTr="00FA1DA0">
            <w:trPr>
              <w:trHeight w:val="300"/>
            </w:trPr>
            <w:tc>
              <w:tcPr>
                <w:tcW w:w="2268" w:type="dxa"/>
                <w:tcBorders>
                  <w:top w:val="single" w:sz="4" w:space="0" w:color="auto"/>
                </w:tcBorders>
                <w:shd w:val="clear" w:color="000000" w:fill="auto"/>
                <w:noWrap/>
                <w:vAlign w:val="bottom"/>
                <w:hideMark/>
              </w:tcPr>
              <w:p w:rsidR="0089684C" w:rsidRPr="00FA1DA0" w:rsidRDefault="0089684C" w:rsidP="00FA1DA0">
                <w:pPr>
                  <w:spacing w:line="240" w:lineRule="auto"/>
                  <w:rPr>
                    <w:color w:val="000000"/>
                    <w:sz w:val="18"/>
                    <w:szCs w:val="18"/>
                  </w:rPr>
                </w:pPr>
                <w:r>
                  <w:rPr>
                    <w:color w:val="000000"/>
                    <w:sz w:val="18"/>
                    <w:szCs w:val="18"/>
                  </w:rPr>
                  <w:t>IAS</w:t>
                </w:r>
              </w:p>
            </w:tc>
            <w:tc>
              <w:tcPr>
                <w:tcW w:w="851" w:type="dxa"/>
                <w:tcBorders>
                  <w:top w:val="single" w:sz="4" w:space="0" w:color="auto"/>
                </w:tcBorders>
                <w:shd w:val="clear" w:color="000000" w:fill="auto"/>
                <w:vAlign w:val="bottom"/>
              </w:tcPr>
              <w:p w:rsidR="0089684C" w:rsidRPr="00FA1DA0" w:rsidRDefault="0089684C" w:rsidP="00FA1DA0">
                <w:pPr>
                  <w:spacing w:line="240" w:lineRule="auto"/>
                  <w:jc w:val="center"/>
                  <w:rPr>
                    <w:color w:val="000000"/>
                    <w:sz w:val="18"/>
                    <w:szCs w:val="18"/>
                  </w:rPr>
                </w:pPr>
                <w:r>
                  <w:rPr>
                    <w:color w:val="000000"/>
                    <w:sz w:val="18"/>
                    <w:szCs w:val="18"/>
                  </w:rPr>
                  <w:t>1,277</w:t>
                </w:r>
              </w:p>
            </w:tc>
            <w:tc>
              <w:tcPr>
                <w:tcW w:w="1984" w:type="dxa"/>
                <w:tcBorders>
                  <w:top w:val="single" w:sz="4" w:space="0" w:color="auto"/>
                  <w:right w:val="single" w:sz="4" w:space="0" w:color="auto"/>
                </w:tcBorders>
                <w:shd w:val="clear" w:color="000000" w:fill="auto"/>
                <w:vAlign w:val="bottom"/>
              </w:tcPr>
              <w:p w:rsidR="0089684C" w:rsidRPr="00FA1DA0" w:rsidRDefault="0089684C" w:rsidP="00FA1DA0">
                <w:pPr>
                  <w:spacing w:line="240" w:lineRule="auto"/>
                  <w:jc w:val="center"/>
                  <w:rPr>
                    <w:color w:val="000000"/>
                    <w:sz w:val="18"/>
                    <w:szCs w:val="18"/>
                  </w:rPr>
                </w:pPr>
                <w:r>
                  <w:rPr>
                    <w:color w:val="000000"/>
                    <w:sz w:val="18"/>
                    <w:szCs w:val="18"/>
                  </w:rPr>
                  <w:t>0,860</w:t>
                </w:r>
              </w:p>
            </w:tc>
            <w:tc>
              <w:tcPr>
                <w:tcW w:w="1418" w:type="dxa"/>
                <w:tcBorders>
                  <w:top w:val="single" w:sz="4" w:space="0" w:color="auto"/>
                  <w:left w:val="single" w:sz="4" w:space="0" w:color="auto"/>
                </w:tcBorders>
                <w:shd w:val="clear" w:color="000000" w:fill="auto"/>
                <w:noWrap/>
                <w:vAlign w:val="bottom"/>
              </w:tcPr>
              <w:p w:rsidR="0089684C" w:rsidRPr="00FA1DA0" w:rsidRDefault="0089684C" w:rsidP="00FA1DA0">
                <w:pPr>
                  <w:spacing w:line="240" w:lineRule="auto"/>
                  <w:jc w:val="center"/>
                  <w:rPr>
                    <w:color w:val="000000"/>
                    <w:sz w:val="18"/>
                    <w:szCs w:val="18"/>
                  </w:rPr>
                </w:pPr>
                <w:r>
                  <w:rPr>
                    <w:color w:val="000000"/>
                    <w:sz w:val="18"/>
                    <w:szCs w:val="18"/>
                  </w:rPr>
                  <w:t>0,470 (-63,2 %)</w:t>
                </w:r>
              </w:p>
            </w:tc>
            <w:tc>
              <w:tcPr>
                <w:tcW w:w="1984" w:type="dxa"/>
                <w:tcBorders>
                  <w:top w:val="single" w:sz="4" w:space="0" w:color="auto"/>
                </w:tcBorders>
                <w:shd w:val="clear" w:color="000000" w:fill="auto"/>
                <w:noWrap/>
                <w:vAlign w:val="bottom"/>
              </w:tcPr>
              <w:p w:rsidR="0089684C" w:rsidRPr="00FA1DA0" w:rsidRDefault="0089684C" w:rsidP="00FA1DA0">
                <w:pPr>
                  <w:spacing w:line="240" w:lineRule="auto"/>
                  <w:jc w:val="center"/>
                  <w:rPr>
                    <w:color w:val="000000"/>
                    <w:sz w:val="18"/>
                    <w:szCs w:val="18"/>
                  </w:rPr>
                </w:pPr>
                <w:r>
                  <w:rPr>
                    <w:color w:val="000000"/>
                    <w:sz w:val="18"/>
                    <w:szCs w:val="18"/>
                  </w:rPr>
                  <w:t>0,625 (-27,3 %)</w:t>
                </w:r>
              </w:p>
            </w:tc>
          </w:tr>
          <w:tr w:rsidR="0089684C" w:rsidRPr="009F3D53" w:rsidTr="00FA1DA0">
            <w:trPr>
              <w:trHeight w:val="300"/>
            </w:trPr>
            <w:tc>
              <w:tcPr>
                <w:tcW w:w="2268" w:type="dxa"/>
                <w:shd w:val="clear" w:color="000000" w:fill="auto"/>
                <w:noWrap/>
                <w:vAlign w:val="bottom"/>
                <w:hideMark/>
              </w:tcPr>
              <w:p w:rsidR="0089684C" w:rsidRPr="00FA1DA0" w:rsidRDefault="0089684C" w:rsidP="00FA1DA0">
                <w:pPr>
                  <w:spacing w:line="240" w:lineRule="auto"/>
                  <w:rPr>
                    <w:color w:val="000000"/>
                    <w:sz w:val="18"/>
                    <w:szCs w:val="18"/>
                  </w:rPr>
                </w:pPr>
                <w:r>
                  <w:rPr>
                    <w:color w:val="000000"/>
                    <w:sz w:val="18"/>
                    <w:szCs w:val="18"/>
                  </w:rPr>
                  <w:t>IA</w:t>
                </w:r>
              </w:p>
            </w:tc>
            <w:tc>
              <w:tcPr>
                <w:tcW w:w="851" w:type="dxa"/>
                <w:shd w:val="clear" w:color="000000" w:fill="auto"/>
                <w:vAlign w:val="bottom"/>
              </w:tcPr>
              <w:p w:rsidR="0089684C" w:rsidRPr="00FA1DA0" w:rsidRDefault="0089684C" w:rsidP="00FA1DA0">
                <w:pPr>
                  <w:spacing w:line="240" w:lineRule="auto"/>
                  <w:jc w:val="center"/>
                  <w:rPr>
                    <w:color w:val="000000"/>
                    <w:sz w:val="18"/>
                    <w:szCs w:val="18"/>
                  </w:rPr>
                </w:pPr>
                <w:r>
                  <w:rPr>
                    <w:color w:val="000000"/>
                    <w:sz w:val="18"/>
                    <w:szCs w:val="18"/>
                  </w:rPr>
                  <w:t>2,389</w:t>
                </w:r>
              </w:p>
            </w:tc>
            <w:tc>
              <w:tcPr>
                <w:tcW w:w="1984" w:type="dxa"/>
                <w:tcBorders>
                  <w:right w:val="single" w:sz="4" w:space="0" w:color="auto"/>
                </w:tcBorders>
                <w:shd w:val="clear" w:color="000000" w:fill="auto"/>
                <w:vAlign w:val="bottom"/>
              </w:tcPr>
              <w:p w:rsidR="0089684C" w:rsidRPr="00FA1DA0" w:rsidRDefault="0089684C" w:rsidP="00FA1DA0">
                <w:pPr>
                  <w:spacing w:line="240" w:lineRule="auto"/>
                  <w:jc w:val="center"/>
                  <w:rPr>
                    <w:color w:val="000000"/>
                    <w:sz w:val="18"/>
                    <w:szCs w:val="18"/>
                  </w:rPr>
                </w:pPr>
                <w:r>
                  <w:rPr>
                    <w:color w:val="000000"/>
                    <w:sz w:val="18"/>
                    <w:szCs w:val="18"/>
                  </w:rPr>
                  <w:t>1,694</w:t>
                </w:r>
              </w:p>
            </w:tc>
            <w:tc>
              <w:tcPr>
                <w:tcW w:w="1418" w:type="dxa"/>
                <w:tcBorders>
                  <w:left w:val="single" w:sz="4" w:space="0" w:color="auto"/>
                </w:tcBorders>
                <w:shd w:val="clear" w:color="000000" w:fill="auto"/>
                <w:noWrap/>
                <w:vAlign w:val="bottom"/>
              </w:tcPr>
              <w:p w:rsidR="0089684C" w:rsidRPr="00FA1DA0" w:rsidRDefault="0089684C" w:rsidP="00FA1DA0">
                <w:pPr>
                  <w:spacing w:line="240" w:lineRule="auto"/>
                  <w:jc w:val="center"/>
                  <w:rPr>
                    <w:color w:val="000000"/>
                    <w:sz w:val="18"/>
                    <w:szCs w:val="18"/>
                  </w:rPr>
                </w:pPr>
                <w:r>
                  <w:rPr>
                    <w:color w:val="000000"/>
                    <w:sz w:val="18"/>
                    <w:szCs w:val="18"/>
                  </w:rPr>
                  <w:t>1,098 (-54,0 %)</w:t>
                </w:r>
              </w:p>
            </w:tc>
            <w:tc>
              <w:tcPr>
                <w:tcW w:w="1984" w:type="dxa"/>
                <w:shd w:val="clear" w:color="000000" w:fill="auto"/>
                <w:noWrap/>
                <w:vAlign w:val="bottom"/>
              </w:tcPr>
              <w:p w:rsidR="0089684C" w:rsidRPr="00FA1DA0" w:rsidRDefault="0089684C" w:rsidP="00FA1DA0">
                <w:pPr>
                  <w:spacing w:line="240" w:lineRule="auto"/>
                  <w:jc w:val="center"/>
                  <w:rPr>
                    <w:color w:val="000000"/>
                    <w:sz w:val="18"/>
                    <w:szCs w:val="18"/>
                  </w:rPr>
                </w:pPr>
                <w:r>
                  <w:rPr>
                    <w:color w:val="000000"/>
                    <w:sz w:val="18"/>
                    <w:szCs w:val="18"/>
                  </w:rPr>
                  <w:t>1,294 (-23,6 %)</w:t>
                </w:r>
              </w:p>
            </w:tc>
          </w:tr>
          <w:tr w:rsidR="0089684C" w:rsidRPr="009F3D53" w:rsidTr="00FA1DA0">
            <w:trPr>
              <w:trHeight w:val="300"/>
            </w:trPr>
            <w:tc>
              <w:tcPr>
                <w:tcW w:w="2268" w:type="dxa"/>
                <w:shd w:val="clear" w:color="000000" w:fill="auto"/>
                <w:noWrap/>
                <w:vAlign w:val="bottom"/>
                <w:hideMark/>
              </w:tcPr>
              <w:p w:rsidR="0089684C" w:rsidRPr="00FA1DA0" w:rsidRDefault="0089684C" w:rsidP="00FA1DA0">
                <w:pPr>
                  <w:spacing w:line="240" w:lineRule="auto"/>
                  <w:rPr>
                    <w:color w:val="000000"/>
                    <w:sz w:val="18"/>
                    <w:szCs w:val="18"/>
                  </w:rPr>
                </w:pPr>
                <w:r>
                  <w:rPr>
                    <w:color w:val="000000"/>
                    <w:sz w:val="18"/>
                    <w:szCs w:val="18"/>
                  </w:rPr>
                  <w:t>IB och IC</w:t>
                </w:r>
              </w:p>
            </w:tc>
            <w:tc>
              <w:tcPr>
                <w:tcW w:w="851" w:type="dxa"/>
                <w:shd w:val="clear" w:color="000000" w:fill="auto"/>
                <w:vAlign w:val="bottom"/>
              </w:tcPr>
              <w:p w:rsidR="0089684C" w:rsidRPr="00FA1DA0" w:rsidRDefault="0089684C" w:rsidP="00FA1DA0">
                <w:pPr>
                  <w:spacing w:line="240" w:lineRule="auto"/>
                  <w:jc w:val="center"/>
                  <w:rPr>
                    <w:color w:val="000000"/>
                    <w:sz w:val="18"/>
                    <w:szCs w:val="18"/>
                  </w:rPr>
                </w:pPr>
                <w:r>
                  <w:rPr>
                    <w:color w:val="000000"/>
                    <w:sz w:val="18"/>
                    <w:szCs w:val="18"/>
                  </w:rPr>
                  <w:t>4,821</w:t>
                </w:r>
              </w:p>
            </w:tc>
            <w:tc>
              <w:tcPr>
                <w:tcW w:w="1984" w:type="dxa"/>
                <w:tcBorders>
                  <w:right w:val="single" w:sz="4" w:space="0" w:color="auto"/>
                </w:tcBorders>
                <w:shd w:val="clear" w:color="000000" w:fill="auto"/>
                <w:vAlign w:val="bottom"/>
              </w:tcPr>
              <w:p w:rsidR="0089684C" w:rsidRPr="00FA1DA0" w:rsidRDefault="0089684C" w:rsidP="00FA1DA0">
                <w:pPr>
                  <w:spacing w:line="240" w:lineRule="auto"/>
                  <w:jc w:val="center"/>
                  <w:rPr>
                    <w:color w:val="000000"/>
                    <w:sz w:val="18"/>
                    <w:szCs w:val="18"/>
                  </w:rPr>
                </w:pPr>
                <w:r>
                  <w:rPr>
                    <w:color w:val="000000"/>
                    <w:sz w:val="18"/>
                    <w:szCs w:val="18"/>
                  </w:rPr>
                  <w:t>2,919</w:t>
                </w:r>
              </w:p>
            </w:tc>
            <w:tc>
              <w:tcPr>
                <w:tcW w:w="1418" w:type="dxa"/>
                <w:tcBorders>
                  <w:left w:val="single" w:sz="4" w:space="0" w:color="auto"/>
                </w:tcBorders>
                <w:shd w:val="clear" w:color="000000" w:fill="auto"/>
                <w:noWrap/>
                <w:vAlign w:val="bottom"/>
              </w:tcPr>
              <w:p w:rsidR="0089684C" w:rsidRPr="00FA1DA0" w:rsidRDefault="0089684C" w:rsidP="00FA1DA0">
                <w:pPr>
                  <w:spacing w:line="240" w:lineRule="auto"/>
                  <w:jc w:val="center"/>
                  <w:rPr>
                    <w:color w:val="000000"/>
                    <w:sz w:val="18"/>
                    <w:szCs w:val="18"/>
                  </w:rPr>
                </w:pPr>
                <w:r>
                  <w:rPr>
                    <w:color w:val="000000"/>
                    <w:sz w:val="18"/>
                    <w:szCs w:val="18"/>
                  </w:rPr>
                  <w:t>2,578 (-46,5 %)</w:t>
                </w:r>
              </w:p>
            </w:tc>
            <w:tc>
              <w:tcPr>
                <w:tcW w:w="1984" w:type="dxa"/>
                <w:shd w:val="clear" w:color="000000" w:fill="auto"/>
                <w:noWrap/>
                <w:vAlign w:val="bottom"/>
              </w:tcPr>
              <w:p w:rsidR="0089684C" w:rsidRPr="00FA1DA0" w:rsidRDefault="0089684C" w:rsidP="00FA1DA0">
                <w:pPr>
                  <w:spacing w:line="240" w:lineRule="auto"/>
                  <w:jc w:val="center"/>
                  <w:rPr>
                    <w:color w:val="000000"/>
                    <w:sz w:val="18"/>
                    <w:szCs w:val="18"/>
                  </w:rPr>
                </w:pPr>
                <w:r>
                  <w:rPr>
                    <w:color w:val="000000"/>
                    <w:sz w:val="18"/>
                    <w:szCs w:val="18"/>
                  </w:rPr>
                  <w:t>2,358 (-19,2 %)</w:t>
                </w:r>
              </w:p>
            </w:tc>
          </w:tr>
          <w:tr w:rsidR="0089684C" w:rsidRPr="009F3D53" w:rsidTr="00FA1DA0">
            <w:trPr>
              <w:trHeight w:val="300"/>
            </w:trPr>
            <w:tc>
              <w:tcPr>
                <w:tcW w:w="2268" w:type="dxa"/>
                <w:shd w:val="clear" w:color="000000" w:fill="auto"/>
                <w:noWrap/>
                <w:vAlign w:val="bottom"/>
                <w:hideMark/>
              </w:tcPr>
              <w:p w:rsidR="0089684C" w:rsidRPr="00FA1DA0" w:rsidRDefault="0089684C" w:rsidP="00FA1DA0">
                <w:pPr>
                  <w:spacing w:line="240" w:lineRule="auto"/>
                  <w:rPr>
                    <w:color w:val="000000"/>
                    <w:sz w:val="18"/>
                    <w:szCs w:val="18"/>
                  </w:rPr>
                </w:pPr>
                <w:r>
                  <w:rPr>
                    <w:color w:val="000000"/>
                    <w:sz w:val="18"/>
                    <w:szCs w:val="18"/>
                  </w:rPr>
                  <w:t>II och III</w:t>
                </w:r>
              </w:p>
            </w:tc>
            <w:tc>
              <w:tcPr>
                <w:tcW w:w="851" w:type="dxa"/>
                <w:shd w:val="clear" w:color="000000" w:fill="auto"/>
                <w:vAlign w:val="bottom"/>
              </w:tcPr>
              <w:p w:rsidR="0089684C" w:rsidRPr="00FA1DA0" w:rsidRDefault="0089684C" w:rsidP="00FA1DA0">
                <w:pPr>
                  <w:spacing w:line="240" w:lineRule="auto"/>
                  <w:jc w:val="center"/>
                  <w:rPr>
                    <w:color w:val="000000"/>
                    <w:sz w:val="18"/>
                    <w:szCs w:val="18"/>
                  </w:rPr>
                </w:pPr>
                <w:r>
                  <w:rPr>
                    <w:color w:val="000000"/>
                    <w:sz w:val="18"/>
                    <w:szCs w:val="18"/>
                  </w:rPr>
                  <w:t>6,918</w:t>
                </w:r>
              </w:p>
            </w:tc>
            <w:tc>
              <w:tcPr>
                <w:tcW w:w="1984" w:type="dxa"/>
                <w:tcBorders>
                  <w:right w:val="single" w:sz="4" w:space="0" w:color="auto"/>
                </w:tcBorders>
                <w:shd w:val="clear" w:color="000000" w:fill="auto"/>
                <w:vAlign w:val="bottom"/>
              </w:tcPr>
              <w:p w:rsidR="0089684C" w:rsidRPr="00FA1DA0" w:rsidRDefault="0089684C" w:rsidP="00FA1DA0">
                <w:pPr>
                  <w:spacing w:line="240" w:lineRule="auto"/>
                  <w:jc w:val="center"/>
                  <w:rPr>
                    <w:color w:val="000000"/>
                    <w:sz w:val="18"/>
                    <w:szCs w:val="18"/>
                  </w:rPr>
                </w:pPr>
                <w:r>
                  <w:rPr>
                    <w:color w:val="000000"/>
                    <w:sz w:val="18"/>
                    <w:szCs w:val="18"/>
                  </w:rPr>
                  <w:t>4,878</w:t>
                </w:r>
              </w:p>
            </w:tc>
            <w:tc>
              <w:tcPr>
                <w:tcW w:w="1418" w:type="dxa"/>
                <w:tcBorders>
                  <w:left w:val="single" w:sz="4" w:space="0" w:color="auto"/>
                </w:tcBorders>
                <w:shd w:val="clear" w:color="000000" w:fill="auto"/>
                <w:noWrap/>
                <w:vAlign w:val="bottom"/>
              </w:tcPr>
              <w:p w:rsidR="0089684C" w:rsidRPr="00FA1DA0" w:rsidRDefault="0089684C" w:rsidP="00FA1DA0">
                <w:pPr>
                  <w:spacing w:line="240" w:lineRule="auto"/>
                  <w:jc w:val="center"/>
                  <w:rPr>
                    <w:color w:val="000000"/>
                    <w:sz w:val="18"/>
                    <w:szCs w:val="18"/>
                  </w:rPr>
                </w:pPr>
                <w:r>
                  <w:rPr>
                    <w:color w:val="000000"/>
                    <w:sz w:val="18"/>
                    <w:szCs w:val="18"/>
                  </w:rPr>
                  <w:t>4,381 (-36,7 %)</w:t>
                </w:r>
              </w:p>
            </w:tc>
            <w:tc>
              <w:tcPr>
                <w:tcW w:w="1984" w:type="dxa"/>
                <w:shd w:val="clear" w:color="000000" w:fill="auto"/>
                <w:noWrap/>
                <w:vAlign w:val="bottom"/>
              </w:tcPr>
              <w:p w:rsidR="0089684C" w:rsidRPr="00FA1DA0" w:rsidRDefault="0089684C" w:rsidP="00FA1DA0">
                <w:pPr>
                  <w:spacing w:line="240" w:lineRule="auto"/>
                  <w:jc w:val="center"/>
                  <w:rPr>
                    <w:color w:val="000000"/>
                    <w:sz w:val="18"/>
                    <w:szCs w:val="18"/>
                  </w:rPr>
                </w:pPr>
                <w:r>
                  <w:rPr>
                    <w:color w:val="000000"/>
                    <w:sz w:val="18"/>
                    <w:szCs w:val="18"/>
                  </w:rPr>
                  <w:t>4,169 (-14,5 %)</w:t>
                </w:r>
              </w:p>
            </w:tc>
          </w:tr>
          <w:tr w:rsidR="0089684C" w:rsidRPr="009F3D53" w:rsidTr="00FA1DA0">
            <w:trPr>
              <w:trHeight w:val="300"/>
            </w:trPr>
            <w:tc>
              <w:tcPr>
                <w:tcW w:w="2268" w:type="dxa"/>
                <w:shd w:val="clear" w:color="000000" w:fill="auto"/>
                <w:noWrap/>
                <w:vAlign w:val="bottom"/>
                <w:hideMark/>
              </w:tcPr>
              <w:p w:rsidR="0089684C" w:rsidRPr="00FA1DA0" w:rsidRDefault="0089684C" w:rsidP="00FA1DA0">
                <w:pPr>
                  <w:spacing w:line="240" w:lineRule="auto"/>
                  <w:rPr>
                    <w:color w:val="000000"/>
                    <w:sz w:val="18"/>
                    <w:szCs w:val="18"/>
                  </w:rPr>
                </w:pPr>
                <w:r>
                  <w:rPr>
                    <w:color w:val="000000"/>
                    <w:sz w:val="18"/>
                    <w:szCs w:val="18"/>
                  </w:rPr>
                  <w:t>Kryssningsfartyg</w:t>
                </w:r>
              </w:p>
            </w:tc>
            <w:tc>
              <w:tcPr>
                <w:tcW w:w="851" w:type="dxa"/>
                <w:shd w:val="clear" w:color="000000" w:fill="auto"/>
                <w:vAlign w:val="bottom"/>
              </w:tcPr>
              <w:p w:rsidR="0089684C" w:rsidRPr="00FA1DA0" w:rsidRDefault="0089684C" w:rsidP="00FA1DA0">
                <w:pPr>
                  <w:spacing w:line="240" w:lineRule="auto"/>
                  <w:jc w:val="center"/>
                  <w:rPr>
                    <w:color w:val="000000"/>
                    <w:sz w:val="18"/>
                    <w:szCs w:val="18"/>
                  </w:rPr>
                </w:pPr>
                <w:r>
                  <w:rPr>
                    <w:color w:val="000000"/>
                    <w:sz w:val="18"/>
                    <w:szCs w:val="18"/>
                  </w:rPr>
                  <w:t> </w:t>
                </w:r>
              </w:p>
            </w:tc>
            <w:tc>
              <w:tcPr>
                <w:tcW w:w="1984" w:type="dxa"/>
                <w:tcBorders>
                  <w:right w:val="single" w:sz="4" w:space="0" w:color="auto"/>
                </w:tcBorders>
                <w:shd w:val="clear" w:color="000000" w:fill="auto"/>
                <w:vAlign w:val="bottom"/>
              </w:tcPr>
              <w:p w:rsidR="0089684C" w:rsidRPr="00FA1DA0" w:rsidRDefault="0089684C" w:rsidP="00FA1DA0">
                <w:pPr>
                  <w:spacing w:line="240" w:lineRule="auto"/>
                  <w:jc w:val="center"/>
                  <w:rPr>
                    <w:color w:val="000000"/>
                    <w:sz w:val="18"/>
                    <w:szCs w:val="18"/>
                  </w:rPr>
                </w:pPr>
                <w:r>
                  <w:rPr>
                    <w:color w:val="000000"/>
                    <w:sz w:val="18"/>
                    <w:szCs w:val="18"/>
                  </w:rPr>
                  <w:t>1,045</w:t>
                </w:r>
              </w:p>
            </w:tc>
            <w:tc>
              <w:tcPr>
                <w:tcW w:w="1418" w:type="dxa"/>
                <w:tcBorders>
                  <w:left w:val="single" w:sz="4" w:space="0" w:color="auto"/>
                </w:tcBorders>
                <w:shd w:val="clear" w:color="000000" w:fill="auto"/>
                <w:noWrap/>
                <w:vAlign w:val="bottom"/>
              </w:tcPr>
              <w:p w:rsidR="0089684C" w:rsidRPr="00FA1DA0" w:rsidRDefault="0089684C" w:rsidP="00FA1DA0">
                <w:pPr>
                  <w:spacing w:line="240" w:lineRule="auto"/>
                  <w:jc w:val="center"/>
                  <w:rPr>
                    <w:color w:val="000000"/>
                    <w:sz w:val="18"/>
                    <w:szCs w:val="18"/>
                  </w:rPr>
                </w:pPr>
                <w:r>
                  <w:rPr>
                    <w:color w:val="000000"/>
                    <w:sz w:val="18"/>
                    <w:szCs w:val="18"/>
                  </w:rPr>
                  <w:t> </w:t>
                </w:r>
              </w:p>
            </w:tc>
            <w:tc>
              <w:tcPr>
                <w:tcW w:w="1984" w:type="dxa"/>
                <w:shd w:val="clear" w:color="000000" w:fill="auto"/>
                <w:noWrap/>
                <w:vAlign w:val="bottom"/>
              </w:tcPr>
              <w:p w:rsidR="0089684C" w:rsidRPr="00FA1DA0" w:rsidRDefault="0089684C" w:rsidP="00FA1DA0">
                <w:pPr>
                  <w:spacing w:line="240" w:lineRule="auto"/>
                  <w:jc w:val="center"/>
                  <w:rPr>
                    <w:color w:val="000000"/>
                    <w:sz w:val="18"/>
                    <w:szCs w:val="18"/>
                  </w:rPr>
                </w:pPr>
                <w:r>
                  <w:rPr>
                    <w:color w:val="000000"/>
                    <w:sz w:val="18"/>
                    <w:szCs w:val="18"/>
                  </w:rPr>
                  <w:t>0,911 (-12,8 %)</w:t>
                </w:r>
              </w:p>
            </w:tc>
          </w:tr>
          <w:tr w:rsidR="0089684C" w:rsidRPr="009F3D53" w:rsidTr="00FA1DA0">
            <w:trPr>
              <w:trHeight w:val="300"/>
            </w:trPr>
            <w:tc>
              <w:tcPr>
                <w:tcW w:w="2268" w:type="dxa"/>
                <w:shd w:val="clear" w:color="000000" w:fill="auto"/>
                <w:noWrap/>
                <w:vAlign w:val="bottom"/>
                <w:hideMark/>
              </w:tcPr>
              <w:p w:rsidR="0089684C" w:rsidRPr="00FA1DA0" w:rsidRDefault="0089684C" w:rsidP="00FA1DA0">
                <w:pPr>
                  <w:spacing w:line="240" w:lineRule="auto"/>
                  <w:rPr>
                    <w:color w:val="000000"/>
                    <w:sz w:val="18"/>
                    <w:szCs w:val="18"/>
                  </w:rPr>
                </w:pPr>
                <w:r>
                  <w:rPr>
                    <w:color w:val="000000"/>
                    <w:sz w:val="18"/>
                    <w:szCs w:val="18"/>
                  </w:rPr>
                  <w:t>Höghastighetsfartyg</w:t>
                </w:r>
              </w:p>
            </w:tc>
            <w:tc>
              <w:tcPr>
                <w:tcW w:w="851" w:type="dxa"/>
                <w:shd w:val="clear" w:color="000000" w:fill="auto"/>
                <w:vAlign w:val="bottom"/>
              </w:tcPr>
              <w:p w:rsidR="0089684C" w:rsidRPr="00FA1DA0" w:rsidRDefault="0089684C" w:rsidP="00FA1DA0">
                <w:pPr>
                  <w:spacing w:line="240" w:lineRule="auto"/>
                  <w:jc w:val="center"/>
                  <w:rPr>
                    <w:color w:val="000000"/>
                    <w:sz w:val="18"/>
                    <w:szCs w:val="18"/>
                  </w:rPr>
                </w:pPr>
                <w:r>
                  <w:rPr>
                    <w:color w:val="000000"/>
                    <w:sz w:val="18"/>
                    <w:szCs w:val="18"/>
                  </w:rPr>
                  <w:t> </w:t>
                </w:r>
              </w:p>
            </w:tc>
            <w:tc>
              <w:tcPr>
                <w:tcW w:w="1984" w:type="dxa"/>
                <w:tcBorders>
                  <w:right w:val="single" w:sz="4" w:space="0" w:color="auto"/>
                </w:tcBorders>
                <w:shd w:val="clear" w:color="000000" w:fill="auto"/>
                <w:vAlign w:val="bottom"/>
              </w:tcPr>
              <w:p w:rsidR="0089684C" w:rsidRPr="00FA1DA0" w:rsidRDefault="0089684C" w:rsidP="00FA1DA0">
                <w:pPr>
                  <w:spacing w:line="240" w:lineRule="auto"/>
                  <w:jc w:val="center"/>
                  <w:rPr>
                    <w:color w:val="000000"/>
                    <w:sz w:val="18"/>
                    <w:szCs w:val="18"/>
                  </w:rPr>
                </w:pPr>
                <w:r>
                  <w:rPr>
                    <w:color w:val="000000"/>
                    <w:sz w:val="18"/>
                    <w:szCs w:val="18"/>
                  </w:rPr>
                  <w:t>6,303</w:t>
                </w:r>
              </w:p>
            </w:tc>
            <w:tc>
              <w:tcPr>
                <w:tcW w:w="1418" w:type="dxa"/>
                <w:tcBorders>
                  <w:left w:val="single" w:sz="4" w:space="0" w:color="auto"/>
                </w:tcBorders>
                <w:shd w:val="clear" w:color="000000" w:fill="auto"/>
                <w:noWrap/>
                <w:vAlign w:val="bottom"/>
              </w:tcPr>
              <w:p w:rsidR="0089684C" w:rsidRPr="00FA1DA0" w:rsidRDefault="0089684C" w:rsidP="00FA1DA0">
                <w:pPr>
                  <w:spacing w:line="240" w:lineRule="auto"/>
                  <w:jc w:val="center"/>
                  <w:rPr>
                    <w:color w:val="000000"/>
                    <w:sz w:val="18"/>
                    <w:szCs w:val="18"/>
                  </w:rPr>
                </w:pPr>
                <w:r>
                  <w:rPr>
                    <w:color w:val="000000"/>
                    <w:sz w:val="18"/>
                    <w:szCs w:val="18"/>
                  </w:rPr>
                  <w:t> </w:t>
                </w:r>
              </w:p>
            </w:tc>
            <w:tc>
              <w:tcPr>
                <w:tcW w:w="1984" w:type="dxa"/>
                <w:shd w:val="clear" w:color="000000" w:fill="auto"/>
                <w:noWrap/>
                <w:vAlign w:val="bottom"/>
              </w:tcPr>
              <w:p w:rsidR="0089684C" w:rsidRPr="00FA1DA0" w:rsidRDefault="0089684C" w:rsidP="00FA1DA0">
                <w:pPr>
                  <w:spacing w:line="240" w:lineRule="auto"/>
                  <w:jc w:val="center"/>
                  <w:rPr>
                    <w:color w:val="000000"/>
                    <w:sz w:val="18"/>
                    <w:szCs w:val="18"/>
                  </w:rPr>
                </w:pPr>
                <w:r>
                  <w:rPr>
                    <w:color w:val="000000"/>
                    <w:sz w:val="18"/>
                    <w:szCs w:val="18"/>
                  </w:rPr>
                  <w:t>5,381 (-14,6 %)</w:t>
                </w:r>
              </w:p>
            </w:tc>
          </w:tr>
          <w:tr w:rsidR="0089684C" w:rsidRPr="009F3D53" w:rsidTr="00FA1DA0">
            <w:trPr>
              <w:trHeight w:val="300"/>
            </w:trPr>
            <w:tc>
              <w:tcPr>
                <w:tcW w:w="2268" w:type="dxa"/>
                <w:tcBorders>
                  <w:bottom w:val="single" w:sz="4" w:space="0" w:color="auto"/>
                </w:tcBorders>
                <w:shd w:val="clear" w:color="000000" w:fill="auto"/>
                <w:noWrap/>
                <w:vAlign w:val="bottom"/>
                <w:hideMark/>
              </w:tcPr>
              <w:p w:rsidR="0089684C" w:rsidRPr="00FA1DA0" w:rsidRDefault="0089684C" w:rsidP="00FA1DA0">
                <w:pPr>
                  <w:spacing w:line="240" w:lineRule="auto"/>
                  <w:rPr>
                    <w:color w:val="000000"/>
                    <w:sz w:val="18"/>
                    <w:szCs w:val="18"/>
                  </w:rPr>
                </w:pPr>
                <w:r>
                  <w:rPr>
                    <w:color w:val="000000"/>
                    <w:sz w:val="18"/>
                    <w:szCs w:val="18"/>
                  </w:rPr>
                  <w:t>Pråm</w:t>
                </w:r>
              </w:p>
            </w:tc>
            <w:tc>
              <w:tcPr>
                <w:tcW w:w="851" w:type="dxa"/>
                <w:tcBorders>
                  <w:bottom w:val="single" w:sz="4" w:space="0" w:color="auto"/>
                </w:tcBorders>
                <w:shd w:val="clear" w:color="000000" w:fill="auto"/>
                <w:vAlign w:val="bottom"/>
              </w:tcPr>
              <w:p w:rsidR="0089684C" w:rsidRPr="00FA1DA0" w:rsidRDefault="0089684C" w:rsidP="00FA1DA0">
                <w:pPr>
                  <w:spacing w:line="240" w:lineRule="auto"/>
                  <w:jc w:val="center"/>
                  <w:rPr>
                    <w:color w:val="000000"/>
                    <w:sz w:val="18"/>
                    <w:szCs w:val="18"/>
                  </w:rPr>
                </w:pPr>
                <w:r>
                  <w:rPr>
                    <w:color w:val="000000"/>
                    <w:sz w:val="18"/>
                    <w:szCs w:val="18"/>
                  </w:rPr>
                  <w:t>3,473</w:t>
                </w:r>
              </w:p>
            </w:tc>
            <w:tc>
              <w:tcPr>
                <w:tcW w:w="1984" w:type="dxa"/>
                <w:tcBorders>
                  <w:bottom w:val="single" w:sz="4" w:space="0" w:color="auto"/>
                  <w:right w:val="single" w:sz="4" w:space="0" w:color="auto"/>
                </w:tcBorders>
                <w:shd w:val="clear" w:color="000000" w:fill="auto"/>
                <w:vAlign w:val="bottom"/>
              </w:tcPr>
              <w:p w:rsidR="0089684C" w:rsidRPr="00FA1DA0" w:rsidRDefault="0089684C" w:rsidP="00FA1DA0">
                <w:pPr>
                  <w:spacing w:line="240" w:lineRule="auto"/>
                  <w:jc w:val="center"/>
                  <w:rPr>
                    <w:color w:val="000000"/>
                    <w:sz w:val="18"/>
                    <w:szCs w:val="18"/>
                  </w:rPr>
                </w:pPr>
              </w:p>
            </w:tc>
            <w:tc>
              <w:tcPr>
                <w:tcW w:w="1418" w:type="dxa"/>
                <w:tcBorders>
                  <w:left w:val="single" w:sz="4" w:space="0" w:color="auto"/>
                  <w:bottom w:val="single" w:sz="4" w:space="0" w:color="auto"/>
                </w:tcBorders>
                <w:shd w:val="clear" w:color="000000" w:fill="auto"/>
                <w:noWrap/>
                <w:vAlign w:val="bottom"/>
              </w:tcPr>
              <w:p w:rsidR="0089684C" w:rsidRPr="00FA1DA0" w:rsidRDefault="0089684C" w:rsidP="00FA1DA0">
                <w:pPr>
                  <w:spacing w:line="240" w:lineRule="auto"/>
                  <w:jc w:val="center"/>
                  <w:rPr>
                    <w:color w:val="000000"/>
                    <w:sz w:val="18"/>
                    <w:szCs w:val="18"/>
                  </w:rPr>
                </w:pPr>
                <w:r>
                  <w:rPr>
                    <w:color w:val="000000"/>
                    <w:sz w:val="18"/>
                    <w:szCs w:val="18"/>
                  </w:rPr>
                  <w:t>2,107 (-39,3 %)</w:t>
                </w:r>
              </w:p>
            </w:tc>
            <w:tc>
              <w:tcPr>
                <w:tcW w:w="1984" w:type="dxa"/>
                <w:tcBorders>
                  <w:bottom w:val="single" w:sz="4" w:space="0" w:color="auto"/>
                </w:tcBorders>
                <w:shd w:val="clear" w:color="000000" w:fill="auto"/>
                <w:noWrap/>
                <w:vAlign w:val="bottom"/>
              </w:tcPr>
              <w:p w:rsidR="0089684C" w:rsidRPr="00FA1DA0" w:rsidRDefault="0089684C" w:rsidP="00FA1DA0">
                <w:pPr>
                  <w:spacing w:line="240" w:lineRule="auto"/>
                  <w:jc w:val="center"/>
                  <w:rPr>
                    <w:color w:val="000000"/>
                    <w:sz w:val="18"/>
                    <w:szCs w:val="18"/>
                  </w:rPr>
                </w:pPr>
              </w:p>
            </w:tc>
          </w:tr>
          <w:tr w:rsidR="0089684C" w:rsidRPr="009F3D53" w:rsidTr="00FA1DA0">
            <w:trPr>
              <w:trHeight w:val="300"/>
            </w:trPr>
            <w:tc>
              <w:tcPr>
                <w:tcW w:w="5103" w:type="dxa"/>
                <w:gridSpan w:val="3"/>
                <w:tcBorders>
                  <w:top w:val="single" w:sz="4" w:space="0" w:color="auto"/>
                  <w:bottom w:val="single" w:sz="4" w:space="0" w:color="auto"/>
                  <w:right w:val="single" w:sz="4" w:space="0" w:color="auto"/>
                </w:tcBorders>
                <w:shd w:val="clear" w:color="000000" w:fill="auto"/>
                <w:noWrap/>
                <w:vAlign w:val="bottom"/>
              </w:tcPr>
              <w:p w:rsidR="0089684C" w:rsidRPr="00FA1DA0" w:rsidRDefault="0089684C" w:rsidP="00FA1DA0">
                <w:pPr>
                  <w:spacing w:line="240" w:lineRule="auto"/>
                  <w:rPr>
                    <w:color w:val="000000"/>
                    <w:sz w:val="18"/>
                    <w:szCs w:val="18"/>
                  </w:rPr>
                </w:pPr>
                <w:r>
                  <w:rPr>
                    <w:color w:val="000000"/>
                    <w:sz w:val="18"/>
                    <w:szCs w:val="18"/>
                  </w:rPr>
                  <w:t>Maximibelopp, euro/anlöp</w:t>
                </w:r>
              </w:p>
            </w:tc>
            <w:tc>
              <w:tcPr>
                <w:tcW w:w="1418" w:type="dxa"/>
                <w:tcBorders>
                  <w:top w:val="single" w:sz="4" w:space="0" w:color="auto"/>
                  <w:left w:val="single" w:sz="4" w:space="0" w:color="auto"/>
                  <w:bottom w:val="single" w:sz="4" w:space="0" w:color="auto"/>
                </w:tcBorders>
                <w:shd w:val="clear" w:color="000000" w:fill="auto"/>
                <w:noWrap/>
                <w:vAlign w:val="bottom"/>
              </w:tcPr>
              <w:p w:rsidR="0089684C" w:rsidRPr="00FA1DA0" w:rsidRDefault="0089684C" w:rsidP="00FA1DA0">
                <w:pPr>
                  <w:spacing w:line="240" w:lineRule="auto"/>
                  <w:jc w:val="center"/>
                  <w:rPr>
                    <w:color w:val="000000"/>
                    <w:sz w:val="18"/>
                    <w:szCs w:val="18"/>
                  </w:rPr>
                </w:pPr>
              </w:p>
            </w:tc>
            <w:tc>
              <w:tcPr>
                <w:tcW w:w="1984" w:type="dxa"/>
                <w:tcBorders>
                  <w:top w:val="single" w:sz="4" w:space="0" w:color="auto"/>
                  <w:bottom w:val="single" w:sz="4" w:space="0" w:color="auto"/>
                </w:tcBorders>
                <w:shd w:val="clear" w:color="000000" w:fill="auto"/>
                <w:noWrap/>
                <w:vAlign w:val="bottom"/>
              </w:tcPr>
              <w:p w:rsidR="0089684C" w:rsidRPr="00FA1DA0" w:rsidRDefault="0089684C" w:rsidP="00FA1DA0">
                <w:pPr>
                  <w:spacing w:line="240" w:lineRule="auto"/>
                  <w:jc w:val="center"/>
                  <w:rPr>
                    <w:color w:val="000000"/>
                    <w:sz w:val="18"/>
                    <w:szCs w:val="18"/>
                  </w:rPr>
                </w:pPr>
              </w:p>
            </w:tc>
          </w:tr>
          <w:tr w:rsidR="0089684C" w:rsidRPr="009F3D53" w:rsidTr="00FA1DA0">
            <w:trPr>
              <w:trHeight w:val="300"/>
            </w:trPr>
            <w:tc>
              <w:tcPr>
                <w:tcW w:w="2268" w:type="dxa"/>
                <w:tcBorders>
                  <w:top w:val="single" w:sz="4" w:space="0" w:color="auto"/>
                </w:tcBorders>
                <w:shd w:val="clear" w:color="000000" w:fill="auto"/>
                <w:noWrap/>
                <w:vAlign w:val="bottom"/>
              </w:tcPr>
              <w:p w:rsidR="0089684C" w:rsidRPr="00FA1DA0" w:rsidRDefault="0089684C" w:rsidP="00FA1DA0">
                <w:pPr>
                  <w:spacing w:line="240" w:lineRule="auto"/>
                  <w:rPr>
                    <w:color w:val="000000"/>
                    <w:sz w:val="18"/>
                    <w:szCs w:val="18"/>
                  </w:rPr>
                </w:pPr>
                <w:r>
                  <w:rPr>
                    <w:color w:val="000000"/>
                    <w:sz w:val="18"/>
                    <w:szCs w:val="18"/>
                  </w:rPr>
                  <w:t>Lastfartyg</w:t>
                </w:r>
              </w:p>
            </w:tc>
            <w:tc>
              <w:tcPr>
                <w:tcW w:w="851" w:type="dxa"/>
                <w:tcBorders>
                  <w:top w:val="single" w:sz="4" w:space="0" w:color="auto"/>
                </w:tcBorders>
                <w:shd w:val="clear" w:color="000000" w:fill="auto"/>
                <w:vAlign w:val="bottom"/>
              </w:tcPr>
              <w:p w:rsidR="0089684C" w:rsidRPr="00FA1DA0" w:rsidRDefault="0089684C" w:rsidP="00FA1DA0">
                <w:pPr>
                  <w:spacing w:line="240" w:lineRule="auto"/>
                  <w:jc w:val="center"/>
                  <w:rPr>
                    <w:color w:val="000000"/>
                    <w:sz w:val="18"/>
                    <w:szCs w:val="18"/>
                  </w:rPr>
                </w:pPr>
                <w:r>
                  <w:rPr>
                    <w:color w:val="000000"/>
                    <w:sz w:val="18"/>
                    <w:szCs w:val="18"/>
                  </w:rPr>
                  <w:t>107 750</w:t>
                </w:r>
              </w:p>
            </w:tc>
            <w:tc>
              <w:tcPr>
                <w:tcW w:w="1984" w:type="dxa"/>
                <w:tcBorders>
                  <w:top w:val="single" w:sz="4" w:space="0" w:color="auto"/>
                  <w:right w:val="single" w:sz="4" w:space="0" w:color="auto"/>
                </w:tcBorders>
                <w:shd w:val="clear" w:color="000000" w:fill="auto"/>
                <w:vAlign w:val="bottom"/>
              </w:tcPr>
              <w:p w:rsidR="0089684C" w:rsidRPr="00FA1DA0" w:rsidRDefault="0089684C" w:rsidP="00FA1DA0">
                <w:pPr>
                  <w:spacing w:line="240" w:lineRule="auto"/>
                  <w:jc w:val="center"/>
                  <w:rPr>
                    <w:color w:val="000000"/>
                    <w:sz w:val="18"/>
                    <w:szCs w:val="18"/>
                  </w:rPr>
                </w:pPr>
              </w:p>
            </w:tc>
            <w:tc>
              <w:tcPr>
                <w:tcW w:w="1418" w:type="dxa"/>
                <w:tcBorders>
                  <w:top w:val="single" w:sz="4" w:space="0" w:color="auto"/>
                  <w:left w:val="single" w:sz="4" w:space="0" w:color="auto"/>
                </w:tcBorders>
                <w:shd w:val="clear" w:color="000000" w:fill="auto"/>
                <w:noWrap/>
                <w:vAlign w:val="bottom"/>
              </w:tcPr>
              <w:p w:rsidR="0089684C" w:rsidRPr="00FA1DA0" w:rsidRDefault="0089684C" w:rsidP="00FA1DA0">
                <w:pPr>
                  <w:spacing w:line="240" w:lineRule="auto"/>
                  <w:jc w:val="center"/>
                  <w:rPr>
                    <w:color w:val="000000"/>
                    <w:sz w:val="18"/>
                    <w:szCs w:val="18"/>
                  </w:rPr>
                </w:pPr>
                <w:r>
                  <w:rPr>
                    <w:color w:val="000000"/>
                    <w:sz w:val="18"/>
                    <w:szCs w:val="18"/>
                  </w:rPr>
                  <w:t>53 875 (-50 %)</w:t>
                </w:r>
              </w:p>
            </w:tc>
            <w:tc>
              <w:tcPr>
                <w:tcW w:w="1984" w:type="dxa"/>
                <w:tcBorders>
                  <w:top w:val="single" w:sz="4" w:space="0" w:color="auto"/>
                </w:tcBorders>
                <w:shd w:val="clear" w:color="000000" w:fill="auto"/>
                <w:noWrap/>
                <w:vAlign w:val="bottom"/>
              </w:tcPr>
              <w:p w:rsidR="0089684C" w:rsidRPr="00FA1DA0" w:rsidRDefault="0089684C" w:rsidP="00FA1DA0">
                <w:pPr>
                  <w:spacing w:line="240" w:lineRule="auto"/>
                  <w:jc w:val="center"/>
                  <w:rPr>
                    <w:color w:val="000000"/>
                    <w:sz w:val="18"/>
                    <w:szCs w:val="18"/>
                  </w:rPr>
                </w:pPr>
              </w:p>
            </w:tc>
          </w:tr>
          <w:tr w:rsidR="0089684C" w:rsidRPr="009F3D53" w:rsidTr="00FA1DA0">
            <w:trPr>
              <w:trHeight w:val="300"/>
            </w:trPr>
            <w:tc>
              <w:tcPr>
                <w:tcW w:w="2268" w:type="dxa"/>
                <w:shd w:val="clear" w:color="000000" w:fill="auto"/>
                <w:noWrap/>
                <w:vAlign w:val="bottom"/>
              </w:tcPr>
              <w:p w:rsidR="0089684C" w:rsidRPr="00FA1DA0" w:rsidRDefault="0089684C" w:rsidP="00FA1DA0">
                <w:pPr>
                  <w:spacing w:line="240" w:lineRule="auto"/>
                  <w:rPr>
                    <w:color w:val="000000"/>
                    <w:sz w:val="18"/>
                    <w:szCs w:val="18"/>
                  </w:rPr>
                </w:pPr>
                <w:r>
                  <w:rPr>
                    <w:color w:val="000000"/>
                    <w:sz w:val="18"/>
                    <w:szCs w:val="18"/>
                  </w:rPr>
                  <w:t>Passagerarfartyg</w:t>
                </w:r>
              </w:p>
            </w:tc>
            <w:tc>
              <w:tcPr>
                <w:tcW w:w="851" w:type="dxa"/>
                <w:shd w:val="clear" w:color="000000" w:fill="auto"/>
                <w:vAlign w:val="bottom"/>
              </w:tcPr>
              <w:p w:rsidR="0089684C" w:rsidRPr="00FA1DA0" w:rsidRDefault="0089684C" w:rsidP="00FA1DA0">
                <w:pPr>
                  <w:spacing w:line="240" w:lineRule="auto"/>
                  <w:jc w:val="center"/>
                  <w:rPr>
                    <w:color w:val="000000"/>
                    <w:sz w:val="18"/>
                    <w:szCs w:val="18"/>
                  </w:rPr>
                </w:pPr>
              </w:p>
            </w:tc>
            <w:tc>
              <w:tcPr>
                <w:tcW w:w="1984" w:type="dxa"/>
                <w:tcBorders>
                  <w:right w:val="single" w:sz="4" w:space="0" w:color="auto"/>
                </w:tcBorders>
                <w:shd w:val="clear" w:color="000000" w:fill="auto"/>
                <w:vAlign w:val="bottom"/>
              </w:tcPr>
              <w:p w:rsidR="0089684C" w:rsidRPr="00FA1DA0" w:rsidRDefault="0089684C" w:rsidP="00FA1DA0">
                <w:pPr>
                  <w:spacing w:line="240" w:lineRule="auto"/>
                  <w:jc w:val="center"/>
                  <w:rPr>
                    <w:color w:val="000000"/>
                    <w:sz w:val="18"/>
                    <w:szCs w:val="18"/>
                  </w:rPr>
                </w:pPr>
                <w:r>
                  <w:rPr>
                    <w:color w:val="000000"/>
                    <w:sz w:val="18"/>
                    <w:szCs w:val="18"/>
                  </w:rPr>
                  <w:t>32 430</w:t>
                </w:r>
              </w:p>
            </w:tc>
            <w:tc>
              <w:tcPr>
                <w:tcW w:w="1418" w:type="dxa"/>
                <w:tcBorders>
                  <w:left w:val="single" w:sz="4" w:space="0" w:color="auto"/>
                </w:tcBorders>
                <w:shd w:val="clear" w:color="000000" w:fill="auto"/>
                <w:noWrap/>
                <w:vAlign w:val="bottom"/>
              </w:tcPr>
              <w:p w:rsidR="0089684C" w:rsidRPr="00FA1DA0" w:rsidRDefault="0089684C" w:rsidP="00FA1DA0">
                <w:pPr>
                  <w:spacing w:line="240" w:lineRule="auto"/>
                  <w:jc w:val="center"/>
                  <w:rPr>
                    <w:color w:val="000000"/>
                    <w:sz w:val="18"/>
                    <w:szCs w:val="18"/>
                  </w:rPr>
                </w:pPr>
              </w:p>
            </w:tc>
            <w:tc>
              <w:tcPr>
                <w:tcW w:w="1984" w:type="dxa"/>
                <w:shd w:val="clear" w:color="000000" w:fill="auto"/>
                <w:noWrap/>
                <w:vAlign w:val="bottom"/>
              </w:tcPr>
              <w:p w:rsidR="0089684C" w:rsidRPr="00FA1DA0" w:rsidRDefault="0089684C" w:rsidP="00FA1DA0">
                <w:pPr>
                  <w:spacing w:line="240" w:lineRule="auto"/>
                  <w:jc w:val="center"/>
                  <w:rPr>
                    <w:color w:val="000000"/>
                    <w:sz w:val="18"/>
                    <w:szCs w:val="18"/>
                  </w:rPr>
                </w:pPr>
                <w:r>
                  <w:rPr>
                    <w:color w:val="000000"/>
                    <w:sz w:val="18"/>
                    <w:szCs w:val="18"/>
                  </w:rPr>
                  <w:t>16 215 (-50 %)</w:t>
                </w:r>
              </w:p>
            </w:tc>
          </w:tr>
          <w:tr w:rsidR="0089684C" w:rsidRPr="009F3D53" w:rsidTr="00FA1DA0">
            <w:trPr>
              <w:trHeight w:val="300"/>
            </w:trPr>
            <w:tc>
              <w:tcPr>
                <w:tcW w:w="2268" w:type="dxa"/>
                <w:tcBorders>
                  <w:bottom w:val="single" w:sz="4" w:space="0" w:color="auto"/>
                </w:tcBorders>
                <w:shd w:val="clear" w:color="000000" w:fill="auto"/>
                <w:noWrap/>
                <w:vAlign w:val="bottom"/>
              </w:tcPr>
              <w:p w:rsidR="0089684C" w:rsidRPr="00FA1DA0" w:rsidRDefault="0089684C" w:rsidP="00FA1DA0">
                <w:pPr>
                  <w:spacing w:line="240" w:lineRule="auto"/>
                  <w:rPr>
                    <w:color w:val="000000"/>
                    <w:sz w:val="18"/>
                    <w:szCs w:val="18"/>
                  </w:rPr>
                </w:pPr>
                <w:r>
                  <w:rPr>
                    <w:color w:val="000000"/>
                    <w:sz w:val="18"/>
                    <w:szCs w:val="18"/>
                  </w:rPr>
                  <w:t>Kryssningsfartyg</w:t>
                </w:r>
              </w:p>
            </w:tc>
            <w:tc>
              <w:tcPr>
                <w:tcW w:w="851" w:type="dxa"/>
                <w:tcBorders>
                  <w:bottom w:val="single" w:sz="4" w:space="0" w:color="auto"/>
                </w:tcBorders>
                <w:shd w:val="clear" w:color="000000" w:fill="auto"/>
                <w:vAlign w:val="bottom"/>
              </w:tcPr>
              <w:p w:rsidR="0089684C" w:rsidRPr="00FA1DA0" w:rsidRDefault="0089684C" w:rsidP="00FA1DA0">
                <w:pPr>
                  <w:spacing w:line="240" w:lineRule="auto"/>
                  <w:jc w:val="center"/>
                  <w:rPr>
                    <w:color w:val="000000"/>
                    <w:sz w:val="18"/>
                    <w:szCs w:val="18"/>
                  </w:rPr>
                </w:pPr>
              </w:p>
            </w:tc>
            <w:tc>
              <w:tcPr>
                <w:tcW w:w="1984" w:type="dxa"/>
                <w:tcBorders>
                  <w:bottom w:val="single" w:sz="4" w:space="0" w:color="auto"/>
                  <w:right w:val="single" w:sz="4" w:space="0" w:color="auto"/>
                </w:tcBorders>
                <w:shd w:val="clear" w:color="000000" w:fill="auto"/>
                <w:vAlign w:val="bottom"/>
              </w:tcPr>
              <w:p w:rsidR="0089684C" w:rsidRPr="00FA1DA0" w:rsidRDefault="0089684C" w:rsidP="00FA1DA0">
                <w:pPr>
                  <w:spacing w:line="240" w:lineRule="auto"/>
                  <w:jc w:val="center"/>
                  <w:rPr>
                    <w:color w:val="000000"/>
                    <w:sz w:val="18"/>
                    <w:szCs w:val="18"/>
                  </w:rPr>
                </w:pPr>
                <w:r>
                  <w:rPr>
                    <w:color w:val="000000"/>
                    <w:sz w:val="18"/>
                    <w:szCs w:val="18"/>
                  </w:rPr>
                  <w:t>44 500</w:t>
                </w:r>
              </w:p>
            </w:tc>
            <w:tc>
              <w:tcPr>
                <w:tcW w:w="1418" w:type="dxa"/>
                <w:tcBorders>
                  <w:left w:val="single" w:sz="4" w:space="0" w:color="auto"/>
                  <w:bottom w:val="single" w:sz="4" w:space="0" w:color="auto"/>
                </w:tcBorders>
                <w:shd w:val="clear" w:color="000000" w:fill="auto"/>
                <w:noWrap/>
                <w:vAlign w:val="bottom"/>
              </w:tcPr>
              <w:p w:rsidR="0089684C" w:rsidRPr="00FA1DA0" w:rsidRDefault="0089684C" w:rsidP="00FA1DA0">
                <w:pPr>
                  <w:spacing w:line="240" w:lineRule="auto"/>
                  <w:jc w:val="center"/>
                  <w:rPr>
                    <w:color w:val="000000"/>
                    <w:sz w:val="18"/>
                    <w:szCs w:val="18"/>
                  </w:rPr>
                </w:pPr>
              </w:p>
            </w:tc>
            <w:tc>
              <w:tcPr>
                <w:tcW w:w="1984" w:type="dxa"/>
                <w:tcBorders>
                  <w:bottom w:val="single" w:sz="4" w:space="0" w:color="auto"/>
                </w:tcBorders>
                <w:shd w:val="clear" w:color="000000" w:fill="auto"/>
                <w:noWrap/>
                <w:vAlign w:val="bottom"/>
              </w:tcPr>
              <w:p w:rsidR="0089684C" w:rsidRPr="00FA1DA0" w:rsidRDefault="0089684C" w:rsidP="00FA1DA0">
                <w:pPr>
                  <w:spacing w:line="240" w:lineRule="auto"/>
                  <w:jc w:val="center"/>
                  <w:rPr>
                    <w:color w:val="000000"/>
                    <w:sz w:val="18"/>
                    <w:szCs w:val="18"/>
                  </w:rPr>
                </w:pPr>
                <w:r>
                  <w:rPr>
                    <w:color w:val="000000"/>
                    <w:sz w:val="18"/>
                    <w:szCs w:val="18"/>
                  </w:rPr>
                  <w:t>22 250 (-50 %)</w:t>
                </w:r>
              </w:p>
            </w:tc>
          </w:tr>
        </w:tbl>
        <w:p w:rsidR="00F959A4" w:rsidRDefault="00F959A4" w:rsidP="00F959A4">
          <w:pPr>
            <w:pStyle w:val="LLNormaali"/>
          </w:pPr>
        </w:p>
        <w:p w:rsidR="0089684C" w:rsidRPr="00572522" w:rsidRDefault="0089684C" w:rsidP="0089684C">
          <w:pPr>
            <w:pStyle w:val="LLPerustelujenkappalejako"/>
          </w:pPr>
          <w:r>
            <w:t>Transport- och utrikeshandelsstatistiken avslöjar betydelsen av att trygga en fungerande handelssjöfart för Finland. Enligt Tullen uppgick transportmängderna inom sjötransporterna för den finländska importen och exporten år 2019 till sammanlagt 91,5 miljoner ton (importen svarade för 45 miljoner ton och exporten för 47 miljoner ton). Mätt i ton svarade sjötransporterna för 84 procent av volymen inom Finlands utrikeshandel åren 2018–2019. År 2019 var sjötransporternas andel inom exporten 92 procent och inom importen 78 procent av volymen. Om transiteringen via Ryssland beaktas, transporterades åren 2016–2019 sammanlagt 95–104 miljoner ton varor och frakt årligen via de finländska sjöförbindelserna. Av den totala mängden frakt transporterades t.ex. 2016–2019 omkring 32–34 procent med finländska rederiers fartyg. Det totala värdet av Finlands varuhandel år 2019 uppgick till sammanlagt 131 miljarder euro och största delen transporterades sjövägen.</w:t>
          </w:r>
        </w:p>
        <w:p w:rsidR="0089684C" w:rsidRPr="00572522" w:rsidRDefault="0089684C" w:rsidP="0089684C">
          <w:pPr>
            <w:pStyle w:val="LLPerustelujenkappalejako"/>
          </w:pPr>
          <w:r>
            <w:t>Under de senaste åren har sammanlagt cirka 19 miljoner passagerare årligen rest mellan Finland och utlandet sjövägen. Dessutom transporterades det sammanlagt 3,3 miljoner fordon med passagerarbilfärjorna 2019. Av fordonen var antalet personbilar 2,2 miljoner, antalet bussar 40 000, antalet lastbilar 660 000, antalet släpvagnar 445 000 och antalet övriga transportmedel 46 000.</w:t>
          </w:r>
        </w:p>
        <w:p w:rsidR="0089684C" w:rsidRPr="00572522" w:rsidRDefault="0089684C" w:rsidP="0089684C">
          <w:pPr>
            <w:pStyle w:val="LLPerustelujenkappalejako"/>
          </w:pPr>
          <w:r>
            <w:t>Åren 2010–2018 har det skett cirka 30 000–31 000 fartygsanlöp från utlandet i de finska hamnarna. De linjefartyg som trafikerar mellan Finland och dess grannländer samt mellan Finland och hamnarna vid södra Östersjön och Nordsjön svarar för en betydande del av anlöpen. Antalet enskilda anlöp är också högt. Över 80 procent av alla anlöp görs av fartyg som hör till de högsta isklasserna (IA och IAS).</w:t>
          </w:r>
        </w:p>
        <w:p w:rsidR="0089684C" w:rsidRDefault="0089684C" w:rsidP="0089684C">
          <w:pPr>
            <w:pStyle w:val="LLPerustelujenkappalejako"/>
            <w:rPr>
              <w:szCs w:val="22"/>
            </w:rPr>
          </w:pPr>
          <w:r>
            <w:t xml:space="preserve">Farledsavgifterna under halveringen varierar beroende på fartygstyp, storlek och isklass från några hundra eller tusen euro upp till maximibeloppen i prislistan. I fråga om ett enskilt fartyg </w:t>
          </w:r>
          <w:r>
            <w:lastRenderedPageBreak/>
            <w:t>påverkar den övre gränsen för antalet avgiftsbelagda anlöp i hög grad den kalkylerade genomsnittliga avgiften per anlöp under året. För fartyg inom reguljär passagerarbilfärjetrafik betalas i regel de årliga farledsavgifterna redan i början av året. I typiska fall är avgiften för 30 anlöp för ett passagerarfartyg sammanlagt från cirka 200 000 euro till högst 486 450 euro. Fartygen i fråga kan anlända till Finland upp till flera hundra gånger under ett år. I fråga om lastfartyg varierar de enskilda avgifterna från några tusen euro till den övre gränsen för avgiften. För lastfartyg i större storleksklass i reguljär trafik kan avgifterna för tio anlöp uppgå till sammanlagt 200 000 euro. Även de här fartygen kan besöka Finland flera tiotals gånger om året.</w:t>
          </w:r>
        </w:p>
        <w:p w:rsidR="0089684C" w:rsidRDefault="0089684C" w:rsidP="0089684C">
          <w:pPr>
            <w:pStyle w:val="LLPerustelujenkappalejako"/>
            <w:rPr>
              <w:bCs/>
              <w:szCs w:val="22"/>
            </w:rPr>
          </w:pPr>
          <w:r>
            <w:t>Farledsavgiftens priser per enhet har dimensionerats med målsättningen att täcka kostnaderna för den service som erbjuds handelssjöfarten. Servicen omfattar farledshållning, ledning av sjötrafiken, isbrytning och sjömätning. Under 2010–2019 varierade dessa kostnader mellan 74,9 och 99,4 miljoner euro. Isbrytartjänsterna svarar för de mest betydande beloppen. Kostnaderna påverkas av kostnadsstrukturen för isbrytningen, bränslepriserna och variationen mellan vintrarna.</w:t>
          </w:r>
        </w:p>
        <w:p w:rsidR="0089684C" w:rsidRDefault="0089684C" w:rsidP="0089684C">
          <w:pPr>
            <w:pStyle w:val="LLPerustelujenkappalejako"/>
            <w:rPr>
              <w:szCs w:val="22"/>
            </w:rPr>
          </w:pPr>
          <w:r>
            <w:t>Före halveringen 2010–2014 inbringade farledsavgiften 69,0–87,6 miljoner euro per år. Under halveringen av farledsavgiften 2015–2019 var intäkterna 45,3–52,2 miljoner euro per år. Intäkterna påverkas inte bara av ändringar i prislistan utan också av antalet fartyg i trafik och av det antal anlöp som fartygen gör (upp till den övre gränsen för antalet anlöp) samt av fartygens typ, isklass och storlek (nettodräktighet). Även fartyg som inte är fullastade och transittransporter har en inverkan. Före halveringen av farledsavgiften 2010–2014 varierade intäkterna av farledsavgiften i förhållande till kostnaderna för serviceutbudet mellan 77,7 och 105,3 procent. Under tiden för den halverade farledsavgiften har talet varit 53,4–61,2 procent.</w:t>
          </w:r>
        </w:p>
        <w:p w:rsidR="0089684C" w:rsidRDefault="0089684C" w:rsidP="0089684C">
          <w:pPr>
            <w:pStyle w:val="LLPerustelujenkappalejako"/>
            <w:rPr>
              <w:szCs w:val="22"/>
            </w:rPr>
          </w:pPr>
          <w:r>
            <w:t>I statsbudgeten för 2020 har intäkterna av farledsavgifterna beräknats uppgå till 50,16 miljoner euro. Intäkterna kommer sannolikt att stanna på 40–45 miljoner euro. Sommarens besök av kryssningsfartyg blir inte av och antalet besök av lastfartyg kan minska när handeln och produktionen minskar. Avbrotten i linjetrafiken minskar inte intäkterna av farledsavgiften, eftersom fartygen betalade farledsavgifterna redan i början av året. I kommunikationsministeriets budgetförslag för 2021 antas det att intäkterna av farledsavgiften uppgår till 48,1 miljoner euro.</w:t>
          </w:r>
        </w:p>
        <w:p w:rsidR="0089684C" w:rsidRPr="0089684C" w:rsidRDefault="0089684C" w:rsidP="0089684C">
          <w:pPr>
            <w:pStyle w:val="LLPerustelujenkappalejako"/>
            <w:spacing w:after="0"/>
            <w:rPr>
              <w:i/>
              <w:szCs w:val="22"/>
            </w:rPr>
          </w:pPr>
          <w:r>
            <w:rPr>
              <w:i/>
              <w:szCs w:val="22"/>
            </w:rPr>
            <w:t>Kostnader för tjänster som tillhandahållits handelssjöfarten och intäkter av farledsavgifter 2010–2019 (Trafikledsverket).</w:t>
          </w:r>
        </w:p>
        <w:tbl>
          <w:tblPr>
            <w:tblW w:w="5000" w:type="pct"/>
            <w:tblLayout w:type="fixed"/>
            <w:tblCellMar>
              <w:left w:w="70" w:type="dxa"/>
              <w:right w:w="70" w:type="dxa"/>
            </w:tblCellMar>
            <w:tblLook w:val="04A0" w:firstRow="1" w:lastRow="0" w:firstColumn="1" w:lastColumn="0" w:noHBand="0" w:noVBand="1"/>
          </w:tblPr>
          <w:tblGrid>
            <w:gridCol w:w="1560"/>
            <w:gridCol w:w="133"/>
            <w:gridCol w:w="149"/>
            <w:gridCol w:w="426"/>
            <w:gridCol w:w="33"/>
            <w:gridCol w:w="609"/>
            <w:gridCol w:w="584"/>
            <w:gridCol w:w="693"/>
            <w:gridCol w:w="693"/>
            <w:gridCol w:w="693"/>
            <w:gridCol w:w="693"/>
            <w:gridCol w:w="693"/>
            <w:gridCol w:w="693"/>
            <w:gridCol w:w="694"/>
          </w:tblGrid>
          <w:tr w:rsidR="0089684C" w:rsidRPr="00A3401A" w:rsidTr="00F959A4">
            <w:trPr>
              <w:trHeight w:val="315"/>
            </w:trPr>
            <w:tc>
              <w:tcPr>
                <w:tcW w:w="1015" w:type="pct"/>
                <w:gridSpan w:val="2"/>
                <w:tcBorders>
                  <w:top w:val="single" w:sz="4" w:space="0" w:color="auto"/>
                  <w:left w:val="nil"/>
                  <w:bottom w:val="single" w:sz="4" w:space="0" w:color="auto"/>
                  <w:right w:val="nil"/>
                </w:tcBorders>
                <w:shd w:val="clear" w:color="auto" w:fill="auto"/>
                <w:noWrap/>
                <w:vAlign w:val="bottom"/>
                <w:hideMark/>
              </w:tcPr>
              <w:p w:rsidR="0089684C" w:rsidRPr="00A3401A" w:rsidRDefault="0089684C" w:rsidP="00A03AD0">
                <w:pPr>
                  <w:spacing w:before="60"/>
                  <w:rPr>
                    <w:rFonts w:cstheme="minorHAnsi"/>
                    <w:b/>
                    <w:bCs/>
                    <w:sz w:val="16"/>
                    <w:szCs w:val="16"/>
                  </w:rPr>
                </w:pPr>
                <w:r>
                  <w:rPr>
                    <w:b/>
                    <w:bCs/>
                    <w:sz w:val="16"/>
                    <w:szCs w:val="16"/>
                  </w:rPr>
                  <w:t>Tjänster för handelssjöfarten, 1 000 euro</w:t>
                </w:r>
              </w:p>
            </w:tc>
            <w:tc>
              <w:tcPr>
                <w:tcW w:w="364" w:type="pct"/>
                <w:gridSpan w:val="3"/>
                <w:tcBorders>
                  <w:top w:val="single" w:sz="4" w:space="0" w:color="auto"/>
                  <w:left w:val="nil"/>
                  <w:bottom w:val="single" w:sz="4" w:space="0" w:color="auto"/>
                  <w:right w:val="nil"/>
                </w:tcBorders>
                <w:shd w:val="clear" w:color="auto" w:fill="auto"/>
                <w:noWrap/>
                <w:vAlign w:val="bottom"/>
                <w:hideMark/>
              </w:tcPr>
              <w:p w:rsidR="0089684C" w:rsidRPr="00A3401A" w:rsidRDefault="0089684C" w:rsidP="00A03AD0">
                <w:pPr>
                  <w:spacing w:before="60"/>
                  <w:jc w:val="center"/>
                  <w:rPr>
                    <w:rFonts w:cstheme="minorHAnsi"/>
                    <w:b/>
                    <w:bCs/>
                    <w:sz w:val="16"/>
                    <w:szCs w:val="16"/>
                  </w:rPr>
                </w:pPr>
                <w:r>
                  <w:rPr>
                    <w:b/>
                    <w:bCs/>
                    <w:sz w:val="16"/>
                    <w:szCs w:val="16"/>
                  </w:rPr>
                  <w:t>2010</w:t>
                </w:r>
              </w:p>
            </w:tc>
            <w:tc>
              <w:tcPr>
                <w:tcW w:w="364" w:type="pct"/>
                <w:tcBorders>
                  <w:top w:val="single" w:sz="4" w:space="0" w:color="auto"/>
                  <w:left w:val="nil"/>
                  <w:bottom w:val="single" w:sz="4" w:space="0" w:color="auto"/>
                  <w:right w:val="nil"/>
                </w:tcBorders>
                <w:shd w:val="clear" w:color="auto" w:fill="auto"/>
                <w:noWrap/>
                <w:vAlign w:val="bottom"/>
                <w:hideMark/>
              </w:tcPr>
              <w:p w:rsidR="0089684C" w:rsidRPr="00A3401A" w:rsidRDefault="0089684C" w:rsidP="00A03AD0">
                <w:pPr>
                  <w:spacing w:before="60"/>
                  <w:jc w:val="center"/>
                  <w:rPr>
                    <w:rFonts w:cstheme="minorHAnsi"/>
                    <w:b/>
                    <w:bCs/>
                    <w:sz w:val="16"/>
                    <w:szCs w:val="16"/>
                  </w:rPr>
                </w:pPr>
                <w:r>
                  <w:rPr>
                    <w:b/>
                    <w:bCs/>
                    <w:sz w:val="16"/>
                    <w:szCs w:val="16"/>
                  </w:rPr>
                  <w:t>2011</w:t>
                </w:r>
              </w:p>
            </w:tc>
            <w:tc>
              <w:tcPr>
                <w:tcW w:w="350" w:type="pct"/>
                <w:tcBorders>
                  <w:top w:val="single" w:sz="4" w:space="0" w:color="auto"/>
                  <w:left w:val="nil"/>
                  <w:bottom w:val="single" w:sz="4" w:space="0" w:color="auto"/>
                  <w:right w:val="nil"/>
                </w:tcBorders>
                <w:shd w:val="clear" w:color="auto" w:fill="auto"/>
                <w:noWrap/>
                <w:vAlign w:val="bottom"/>
                <w:hideMark/>
              </w:tcPr>
              <w:p w:rsidR="0089684C" w:rsidRPr="00A3401A" w:rsidRDefault="0089684C" w:rsidP="00A03AD0">
                <w:pPr>
                  <w:spacing w:before="60"/>
                  <w:jc w:val="center"/>
                  <w:rPr>
                    <w:rFonts w:cstheme="minorHAnsi"/>
                    <w:b/>
                    <w:bCs/>
                    <w:sz w:val="16"/>
                    <w:szCs w:val="16"/>
                  </w:rPr>
                </w:pPr>
                <w:r>
                  <w:rPr>
                    <w:b/>
                    <w:bCs/>
                    <w:sz w:val="16"/>
                    <w:szCs w:val="16"/>
                  </w:rPr>
                  <w:t>2012</w:t>
                </w:r>
              </w:p>
            </w:tc>
            <w:tc>
              <w:tcPr>
                <w:tcW w:w="415" w:type="pct"/>
                <w:tcBorders>
                  <w:top w:val="single" w:sz="4" w:space="0" w:color="auto"/>
                  <w:left w:val="nil"/>
                  <w:bottom w:val="single" w:sz="4" w:space="0" w:color="auto"/>
                  <w:right w:val="nil"/>
                </w:tcBorders>
                <w:shd w:val="clear" w:color="auto" w:fill="auto"/>
                <w:noWrap/>
                <w:vAlign w:val="bottom"/>
                <w:hideMark/>
              </w:tcPr>
              <w:p w:rsidR="0089684C" w:rsidRPr="00A3401A" w:rsidRDefault="0089684C" w:rsidP="00A03AD0">
                <w:pPr>
                  <w:spacing w:before="60"/>
                  <w:jc w:val="center"/>
                  <w:rPr>
                    <w:rFonts w:cstheme="minorHAnsi"/>
                    <w:b/>
                    <w:bCs/>
                    <w:sz w:val="16"/>
                    <w:szCs w:val="16"/>
                  </w:rPr>
                </w:pPr>
                <w:r>
                  <w:rPr>
                    <w:b/>
                    <w:bCs/>
                    <w:sz w:val="16"/>
                    <w:szCs w:val="16"/>
                  </w:rPr>
                  <w:t>2013</w:t>
                </w:r>
              </w:p>
            </w:tc>
            <w:tc>
              <w:tcPr>
                <w:tcW w:w="415" w:type="pct"/>
                <w:tcBorders>
                  <w:top w:val="single" w:sz="4" w:space="0" w:color="auto"/>
                  <w:left w:val="nil"/>
                  <w:bottom w:val="single" w:sz="4" w:space="0" w:color="auto"/>
                  <w:right w:val="nil"/>
                </w:tcBorders>
                <w:shd w:val="clear" w:color="auto" w:fill="auto"/>
                <w:noWrap/>
                <w:vAlign w:val="bottom"/>
                <w:hideMark/>
              </w:tcPr>
              <w:p w:rsidR="0089684C" w:rsidRPr="00A3401A" w:rsidRDefault="0089684C" w:rsidP="00A03AD0">
                <w:pPr>
                  <w:spacing w:before="60"/>
                  <w:jc w:val="center"/>
                  <w:rPr>
                    <w:rFonts w:cstheme="minorHAnsi"/>
                    <w:b/>
                    <w:bCs/>
                    <w:sz w:val="16"/>
                    <w:szCs w:val="16"/>
                  </w:rPr>
                </w:pPr>
                <w:r>
                  <w:rPr>
                    <w:b/>
                    <w:bCs/>
                    <w:sz w:val="16"/>
                    <w:szCs w:val="16"/>
                  </w:rPr>
                  <w:t>2014</w:t>
                </w:r>
              </w:p>
            </w:tc>
            <w:tc>
              <w:tcPr>
                <w:tcW w:w="415" w:type="pct"/>
                <w:tcBorders>
                  <w:top w:val="single" w:sz="4" w:space="0" w:color="auto"/>
                  <w:left w:val="nil"/>
                  <w:bottom w:val="single" w:sz="4" w:space="0" w:color="auto"/>
                  <w:right w:val="nil"/>
                </w:tcBorders>
                <w:shd w:val="clear" w:color="auto" w:fill="auto"/>
                <w:noWrap/>
                <w:vAlign w:val="bottom"/>
                <w:hideMark/>
              </w:tcPr>
              <w:p w:rsidR="0089684C" w:rsidRPr="00A3401A" w:rsidRDefault="0089684C" w:rsidP="00A03AD0">
                <w:pPr>
                  <w:spacing w:before="60"/>
                  <w:jc w:val="center"/>
                  <w:rPr>
                    <w:rFonts w:cstheme="minorHAnsi"/>
                    <w:b/>
                    <w:bCs/>
                    <w:sz w:val="16"/>
                    <w:szCs w:val="16"/>
                  </w:rPr>
                </w:pPr>
                <w:r>
                  <w:rPr>
                    <w:b/>
                    <w:bCs/>
                    <w:sz w:val="16"/>
                    <w:szCs w:val="16"/>
                  </w:rPr>
                  <w:t>2015</w:t>
                </w:r>
              </w:p>
            </w:tc>
            <w:tc>
              <w:tcPr>
                <w:tcW w:w="415" w:type="pct"/>
                <w:tcBorders>
                  <w:top w:val="single" w:sz="4" w:space="0" w:color="auto"/>
                  <w:left w:val="nil"/>
                  <w:bottom w:val="single" w:sz="4" w:space="0" w:color="auto"/>
                  <w:right w:val="nil"/>
                </w:tcBorders>
                <w:shd w:val="clear" w:color="auto" w:fill="auto"/>
                <w:noWrap/>
                <w:vAlign w:val="bottom"/>
                <w:hideMark/>
              </w:tcPr>
              <w:p w:rsidR="0089684C" w:rsidRPr="00A3401A" w:rsidRDefault="0089684C" w:rsidP="00A03AD0">
                <w:pPr>
                  <w:spacing w:before="60"/>
                  <w:jc w:val="center"/>
                  <w:rPr>
                    <w:rFonts w:cstheme="minorHAnsi"/>
                    <w:b/>
                    <w:bCs/>
                    <w:sz w:val="16"/>
                    <w:szCs w:val="16"/>
                  </w:rPr>
                </w:pPr>
                <w:r>
                  <w:rPr>
                    <w:b/>
                    <w:bCs/>
                    <w:sz w:val="16"/>
                    <w:szCs w:val="16"/>
                  </w:rPr>
                  <w:t>2016</w:t>
                </w:r>
              </w:p>
            </w:tc>
            <w:tc>
              <w:tcPr>
                <w:tcW w:w="415" w:type="pct"/>
                <w:tcBorders>
                  <w:top w:val="single" w:sz="4" w:space="0" w:color="auto"/>
                  <w:left w:val="nil"/>
                  <w:bottom w:val="single" w:sz="4" w:space="0" w:color="auto"/>
                  <w:right w:val="nil"/>
                </w:tcBorders>
                <w:shd w:val="clear" w:color="auto" w:fill="auto"/>
                <w:noWrap/>
                <w:vAlign w:val="bottom"/>
                <w:hideMark/>
              </w:tcPr>
              <w:p w:rsidR="0089684C" w:rsidRPr="00A3401A" w:rsidRDefault="0089684C" w:rsidP="00A03AD0">
                <w:pPr>
                  <w:spacing w:before="60"/>
                  <w:jc w:val="center"/>
                  <w:rPr>
                    <w:rFonts w:cstheme="minorHAnsi"/>
                    <w:b/>
                    <w:bCs/>
                    <w:sz w:val="16"/>
                    <w:szCs w:val="16"/>
                  </w:rPr>
                </w:pPr>
                <w:r>
                  <w:rPr>
                    <w:b/>
                    <w:bCs/>
                    <w:sz w:val="16"/>
                    <w:szCs w:val="16"/>
                  </w:rPr>
                  <w:t>2017</w:t>
                </w:r>
              </w:p>
            </w:tc>
            <w:tc>
              <w:tcPr>
                <w:tcW w:w="415" w:type="pct"/>
                <w:tcBorders>
                  <w:top w:val="single" w:sz="4" w:space="0" w:color="auto"/>
                  <w:left w:val="nil"/>
                  <w:bottom w:val="single" w:sz="4" w:space="0" w:color="auto"/>
                  <w:right w:val="nil"/>
                </w:tcBorders>
                <w:shd w:val="clear" w:color="auto" w:fill="auto"/>
                <w:noWrap/>
                <w:vAlign w:val="bottom"/>
                <w:hideMark/>
              </w:tcPr>
              <w:p w:rsidR="0089684C" w:rsidRPr="00A3401A" w:rsidRDefault="0089684C" w:rsidP="00A03AD0">
                <w:pPr>
                  <w:spacing w:before="60"/>
                  <w:jc w:val="center"/>
                  <w:rPr>
                    <w:rFonts w:cstheme="minorHAnsi"/>
                    <w:b/>
                    <w:bCs/>
                    <w:sz w:val="16"/>
                    <w:szCs w:val="16"/>
                  </w:rPr>
                </w:pPr>
                <w:r>
                  <w:rPr>
                    <w:b/>
                    <w:bCs/>
                    <w:sz w:val="16"/>
                    <w:szCs w:val="16"/>
                  </w:rPr>
                  <w:t>2018</w:t>
                </w:r>
              </w:p>
            </w:tc>
            <w:tc>
              <w:tcPr>
                <w:tcW w:w="416" w:type="pct"/>
                <w:tcBorders>
                  <w:top w:val="single" w:sz="4" w:space="0" w:color="auto"/>
                  <w:left w:val="nil"/>
                  <w:bottom w:val="single" w:sz="4" w:space="0" w:color="auto"/>
                  <w:right w:val="nil"/>
                </w:tcBorders>
                <w:vAlign w:val="bottom"/>
              </w:tcPr>
              <w:p w:rsidR="0089684C" w:rsidRPr="00A3401A" w:rsidRDefault="0089684C" w:rsidP="00A03AD0">
                <w:pPr>
                  <w:spacing w:before="120"/>
                  <w:jc w:val="center"/>
                  <w:rPr>
                    <w:rFonts w:cstheme="minorHAnsi"/>
                    <w:b/>
                    <w:bCs/>
                    <w:sz w:val="16"/>
                    <w:szCs w:val="16"/>
                  </w:rPr>
                </w:pPr>
                <w:r>
                  <w:rPr>
                    <w:b/>
                    <w:bCs/>
                    <w:sz w:val="16"/>
                    <w:szCs w:val="16"/>
                  </w:rPr>
                  <w:t>2019*</w:t>
                </w:r>
              </w:p>
            </w:tc>
          </w:tr>
          <w:tr w:rsidR="0089684C" w:rsidRPr="00A3401A" w:rsidTr="00F959A4">
            <w:trPr>
              <w:trHeight w:val="300"/>
            </w:trPr>
            <w:tc>
              <w:tcPr>
                <w:tcW w:w="1015" w:type="pct"/>
                <w:gridSpan w:val="2"/>
                <w:tcBorders>
                  <w:top w:val="single" w:sz="4" w:space="0" w:color="auto"/>
                  <w:left w:val="nil"/>
                  <w:bottom w:val="nil"/>
                  <w:right w:val="nil"/>
                </w:tcBorders>
                <w:shd w:val="clear" w:color="auto" w:fill="auto"/>
                <w:noWrap/>
                <w:vAlign w:val="bottom"/>
                <w:hideMark/>
              </w:tcPr>
              <w:p w:rsidR="0089684C" w:rsidRPr="00A3401A" w:rsidRDefault="0089684C" w:rsidP="00A03AD0">
                <w:pPr>
                  <w:spacing w:before="60"/>
                  <w:rPr>
                    <w:rFonts w:cstheme="minorHAnsi"/>
                    <w:sz w:val="16"/>
                    <w:szCs w:val="16"/>
                  </w:rPr>
                </w:pPr>
                <w:r>
                  <w:rPr>
                    <w:sz w:val="16"/>
                    <w:szCs w:val="16"/>
                  </w:rPr>
                  <w:t>Farledshållning för handelssjöfarten vid kusten</w:t>
                </w:r>
              </w:p>
            </w:tc>
            <w:tc>
              <w:tcPr>
                <w:tcW w:w="364" w:type="pct"/>
                <w:gridSpan w:val="3"/>
                <w:tcBorders>
                  <w:top w:val="single" w:sz="4" w:space="0" w:color="auto"/>
                  <w:left w:val="nil"/>
                  <w:bottom w:val="nil"/>
                  <w:right w:val="nil"/>
                </w:tcBorders>
                <w:shd w:val="clear" w:color="auto" w:fill="auto"/>
                <w:noWrap/>
                <w:vAlign w:val="bottom"/>
                <w:hideMark/>
              </w:tcPr>
              <w:p w:rsidR="0089684C" w:rsidRPr="00A3401A" w:rsidRDefault="0089684C" w:rsidP="00A03AD0">
                <w:pPr>
                  <w:spacing w:before="60"/>
                  <w:jc w:val="center"/>
                  <w:rPr>
                    <w:rFonts w:cstheme="minorHAnsi"/>
                    <w:sz w:val="16"/>
                    <w:szCs w:val="16"/>
                  </w:rPr>
                </w:pPr>
                <w:r>
                  <w:rPr>
                    <w:sz w:val="16"/>
                    <w:szCs w:val="16"/>
                  </w:rPr>
                  <w:t>24 450</w:t>
                </w:r>
              </w:p>
            </w:tc>
            <w:tc>
              <w:tcPr>
                <w:tcW w:w="364" w:type="pct"/>
                <w:tcBorders>
                  <w:top w:val="single" w:sz="4" w:space="0" w:color="auto"/>
                  <w:left w:val="nil"/>
                  <w:bottom w:val="nil"/>
                  <w:right w:val="nil"/>
                </w:tcBorders>
                <w:shd w:val="clear" w:color="auto" w:fill="auto"/>
                <w:noWrap/>
                <w:vAlign w:val="bottom"/>
                <w:hideMark/>
              </w:tcPr>
              <w:p w:rsidR="0089684C" w:rsidRPr="00A3401A" w:rsidRDefault="0089684C" w:rsidP="00A03AD0">
                <w:pPr>
                  <w:spacing w:before="60"/>
                  <w:jc w:val="center"/>
                  <w:rPr>
                    <w:rFonts w:cstheme="minorHAnsi"/>
                    <w:sz w:val="16"/>
                    <w:szCs w:val="16"/>
                  </w:rPr>
                </w:pPr>
                <w:r>
                  <w:rPr>
                    <w:sz w:val="16"/>
                    <w:szCs w:val="16"/>
                  </w:rPr>
                  <w:t>24 978</w:t>
                </w:r>
              </w:p>
            </w:tc>
            <w:tc>
              <w:tcPr>
                <w:tcW w:w="350" w:type="pct"/>
                <w:tcBorders>
                  <w:top w:val="single" w:sz="4" w:space="0" w:color="auto"/>
                  <w:left w:val="nil"/>
                  <w:bottom w:val="nil"/>
                  <w:right w:val="nil"/>
                </w:tcBorders>
                <w:shd w:val="clear" w:color="auto" w:fill="auto"/>
                <w:noWrap/>
                <w:vAlign w:val="bottom"/>
                <w:hideMark/>
              </w:tcPr>
              <w:p w:rsidR="0089684C" w:rsidRPr="00A3401A" w:rsidRDefault="0089684C" w:rsidP="00A03AD0">
                <w:pPr>
                  <w:spacing w:before="60"/>
                  <w:jc w:val="center"/>
                  <w:rPr>
                    <w:rFonts w:cstheme="minorHAnsi"/>
                    <w:sz w:val="16"/>
                    <w:szCs w:val="16"/>
                  </w:rPr>
                </w:pPr>
                <w:r>
                  <w:rPr>
                    <w:sz w:val="16"/>
                    <w:szCs w:val="16"/>
                  </w:rPr>
                  <w:t>25 326</w:t>
                </w:r>
              </w:p>
            </w:tc>
            <w:tc>
              <w:tcPr>
                <w:tcW w:w="415" w:type="pct"/>
                <w:tcBorders>
                  <w:top w:val="single" w:sz="4" w:space="0" w:color="auto"/>
                  <w:left w:val="nil"/>
                  <w:bottom w:val="nil"/>
                  <w:right w:val="nil"/>
                </w:tcBorders>
                <w:shd w:val="clear" w:color="auto" w:fill="auto"/>
                <w:noWrap/>
                <w:vAlign w:val="bottom"/>
                <w:hideMark/>
              </w:tcPr>
              <w:p w:rsidR="0089684C" w:rsidRPr="00A3401A" w:rsidRDefault="0089684C" w:rsidP="00A03AD0">
                <w:pPr>
                  <w:spacing w:before="60"/>
                  <w:jc w:val="center"/>
                  <w:rPr>
                    <w:rFonts w:cstheme="minorHAnsi"/>
                    <w:sz w:val="16"/>
                    <w:szCs w:val="16"/>
                  </w:rPr>
                </w:pPr>
                <w:r>
                  <w:rPr>
                    <w:sz w:val="16"/>
                    <w:szCs w:val="16"/>
                  </w:rPr>
                  <w:t>21 454</w:t>
                </w:r>
              </w:p>
            </w:tc>
            <w:tc>
              <w:tcPr>
                <w:tcW w:w="415" w:type="pct"/>
                <w:tcBorders>
                  <w:top w:val="single" w:sz="4" w:space="0" w:color="auto"/>
                  <w:left w:val="nil"/>
                  <w:bottom w:val="nil"/>
                  <w:right w:val="nil"/>
                </w:tcBorders>
                <w:shd w:val="clear" w:color="auto" w:fill="auto"/>
                <w:noWrap/>
                <w:vAlign w:val="bottom"/>
                <w:hideMark/>
              </w:tcPr>
              <w:p w:rsidR="0089684C" w:rsidRPr="00A3401A" w:rsidRDefault="0089684C" w:rsidP="00A03AD0">
                <w:pPr>
                  <w:spacing w:before="60"/>
                  <w:jc w:val="center"/>
                  <w:rPr>
                    <w:rFonts w:cstheme="minorHAnsi"/>
                    <w:sz w:val="16"/>
                    <w:szCs w:val="16"/>
                  </w:rPr>
                </w:pPr>
                <w:r>
                  <w:rPr>
                    <w:sz w:val="16"/>
                    <w:szCs w:val="16"/>
                  </w:rPr>
                  <w:t>23 644</w:t>
                </w:r>
              </w:p>
            </w:tc>
            <w:tc>
              <w:tcPr>
                <w:tcW w:w="415" w:type="pct"/>
                <w:tcBorders>
                  <w:top w:val="single" w:sz="4" w:space="0" w:color="auto"/>
                  <w:left w:val="nil"/>
                  <w:bottom w:val="nil"/>
                  <w:right w:val="nil"/>
                </w:tcBorders>
                <w:shd w:val="clear" w:color="auto" w:fill="auto"/>
                <w:noWrap/>
                <w:vAlign w:val="bottom"/>
                <w:hideMark/>
              </w:tcPr>
              <w:p w:rsidR="0089684C" w:rsidRPr="00A3401A" w:rsidRDefault="0089684C" w:rsidP="00A03AD0">
                <w:pPr>
                  <w:spacing w:before="60"/>
                  <w:jc w:val="center"/>
                  <w:rPr>
                    <w:rFonts w:cstheme="minorHAnsi"/>
                    <w:sz w:val="16"/>
                    <w:szCs w:val="16"/>
                  </w:rPr>
                </w:pPr>
                <w:r>
                  <w:rPr>
                    <w:sz w:val="16"/>
                    <w:szCs w:val="16"/>
                  </w:rPr>
                  <w:t>20 642</w:t>
                </w:r>
              </w:p>
            </w:tc>
            <w:tc>
              <w:tcPr>
                <w:tcW w:w="415" w:type="pct"/>
                <w:tcBorders>
                  <w:top w:val="single" w:sz="4" w:space="0" w:color="auto"/>
                  <w:left w:val="nil"/>
                  <w:bottom w:val="nil"/>
                  <w:right w:val="nil"/>
                </w:tcBorders>
                <w:shd w:val="clear" w:color="auto" w:fill="auto"/>
                <w:noWrap/>
                <w:vAlign w:val="bottom"/>
                <w:hideMark/>
              </w:tcPr>
              <w:p w:rsidR="0089684C" w:rsidRPr="00A3401A" w:rsidRDefault="0089684C" w:rsidP="00A03AD0">
                <w:pPr>
                  <w:spacing w:before="60"/>
                  <w:jc w:val="center"/>
                  <w:rPr>
                    <w:rFonts w:cstheme="minorHAnsi"/>
                    <w:sz w:val="16"/>
                    <w:szCs w:val="16"/>
                  </w:rPr>
                </w:pPr>
                <w:r>
                  <w:rPr>
                    <w:sz w:val="16"/>
                    <w:szCs w:val="16"/>
                  </w:rPr>
                  <w:t>20 868</w:t>
                </w:r>
              </w:p>
            </w:tc>
            <w:tc>
              <w:tcPr>
                <w:tcW w:w="415" w:type="pct"/>
                <w:tcBorders>
                  <w:top w:val="single" w:sz="4" w:space="0" w:color="auto"/>
                  <w:left w:val="nil"/>
                  <w:bottom w:val="nil"/>
                  <w:right w:val="nil"/>
                </w:tcBorders>
                <w:shd w:val="clear" w:color="auto" w:fill="auto"/>
                <w:noWrap/>
                <w:vAlign w:val="bottom"/>
                <w:hideMark/>
              </w:tcPr>
              <w:p w:rsidR="0089684C" w:rsidRPr="00A3401A" w:rsidRDefault="0089684C" w:rsidP="00A03AD0">
                <w:pPr>
                  <w:spacing w:before="60"/>
                  <w:jc w:val="center"/>
                  <w:rPr>
                    <w:rFonts w:cstheme="minorHAnsi"/>
                    <w:sz w:val="16"/>
                    <w:szCs w:val="16"/>
                  </w:rPr>
                </w:pPr>
                <w:r>
                  <w:rPr>
                    <w:sz w:val="16"/>
                    <w:szCs w:val="16"/>
                  </w:rPr>
                  <w:t>23 355</w:t>
                </w:r>
              </w:p>
            </w:tc>
            <w:tc>
              <w:tcPr>
                <w:tcW w:w="415" w:type="pct"/>
                <w:tcBorders>
                  <w:top w:val="single" w:sz="4" w:space="0" w:color="auto"/>
                  <w:left w:val="nil"/>
                  <w:bottom w:val="nil"/>
                  <w:right w:val="nil"/>
                </w:tcBorders>
                <w:shd w:val="clear" w:color="auto" w:fill="auto"/>
                <w:noWrap/>
                <w:vAlign w:val="bottom"/>
                <w:hideMark/>
              </w:tcPr>
              <w:p w:rsidR="0089684C" w:rsidRPr="00A3401A" w:rsidRDefault="0089684C" w:rsidP="00A03AD0">
                <w:pPr>
                  <w:spacing w:before="60"/>
                  <w:jc w:val="center"/>
                  <w:rPr>
                    <w:rFonts w:cstheme="minorHAnsi"/>
                    <w:sz w:val="16"/>
                    <w:szCs w:val="16"/>
                  </w:rPr>
                </w:pPr>
                <w:r>
                  <w:rPr>
                    <w:sz w:val="16"/>
                    <w:szCs w:val="16"/>
                  </w:rPr>
                  <w:t>24 540</w:t>
                </w:r>
              </w:p>
            </w:tc>
            <w:tc>
              <w:tcPr>
                <w:tcW w:w="416" w:type="pct"/>
                <w:tcBorders>
                  <w:top w:val="single" w:sz="4" w:space="0" w:color="auto"/>
                  <w:left w:val="nil"/>
                  <w:bottom w:val="nil"/>
                  <w:right w:val="nil"/>
                </w:tcBorders>
              </w:tcPr>
              <w:p w:rsidR="0089684C" w:rsidRPr="00A3401A" w:rsidRDefault="0089684C" w:rsidP="00A03AD0">
                <w:pPr>
                  <w:spacing w:before="120"/>
                  <w:jc w:val="center"/>
                  <w:rPr>
                    <w:rFonts w:cstheme="minorHAnsi"/>
                    <w:sz w:val="16"/>
                    <w:szCs w:val="16"/>
                  </w:rPr>
                </w:pPr>
              </w:p>
            </w:tc>
          </w:tr>
          <w:tr w:rsidR="0089684C" w:rsidRPr="00A3401A" w:rsidTr="00F959A4">
            <w:trPr>
              <w:trHeight w:val="300"/>
            </w:trPr>
            <w:tc>
              <w:tcPr>
                <w:tcW w:w="1015" w:type="pct"/>
                <w:gridSpan w:val="2"/>
                <w:tcBorders>
                  <w:top w:val="nil"/>
                  <w:left w:val="nil"/>
                  <w:bottom w:val="nil"/>
                  <w:right w:val="nil"/>
                </w:tcBorders>
                <w:shd w:val="clear" w:color="auto" w:fill="auto"/>
                <w:noWrap/>
                <w:vAlign w:val="bottom"/>
                <w:hideMark/>
              </w:tcPr>
              <w:p w:rsidR="0089684C" w:rsidRPr="00A3401A" w:rsidRDefault="0089684C" w:rsidP="00A03AD0">
                <w:pPr>
                  <w:spacing w:before="60"/>
                  <w:rPr>
                    <w:rFonts w:cstheme="minorHAnsi"/>
                    <w:sz w:val="16"/>
                    <w:szCs w:val="16"/>
                  </w:rPr>
                </w:pPr>
                <w:r>
                  <w:rPr>
                    <w:sz w:val="16"/>
                    <w:szCs w:val="16"/>
                  </w:rPr>
                  <w:t>Ledning av sjötrafiken vid kusten (VTS)</w:t>
                </w:r>
              </w:p>
            </w:tc>
            <w:tc>
              <w:tcPr>
                <w:tcW w:w="364" w:type="pct"/>
                <w:gridSpan w:val="3"/>
                <w:tcBorders>
                  <w:top w:val="nil"/>
                  <w:left w:val="nil"/>
                  <w:bottom w:val="nil"/>
                  <w:right w:val="nil"/>
                </w:tcBorders>
                <w:shd w:val="clear" w:color="auto" w:fill="auto"/>
                <w:noWrap/>
                <w:vAlign w:val="bottom"/>
                <w:hideMark/>
              </w:tcPr>
              <w:p w:rsidR="0089684C" w:rsidRPr="00A3401A" w:rsidRDefault="0089684C" w:rsidP="00A03AD0">
                <w:pPr>
                  <w:spacing w:before="60"/>
                  <w:jc w:val="center"/>
                  <w:rPr>
                    <w:rFonts w:cstheme="minorHAnsi"/>
                    <w:sz w:val="16"/>
                    <w:szCs w:val="16"/>
                  </w:rPr>
                </w:pPr>
                <w:r>
                  <w:rPr>
                    <w:sz w:val="16"/>
                    <w:szCs w:val="16"/>
                  </w:rPr>
                  <w:t>10 780</w:t>
                </w:r>
              </w:p>
            </w:tc>
            <w:tc>
              <w:tcPr>
                <w:tcW w:w="364" w:type="pct"/>
                <w:tcBorders>
                  <w:top w:val="nil"/>
                  <w:left w:val="nil"/>
                  <w:bottom w:val="nil"/>
                  <w:right w:val="nil"/>
                </w:tcBorders>
                <w:shd w:val="clear" w:color="auto" w:fill="auto"/>
                <w:noWrap/>
                <w:vAlign w:val="bottom"/>
                <w:hideMark/>
              </w:tcPr>
              <w:p w:rsidR="0089684C" w:rsidRPr="00A3401A" w:rsidRDefault="0089684C" w:rsidP="00A03AD0">
                <w:pPr>
                  <w:spacing w:before="60"/>
                  <w:jc w:val="center"/>
                  <w:rPr>
                    <w:rFonts w:cstheme="minorHAnsi"/>
                    <w:sz w:val="16"/>
                    <w:szCs w:val="16"/>
                  </w:rPr>
                </w:pPr>
                <w:r>
                  <w:rPr>
                    <w:sz w:val="16"/>
                    <w:szCs w:val="16"/>
                  </w:rPr>
                  <w:t>12 207</w:t>
                </w:r>
              </w:p>
            </w:tc>
            <w:tc>
              <w:tcPr>
                <w:tcW w:w="350" w:type="pct"/>
                <w:tcBorders>
                  <w:top w:val="nil"/>
                  <w:left w:val="nil"/>
                  <w:bottom w:val="nil"/>
                  <w:right w:val="nil"/>
                </w:tcBorders>
                <w:shd w:val="clear" w:color="auto" w:fill="auto"/>
                <w:noWrap/>
                <w:vAlign w:val="bottom"/>
                <w:hideMark/>
              </w:tcPr>
              <w:p w:rsidR="0089684C" w:rsidRPr="00A3401A" w:rsidRDefault="0089684C" w:rsidP="00A03AD0">
                <w:pPr>
                  <w:spacing w:before="60"/>
                  <w:jc w:val="center"/>
                  <w:rPr>
                    <w:rFonts w:cstheme="minorHAnsi"/>
                    <w:sz w:val="16"/>
                    <w:szCs w:val="16"/>
                  </w:rPr>
                </w:pPr>
                <w:r>
                  <w:rPr>
                    <w:sz w:val="16"/>
                    <w:szCs w:val="16"/>
                  </w:rPr>
                  <w:t>12 170</w:t>
                </w:r>
              </w:p>
            </w:tc>
            <w:tc>
              <w:tcPr>
                <w:tcW w:w="415" w:type="pct"/>
                <w:tcBorders>
                  <w:top w:val="nil"/>
                  <w:left w:val="nil"/>
                  <w:bottom w:val="nil"/>
                  <w:right w:val="nil"/>
                </w:tcBorders>
                <w:shd w:val="clear" w:color="auto" w:fill="auto"/>
                <w:noWrap/>
                <w:vAlign w:val="bottom"/>
                <w:hideMark/>
              </w:tcPr>
              <w:p w:rsidR="0089684C" w:rsidRPr="00A3401A" w:rsidRDefault="0089684C" w:rsidP="00A03AD0">
                <w:pPr>
                  <w:spacing w:before="60"/>
                  <w:jc w:val="center"/>
                  <w:rPr>
                    <w:rFonts w:cstheme="minorHAnsi"/>
                    <w:sz w:val="16"/>
                    <w:szCs w:val="16"/>
                  </w:rPr>
                </w:pPr>
                <w:r>
                  <w:rPr>
                    <w:sz w:val="16"/>
                    <w:szCs w:val="16"/>
                  </w:rPr>
                  <w:t>14 626</w:t>
                </w:r>
              </w:p>
            </w:tc>
            <w:tc>
              <w:tcPr>
                <w:tcW w:w="415" w:type="pct"/>
                <w:tcBorders>
                  <w:top w:val="nil"/>
                  <w:left w:val="nil"/>
                  <w:bottom w:val="nil"/>
                  <w:right w:val="nil"/>
                </w:tcBorders>
                <w:shd w:val="clear" w:color="auto" w:fill="auto"/>
                <w:noWrap/>
                <w:vAlign w:val="bottom"/>
                <w:hideMark/>
              </w:tcPr>
              <w:p w:rsidR="0089684C" w:rsidRPr="00A3401A" w:rsidRDefault="0089684C" w:rsidP="00A03AD0">
                <w:pPr>
                  <w:spacing w:before="60"/>
                  <w:jc w:val="center"/>
                  <w:rPr>
                    <w:rFonts w:cstheme="minorHAnsi"/>
                    <w:sz w:val="16"/>
                    <w:szCs w:val="16"/>
                  </w:rPr>
                </w:pPr>
                <w:r>
                  <w:rPr>
                    <w:sz w:val="16"/>
                    <w:szCs w:val="16"/>
                  </w:rPr>
                  <w:t>13 909</w:t>
                </w:r>
              </w:p>
            </w:tc>
            <w:tc>
              <w:tcPr>
                <w:tcW w:w="415" w:type="pct"/>
                <w:tcBorders>
                  <w:top w:val="nil"/>
                  <w:left w:val="nil"/>
                  <w:bottom w:val="nil"/>
                  <w:right w:val="nil"/>
                </w:tcBorders>
                <w:shd w:val="clear" w:color="auto" w:fill="auto"/>
                <w:noWrap/>
                <w:vAlign w:val="bottom"/>
                <w:hideMark/>
              </w:tcPr>
              <w:p w:rsidR="0089684C" w:rsidRPr="00A3401A" w:rsidRDefault="0089684C" w:rsidP="00A03AD0">
                <w:pPr>
                  <w:spacing w:before="60"/>
                  <w:jc w:val="center"/>
                  <w:rPr>
                    <w:rFonts w:cstheme="minorHAnsi"/>
                    <w:sz w:val="16"/>
                    <w:szCs w:val="16"/>
                  </w:rPr>
                </w:pPr>
                <w:r>
                  <w:rPr>
                    <w:sz w:val="16"/>
                    <w:szCs w:val="16"/>
                  </w:rPr>
                  <w:t>15 253</w:t>
                </w:r>
              </w:p>
            </w:tc>
            <w:tc>
              <w:tcPr>
                <w:tcW w:w="415" w:type="pct"/>
                <w:tcBorders>
                  <w:top w:val="nil"/>
                  <w:left w:val="nil"/>
                  <w:bottom w:val="nil"/>
                  <w:right w:val="nil"/>
                </w:tcBorders>
                <w:shd w:val="clear" w:color="auto" w:fill="auto"/>
                <w:noWrap/>
                <w:vAlign w:val="bottom"/>
                <w:hideMark/>
              </w:tcPr>
              <w:p w:rsidR="0089684C" w:rsidRPr="00A3401A" w:rsidRDefault="0089684C" w:rsidP="00A03AD0">
                <w:pPr>
                  <w:spacing w:before="60"/>
                  <w:jc w:val="center"/>
                  <w:rPr>
                    <w:rFonts w:cstheme="minorHAnsi"/>
                    <w:sz w:val="16"/>
                    <w:szCs w:val="16"/>
                  </w:rPr>
                </w:pPr>
                <w:r>
                  <w:rPr>
                    <w:sz w:val="16"/>
                    <w:szCs w:val="16"/>
                  </w:rPr>
                  <w:t>14 055</w:t>
                </w:r>
              </w:p>
            </w:tc>
            <w:tc>
              <w:tcPr>
                <w:tcW w:w="415" w:type="pct"/>
                <w:tcBorders>
                  <w:top w:val="nil"/>
                  <w:left w:val="nil"/>
                  <w:bottom w:val="nil"/>
                  <w:right w:val="nil"/>
                </w:tcBorders>
                <w:shd w:val="clear" w:color="auto" w:fill="auto"/>
                <w:noWrap/>
                <w:vAlign w:val="bottom"/>
                <w:hideMark/>
              </w:tcPr>
              <w:p w:rsidR="0089684C" w:rsidRPr="00A3401A" w:rsidRDefault="0089684C" w:rsidP="00A03AD0">
                <w:pPr>
                  <w:spacing w:before="60"/>
                  <w:jc w:val="center"/>
                  <w:rPr>
                    <w:rFonts w:cstheme="minorHAnsi"/>
                    <w:sz w:val="16"/>
                    <w:szCs w:val="16"/>
                  </w:rPr>
                </w:pPr>
                <w:r>
                  <w:rPr>
                    <w:sz w:val="16"/>
                    <w:szCs w:val="16"/>
                  </w:rPr>
                  <w:t>11 769</w:t>
                </w:r>
              </w:p>
            </w:tc>
            <w:tc>
              <w:tcPr>
                <w:tcW w:w="415" w:type="pct"/>
                <w:tcBorders>
                  <w:top w:val="nil"/>
                  <w:left w:val="nil"/>
                  <w:bottom w:val="nil"/>
                  <w:right w:val="nil"/>
                </w:tcBorders>
                <w:shd w:val="clear" w:color="auto" w:fill="auto"/>
                <w:noWrap/>
                <w:vAlign w:val="bottom"/>
                <w:hideMark/>
              </w:tcPr>
              <w:p w:rsidR="0089684C" w:rsidRPr="00A3401A" w:rsidRDefault="0089684C" w:rsidP="00A03AD0">
                <w:pPr>
                  <w:spacing w:before="60"/>
                  <w:jc w:val="center"/>
                  <w:rPr>
                    <w:rFonts w:cstheme="minorHAnsi"/>
                    <w:sz w:val="16"/>
                    <w:szCs w:val="16"/>
                  </w:rPr>
                </w:pPr>
                <w:r>
                  <w:rPr>
                    <w:sz w:val="16"/>
                    <w:szCs w:val="16"/>
                  </w:rPr>
                  <w:t>14 035</w:t>
                </w:r>
              </w:p>
            </w:tc>
            <w:tc>
              <w:tcPr>
                <w:tcW w:w="416" w:type="pct"/>
                <w:tcBorders>
                  <w:top w:val="nil"/>
                  <w:left w:val="nil"/>
                  <w:bottom w:val="nil"/>
                  <w:right w:val="nil"/>
                </w:tcBorders>
              </w:tcPr>
              <w:p w:rsidR="0089684C" w:rsidRPr="00A3401A" w:rsidRDefault="0089684C" w:rsidP="00A03AD0">
                <w:pPr>
                  <w:spacing w:before="120"/>
                  <w:jc w:val="center"/>
                  <w:rPr>
                    <w:rFonts w:cstheme="minorHAnsi"/>
                    <w:sz w:val="16"/>
                    <w:szCs w:val="16"/>
                  </w:rPr>
                </w:pPr>
              </w:p>
            </w:tc>
          </w:tr>
          <w:tr w:rsidR="0089684C" w:rsidRPr="00A3401A" w:rsidTr="00F959A4">
            <w:trPr>
              <w:trHeight w:val="300"/>
            </w:trPr>
            <w:tc>
              <w:tcPr>
                <w:tcW w:w="1015" w:type="pct"/>
                <w:gridSpan w:val="2"/>
                <w:tcBorders>
                  <w:top w:val="nil"/>
                  <w:left w:val="nil"/>
                  <w:bottom w:val="nil"/>
                  <w:right w:val="nil"/>
                </w:tcBorders>
                <w:shd w:val="clear" w:color="auto" w:fill="auto"/>
                <w:noWrap/>
                <w:vAlign w:val="bottom"/>
                <w:hideMark/>
              </w:tcPr>
              <w:p w:rsidR="0089684C" w:rsidRPr="00A3401A" w:rsidRDefault="0089684C" w:rsidP="00A03AD0">
                <w:pPr>
                  <w:spacing w:before="60"/>
                  <w:rPr>
                    <w:rFonts w:cstheme="minorHAnsi"/>
                    <w:sz w:val="16"/>
                    <w:szCs w:val="16"/>
                  </w:rPr>
                </w:pPr>
                <w:r>
                  <w:rPr>
                    <w:sz w:val="16"/>
                    <w:szCs w:val="16"/>
                  </w:rPr>
                  <w:t>Vintersjöfart</w:t>
                </w:r>
              </w:p>
            </w:tc>
            <w:tc>
              <w:tcPr>
                <w:tcW w:w="364" w:type="pct"/>
                <w:gridSpan w:val="3"/>
                <w:tcBorders>
                  <w:top w:val="nil"/>
                  <w:left w:val="nil"/>
                  <w:bottom w:val="nil"/>
                  <w:right w:val="nil"/>
                </w:tcBorders>
                <w:shd w:val="clear" w:color="auto" w:fill="auto"/>
                <w:noWrap/>
                <w:vAlign w:val="bottom"/>
                <w:hideMark/>
              </w:tcPr>
              <w:p w:rsidR="0089684C" w:rsidRPr="00A3401A" w:rsidRDefault="0089684C" w:rsidP="00A03AD0">
                <w:pPr>
                  <w:spacing w:before="60"/>
                  <w:jc w:val="center"/>
                  <w:rPr>
                    <w:rFonts w:cstheme="minorHAnsi"/>
                    <w:sz w:val="16"/>
                    <w:szCs w:val="16"/>
                  </w:rPr>
                </w:pPr>
                <w:r>
                  <w:rPr>
                    <w:sz w:val="16"/>
                    <w:szCs w:val="16"/>
                  </w:rPr>
                  <w:t>44 703</w:t>
                </w:r>
              </w:p>
            </w:tc>
            <w:tc>
              <w:tcPr>
                <w:tcW w:w="364" w:type="pct"/>
                <w:tcBorders>
                  <w:top w:val="nil"/>
                  <w:left w:val="nil"/>
                  <w:bottom w:val="nil"/>
                  <w:right w:val="nil"/>
                </w:tcBorders>
                <w:shd w:val="clear" w:color="auto" w:fill="auto"/>
                <w:noWrap/>
                <w:vAlign w:val="bottom"/>
                <w:hideMark/>
              </w:tcPr>
              <w:p w:rsidR="0089684C" w:rsidRPr="00A3401A" w:rsidRDefault="0089684C" w:rsidP="00A03AD0">
                <w:pPr>
                  <w:spacing w:before="60"/>
                  <w:jc w:val="center"/>
                  <w:rPr>
                    <w:rFonts w:cstheme="minorHAnsi"/>
                    <w:sz w:val="16"/>
                    <w:szCs w:val="16"/>
                  </w:rPr>
                </w:pPr>
                <w:r>
                  <w:rPr>
                    <w:sz w:val="16"/>
                    <w:szCs w:val="16"/>
                  </w:rPr>
                  <w:t>56 771</w:t>
                </w:r>
              </w:p>
            </w:tc>
            <w:tc>
              <w:tcPr>
                <w:tcW w:w="350" w:type="pct"/>
                <w:tcBorders>
                  <w:top w:val="nil"/>
                  <w:left w:val="nil"/>
                  <w:bottom w:val="nil"/>
                  <w:right w:val="nil"/>
                </w:tcBorders>
                <w:shd w:val="clear" w:color="auto" w:fill="auto"/>
                <w:noWrap/>
                <w:vAlign w:val="bottom"/>
                <w:hideMark/>
              </w:tcPr>
              <w:p w:rsidR="0089684C" w:rsidRPr="00A3401A" w:rsidRDefault="0089684C" w:rsidP="00A03AD0">
                <w:pPr>
                  <w:spacing w:before="60"/>
                  <w:jc w:val="center"/>
                  <w:rPr>
                    <w:rFonts w:cstheme="minorHAnsi"/>
                    <w:sz w:val="16"/>
                    <w:szCs w:val="16"/>
                  </w:rPr>
                </w:pPr>
                <w:r>
                  <w:rPr>
                    <w:sz w:val="16"/>
                    <w:szCs w:val="16"/>
                  </w:rPr>
                  <w:t>41 731</w:t>
                </w:r>
              </w:p>
            </w:tc>
            <w:tc>
              <w:tcPr>
                <w:tcW w:w="415" w:type="pct"/>
                <w:tcBorders>
                  <w:top w:val="nil"/>
                  <w:left w:val="nil"/>
                  <w:bottom w:val="nil"/>
                  <w:right w:val="nil"/>
                </w:tcBorders>
                <w:shd w:val="clear" w:color="auto" w:fill="auto"/>
                <w:noWrap/>
                <w:vAlign w:val="bottom"/>
                <w:hideMark/>
              </w:tcPr>
              <w:p w:rsidR="0089684C" w:rsidRPr="00A3401A" w:rsidRDefault="0089684C" w:rsidP="00A03AD0">
                <w:pPr>
                  <w:spacing w:before="60"/>
                  <w:jc w:val="center"/>
                  <w:rPr>
                    <w:rFonts w:cstheme="minorHAnsi"/>
                    <w:sz w:val="16"/>
                    <w:szCs w:val="16"/>
                  </w:rPr>
                </w:pPr>
                <w:r>
                  <w:rPr>
                    <w:sz w:val="16"/>
                    <w:szCs w:val="16"/>
                  </w:rPr>
                  <w:t>53 131</w:t>
                </w:r>
              </w:p>
            </w:tc>
            <w:tc>
              <w:tcPr>
                <w:tcW w:w="415" w:type="pct"/>
                <w:tcBorders>
                  <w:top w:val="nil"/>
                  <w:left w:val="nil"/>
                  <w:bottom w:val="nil"/>
                  <w:right w:val="nil"/>
                </w:tcBorders>
                <w:shd w:val="clear" w:color="auto" w:fill="auto"/>
                <w:noWrap/>
                <w:vAlign w:val="bottom"/>
                <w:hideMark/>
              </w:tcPr>
              <w:p w:rsidR="0089684C" w:rsidRPr="00A3401A" w:rsidRDefault="0089684C" w:rsidP="00A03AD0">
                <w:pPr>
                  <w:spacing w:before="60"/>
                  <w:jc w:val="center"/>
                  <w:rPr>
                    <w:rFonts w:cstheme="minorHAnsi"/>
                    <w:sz w:val="16"/>
                    <w:szCs w:val="16"/>
                  </w:rPr>
                </w:pPr>
                <w:r>
                  <w:rPr>
                    <w:sz w:val="16"/>
                    <w:szCs w:val="16"/>
                  </w:rPr>
                  <w:t>42 866</w:t>
                </w:r>
              </w:p>
            </w:tc>
            <w:tc>
              <w:tcPr>
                <w:tcW w:w="415" w:type="pct"/>
                <w:tcBorders>
                  <w:top w:val="nil"/>
                  <w:left w:val="nil"/>
                  <w:bottom w:val="nil"/>
                  <w:right w:val="nil"/>
                </w:tcBorders>
                <w:shd w:val="clear" w:color="auto" w:fill="auto"/>
                <w:noWrap/>
                <w:vAlign w:val="bottom"/>
                <w:hideMark/>
              </w:tcPr>
              <w:p w:rsidR="0089684C" w:rsidRPr="00A3401A" w:rsidRDefault="0089684C" w:rsidP="00A03AD0">
                <w:pPr>
                  <w:spacing w:before="60"/>
                  <w:jc w:val="center"/>
                  <w:rPr>
                    <w:rFonts w:cstheme="minorHAnsi"/>
                    <w:sz w:val="16"/>
                    <w:szCs w:val="16"/>
                  </w:rPr>
                </w:pPr>
                <w:r>
                  <w:rPr>
                    <w:sz w:val="16"/>
                    <w:szCs w:val="16"/>
                  </w:rPr>
                  <w:t>34 213</w:t>
                </w:r>
              </w:p>
            </w:tc>
            <w:tc>
              <w:tcPr>
                <w:tcW w:w="415" w:type="pct"/>
                <w:tcBorders>
                  <w:top w:val="nil"/>
                  <w:left w:val="nil"/>
                  <w:bottom w:val="nil"/>
                  <w:right w:val="nil"/>
                </w:tcBorders>
                <w:shd w:val="clear" w:color="auto" w:fill="auto"/>
                <w:noWrap/>
                <w:vAlign w:val="bottom"/>
                <w:hideMark/>
              </w:tcPr>
              <w:p w:rsidR="0089684C" w:rsidRPr="00A3401A" w:rsidRDefault="0089684C" w:rsidP="00A03AD0">
                <w:pPr>
                  <w:spacing w:before="60"/>
                  <w:jc w:val="center"/>
                  <w:rPr>
                    <w:rFonts w:cstheme="minorHAnsi"/>
                    <w:sz w:val="16"/>
                    <w:szCs w:val="16"/>
                  </w:rPr>
                </w:pPr>
                <w:r>
                  <w:rPr>
                    <w:sz w:val="16"/>
                    <w:szCs w:val="16"/>
                  </w:rPr>
                  <w:t>46 167</w:t>
                </w:r>
              </w:p>
            </w:tc>
            <w:tc>
              <w:tcPr>
                <w:tcW w:w="415" w:type="pct"/>
                <w:tcBorders>
                  <w:top w:val="nil"/>
                  <w:left w:val="nil"/>
                  <w:bottom w:val="nil"/>
                  <w:right w:val="nil"/>
                </w:tcBorders>
                <w:shd w:val="clear" w:color="auto" w:fill="auto"/>
                <w:noWrap/>
                <w:vAlign w:val="bottom"/>
                <w:hideMark/>
              </w:tcPr>
              <w:p w:rsidR="0089684C" w:rsidRPr="00A3401A" w:rsidRDefault="0089684C" w:rsidP="00A03AD0">
                <w:pPr>
                  <w:spacing w:before="60"/>
                  <w:jc w:val="center"/>
                  <w:rPr>
                    <w:rFonts w:cstheme="minorHAnsi"/>
                    <w:sz w:val="16"/>
                    <w:szCs w:val="16"/>
                  </w:rPr>
                </w:pPr>
                <w:r>
                  <w:rPr>
                    <w:sz w:val="16"/>
                    <w:szCs w:val="16"/>
                  </w:rPr>
                  <w:t>47 928</w:t>
                </w:r>
              </w:p>
            </w:tc>
            <w:tc>
              <w:tcPr>
                <w:tcW w:w="415" w:type="pct"/>
                <w:tcBorders>
                  <w:top w:val="nil"/>
                  <w:left w:val="nil"/>
                  <w:bottom w:val="nil"/>
                  <w:right w:val="nil"/>
                </w:tcBorders>
                <w:shd w:val="clear" w:color="auto" w:fill="auto"/>
                <w:noWrap/>
                <w:vAlign w:val="bottom"/>
                <w:hideMark/>
              </w:tcPr>
              <w:p w:rsidR="0089684C" w:rsidRPr="00A3401A" w:rsidRDefault="0089684C" w:rsidP="00A03AD0">
                <w:pPr>
                  <w:spacing w:before="60"/>
                  <w:jc w:val="center"/>
                  <w:rPr>
                    <w:rFonts w:cstheme="minorHAnsi"/>
                    <w:sz w:val="16"/>
                    <w:szCs w:val="16"/>
                  </w:rPr>
                </w:pPr>
                <w:r>
                  <w:rPr>
                    <w:sz w:val="16"/>
                    <w:szCs w:val="16"/>
                  </w:rPr>
                  <w:t>55 369</w:t>
                </w:r>
              </w:p>
            </w:tc>
            <w:tc>
              <w:tcPr>
                <w:tcW w:w="416" w:type="pct"/>
                <w:tcBorders>
                  <w:top w:val="nil"/>
                  <w:left w:val="nil"/>
                  <w:bottom w:val="nil"/>
                  <w:right w:val="nil"/>
                </w:tcBorders>
              </w:tcPr>
              <w:p w:rsidR="0089684C" w:rsidRPr="00A3401A" w:rsidRDefault="0089684C" w:rsidP="00A03AD0">
                <w:pPr>
                  <w:spacing w:before="120"/>
                  <w:jc w:val="center"/>
                  <w:rPr>
                    <w:rFonts w:cstheme="minorHAnsi"/>
                    <w:sz w:val="16"/>
                    <w:szCs w:val="16"/>
                  </w:rPr>
                </w:pPr>
              </w:p>
            </w:tc>
          </w:tr>
          <w:tr w:rsidR="0089684C" w:rsidRPr="00A3401A" w:rsidTr="00F959A4">
            <w:trPr>
              <w:trHeight w:val="300"/>
            </w:trPr>
            <w:tc>
              <w:tcPr>
                <w:tcW w:w="1015" w:type="pct"/>
                <w:gridSpan w:val="2"/>
                <w:tcBorders>
                  <w:top w:val="nil"/>
                  <w:left w:val="nil"/>
                  <w:bottom w:val="single" w:sz="4" w:space="0" w:color="auto"/>
                  <w:right w:val="nil"/>
                </w:tcBorders>
                <w:shd w:val="clear" w:color="auto" w:fill="auto"/>
                <w:noWrap/>
                <w:vAlign w:val="bottom"/>
                <w:hideMark/>
              </w:tcPr>
              <w:p w:rsidR="0089684C" w:rsidRPr="00A3401A" w:rsidRDefault="0089684C" w:rsidP="00A03AD0">
                <w:pPr>
                  <w:spacing w:before="60"/>
                  <w:rPr>
                    <w:rFonts w:cstheme="minorHAnsi"/>
                    <w:sz w:val="16"/>
                    <w:szCs w:val="16"/>
                  </w:rPr>
                </w:pPr>
                <w:r>
                  <w:rPr>
                    <w:sz w:val="16"/>
                    <w:szCs w:val="16"/>
                  </w:rPr>
                  <w:t>Sjömätning för handelssjöfarten vid kusten</w:t>
                </w:r>
              </w:p>
            </w:tc>
            <w:tc>
              <w:tcPr>
                <w:tcW w:w="364" w:type="pct"/>
                <w:gridSpan w:val="3"/>
                <w:tcBorders>
                  <w:top w:val="nil"/>
                  <w:left w:val="nil"/>
                  <w:bottom w:val="single" w:sz="4" w:space="0" w:color="auto"/>
                  <w:right w:val="nil"/>
                </w:tcBorders>
                <w:shd w:val="clear" w:color="auto" w:fill="auto"/>
                <w:noWrap/>
                <w:vAlign w:val="bottom"/>
                <w:hideMark/>
              </w:tcPr>
              <w:p w:rsidR="0089684C" w:rsidRPr="00A3401A" w:rsidRDefault="0089684C" w:rsidP="00A03AD0">
                <w:pPr>
                  <w:spacing w:before="60"/>
                  <w:jc w:val="center"/>
                  <w:rPr>
                    <w:rFonts w:cstheme="minorHAnsi"/>
                    <w:sz w:val="16"/>
                    <w:szCs w:val="16"/>
                  </w:rPr>
                </w:pPr>
                <w:r>
                  <w:rPr>
                    <w:sz w:val="16"/>
                    <w:szCs w:val="16"/>
                  </w:rPr>
                  <w:t>4 641</w:t>
                </w:r>
              </w:p>
            </w:tc>
            <w:tc>
              <w:tcPr>
                <w:tcW w:w="364" w:type="pct"/>
                <w:tcBorders>
                  <w:top w:val="nil"/>
                  <w:left w:val="nil"/>
                  <w:bottom w:val="single" w:sz="4" w:space="0" w:color="auto"/>
                  <w:right w:val="nil"/>
                </w:tcBorders>
                <w:shd w:val="clear" w:color="auto" w:fill="auto"/>
                <w:noWrap/>
                <w:vAlign w:val="bottom"/>
                <w:hideMark/>
              </w:tcPr>
              <w:p w:rsidR="0089684C" w:rsidRPr="00A3401A" w:rsidRDefault="0089684C" w:rsidP="00A03AD0">
                <w:pPr>
                  <w:spacing w:before="60"/>
                  <w:jc w:val="center"/>
                  <w:rPr>
                    <w:rFonts w:cstheme="minorHAnsi"/>
                    <w:sz w:val="16"/>
                    <w:szCs w:val="16"/>
                  </w:rPr>
                </w:pPr>
                <w:r>
                  <w:rPr>
                    <w:sz w:val="16"/>
                    <w:szCs w:val="16"/>
                  </w:rPr>
                  <w:t>5 460</w:t>
                </w:r>
              </w:p>
            </w:tc>
            <w:tc>
              <w:tcPr>
                <w:tcW w:w="350" w:type="pct"/>
                <w:tcBorders>
                  <w:top w:val="nil"/>
                  <w:left w:val="nil"/>
                  <w:bottom w:val="single" w:sz="4" w:space="0" w:color="auto"/>
                  <w:right w:val="nil"/>
                </w:tcBorders>
                <w:shd w:val="clear" w:color="auto" w:fill="auto"/>
                <w:noWrap/>
                <w:vAlign w:val="bottom"/>
                <w:hideMark/>
              </w:tcPr>
              <w:p w:rsidR="0089684C" w:rsidRPr="00A3401A" w:rsidRDefault="0089684C" w:rsidP="00A03AD0">
                <w:pPr>
                  <w:spacing w:before="60"/>
                  <w:jc w:val="center"/>
                  <w:rPr>
                    <w:rFonts w:cstheme="minorHAnsi"/>
                    <w:sz w:val="16"/>
                    <w:szCs w:val="16"/>
                  </w:rPr>
                </w:pPr>
                <w:r>
                  <w:rPr>
                    <w:sz w:val="16"/>
                    <w:szCs w:val="16"/>
                  </w:rPr>
                  <w:t>3 570</w:t>
                </w:r>
              </w:p>
            </w:tc>
            <w:tc>
              <w:tcPr>
                <w:tcW w:w="415" w:type="pct"/>
                <w:tcBorders>
                  <w:top w:val="nil"/>
                  <w:left w:val="nil"/>
                  <w:bottom w:val="single" w:sz="4" w:space="0" w:color="auto"/>
                  <w:right w:val="nil"/>
                </w:tcBorders>
                <w:shd w:val="clear" w:color="auto" w:fill="auto"/>
                <w:noWrap/>
                <w:vAlign w:val="bottom"/>
                <w:hideMark/>
              </w:tcPr>
              <w:p w:rsidR="0089684C" w:rsidRPr="00A3401A" w:rsidRDefault="0089684C" w:rsidP="00A03AD0">
                <w:pPr>
                  <w:spacing w:before="60"/>
                  <w:jc w:val="center"/>
                  <w:rPr>
                    <w:rFonts w:cstheme="minorHAnsi"/>
                    <w:sz w:val="16"/>
                    <w:szCs w:val="16"/>
                  </w:rPr>
                </w:pPr>
                <w:r>
                  <w:rPr>
                    <w:sz w:val="16"/>
                    <w:szCs w:val="16"/>
                  </w:rPr>
                  <w:t>2 334</w:t>
                </w:r>
              </w:p>
            </w:tc>
            <w:tc>
              <w:tcPr>
                <w:tcW w:w="415" w:type="pct"/>
                <w:tcBorders>
                  <w:top w:val="nil"/>
                  <w:left w:val="nil"/>
                  <w:bottom w:val="single" w:sz="4" w:space="0" w:color="auto"/>
                  <w:right w:val="nil"/>
                </w:tcBorders>
                <w:shd w:val="clear" w:color="auto" w:fill="auto"/>
                <w:noWrap/>
                <w:vAlign w:val="bottom"/>
                <w:hideMark/>
              </w:tcPr>
              <w:p w:rsidR="0089684C" w:rsidRPr="00A3401A" w:rsidRDefault="0089684C" w:rsidP="00A03AD0">
                <w:pPr>
                  <w:spacing w:before="60"/>
                  <w:jc w:val="center"/>
                  <w:rPr>
                    <w:rFonts w:cstheme="minorHAnsi"/>
                    <w:sz w:val="16"/>
                    <w:szCs w:val="16"/>
                  </w:rPr>
                </w:pPr>
                <w:r>
                  <w:rPr>
                    <w:sz w:val="16"/>
                    <w:szCs w:val="16"/>
                  </w:rPr>
                  <w:t>2 244</w:t>
                </w:r>
              </w:p>
            </w:tc>
            <w:tc>
              <w:tcPr>
                <w:tcW w:w="415" w:type="pct"/>
                <w:tcBorders>
                  <w:top w:val="nil"/>
                  <w:left w:val="nil"/>
                  <w:bottom w:val="single" w:sz="4" w:space="0" w:color="auto"/>
                  <w:right w:val="nil"/>
                </w:tcBorders>
                <w:shd w:val="clear" w:color="auto" w:fill="auto"/>
                <w:noWrap/>
                <w:vAlign w:val="bottom"/>
                <w:hideMark/>
              </w:tcPr>
              <w:p w:rsidR="0089684C" w:rsidRPr="00A3401A" w:rsidRDefault="0089684C" w:rsidP="00A03AD0">
                <w:pPr>
                  <w:spacing w:before="60"/>
                  <w:jc w:val="center"/>
                  <w:rPr>
                    <w:rFonts w:cstheme="minorHAnsi"/>
                    <w:sz w:val="16"/>
                    <w:szCs w:val="16"/>
                  </w:rPr>
                </w:pPr>
                <w:r>
                  <w:rPr>
                    <w:sz w:val="16"/>
                    <w:szCs w:val="16"/>
                  </w:rPr>
                  <w:t>4 755</w:t>
                </w:r>
              </w:p>
            </w:tc>
            <w:tc>
              <w:tcPr>
                <w:tcW w:w="415" w:type="pct"/>
                <w:tcBorders>
                  <w:top w:val="nil"/>
                  <w:left w:val="nil"/>
                  <w:bottom w:val="single" w:sz="4" w:space="0" w:color="auto"/>
                  <w:right w:val="nil"/>
                </w:tcBorders>
                <w:shd w:val="clear" w:color="auto" w:fill="auto"/>
                <w:noWrap/>
                <w:vAlign w:val="bottom"/>
                <w:hideMark/>
              </w:tcPr>
              <w:p w:rsidR="0089684C" w:rsidRPr="00A3401A" w:rsidRDefault="0089684C" w:rsidP="00A03AD0">
                <w:pPr>
                  <w:spacing w:before="60"/>
                  <w:jc w:val="center"/>
                  <w:rPr>
                    <w:rFonts w:cstheme="minorHAnsi"/>
                    <w:sz w:val="16"/>
                    <w:szCs w:val="16"/>
                  </w:rPr>
                </w:pPr>
                <w:r>
                  <w:rPr>
                    <w:sz w:val="16"/>
                    <w:szCs w:val="16"/>
                  </w:rPr>
                  <w:t>2 985</w:t>
                </w:r>
              </w:p>
            </w:tc>
            <w:tc>
              <w:tcPr>
                <w:tcW w:w="415" w:type="pct"/>
                <w:tcBorders>
                  <w:top w:val="nil"/>
                  <w:left w:val="nil"/>
                  <w:bottom w:val="single" w:sz="4" w:space="0" w:color="auto"/>
                  <w:right w:val="nil"/>
                </w:tcBorders>
                <w:shd w:val="clear" w:color="auto" w:fill="auto"/>
                <w:noWrap/>
                <w:vAlign w:val="bottom"/>
                <w:hideMark/>
              </w:tcPr>
              <w:p w:rsidR="0089684C" w:rsidRPr="00A3401A" w:rsidRDefault="0089684C" w:rsidP="00A03AD0">
                <w:pPr>
                  <w:spacing w:before="60"/>
                  <w:jc w:val="center"/>
                  <w:rPr>
                    <w:rFonts w:cstheme="minorHAnsi"/>
                    <w:sz w:val="16"/>
                    <w:szCs w:val="16"/>
                  </w:rPr>
                </w:pPr>
                <w:r>
                  <w:rPr>
                    <w:sz w:val="16"/>
                    <w:szCs w:val="16"/>
                  </w:rPr>
                  <w:t>800</w:t>
                </w:r>
              </w:p>
            </w:tc>
            <w:tc>
              <w:tcPr>
                <w:tcW w:w="415" w:type="pct"/>
                <w:tcBorders>
                  <w:top w:val="nil"/>
                  <w:left w:val="nil"/>
                  <w:bottom w:val="single" w:sz="4" w:space="0" w:color="auto"/>
                  <w:right w:val="nil"/>
                </w:tcBorders>
                <w:shd w:val="clear" w:color="auto" w:fill="auto"/>
                <w:noWrap/>
                <w:vAlign w:val="bottom"/>
                <w:hideMark/>
              </w:tcPr>
              <w:p w:rsidR="0089684C" w:rsidRPr="00A3401A" w:rsidRDefault="0089684C" w:rsidP="00A03AD0">
                <w:pPr>
                  <w:spacing w:before="60"/>
                  <w:jc w:val="center"/>
                  <w:rPr>
                    <w:rFonts w:cstheme="minorHAnsi"/>
                    <w:sz w:val="16"/>
                    <w:szCs w:val="16"/>
                  </w:rPr>
                </w:pPr>
                <w:r>
                  <w:rPr>
                    <w:sz w:val="16"/>
                    <w:szCs w:val="16"/>
                  </w:rPr>
                  <w:t>1 479</w:t>
                </w:r>
              </w:p>
            </w:tc>
            <w:tc>
              <w:tcPr>
                <w:tcW w:w="416" w:type="pct"/>
                <w:tcBorders>
                  <w:top w:val="nil"/>
                  <w:left w:val="nil"/>
                  <w:bottom w:val="single" w:sz="4" w:space="0" w:color="auto"/>
                  <w:right w:val="nil"/>
                </w:tcBorders>
              </w:tcPr>
              <w:p w:rsidR="0089684C" w:rsidRPr="00A3401A" w:rsidRDefault="0089684C" w:rsidP="00A03AD0">
                <w:pPr>
                  <w:spacing w:before="120"/>
                  <w:jc w:val="center"/>
                  <w:rPr>
                    <w:rFonts w:cstheme="minorHAnsi"/>
                    <w:sz w:val="16"/>
                    <w:szCs w:val="16"/>
                  </w:rPr>
                </w:pPr>
              </w:p>
            </w:tc>
          </w:tr>
          <w:tr w:rsidR="0089684C" w:rsidRPr="00A3401A" w:rsidTr="00F959A4">
            <w:trPr>
              <w:trHeight w:val="300"/>
            </w:trPr>
            <w:tc>
              <w:tcPr>
                <w:tcW w:w="1015" w:type="pct"/>
                <w:gridSpan w:val="2"/>
                <w:tcBorders>
                  <w:top w:val="single" w:sz="4" w:space="0" w:color="auto"/>
                  <w:left w:val="nil"/>
                  <w:right w:val="nil"/>
                </w:tcBorders>
                <w:shd w:val="clear" w:color="auto" w:fill="auto"/>
                <w:noWrap/>
                <w:vAlign w:val="bottom"/>
              </w:tcPr>
              <w:p w:rsidR="0089684C" w:rsidRPr="00A3401A" w:rsidRDefault="0089684C" w:rsidP="00A03AD0">
                <w:pPr>
                  <w:spacing w:before="60"/>
                  <w:rPr>
                    <w:rFonts w:cstheme="minorHAnsi"/>
                    <w:sz w:val="16"/>
                    <w:szCs w:val="16"/>
                  </w:rPr>
                </w:pPr>
                <w:r>
                  <w:rPr>
                    <w:sz w:val="16"/>
                    <w:szCs w:val="16"/>
                  </w:rPr>
                  <w:t>Inköp av tjänster (2019)</w:t>
                </w:r>
              </w:p>
            </w:tc>
            <w:tc>
              <w:tcPr>
                <w:tcW w:w="364" w:type="pct"/>
                <w:gridSpan w:val="3"/>
                <w:tcBorders>
                  <w:top w:val="single" w:sz="4" w:space="0" w:color="auto"/>
                  <w:left w:val="nil"/>
                  <w:right w:val="nil"/>
                </w:tcBorders>
                <w:shd w:val="clear" w:color="auto" w:fill="auto"/>
                <w:noWrap/>
                <w:vAlign w:val="bottom"/>
              </w:tcPr>
              <w:p w:rsidR="0089684C" w:rsidRPr="00A3401A" w:rsidRDefault="0089684C" w:rsidP="00A03AD0">
                <w:pPr>
                  <w:spacing w:before="60"/>
                  <w:jc w:val="center"/>
                  <w:rPr>
                    <w:rFonts w:cstheme="minorHAnsi"/>
                    <w:sz w:val="16"/>
                    <w:szCs w:val="16"/>
                  </w:rPr>
                </w:pPr>
              </w:p>
            </w:tc>
            <w:tc>
              <w:tcPr>
                <w:tcW w:w="364" w:type="pct"/>
                <w:tcBorders>
                  <w:top w:val="single" w:sz="4" w:space="0" w:color="auto"/>
                  <w:left w:val="nil"/>
                  <w:right w:val="nil"/>
                </w:tcBorders>
                <w:shd w:val="clear" w:color="auto" w:fill="auto"/>
                <w:noWrap/>
                <w:vAlign w:val="bottom"/>
              </w:tcPr>
              <w:p w:rsidR="0089684C" w:rsidRPr="00A3401A" w:rsidRDefault="0089684C" w:rsidP="00A03AD0">
                <w:pPr>
                  <w:spacing w:before="60"/>
                  <w:jc w:val="center"/>
                  <w:rPr>
                    <w:rFonts w:cstheme="minorHAnsi"/>
                    <w:sz w:val="16"/>
                    <w:szCs w:val="16"/>
                  </w:rPr>
                </w:pPr>
              </w:p>
            </w:tc>
            <w:tc>
              <w:tcPr>
                <w:tcW w:w="350" w:type="pct"/>
                <w:tcBorders>
                  <w:top w:val="single" w:sz="4" w:space="0" w:color="auto"/>
                  <w:left w:val="nil"/>
                  <w:right w:val="nil"/>
                </w:tcBorders>
                <w:shd w:val="clear" w:color="auto" w:fill="auto"/>
                <w:noWrap/>
                <w:vAlign w:val="bottom"/>
              </w:tcPr>
              <w:p w:rsidR="0089684C" w:rsidRPr="00A3401A" w:rsidRDefault="0089684C" w:rsidP="00A03AD0">
                <w:pPr>
                  <w:spacing w:before="60"/>
                  <w:jc w:val="center"/>
                  <w:rPr>
                    <w:rFonts w:cstheme="minorHAnsi"/>
                    <w:sz w:val="16"/>
                    <w:szCs w:val="16"/>
                  </w:rPr>
                </w:pPr>
              </w:p>
            </w:tc>
            <w:tc>
              <w:tcPr>
                <w:tcW w:w="415" w:type="pct"/>
                <w:tcBorders>
                  <w:top w:val="single" w:sz="4" w:space="0" w:color="auto"/>
                  <w:left w:val="nil"/>
                  <w:right w:val="nil"/>
                </w:tcBorders>
                <w:shd w:val="clear" w:color="auto" w:fill="auto"/>
                <w:noWrap/>
                <w:vAlign w:val="bottom"/>
              </w:tcPr>
              <w:p w:rsidR="0089684C" w:rsidRPr="00A3401A" w:rsidRDefault="0089684C" w:rsidP="00A03AD0">
                <w:pPr>
                  <w:spacing w:before="60"/>
                  <w:jc w:val="center"/>
                  <w:rPr>
                    <w:rFonts w:cstheme="minorHAnsi"/>
                    <w:sz w:val="16"/>
                    <w:szCs w:val="16"/>
                  </w:rPr>
                </w:pPr>
              </w:p>
            </w:tc>
            <w:tc>
              <w:tcPr>
                <w:tcW w:w="415" w:type="pct"/>
                <w:tcBorders>
                  <w:top w:val="single" w:sz="4" w:space="0" w:color="auto"/>
                  <w:left w:val="nil"/>
                  <w:right w:val="nil"/>
                </w:tcBorders>
                <w:shd w:val="clear" w:color="auto" w:fill="auto"/>
                <w:noWrap/>
                <w:vAlign w:val="bottom"/>
              </w:tcPr>
              <w:p w:rsidR="0089684C" w:rsidRPr="00A3401A" w:rsidRDefault="0089684C" w:rsidP="00A03AD0">
                <w:pPr>
                  <w:spacing w:before="60"/>
                  <w:jc w:val="center"/>
                  <w:rPr>
                    <w:rFonts w:cstheme="minorHAnsi"/>
                    <w:sz w:val="16"/>
                    <w:szCs w:val="16"/>
                  </w:rPr>
                </w:pPr>
              </w:p>
            </w:tc>
            <w:tc>
              <w:tcPr>
                <w:tcW w:w="415" w:type="pct"/>
                <w:tcBorders>
                  <w:top w:val="single" w:sz="4" w:space="0" w:color="auto"/>
                  <w:left w:val="nil"/>
                  <w:right w:val="nil"/>
                </w:tcBorders>
                <w:shd w:val="clear" w:color="auto" w:fill="auto"/>
                <w:noWrap/>
                <w:vAlign w:val="bottom"/>
              </w:tcPr>
              <w:p w:rsidR="0089684C" w:rsidRPr="00A3401A" w:rsidRDefault="0089684C" w:rsidP="00A03AD0">
                <w:pPr>
                  <w:spacing w:before="60"/>
                  <w:jc w:val="center"/>
                  <w:rPr>
                    <w:rFonts w:cstheme="minorHAnsi"/>
                    <w:sz w:val="16"/>
                    <w:szCs w:val="16"/>
                  </w:rPr>
                </w:pPr>
              </w:p>
            </w:tc>
            <w:tc>
              <w:tcPr>
                <w:tcW w:w="415" w:type="pct"/>
                <w:tcBorders>
                  <w:top w:val="single" w:sz="4" w:space="0" w:color="auto"/>
                  <w:left w:val="nil"/>
                  <w:right w:val="nil"/>
                </w:tcBorders>
                <w:shd w:val="clear" w:color="auto" w:fill="auto"/>
                <w:noWrap/>
                <w:vAlign w:val="bottom"/>
              </w:tcPr>
              <w:p w:rsidR="0089684C" w:rsidRPr="00A3401A" w:rsidRDefault="0089684C" w:rsidP="00A03AD0">
                <w:pPr>
                  <w:spacing w:before="60"/>
                  <w:jc w:val="center"/>
                  <w:rPr>
                    <w:rFonts w:cstheme="minorHAnsi"/>
                    <w:sz w:val="16"/>
                    <w:szCs w:val="16"/>
                  </w:rPr>
                </w:pPr>
              </w:p>
            </w:tc>
            <w:tc>
              <w:tcPr>
                <w:tcW w:w="415" w:type="pct"/>
                <w:tcBorders>
                  <w:top w:val="single" w:sz="4" w:space="0" w:color="auto"/>
                  <w:left w:val="nil"/>
                  <w:right w:val="nil"/>
                </w:tcBorders>
                <w:shd w:val="clear" w:color="auto" w:fill="auto"/>
                <w:noWrap/>
                <w:vAlign w:val="bottom"/>
              </w:tcPr>
              <w:p w:rsidR="0089684C" w:rsidRPr="00A3401A" w:rsidRDefault="0089684C" w:rsidP="00A03AD0">
                <w:pPr>
                  <w:spacing w:before="60"/>
                  <w:jc w:val="center"/>
                  <w:rPr>
                    <w:rFonts w:cstheme="minorHAnsi"/>
                    <w:sz w:val="16"/>
                    <w:szCs w:val="16"/>
                  </w:rPr>
                </w:pPr>
              </w:p>
            </w:tc>
            <w:tc>
              <w:tcPr>
                <w:tcW w:w="415" w:type="pct"/>
                <w:tcBorders>
                  <w:top w:val="single" w:sz="4" w:space="0" w:color="auto"/>
                  <w:left w:val="nil"/>
                  <w:right w:val="nil"/>
                </w:tcBorders>
                <w:shd w:val="clear" w:color="auto" w:fill="auto"/>
                <w:noWrap/>
                <w:vAlign w:val="bottom"/>
              </w:tcPr>
              <w:p w:rsidR="0089684C" w:rsidRPr="00A3401A" w:rsidRDefault="0089684C" w:rsidP="00A03AD0">
                <w:pPr>
                  <w:spacing w:before="60"/>
                  <w:jc w:val="center"/>
                  <w:rPr>
                    <w:rFonts w:cstheme="minorHAnsi"/>
                    <w:sz w:val="16"/>
                    <w:szCs w:val="16"/>
                  </w:rPr>
                </w:pPr>
              </w:p>
            </w:tc>
            <w:tc>
              <w:tcPr>
                <w:tcW w:w="416" w:type="pct"/>
                <w:tcBorders>
                  <w:top w:val="single" w:sz="4" w:space="0" w:color="auto"/>
                  <w:left w:val="nil"/>
                  <w:right w:val="nil"/>
                </w:tcBorders>
              </w:tcPr>
              <w:p w:rsidR="0089684C" w:rsidRDefault="0089684C" w:rsidP="00A03AD0">
                <w:pPr>
                  <w:spacing w:before="120"/>
                  <w:jc w:val="center"/>
                  <w:rPr>
                    <w:rFonts w:cstheme="minorHAnsi"/>
                    <w:sz w:val="16"/>
                    <w:szCs w:val="16"/>
                  </w:rPr>
                </w:pPr>
                <w:r>
                  <w:rPr>
                    <w:sz w:val="16"/>
                    <w:szCs w:val="16"/>
                  </w:rPr>
                  <w:t>72 584</w:t>
                </w:r>
              </w:p>
            </w:tc>
          </w:tr>
          <w:tr w:rsidR="0089684C" w:rsidRPr="00A3401A" w:rsidTr="00F959A4">
            <w:trPr>
              <w:trHeight w:val="300"/>
            </w:trPr>
            <w:tc>
              <w:tcPr>
                <w:tcW w:w="1015" w:type="pct"/>
                <w:gridSpan w:val="2"/>
                <w:tcBorders>
                  <w:top w:val="nil"/>
                  <w:left w:val="nil"/>
                  <w:bottom w:val="single" w:sz="4" w:space="0" w:color="auto"/>
                  <w:right w:val="nil"/>
                </w:tcBorders>
                <w:shd w:val="clear" w:color="auto" w:fill="auto"/>
                <w:noWrap/>
                <w:vAlign w:val="bottom"/>
              </w:tcPr>
              <w:p w:rsidR="0089684C" w:rsidRPr="00A3401A" w:rsidRDefault="0089684C" w:rsidP="00A03AD0">
                <w:pPr>
                  <w:spacing w:before="60"/>
                  <w:rPr>
                    <w:rFonts w:cstheme="minorHAnsi"/>
                    <w:sz w:val="16"/>
                    <w:szCs w:val="16"/>
                  </w:rPr>
                </w:pPr>
                <w:r>
                  <w:rPr>
                    <w:sz w:val="16"/>
                    <w:szCs w:val="16"/>
                  </w:rPr>
                  <w:t>Övriga kostnader (2019)</w:t>
                </w:r>
              </w:p>
            </w:tc>
            <w:tc>
              <w:tcPr>
                <w:tcW w:w="364" w:type="pct"/>
                <w:gridSpan w:val="3"/>
                <w:tcBorders>
                  <w:top w:val="nil"/>
                  <w:left w:val="nil"/>
                  <w:bottom w:val="single" w:sz="4" w:space="0" w:color="auto"/>
                  <w:right w:val="nil"/>
                </w:tcBorders>
                <w:shd w:val="clear" w:color="auto" w:fill="auto"/>
                <w:noWrap/>
                <w:vAlign w:val="bottom"/>
              </w:tcPr>
              <w:p w:rsidR="0089684C" w:rsidRPr="00A3401A" w:rsidRDefault="0089684C" w:rsidP="00A03AD0">
                <w:pPr>
                  <w:spacing w:before="60"/>
                  <w:jc w:val="center"/>
                  <w:rPr>
                    <w:rFonts w:cstheme="minorHAnsi"/>
                    <w:sz w:val="16"/>
                    <w:szCs w:val="16"/>
                  </w:rPr>
                </w:pPr>
              </w:p>
            </w:tc>
            <w:tc>
              <w:tcPr>
                <w:tcW w:w="364" w:type="pct"/>
                <w:tcBorders>
                  <w:top w:val="nil"/>
                  <w:left w:val="nil"/>
                  <w:bottom w:val="single" w:sz="4" w:space="0" w:color="auto"/>
                  <w:right w:val="nil"/>
                </w:tcBorders>
                <w:shd w:val="clear" w:color="auto" w:fill="auto"/>
                <w:noWrap/>
                <w:vAlign w:val="bottom"/>
              </w:tcPr>
              <w:p w:rsidR="0089684C" w:rsidRPr="00A3401A" w:rsidRDefault="0089684C" w:rsidP="00A03AD0">
                <w:pPr>
                  <w:spacing w:before="60"/>
                  <w:jc w:val="center"/>
                  <w:rPr>
                    <w:rFonts w:cstheme="minorHAnsi"/>
                    <w:sz w:val="16"/>
                    <w:szCs w:val="16"/>
                  </w:rPr>
                </w:pPr>
              </w:p>
            </w:tc>
            <w:tc>
              <w:tcPr>
                <w:tcW w:w="350" w:type="pct"/>
                <w:tcBorders>
                  <w:top w:val="nil"/>
                  <w:left w:val="nil"/>
                  <w:bottom w:val="single" w:sz="4" w:space="0" w:color="auto"/>
                  <w:right w:val="nil"/>
                </w:tcBorders>
                <w:shd w:val="clear" w:color="auto" w:fill="auto"/>
                <w:noWrap/>
                <w:vAlign w:val="bottom"/>
              </w:tcPr>
              <w:p w:rsidR="0089684C" w:rsidRPr="00A3401A" w:rsidRDefault="0089684C" w:rsidP="00A03AD0">
                <w:pPr>
                  <w:spacing w:before="60"/>
                  <w:jc w:val="center"/>
                  <w:rPr>
                    <w:rFonts w:cstheme="minorHAnsi"/>
                    <w:sz w:val="16"/>
                    <w:szCs w:val="16"/>
                  </w:rPr>
                </w:pPr>
              </w:p>
            </w:tc>
            <w:tc>
              <w:tcPr>
                <w:tcW w:w="415" w:type="pct"/>
                <w:tcBorders>
                  <w:top w:val="nil"/>
                  <w:left w:val="nil"/>
                  <w:bottom w:val="single" w:sz="4" w:space="0" w:color="auto"/>
                  <w:right w:val="nil"/>
                </w:tcBorders>
                <w:shd w:val="clear" w:color="auto" w:fill="auto"/>
                <w:noWrap/>
                <w:vAlign w:val="bottom"/>
              </w:tcPr>
              <w:p w:rsidR="0089684C" w:rsidRPr="00A3401A" w:rsidRDefault="0089684C" w:rsidP="00A03AD0">
                <w:pPr>
                  <w:spacing w:before="60"/>
                  <w:jc w:val="center"/>
                  <w:rPr>
                    <w:rFonts w:cstheme="minorHAnsi"/>
                    <w:sz w:val="16"/>
                    <w:szCs w:val="16"/>
                  </w:rPr>
                </w:pPr>
              </w:p>
            </w:tc>
            <w:tc>
              <w:tcPr>
                <w:tcW w:w="415" w:type="pct"/>
                <w:tcBorders>
                  <w:top w:val="nil"/>
                  <w:left w:val="nil"/>
                  <w:bottom w:val="single" w:sz="4" w:space="0" w:color="auto"/>
                  <w:right w:val="nil"/>
                </w:tcBorders>
                <w:shd w:val="clear" w:color="auto" w:fill="auto"/>
                <w:noWrap/>
                <w:vAlign w:val="bottom"/>
              </w:tcPr>
              <w:p w:rsidR="0089684C" w:rsidRPr="00A3401A" w:rsidRDefault="0089684C" w:rsidP="00A03AD0">
                <w:pPr>
                  <w:spacing w:before="60"/>
                  <w:jc w:val="center"/>
                  <w:rPr>
                    <w:rFonts w:cstheme="minorHAnsi"/>
                    <w:sz w:val="16"/>
                    <w:szCs w:val="16"/>
                  </w:rPr>
                </w:pPr>
              </w:p>
            </w:tc>
            <w:tc>
              <w:tcPr>
                <w:tcW w:w="415" w:type="pct"/>
                <w:tcBorders>
                  <w:top w:val="nil"/>
                  <w:left w:val="nil"/>
                  <w:bottom w:val="single" w:sz="4" w:space="0" w:color="auto"/>
                  <w:right w:val="nil"/>
                </w:tcBorders>
                <w:shd w:val="clear" w:color="auto" w:fill="auto"/>
                <w:noWrap/>
                <w:vAlign w:val="bottom"/>
              </w:tcPr>
              <w:p w:rsidR="0089684C" w:rsidRPr="00A3401A" w:rsidRDefault="0089684C" w:rsidP="00A03AD0">
                <w:pPr>
                  <w:spacing w:before="60"/>
                  <w:jc w:val="center"/>
                  <w:rPr>
                    <w:rFonts w:cstheme="minorHAnsi"/>
                    <w:sz w:val="16"/>
                    <w:szCs w:val="16"/>
                  </w:rPr>
                </w:pPr>
              </w:p>
            </w:tc>
            <w:tc>
              <w:tcPr>
                <w:tcW w:w="415" w:type="pct"/>
                <w:tcBorders>
                  <w:top w:val="nil"/>
                  <w:left w:val="nil"/>
                  <w:bottom w:val="single" w:sz="4" w:space="0" w:color="auto"/>
                  <w:right w:val="nil"/>
                </w:tcBorders>
                <w:shd w:val="clear" w:color="auto" w:fill="auto"/>
                <w:noWrap/>
                <w:vAlign w:val="bottom"/>
              </w:tcPr>
              <w:p w:rsidR="0089684C" w:rsidRPr="00A3401A" w:rsidRDefault="0089684C" w:rsidP="00A03AD0">
                <w:pPr>
                  <w:spacing w:before="60"/>
                  <w:jc w:val="center"/>
                  <w:rPr>
                    <w:rFonts w:cstheme="minorHAnsi"/>
                    <w:sz w:val="16"/>
                    <w:szCs w:val="16"/>
                  </w:rPr>
                </w:pPr>
              </w:p>
            </w:tc>
            <w:tc>
              <w:tcPr>
                <w:tcW w:w="415" w:type="pct"/>
                <w:tcBorders>
                  <w:top w:val="nil"/>
                  <w:left w:val="nil"/>
                  <w:bottom w:val="single" w:sz="4" w:space="0" w:color="auto"/>
                  <w:right w:val="nil"/>
                </w:tcBorders>
                <w:shd w:val="clear" w:color="auto" w:fill="auto"/>
                <w:noWrap/>
                <w:vAlign w:val="bottom"/>
              </w:tcPr>
              <w:p w:rsidR="0089684C" w:rsidRPr="00A3401A" w:rsidRDefault="0089684C" w:rsidP="00A03AD0">
                <w:pPr>
                  <w:spacing w:before="60"/>
                  <w:jc w:val="center"/>
                  <w:rPr>
                    <w:rFonts w:cstheme="minorHAnsi"/>
                    <w:sz w:val="16"/>
                    <w:szCs w:val="16"/>
                  </w:rPr>
                </w:pPr>
              </w:p>
            </w:tc>
            <w:tc>
              <w:tcPr>
                <w:tcW w:w="415" w:type="pct"/>
                <w:tcBorders>
                  <w:top w:val="nil"/>
                  <w:left w:val="nil"/>
                  <w:bottom w:val="single" w:sz="4" w:space="0" w:color="auto"/>
                  <w:right w:val="nil"/>
                </w:tcBorders>
                <w:shd w:val="clear" w:color="auto" w:fill="auto"/>
                <w:noWrap/>
                <w:vAlign w:val="bottom"/>
              </w:tcPr>
              <w:p w:rsidR="0089684C" w:rsidRPr="00A3401A" w:rsidRDefault="0089684C" w:rsidP="00A03AD0">
                <w:pPr>
                  <w:spacing w:before="60"/>
                  <w:jc w:val="center"/>
                  <w:rPr>
                    <w:rFonts w:cstheme="minorHAnsi"/>
                    <w:sz w:val="16"/>
                    <w:szCs w:val="16"/>
                  </w:rPr>
                </w:pPr>
              </w:p>
            </w:tc>
            <w:tc>
              <w:tcPr>
                <w:tcW w:w="416" w:type="pct"/>
                <w:tcBorders>
                  <w:top w:val="nil"/>
                  <w:left w:val="nil"/>
                  <w:bottom w:val="single" w:sz="4" w:space="0" w:color="auto"/>
                  <w:right w:val="nil"/>
                </w:tcBorders>
              </w:tcPr>
              <w:p w:rsidR="0089684C" w:rsidRDefault="0089684C" w:rsidP="00A03AD0">
                <w:pPr>
                  <w:spacing w:before="120"/>
                  <w:jc w:val="center"/>
                  <w:rPr>
                    <w:rFonts w:cstheme="minorHAnsi"/>
                    <w:sz w:val="16"/>
                    <w:szCs w:val="16"/>
                  </w:rPr>
                </w:pPr>
                <w:r>
                  <w:rPr>
                    <w:sz w:val="16"/>
                    <w:szCs w:val="16"/>
                  </w:rPr>
                  <w:t>20 829</w:t>
                </w:r>
              </w:p>
            </w:tc>
          </w:tr>
          <w:tr w:rsidR="0089684C" w:rsidRPr="00A3401A" w:rsidTr="00F959A4">
            <w:trPr>
              <w:trHeight w:val="315"/>
            </w:trPr>
            <w:tc>
              <w:tcPr>
                <w:tcW w:w="1015" w:type="pct"/>
                <w:gridSpan w:val="2"/>
                <w:tcBorders>
                  <w:top w:val="single" w:sz="4" w:space="0" w:color="auto"/>
                  <w:left w:val="nil"/>
                  <w:bottom w:val="single" w:sz="4" w:space="0" w:color="auto"/>
                  <w:right w:val="nil"/>
                </w:tcBorders>
                <w:shd w:val="clear" w:color="auto" w:fill="auto"/>
                <w:noWrap/>
                <w:vAlign w:val="bottom"/>
                <w:hideMark/>
              </w:tcPr>
              <w:p w:rsidR="0089684C" w:rsidRPr="00A3401A" w:rsidRDefault="0089684C" w:rsidP="00A03AD0">
                <w:pPr>
                  <w:spacing w:before="60"/>
                  <w:rPr>
                    <w:rFonts w:cstheme="minorHAnsi"/>
                    <w:b/>
                    <w:bCs/>
                    <w:sz w:val="16"/>
                    <w:szCs w:val="16"/>
                  </w:rPr>
                </w:pPr>
                <w:r>
                  <w:rPr>
                    <w:b/>
                    <w:bCs/>
                    <w:sz w:val="16"/>
                    <w:szCs w:val="16"/>
                  </w:rPr>
                  <w:t>Sammanlagt</w:t>
                </w:r>
              </w:p>
            </w:tc>
            <w:tc>
              <w:tcPr>
                <w:tcW w:w="364" w:type="pct"/>
                <w:gridSpan w:val="3"/>
                <w:tcBorders>
                  <w:top w:val="single" w:sz="4" w:space="0" w:color="auto"/>
                  <w:left w:val="nil"/>
                  <w:bottom w:val="single" w:sz="4" w:space="0" w:color="auto"/>
                  <w:right w:val="nil"/>
                </w:tcBorders>
                <w:shd w:val="clear" w:color="auto" w:fill="auto"/>
                <w:noWrap/>
                <w:vAlign w:val="bottom"/>
                <w:hideMark/>
              </w:tcPr>
              <w:p w:rsidR="0089684C" w:rsidRPr="00A3401A" w:rsidRDefault="0089684C" w:rsidP="00A03AD0">
                <w:pPr>
                  <w:spacing w:before="60"/>
                  <w:jc w:val="center"/>
                  <w:rPr>
                    <w:rFonts w:cstheme="minorHAnsi"/>
                    <w:b/>
                    <w:bCs/>
                    <w:sz w:val="16"/>
                    <w:szCs w:val="16"/>
                  </w:rPr>
                </w:pPr>
                <w:r>
                  <w:rPr>
                    <w:b/>
                    <w:bCs/>
                    <w:sz w:val="16"/>
                    <w:szCs w:val="16"/>
                  </w:rPr>
                  <w:t>84 574</w:t>
                </w:r>
              </w:p>
            </w:tc>
            <w:tc>
              <w:tcPr>
                <w:tcW w:w="364" w:type="pct"/>
                <w:tcBorders>
                  <w:top w:val="single" w:sz="4" w:space="0" w:color="auto"/>
                  <w:left w:val="nil"/>
                  <w:bottom w:val="single" w:sz="4" w:space="0" w:color="auto"/>
                  <w:right w:val="nil"/>
                </w:tcBorders>
                <w:shd w:val="clear" w:color="auto" w:fill="auto"/>
                <w:noWrap/>
                <w:vAlign w:val="bottom"/>
                <w:hideMark/>
              </w:tcPr>
              <w:p w:rsidR="0089684C" w:rsidRPr="00A3401A" w:rsidRDefault="0089684C" w:rsidP="00A03AD0">
                <w:pPr>
                  <w:spacing w:before="60"/>
                  <w:jc w:val="center"/>
                  <w:rPr>
                    <w:rFonts w:cstheme="minorHAnsi"/>
                    <w:b/>
                    <w:bCs/>
                    <w:sz w:val="16"/>
                    <w:szCs w:val="16"/>
                  </w:rPr>
                </w:pPr>
                <w:r>
                  <w:rPr>
                    <w:b/>
                    <w:bCs/>
                    <w:sz w:val="16"/>
                    <w:szCs w:val="16"/>
                  </w:rPr>
                  <w:t>99 416</w:t>
                </w:r>
              </w:p>
            </w:tc>
            <w:tc>
              <w:tcPr>
                <w:tcW w:w="350" w:type="pct"/>
                <w:tcBorders>
                  <w:top w:val="single" w:sz="4" w:space="0" w:color="auto"/>
                  <w:left w:val="nil"/>
                  <w:bottom w:val="single" w:sz="4" w:space="0" w:color="auto"/>
                  <w:right w:val="nil"/>
                </w:tcBorders>
                <w:shd w:val="clear" w:color="auto" w:fill="auto"/>
                <w:noWrap/>
                <w:vAlign w:val="bottom"/>
                <w:hideMark/>
              </w:tcPr>
              <w:p w:rsidR="0089684C" w:rsidRPr="00A3401A" w:rsidRDefault="0089684C" w:rsidP="00A03AD0">
                <w:pPr>
                  <w:spacing w:before="60"/>
                  <w:jc w:val="center"/>
                  <w:rPr>
                    <w:rFonts w:cstheme="minorHAnsi"/>
                    <w:b/>
                    <w:bCs/>
                    <w:sz w:val="16"/>
                    <w:szCs w:val="16"/>
                  </w:rPr>
                </w:pPr>
                <w:r>
                  <w:rPr>
                    <w:b/>
                    <w:bCs/>
                    <w:sz w:val="16"/>
                    <w:szCs w:val="16"/>
                  </w:rPr>
                  <w:t>82 797</w:t>
                </w:r>
              </w:p>
            </w:tc>
            <w:tc>
              <w:tcPr>
                <w:tcW w:w="415" w:type="pct"/>
                <w:tcBorders>
                  <w:top w:val="single" w:sz="4" w:space="0" w:color="auto"/>
                  <w:left w:val="nil"/>
                  <w:bottom w:val="single" w:sz="4" w:space="0" w:color="auto"/>
                  <w:right w:val="nil"/>
                </w:tcBorders>
                <w:shd w:val="clear" w:color="auto" w:fill="auto"/>
                <w:noWrap/>
                <w:vAlign w:val="bottom"/>
                <w:hideMark/>
              </w:tcPr>
              <w:p w:rsidR="0089684C" w:rsidRPr="00A3401A" w:rsidRDefault="0089684C" w:rsidP="00A03AD0">
                <w:pPr>
                  <w:spacing w:before="60"/>
                  <w:jc w:val="center"/>
                  <w:rPr>
                    <w:rFonts w:cstheme="minorHAnsi"/>
                    <w:b/>
                    <w:bCs/>
                    <w:sz w:val="16"/>
                    <w:szCs w:val="16"/>
                  </w:rPr>
                </w:pPr>
                <w:r>
                  <w:rPr>
                    <w:b/>
                    <w:bCs/>
                    <w:sz w:val="16"/>
                    <w:szCs w:val="16"/>
                  </w:rPr>
                  <w:t>91 545</w:t>
                </w:r>
              </w:p>
            </w:tc>
            <w:tc>
              <w:tcPr>
                <w:tcW w:w="415" w:type="pct"/>
                <w:tcBorders>
                  <w:top w:val="single" w:sz="4" w:space="0" w:color="auto"/>
                  <w:left w:val="nil"/>
                  <w:bottom w:val="single" w:sz="4" w:space="0" w:color="auto"/>
                  <w:right w:val="nil"/>
                </w:tcBorders>
                <w:shd w:val="clear" w:color="auto" w:fill="auto"/>
                <w:noWrap/>
                <w:vAlign w:val="bottom"/>
                <w:hideMark/>
              </w:tcPr>
              <w:p w:rsidR="0089684C" w:rsidRPr="00A3401A" w:rsidRDefault="0089684C" w:rsidP="00A03AD0">
                <w:pPr>
                  <w:spacing w:before="60"/>
                  <w:jc w:val="center"/>
                  <w:rPr>
                    <w:rFonts w:cstheme="minorHAnsi"/>
                    <w:b/>
                    <w:bCs/>
                    <w:sz w:val="16"/>
                    <w:szCs w:val="16"/>
                  </w:rPr>
                </w:pPr>
                <w:r>
                  <w:rPr>
                    <w:b/>
                    <w:bCs/>
                    <w:sz w:val="16"/>
                    <w:szCs w:val="16"/>
                  </w:rPr>
                  <w:t>82 663</w:t>
                </w:r>
              </w:p>
            </w:tc>
            <w:tc>
              <w:tcPr>
                <w:tcW w:w="415" w:type="pct"/>
                <w:tcBorders>
                  <w:top w:val="single" w:sz="4" w:space="0" w:color="auto"/>
                  <w:left w:val="nil"/>
                  <w:bottom w:val="single" w:sz="4" w:space="0" w:color="auto"/>
                  <w:right w:val="nil"/>
                </w:tcBorders>
                <w:shd w:val="clear" w:color="auto" w:fill="auto"/>
                <w:noWrap/>
                <w:vAlign w:val="bottom"/>
                <w:hideMark/>
              </w:tcPr>
              <w:p w:rsidR="0089684C" w:rsidRPr="00A3401A" w:rsidRDefault="0089684C" w:rsidP="00A03AD0">
                <w:pPr>
                  <w:spacing w:before="60"/>
                  <w:jc w:val="center"/>
                  <w:rPr>
                    <w:rFonts w:cstheme="minorHAnsi"/>
                    <w:b/>
                    <w:bCs/>
                    <w:sz w:val="16"/>
                    <w:szCs w:val="16"/>
                  </w:rPr>
                </w:pPr>
                <w:r>
                  <w:rPr>
                    <w:b/>
                    <w:bCs/>
                    <w:sz w:val="16"/>
                    <w:szCs w:val="16"/>
                  </w:rPr>
                  <w:t>74 863</w:t>
                </w:r>
              </w:p>
            </w:tc>
            <w:tc>
              <w:tcPr>
                <w:tcW w:w="415" w:type="pct"/>
                <w:tcBorders>
                  <w:top w:val="single" w:sz="4" w:space="0" w:color="auto"/>
                  <w:left w:val="nil"/>
                  <w:bottom w:val="single" w:sz="4" w:space="0" w:color="auto"/>
                  <w:right w:val="nil"/>
                </w:tcBorders>
                <w:shd w:val="clear" w:color="auto" w:fill="auto"/>
                <w:noWrap/>
                <w:vAlign w:val="bottom"/>
                <w:hideMark/>
              </w:tcPr>
              <w:p w:rsidR="0089684C" w:rsidRPr="00A3401A" w:rsidRDefault="0089684C" w:rsidP="00A03AD0">
                <w:pPr>
                  <w:spacing w:before="60"/>
                  <w:jc w:val="center"/>
                  <w:rPr>
                    <w:rFonts w:cstheme="minorHAnsi"/>
                    <w:b/>
                    <w:bCs/>
                    <w:sz w:val="16"/>
                    <w:szCs w:val="16"/>
                  </w:rPr>
                </w:pPr>
                <w:r>
                  <w:rPr>
                    <w:b/>
                    <w:bCs/>
                    <w:sz w:val="16"/>
                    <w:szCs w:val="16"/>
                  </w:rPr>
                  <w:t>84 075</w:t>
                </w:r>
              </w:p>
            </w:tc>
            <w:tc>
              <w:tcPr>
                <w:tcW w:w="415" w:type="pct"/>
                <w:tcBorders>
                  <w:top w:val="single" w:sz="4" w:space="0" w:color="auto"/>
                  <w:left w:val="nil"/>
                  <w:bottom w:val="single" w:sz="4" w:space="0" w:color="auto"/>
                  <w:right w:val="nil"/>
                </w:tcBorders>
                <w:shd w:val="clear" w:color="auto" w:fill="auto"/>
                <w:noWrap/>
                <w:vAlign w:val="bottom"/>
                <w:hideMark/>
              </w:tcPr>
              <w:p w:rsidR="0089684C" w:rsidRPr="00A3401A" w:rsidRDefault="0089684C" w:rsidP="00A03AD0">
                <w:pPr>
                  <w:spacing w:before="60"/>
                  <w:jc w:val="center"/>
                  <w:rPr>
                    <w:rFonts w:cstheme="minorHAnsi"/>
                    <w:b/>
                    <w:bCs/>
                    <w:sz w:val="16"/>
                    <w:szCs w:val="16"/>
                  </w:rPr>
                </w:pPr>
                <w:r>
                  <w:rPr>
                    <w:b/>
                    <w:bCs/>
                    <w:sz w:val="16"/>
                    <w:szCs w:val="16"/>
                  </w:rPr>
                  <w:t>83 852</w:t>
                </w:r>
              </w:p>
            </w:tc>
            <w:tc>
              <w:tcPr>
                <w:tcW w:w="415" w:type="pct"/>
                <w:tcBorders>
                  <w:top w:val="single" w:sz="4" w:space="0" w:color="auto"/>
                  <w:left w:val="nil"/>
                  <w:bottom w:val="single" w:sz="4" w:space="0" w:color="auto"/>
                  <w:right w:val="nil"/>
                </w:tcBorders>
                <w:shd w:val="clear" w:color="auto" w:fill="auto"/>
                <w:noWrap/>
                <w:vAlign w:val="bottom"/>
                <w:hideMark/>
              </w:tcPr>
              <w:p w:rsidR="0089684C" w:rsidRPr="00A3401A" w:rsidRDefault="0089684C" w:rsidP="00A03AD0">
                <w:pPr>
                  <w:spacing w:before="60"/>
                  <w:jc w:val="center"/>
                  <w:rPr>
                    <w:rFonts w:cstheme="minorHAnsi"/>
                    <w:b/>
                    <w:bCs/>
                    <w:sz w:val="16"/>
                    <w:szCs w:val="16"/>
                  </w:rPr>
                </w:pPr>
                <w:r>
                  <w:rPr>
                    <w:b/>
                    <w:bCs/>
                    <w:sz w:val="16"/>
                    <w:szCs w:val="16"/>
                  </w:rPr>
                  <w:t>95 423</w:t>
                </w:r>
              </w:p>
            </w:tc>
            <w:tc>
              <w:tcPr>
                <w:tcW w:w="416" w:type="pct"/>
                <w:tcBorders>
                  <w:top w:val="single" w:sz="4" w:space="0" w:color="auto"/>
                  <w:left w:val="nil"/>
                  <w:bottom w:val="single" w:sz="4" w:space="0" w:color="auto"/>
                  <w:right w:val="nil"/>
                </w:tcBorders>
              </w:tcPr>
              <w:p w:rsidR="0089684C" w:rsidRPr="00A3401A" w:rsidRDefault="0089684C" w:rsidP="00A03AD0">
                <w:pPr>
                  <w:spacing w:before="120"/>
                  <w:jc w:val="center"/>
                  <w:rPr>
                    <w:rFonts w:cstheme="minorHAnsi"/>
                    <w:b/>
                    <w:bCs/>
                    <w:sz w:val="16"/>
                    <w:szCs w:val="16"/>
                  </w:rPr>
                </w:pPr>
                <w:r>
                  <w:rPr>
                    <w:b/>
                    <w:bCs/>
                    <w:sz w:val="16"/>
                    <w:szCs w:val="16"/>
                  </w:rPr>
                  <w:t>93 413</w:t>
                </w:r>
              </w:p>
            </w:tc>
          </w:tr>
          <w:tr w:rsidR="0089684C" w:rsidRPr="00A3401A" w:rsidTr="00F959A4">
            <w:trPr>
              <w:trHeight w:val="315"/>
            </w:trPr>
            <w:tc>
              <w:tcPr>
                <w:tcW w:w="1015" w:type="pct"/>
                <w:gridSpan w:val="2"/>
                <w:tcBorders>
                  <w:top w:val="single" w:sz="4" w:space="0" w:color="auto"/>
                  <w:left w:val="nil"/>
                  <w:bottom w:val="single" w:sz="4" w:space="0" w:color="auto"/>
                  <w:right w:val="nil"/>
                </w:tcBorders>
                <w:shd w:val="clear" w:color="auto" w:fill="auto"/>
                <w:noWrap/>
                <w:vAlign w:val="bottom"/>
                <w:hideMark/>
              </w:tcPr>
              <w:p w:rsidR="0089684C" w:rsidRPr="00A3401A" w:rsidRDefault="0089684C" w:rsidP="00A03AD0">
                <w:pPr>
                  <w:spacing w:before="60"/>
                  <w:rPr>
                    <w:rFonts w:cstheme="minorHAnsi"/>
                    <w:b/>
                    <w:bCs/>
                    <w:sz w:val="16"/>
                    <w:szCs w:val="16"/>
                  </w:rPr>
                </w:pPr>
                <w:r>
                  <w:rPr>
                    <w:b/>
                    <w:bCs/>
                    <w:sz w:val="16"/>
                    <w:szCs w:val="16"/>
                  </w:rPr>
                  <w:t>Intäkter, 1 000 euro</w:t>
                </w:r>
              </w:p>
            </w:tc>
            <w:tc>
              <w:tcPr>
                <w:tcW w:w="364" w:type="pct"/>
                <w:gridSpan w:val="3"/>
                <w:tcBorders>
                  <w:top w:val="single" w:sz="4" w:space="0" w:color="auto"/>
                  <w:left w:val="nil"/>
                  <w:bottom w:val="single" w:sz="4" w:space="0" w:color="auto"/>
                  <w:right w:val="nil"/>
                </w:tcBorders>
                <w:shd w:val="clear" w:color="auto" w:fill="auto"/>
                <w:noWrap/>
                <w:vAlign w:val="bottom"/>
                <w:hideMark/>
              </w:tcPr>
              <w:p w:rsidR="0089684C" w:rsidRPr="00A3401A" w:rsidRDefault="0089684C" w:rsidP="00A03AD0">
                <w:pPr>
                  <w:spacing w:before="60"/>
                  <w:jc w:val="center"/>
                  <w:rPr>
                    <w:rFonts w:cstheme="minorHAnsi"/>
                    <w:b/>
                    <w:bCs/>
                    <w:sz w:val="16"/>
                    <w:szCs w:val="16"/>
                  </w:rPr>
                </w:pPr>
              </w:p>
            </w:tc>
            <w:tc>
              <w:tcPr>
                <w:tcW w:w="364" w:type="pct"/>
                <w:tcBorders>
                  <w:top w:val="single" w:sz="4" w:space="0" w:color="auto"/>
                  <w:left w:val="nil"/>
                  <w:bottom w:val="single" w:sz="4" w:space="0" w:color="auto"/>
                  <w:right w:val="nil"/>
                </w:tcBorders>
                <w:shd w:val="clear" w:color="auto" w:fill="auto"/>
                <w:noWrap/>
                <w:vAlign w:val="bottom"/>
                <w:hideMark/>
              </w:tcPr>
              <w:p w:rsidR="0089684C" w:rsidRPr="00A3401A" w:rsidRDefault="0089684C" w:rsidP="00A03AD0">
                <w:pPr>
                  <w:spacing w:before="60"/>
                  <w:jc w:val="center"/>
                  <w:rPr>
                    <w:rFonts w:cstheme="minorHAnsi"/>
                    <w:sz w:val="16"/>
                    <w:szCs w:val="16"/>
                  </w:rPr>
                </w:pPr>
              </w:p>
            </w:tc>
            <w:tc>
              <w:tcPr>
                <w:tcW w:w="350" w:type="pct"/>
                <w:tcBorders>
                  <w:top w:val="single" w:sz="4" w:space="0" w:color="auto"/>
                  <w:left w:val="nil"/>
                  <w:bottom w:val="single" w:sz="4" w:space="0" w:color="auto"/>
                  <w:right w:val="nil"/>
                </w:tcBorders>
                <w:shd w:val="clear" w:color="auto" w:fill="auto"/>
                <w:noWrap/>
                <w:vAlign w:val="bottom"/>
                <w:hideMark/>
              </w:tcPr>
              <w:p w:rsidR="0089684C" w:rsidRPr="00A3401A" w:rsidRDefault="0089684C" w:rsidP="00A03AD0">
                <w:pPr>
                  <w:spacing w:before="60"/>
                  <w:jc w:val="center"/>
                  <w:rPr>
                    <w:rFonts w:cstheme="minorHAnsi"/>
                    <w:sz w:val="16"/>
                    <w:szCs w:val="16"/>
                  </w:rPr>
                </w:pPr>
              </w:p>
            </w:tc>
            <w:tc>
              <w:tcPr>
                <w:tcW w:w="415" w:type="pct"/>
                <w:tcBorders>
                  <w:top w:val="single" w:sz="4" w:space="0" w:color="auto"/>
                  <w:left w:val="nil"/>
                  <w:bottom w:val="single" w:sz="4" w:space="0" w:color="auto"/>
                  <w:right w:val="nil"/>
                </w:tcBorders>
                <w:shd w:val="clear" w:color="auto" w:fill="auto"/>
                <w:noWrap/>
                <w:vAlign w:val="bottom"/>
                <w:hideMark/>
              </w:tcPr>
              <w:p w:rsidR="0089684C" w:rsidRPr="00A3401A" w:rsidRDefault="0089684C" w:rsidP="00A03AD0">
                <w:pPr>
                  <w:spacing w:before="60"/>
                  <w:jc w:val="center"/>
                  <w:rPr>
                    <w:rFonts w:cstheme="minorHAnsi"/>
                    <w:sz w:val="16"/>
                    <w:szCs w:val="16"/>
                  </w:rPr>
                </w:pPr>
              </w:p>
            </w:tc>
            <w:tc>
              <w:tcPr>
                <w:tcW w:w="415" w:type="pct"/>
                <w:tcBorders>
                  <w:top w:val="single" w:sz="4" w:space="0" w:color="auto"/>
                  <w:left w:val="nil"/>
                  <w:bottom w:val="single" w:sz="4" w:space="0" w:color="auto"/>
                  <w:right w:val="nil"/>
                </w:tcBorders>
                <w:shd w:val="clear" w:color="auto" w:fill="auto"/>
                <w:noWrap/>
                <w:vAlign w:val="bottom"/>
                <w:hideMark/>
              </w:tcPr>
              <w:p w:rsidR="0089684C" w:rsidRPr="00A3401A" w:rsidRDefault="0089684C" w:rsidP="00A03AD0">
                <w:pPr>
                  <w:spacing w:before="60"/>
                  <w:jc w:val="center"/>
                  <w:rPr>
                    <w:rFonts w:cstheme="minorHAnsi"/>
                    <w:sz w:val="16"/>
                    <w:szCs w:val="16"/>
                  </w:rPr>
                </w:pPr>
              </w:p>
            </w:tc>
            <w:tc>
              <w:tcPr>
                <w:tcW w:w="415" w:type="pct"/>
                <w:tcBorders>
                  <w:top w:val="single" w:sz="4" w:space="0" w:color="auto"/>
                  <w:left w:val="nil"/>
                  <w:bottom w:val="single" w:sz="4" w:space="0" w:color="auto"/>
                  <w:right w:val="nil"/>
                </w:tcBorders>
                <w:shd w:val="clear" w:color="auto" w:fill="auto"/>
                <w:noWrap/>
                <w:vAlign w:val="bottom"/>
                <w:hideMark/>
              </w:tcPr>
              <w:p w:rsidR="0089684C" w:rsidRPr="00A3401A" w:rsidRDefault="0089684C" w:rsidP="00A03AD0">
                <w:pPr>
                  <w:spacing w:before="60"/>
                  <w:jc w:val="center"/>
                  <w:rPr>
                    <w:rFonts w:cstheme="minorHAnsi"/>
                    <w:sz w:val="16"/>
                    <w:szCs w:val="16"/>
                  </w:rPr>
                </w:pPr>
              </w:p>
            </w:tc>
            <w:tc>
              <w:tcPr>
                <w:tcW w:w="415" w:type="pct"/>
                <w:tcBorders>
                  <w:top w:val="single" w:sz="4" w:space="0" w:color="auto"/>
                  <w:left w:val="nil"/>
                  <w:bottom w:val="single" w:sz="4" w:space="0" w:color="auto"/>
                  <w:right w:val="nil"/>
                </w:tcBorders>
                <w:shd w:val="clear" w:color="auto" w:fill="auto"/>
                <w:noWrap/>
                <w:vAlign w:val="bottom"/>
                <w:hideMark/>
              </w:tcPr>
              <w:p w:rsidR="0089684C" w:rsidRPr="00A3401A" w:rsidRDefault="0089684C" w:rsidP="00A03AD0">
                <w:pPr>
                  <w:spacing w:before="60"/>
                  <w:jc w:val="center"/>
                  <w:rPr>
                    <w:rFonts w:cstheme="minorHAnsi"/>
                    <w:sz w:val="16"/>
                    <w:szCs w:val="16"/>
                  </w:rPr>
                </w:pPr>
              </w:p>
            </w:tc>
            <w:tc>
              <w:tcPr>
                <w:tcW w:w="415" w:type="pct"/>
                <w:tcBorders>
                  <w:top w:val="single" w:sz="4" w:space="0" w:color="auto"/>
                  <w:left w:val="nil"/>
                  <w:bottom w:val="single" w:sz="4" w:space="0" w:color="auto"/>
                  <w:right w:val="nil"/>
                </w:tcBorders>
                <w:shd w:val="clear" w:color="auto" w:fill="auto"/>
                <w:noWrap/>
                <w:vAlign w:val="bottom"/>
                <w:hideMark/>
              </w:tcPr>
              <w:p w:rsidR="0089684C" w:rsidRPr="00A3401A" w:rsidRDefault="0089684C" w:rsidP="00A03AD0">
                <w:pPr>
                  <w:spacing w:before="60"/>
                  <w:jc w:val="center"/>
                  <w:rPr>
                    <w:rFonts w:cstheme="minorHAnsi"/>
                    <w:sz w:val="16"/>
                    <w:szCs w:val="16"/>
                  </w:rPr>
                </w:pPr>
              </w:p>
            </w:tc>
            <w:tc>
              <w:tcPr>
                <w:tcW w:w="415" w:type="pct"/>
                <w:tcBorders>
                  <w:top w:val="single" w:sz="4" w:space="0" w:color="auto"/>
                  <w:left w:val="nil"/>
                  <w:bottom w:val="single" w:sz="4" w:space="0" w:color="auto"/>
                  <w:right w:val="nil"/>
                </w:tcBorders>
                <w:shd w:val="clear" w:color="auto" w:fill="auto"/>
                <w:noWrap/>
                <w:vAlign w:val="bottom"/>
                <w:hideMark/>
              </w:tcPr>
              <w:p w:rsidR="0089684C" w:rsidRPr="00A3401A" w:rsidRDefault="0089684C" w:rsidP="00A03AD0">
                <w:pPr>
                  <w:spacing w:before="60"/>
                  <w:jc w:val="center"/>
                  <w:rPr>
                    <w:rFonts w:cstheme="minorHAnsi"/>
                    <w:sz w:val="16"/>
                    <w:szCs w:val="16"/>
                  </w:rPr>
                </w:pPr>
              </w:p>
            </w:tc>
            <w:tc>
              <w:tcPr>
                <w:tcW w:w="416" w:type="pct"/>
                <w:tcBorders>
                  <w:top w:val="single" w:sz="4" w:space="0" w:color="auto"/>
                  <w:left w:val="nil"/>
                  <w:bottom w:val="single" w:sz="4" w:space="0" w:color="auto"/>
                  <w:right w:val="nil"/>
                </w:tcBorders>
              </w:tcPr>
              <w:p w:rsidR="0089684C" w:rsidRPr="00A3401A" w:rsidRDefault="0089684C" w:rsidP="00A03AD0">
                <w:pPr>
                  <w:spacing w:before="120"/>
                  <w:jc w:val="center"/>
                  <w:rPr>
                    <w:rFonts w:cstheme="minorHAnsi"/>
                    <w:sz w:val="16"/>
                    <w:szCs w:val="16"/>
                  </w:rPr>
                </w:pPr>
              </w:p>
            </w:tc>
          </w:tr>
          <w:tr w:rsidR="0089684C" w:rsidRPr="00A3401A" w:rsidTr="00F959A4">
            <w:trPr>
              <w:trHeight w:val="300"/>
            </w:trPr>
            <w:tc>
              <w:tcPr>
                <w:tcW w:w="1015" w:type="pct"/>
                <w:gridSpan w:val="2"/>
                <w:tcBorders>
                  <w:top w:val="single" w:sz="4" w:space="0" w:color="auto"/>
                  <w:left w:val="nil"/>
                  <w:bottom w:val="nil"/>
                  <w:right w:val="nil"/>
                </w:tcBorders>
                <w:shd w:val="clear" w:color="auto" w:fill="auto"/>
                <w:noWrap/>
                <w:vAlign w:val="bottom"/>
                <w:hideMark/>
              </w:tcPr>
              <w:p w:rsidR="0089684C" w:rsidRPr="00A3401A" w:rsidRDefault="0089684C" w:rsidP="00A03AD0">
                <w:pPr>
                  <w:spacing w:before="60"/>
                  <w:rPr>
                    <w:rFonts w:cstheme="minorHAnsi"/>
                    <w:sz w:val="16"/>
                    <w:szCs w:val="16"/>
                  </w:rPr>
                </w:pPr>
                <w:r>
                  <w:rPr>
                    <w:sz w:val="16"/>
                    <w:szCs w:val="16"/>
                  </w:rPr>
                  <w:lastRenderedPageBreak/>
                  <w:t>Farledsavgift</w:t>
                </w:r>
              </w:p>
            </w:tc>
            <w:tc>
              <w:tcPr>
                <w:tcW w:w="364" w:type="pct"/>
                <w:gridSpan w:val="3"/>
                <w:tcBorders>
                  <w:top w:val="single" w:sz="4" w:space="0" w:color="auto"/>
                  <w:left w:val="nil"/>
                  <w:bottom w:val="nil"/>
                  <w:right w:val="nil"/>
                </w:tcBorders>
                <w:shd w:val="clear" w:color="auto" w:fill="auto"/>
                <w:noWrap/>
                <w:vAlign w:val="bottom"/>
                <w:hideMark/>
              </w:tcPr>
              <w:p w:rsidR="0089684C" w:rsidRPr="00A3401A" w:rsidRDefault="0089684C" w:rsidP="00A03AD0">
                <w:pPr>
                  <w:spacing w:before="60"/>
                  <w:jc w:val="center"/>
                  <w:rPr>
                    <w:rFonts w:cstheme="minorHAnsi"/>
                    <w:sz w:val="16"/>
                    <w:szCs w:val="16"/>
                  </w:rPr>
                </w:pPr>
                <w:r>
                  <w:rPr>
                    <w:sz w:val="16"/>
                    <w:szCs w:val="16"/>
                  </w:rPr>
                  <w:t>69 017</w:t>
                </w:r>
              </w:p>
            </w:tc>
            <w:tc>
              <w:tcPr>
                <w:tcW w:w="364" w:type="pct"/>
                <w:tcBorders>
                  <w:top w:val="single" w:sz="4" w:space="0" w:color="auto"/>
                  <w:left w:val="nil"/>
                  <w:bottom w:val="nil"/>
                  <w:right w:val="nil"/>
                </w:tcBorders>
                <w:shd w:val="clear" w:color="auto" w:fill="auto"/>
                <w:noWrap/>
                <w:vAlign w:val="bottom"/>
                <w:hideMark/>
              </w:tcPr>
              <w:p w:rsidR="0089684C" w:rsidRPr="00A3401A" w:rsidRDefault="0089684C" w:rsidP="00A03AD0">
                <w:pPr>
                  <w:spacing w:before="60"/>
                  <w:jc w:val="center"/>
                  <w:rPr>
                    <w:rFonts w:cstheme="minorHAnsi"/>
                    <w:sz w:val="16"/>
                    <w:szCs w:val="16"/>
                  </w:rPr>
                </w:pPr>
                <w:r>
                  <w:rPr>
                    <w:sz w:val="16"/>
                    <w:szCs w:val="16"/>
                  </w:rPr>
                  <w:t>75 740</w:t>
                </w:r>
              </w:p>
            </w:tc>
            <w:tc>
              <w:tcPr>
                <w:tcW w:w="350" w:type="pct"/>
                <w:tcBorders>
                  <w:top w:val="single" w:sz="4" w:space="0" w:color="auto"/>
                  <w:left w:val="nil"/>
                  <w:bottom w:val="nil"/>
                  <w:right w:val="nil"/>
                </w:tcBorders>
                <w:shd w:val="clear" w:color="auto" w:fill="auto"/>
                <w:noWrap/>
                <w:vAlign w:val="bottom"/>
                <w:hideMark/>
              </w:tcPr>
              <w:p w:rsidR="0089684C" w:rsidRPr="00A3401A" w:rsidRDefault="0089684C" w:rsidP="00A03AD0">
                <w:pPr>
                  <w:spacing w:before="60"/>
                  <w:jc w:val="center"/>
                  <w:rPr>
                    <w:rFonts w:cstheme="minorHAnsi"/>
                    <w:sz w:val="16"/>
                    <w:szCs w:val="16"/>
                  </w:rPr>
                </w:pPr>
                <w:r>
                  <w:rPr>
                    <w:sz w:val="16"/>
                    <w:szCs w:val="16"/>
                  </w:rPr>
                  <w:t>81 374</w:t>
                </w:r>
              </w:p>
            </w:tc>
            <w:tc>
              <w:tcPr>
                <w:tcW w:w="415" w:type="pct"/>
                <w:tcBorders>
                  <w:top w:val="single" w:sz="4" w:space="0" w:color="auto"/>
                  <w:left w:val="nil"/>
                  <w:bottom w:val="nil"/>
                  <w:right w:val="nil"/>
                </w:tcBorders>
                <w:shd w:val="clear" w:color="auto" w:fill="auto"/>
                <w:noWrap/>
                <w:vAlign w:val="bottom"/>
                <w:hideMark/>
              </w:tcPr>
              <w:p w:rsidR="0089684C" w:rsidRPr="00A3401A" w:rsidRDefault="0089684C" w:rsidP="00A03AD0">
                <w:pPr>
                  <w:spacing w:before="60"/>
                  <w:jc w:val="center"/>
                  <w:rPr>
                    <w:rFonts w:cstheme="minorHAnsi"/>
                    <w:sz w:val="16"/>
                    <w:szCs w:val="16"/>
                  </w:rPr>
                </w:pPr>
                <w:r>
                  <w:rPr>
                    <w:sz w:val="16"/>
                    <w:szCs w:val="16"/>
                  </w:rPr>
                  <w:t>81 926</w:t>
                </w:r>
              </w:p>
            </w:tc>
            <w:tc>
              <w:tcPr>
                <w:tcW w:w="415" w:type="pct"/>
                <w:tcBorders>
                  <w:top w:val="single" w:sz="4" w:space="0" w:color="auto"/>
                  <w:left w:val="nil"/>
                  <w:bottom w:val="nil"/>
                  <w:right w:val="nil"/>
                </w:tcBorders>
                <w:shd w:val="clear" w:color="auto" w:fill="auto"/>
                <w:noWrap/>
                <w:vAlign w:val="bottom"/>
                <w:hideMark/>
              </w:tcPr>
              <w:p w:rsidR="0089684C" w:rsidRPr="00A3401A" w:rsidRDefault="0089684C" w:rsidP="00A03AD0">
                <w:pPr>
                  <w:spacing w:before="60"/>
                  <w:jc w:val="center"/>
                  <w:rPr>
                    <w:rFonts w:cstheme="minorHAnsi"/>
                    <w:sz w:val="16"/>
                    <w:szCs w:val="16"/>
                  </w:rPr>
                </w:pPr>
                <w:r>
                  <w:rPr>
                    <w:sz w:val="16"/>
                    <w:szCs w:val="16"/>
                  </w:rPr>
                  <w:t>87 587</w:t>
                </w:r>
              </w:p>
            </w:tc>
            <w:tc>
              <w:tcPr>
                <w:tcW w:w="415" w:type="pct"/>
                <w:tcBorders>
                  <w:top w:val="single" w:sz="4" w:space="0" w:color="auto"/>
                  <w:left w:val="nil"/>
                  <w:bottom w:val="nil"/>
                  <w:right w:val="nil"/>
                </w:tcBorders>
                <w:shd w:val="clear" w:color="auto" w:fill="auto"/>
                <w:noWrap/>
                <w:vAlign w:val="bottom"/>
                <w:hideMark/>
              </w:tcPr>
              <w:p w:rsidR="0089684C" w:rsidRPr="00A3401A" w:rsidRDefault="0089684C" w:rsidP="00A03AD0">
                <w:pPr>
                  <w:spacing w:before="60"/>
                  <w:jc w:val="center"/>
                  <w:rPr>
                    <w:rFonts w:cstheme="minorHAnsi"/>
                    <w:sz w:val="16"/>
                    <w:szCs w:val="16"/>
                  </w:rPr>
                </w:pPr>
                <w:r>
                  <w:rPr>
                    <w:sz w:val="16"/>
                    <w:szCs w:val="16"/>
                  </w:rPr>
                  <w:t>45 338</w:t>
                </w:r>
              </w:p>
            </w:tc>
            <w:tc>
              <w:tcPr>
                <w:tcW w:w="415" w:type="pct"/>
                <w:tcBorders>
                  <w:top w:val="single" w:sz="4" w:space="0" w:color="auto"/>
                  <w:left w:val="nil"/>
                  <w:bottom w:val="nil"/>
                  <w:right w:val="nil"/>
                </w:tcBorders>
                <w:shd w:val="clear" w:color="auto" w:fill="auto"/>
                <w:noWrap/>
                <w:vAlign w:val="bottom"/>
                <w:hideMark/>
              </w:tcPr>
              <w:p w:rsidR="0089684C" w:rsidRPr="00A3401A" w:rsidRDefault="0089684C" w:rsidP="00A03AD0">
                <w:pPr>
                  <w:spacing w:before="60"/>
                  <w:jc w:val="center"/>
                  <w:rPr>
                    <w:rFonts w:cstheme="minorHAnsi"/>
                    <w:sz w:val="16"/>
                    <w:szCs w:val="16"/>
                  </w:rPr>
                </w:pPr>
                <w:r>
                  <w:rPr>
                    <w:sz w:val="16"/>
                    <w:szCs w:val="16"/>
                  </w:rPr>
                  <w:t>46 335</w:t>
                </w:r>
              </w:p>
            </w:tc>
            <w:tc>
              <w:tcPr>
                <w:tcW w:w="415" w:type="pct"/>
                <w:tcBorders>
                  <w:top w:val="single" w:sz="4" w:space="0" w:color="auto"/>
                  <w:left w:val="nil"/>
                  <w:bottom w:val="nil"/>
                  <w:right w:val="nil"/>
                </w:tcBorders>
                <w:shd w:val="clear" w:color="auto" w:fill="auto"/>
                <w:noWrap/>
                <w:vAlign w:val="bottom"/>
                <w:hideMark/>
              </w:tcPr>
              <w:p w:rsidR="0089684C" w:rsidRPr="00A3401A" w:rsidRDefault="0089684C" w:rsidP="00A03AD0">
                <w:pPr>
                  <w:spacing w:before="60"/>
                  <w:jc w:val="center"/>
                  <w:rPr>
                    <w:rFonts w:cstheme="minorHAnsi"/>
                    <w:sz w:val="16"/>
                    <w:szCs w:val="16"/>
                  </w:rPr>
                </w:pPr>
                <w:r>
                  <w:rPr>
                    <w:sz w:val="16"/>
                    <w:szCs w:val="16"/>
                  </w:rPr>
                  <w:t>47 366</w:t>
                </w:r>
              </w:p>
            </w:tc>
            <w:tc>
              <w:tcPr>
                <w:tcW w:w="415" w:type="pct"/>
                <w:tcBorders>
                  <w:top w:val="single" w:sz="4" w:space="0" w:color="auto"/>
                  <w:left w:val="nil"/>
                  <w:bottom w:val="nil"/>
                  <w:right w:val="nil"/>
                </w:tcBorders>
                <w:shd w:val="clear" w:color="auto" w:fill="auto"/>
                <w:noWrap/>
                <w:vAlign w:val="bottom"/>
                <w:hideMark/>
              </w:tcPr>
              <w:p w:rsidR="0089684C" w:rsidRPr="00A3401A" w:rsidRDefault="0089684C" w:rsidP="00A03AD0">
                <w:pPr>
                  <w:spacing w:before="60"/>
                  <w:jc w:val="center"/>
                  <w:rPr>
                    <w:rFonts w:cstheme="minorHAnsi"/>
                    <w:sz w:val="16"/>
                    <w:szCs w:val="16"/>
                  </w:rPr>
                </w:pPr>
                <w:r>
                  <w:rPr>
                    <w:sz w:val="16"/>
                    <w:szCs w:val="16"/>
                  </w:rPr>
                  <w:t>49 078</w:t>
                </w:r>
              </w:p>
            </w:tc>
            <w:tc>
              <w:tcPr>
                <w:tcW w:w="416" w:type="pct"/>
                <w:tcBorders>
                  <w:top w:val="single" w:sz="4" w:space="0" w:color="auto"/>
                  <w:left w:val="nil"/>
                  <w:bottom w:val="nil"/>
                  <w:right w:val="nil"/>
                </w:tcBorders>
              </w:tcPr>
              <w:p w:rsidR="0089684C" w:rsidRPr="00A3401A" w:rsidRDefault="0089684C" w:rsidP="00A03AD0">
                <w:pPr>
                  <w:spacing w:before="120"/>
                  <w:jc w:val="center"/>
                  <w:rPr>
                    <w:rFonts w:cstheme="minorHAnsi"/>
                    <w:sz w:val="16"/>
                    <w:szCs w:val="16"/>
                  </w:rPr>
                </w:pPr>
                <w:r>
                  <w:rPr>
                    <w:sz w:val="16"/>
                    <w:szCs w:val="16"/>
                  </w:rPr>
                  <w:t>52 166</w:t>
                </w:r>
              </w:p>
            </w:tc>
          </w:tr>
          <w:tr w:rsidR="0089684C" w:rsidRPr="00A3401A" w:rsidTr="00F959A4">
            <w:trPr>
              <w:trHeight w:val="300"/>
            </w:trPr>
            <w:tc>
              <w:tcPr>
                <w:tcW w:w="1015" w:type="pct"/>
                <w:gridSpan w:val="2"/>
                <w:tcBorders>
                  <w:top w:val="nil"/>
                  <w:left w:val="nil"/>
                  <w:bottom w:val="single" w:sz="4" w:space="0" w:color="auto"/>
                  <w:right w:val="nil"/>
                </w:tcBorders>
                <w:shd w:val="clear" w:color="auto" w:fill="auto"/>
                <w:noWrap/>
                <w:vAlign w:val="bottom"/>
                <w:hideMark/>
              </w:tcPr>
              <w:p w:rsidR="0089684C" w:rsidRPr="00A3401A" w:rsidRDefault="0089684C" w:rsidP="00A03AD0">
                <w:pPr>
                  <w:spacing w:before="60"/>
                  <w:rPr>
                    <w:rFonts w:cstheme="minorHAnsi"/>
                    <w:sz w:val="16"/>
                    <w:szCs w:val="16"/>
                  </w:rPr>
                </w:pPr>
                <w:r>
                  <w:rPr>
                    <w:sz w:val="16"/>
                    <w:szCs w:val="16"/>
                  </w:rPr>
                  <w:t>Övriga inkomster</w:t>
                </w:r>
              </w:p>
            </w:tc>
            <w:tc>
              <w:tcPr>
                <w:tcW w:w="364" w:type="pct"/>
                <w:gridSpan w:val="3"/>
                <w:tcBorders>
                  <w:top w:val="nil"/>
                  <w:left w:val="nil"/>
                  <w:bottom w:val="single" w:sz="4" w:space="0" w:color="auto"/>
                  <w:right w:val="nil"/>
                </w:tcBorders>
                <w:shd w:val="clear" w:color="auto" w:fill="auto"/>
                <w:noWrap/>
                <w:vAlign w:val="bottom"/>
                <w:hideMark/>
              </w:tcPr>
              <w:p w:rsidR="0089684C" w:rsidRPr="00A3401A" w:rsidRDefault="0089684C" w:rsidP="00A03AD0">
                <w:pPr>
                  <w:spacing w:before="60"/>
                  <w:jc w:val="center"/>
                  <w:rPr>
                    <w:rFonts w:cstheme="minorHAnsi"/>
                    <w:sz w:val="16"/>
                    <w:szCs w:val="16"/>
                  </w:rPr>
                </w:pPr>
                <w:r>
                  <w:rPr>
                    <w:sz w:val="16"/>
                    <w:szCs w:val="16"/>
                  </w:rPr>
                  <w:t>1 328</w:t>
                </w:r>
              </w:p>
            </w:tc>
            <w:tc>
              <w:tcPr>
                <w:tcW w:w="364" w:type="pct"/>
                <w:tcBorders>
                  <w:top w:val="nil"/>
                  <w:left w:val="nil"/>
                  <w:bottom w:val="single" w:sz="4" w:space="0" w:color="auto"/>
                  <w:right w:val="nil"/>
                </w:tcBorders>
                <w:shd w:val="clear" w:color="auto" w:fill="auto"/>
                <w:noWrap/>
                <w:vAlign w:val="bottom"/>
                <w:hideMark/>
              </w:tcPr>
              <w:p w:rsidR="0089684C" w:rsidRPr="00A3401A" w:rsidRDefault="0089684C" w:rsidP="00A03AD0">
                <w:pPr>
                  <w:spacing w:before="60"/>
                  <w:jc w:val="center"/>
                  <w:rPr>
                    <w:rFonts w:cstheme="minorHAnsi"/>
                    <w:sz w:val="16"/>
                    <w:szCs w:val="16"/>
                  </w:rPr>
                </w:pPr>
                <w:r>
                  <w:rPr>
                    <w:sz w:val="16"/>
                    <w:szCs w:val="16"/>
                  </w:rPr>
                  <w:t>1 516</w:t>
                </w:r>
              </w:p>
            </w:tc>
            <w:tc>
              <w:tcPr>
                <w:tcW w:w="350" w:type="pct"/>
                <w:tcBorders>
                  <w:top w:val="nil"/>
                  <w:left w:val="nil"/>
                  <w:bottom w:val="single" w:sz="4" w:space="0" w:color="auto"/>
                  <w:right w:val="nil"/>
                </w:tcBorders>
                <w:shd w:val="clear" w:color="auto" w:fill="auto"/>
                <w:noWrap/>
                <w:vAlign w:val="bottom"/>
                <w:hideMark/>
              </w:tcPr>
              <w:p w:rsidR="0089684C" w:rsidRPr="00A3401A" w:rsidRDefault="0089684C" w:rsidP="00A03AD0">
                <w:pPr>
                  <w:spacing w:before="60"/>
                  <w:jc w:val="center"/>
                  <w:rPr>
                    <w:rFonts w:cstheme="minorHAnsi"/>
                    <w:sz w:val="16"/>
                    <w:szCs w:val="16"/>
                  </w:rPr>
                </w:pPr>
                <w:r>
                  <w:rPr>
                    <w:sz w:val="16"/>
                    <w:szCs w:val="16"/>
                  </w:rPr>
                  <w:t>508</w:t>
                </w:r>
              </w:p>
            </w:tc>
            <w:tc>
              <w:tcPr>
                <w:tcW w:w="415" w:type="pct"/>
                <w:tcBorders>
                  <w:top w:val="nil"/>
                  <w:left w:val="nil"/>
                  <w:bottom w:val="single" w:sz="4" w:space="0" w:color="auto"/>
                  <w:right w:val="nil"/>
                </w:tcBorders>
                <w:shd w:val="clear" w:color="auto" w:fill="auto"/>
                <w:noWrap/>
                <w:vAlign w:val="bottom"/>
                <w:hideMark/>
              </w:tcPr>
              <w:p w:rsidR="0089684C" w:rsidRPr="00A3401A" w:rsidRDefault="0089684C" w:rsidP="00A03AD0">
                <w:pPr>
                  <w:spacing w:before="60"/>
                  <w:jc w:val="center"/>
                  <w:rPr>
                    <w:rFonts w:cstheme="minorHAnsi"/>
                    <w:sz w:val="16"/>
                    <w:szCs w:val="16"/>
                  </w:rPr>
                </w:pPr>
                <w:r>
                  <w:rPr>
                    <w:sz w:val="16"/>
                    <w:szCs w:val="16"/>
                  </w:rPr>
                  <w:t>1 578</w:t>
                </w:r>
              </w:p>
            </w:tc>
            <w:tc>
              <w:tcPr>
                <w:tcW w:w="415" w:type="pct"/>
                <w:tcBorders>
                  <w:top w:val="nil"/>
                  <w:left w:val="nil"/>
                  <w:bottom w:val="single" w:sz="4" w:space="0" w:color="auto"/>
                  <w:right w:val="nil"/>
                </w:tcBorders>
                <w:shd w:val="clear" w:color="auto" w:fill="auto"/>
                <w:noWrap/>
                <w:vAlign w:val="bottom"/>
                <w:hideMark/>
              </w:tcPr>
              <w:p w:rsidR="0089684C" w:rsidRPr="00A3401A" w:rsidRDefault="0089684C" w:rsidP="00A03AD0">
                <w:pPr>
                  <w:spacing w:before="60"/>
                  <w:jc w:val="center"/>
                  <w:rPr>
                    <w:rFonts w:cstheme="minorHAnsi"/>
                    <w:sz w:val="16"/>
                    <w:szCs w:val="16"/>
                  </w:rPr>
                </w:pPr>
                <w:r>
                  <w:rPr>
                    <w:sz w:val="16"/>
                    <w:szCs w:val="16"/>
                  </w:rPr>
                  <w:t>132</w:t>
                </w:r>
              </w:p>
            </w:tc>
            <w:tc>
              <w:tcPr>
                <w:tcW w:w="415" w:type="pct"/>
                <w:tcBorders>
                  <w:top w:val="nil"/>
                  <w:left w:val="nil"/>
                  <w:bottom w:val="single" w:sz="4" w:space="0" w:color="auto"/>
                  <w:right w:val="nil"/>
                </w:tcBorders>
                <w:shd w:val="clear" w:color="auto" w:fill="auto"/>
                <w:noWrap/>
                <w:vAlign w:val="bottom"/>
                <w:hideMark/>
              </w:tcPr>
              <w:p w:rsidR="0089684C" w:rsidRPr="00A3401A" w:rsidRDefault="0089684C" w:rsidP="00A03AD0">
                <w:pPr>
                  <w:spacing w:before="60"/>
                  <w:jc w:val="center"/>
                  <w:rPr>
                    <w:rFonts w:cstheme="minorHAnsi"/>
                    <w:sz w:val="16"/>
                    <w:szCs w:val="16"/>
                  </w:rPr>
                </w:pPr>
                <w:r>
                  <w:rPr>
                    <w:sz w:val="16"/>
                    <w:szCs w:val="16"/>
                  </w:rPr>
                  <w:t>1 291</w:t>
                </w:r>
              </w:p>
            </w:tc>
            <w:tc>
              <w:tcPr>
                <w:tcW w:w="415" w:type="pct"/>
                <w:tcBorders>
                  <w:top w:val="nil"/>
                  <w:left w:val="nil"/>
                  <w:bottom w:val="single" w:sz="4" w:space="0" w:color="auto"/>
                  <w:right w:val="nil"/>
                </w:tcBorders>
                <w:shd w:val="clear" w:color="auto" w:fill="auto"/>
                <w:noWrap/>
                <w:vAlign w:val="bottom"/>
                <w:hideMark/>
              </w:tcPr>
              <w:p w:rsidR="0089684C" w:rsidRPr="00A3401A" w:rsidRDefault="0089684C" w:rsidP="00A03AD0">
                <w:pPr>
                  <w:spacing w:before="60"/>
                  <w:jc w:val="center"/>
                  <w:rPr>
                    <w:rFonts w:cstheme="minorHAnsi"/>
                    <w:sz w:val="16"/>
                    <w:szCs w:val="16"/>
                  </w:rPr>
                </w:pPr>
                <w:r>
                  <w:rPr>
                    <w:sz w:val="16"/>
                    <w:szCs w:val="16"/>
                  </w:rPr>
                  <w:t>24</w:t>
                </w:r>
              </w:p>
            </w:tc>
            <w:tc>
              <w:tcPr>
                <w:tcW w:w="415" w:type="pct"/>
                <w:tcBorders>
                  <w:top w:val="nil"/>
                  <w:left w:val="nil"/>
                  <w:bottom w:val="single" w:sz="4" w:space="0" w:color="auto"/>
                  <w:right w:val="nil"/>
                </w:tcBorders>
                <w:shd w:val="clear" w:color="auto" w:fill="auto"/>
                <w:noWrap/>
                <w:vAlign w:val="bottom"/>
                <w:hideMark/>
              </w:tcPr>
              <w:p w:rsidR="0089684C" w:rsidRPr="00A3401A" w:rsidRDefault="0089684C" w:rsidP="00A03AD0">
                <w:pPr>
                  <w:spacing w:before="60"/>
                  <w:jc w:val="center"/>
                  <w:rPr>
                    <w:rFonts w:cstheme="minorHAnsi"/>
                    <w:sz w:val="16"/>
                    <w:szCs w:val="16"/>
                  </w:rPr>
                </w:pPr>
                <w:r>
                  <w:rPr>
                    <w:sz w:val="16"/>
                    <w:szCs w:val="16"/>
                  </w:rPr>
                  <w:t>169</w:t>
                </w:r>
              </w:p>
            </w:tc>
            <w:tc>
              <w:tcPr>
                <w:tcW w:w="415" w:type="pct"/>
                <w:tcBorders>
                  <w:top w:val="nil"/>
                  <w:left w:val="nil"/>
                  <w:bottom w:val="single" w:sz="4" w:space="0" w:color="auto"/>
                  <w:right w:val="nil"/>
                </w:tcBorders>
                <w:shd w:val="clear" w:color="auto" w:fill="auto"/>
                <w:noWrap/>
                <w:vAlign w:val="bottom"/>
                <w:hideMark/>
              </w:tcPr>
              <w:p w:rsidR="0089684C" w:rsidRPr="00A3401A" w:rsidRDefault="0089684C" w:rsidP="00A03AD0">
                <w:pPr>
                  <w:spacing w:before="60"/>
                  <w:jc w:val="center"/>
                  <w:rPr>
                    <w:rFonts w:cstheme="minorHAnsi"/>
                    <w:sz w:val="16"/>
                    <w:szCs w:val="16"/>
                  </w:rPr>
                </w:pPr>
                <w:r>
                  <w:rPr>
                    <w:sz w:val="16"/>
                    <w:szCs w:val="16"/>
                  </w:rPr>
                  <w:t>1 488</w:t>
                </w:r>
              </w:p>
            </w:tc>
            <w:tc>
              <w:tcPr>
                <w:tcW w:w="416" w:type="pct"/>
                <w:tcBorders>
                  <w:top w:val="nil"/>
                  <w:left w:val="nil"/>
                  <w:bottom w:val="single" w:sz="4" w:space="0" w:color="auto"/>
                  <w:right w:val="nil"/>
                </w:tcBorders>
              </w:tcPr>
              <w:p w:rsidR="0089684C" w:rsidRPr="00A3401A" w:rsidRDefault="0089684C" w:rsidP="00A03AD0">
                <w:pPr>
                  <w:spacing w:before="120"/>
                  <w:jc w:val="center"/>
                  <w:rPr>
                    <w:rFonts w:cstheme="minorHAnsi"/>
                    <w:sz w:val="16"/>
                    <w:szCs w:val="16"/>
                  </w:rPr>
                </w:pPr>
                <w:r>
                  <w:rPr>
                    <w:sz w:val="16"/>
                    <w:szCs w:val="16"/>
                  </w:rPr>
                  <w:t>484</w:t>
                </w:r>
              </w:p>
            </w:tc>
          </w:tr>
          <w:tr w:rsidR="0089684C" w:rsidRPr="00A3401A" w:rsidTr="00F959A4">
            <w:trPr>
              <w:trHeight w:val="315"/>
            </w:trPr>
            <w:tc>
              <w:tcPr>
                <w:tcW w:w="1015" w:type="pct"/>
                <w:gridSpan w:val="2"/>
                <w:tcBorders>
                  <w:top w:val="single" w:sz="4" w:space="0" w:color="auto"/>
                  <w:left w:val="nil"/>
                  <w:bottom w:val="single" w:sz="4" w:space="0" w:color="auto"/>
                  <w:right w:val="nil"/>
                </w:tcBorders>
                <w:shd w:val="clear" w:color="auto" w:fill="auto"/>
                <w:noWrap/>
                <w:vAlign w:val="bottom"/>
                <w:hideMark/>
              </w:tcPr>
              <w:p w:rsidR="0089684C" w:rsidRPr="00A3401A" w:rsidRDefault="0089684C" w:rsidP="00A03AD0">
                <w:pPr>
                  <w:spacing w:before="60"/>
                  <w:rPr>
                    <w:rFonts w:cstheme="minorHAnsi"/>
                    <w:b/>
                    <w:bCs/>
                    <w:sz w:val="16"/>
                    <w:szCs w:val="16"/>
                  </w:rPr>
                </w:pPr>
                <w:r>
                  <w:rPr>
                    <w:b/>
                    <w:bCs/>
                    <w:sz w:val="16"/>
                    <w:szCs w:val="16"/>
                  </w:rPr>
                  <w:t>Sammanlagt</w:t>
                </w:r>
              </w:p>
            </w:tc>
            <w:tc>
              <w:tcPr>
                <w:tcW w:w="364" w:type="pct"/>
                <w:gridSpan w:val="3"/>
                <w:tcBorders>
                  <w:top w:val="single" w:sz="4" w:space="0" w:color="auto"/>
                  <w:left w:val="nil"/>
                  <w:bottom w:val="single" w:sz="4" w:space="0" w:color="auto"/>
                  <w:right w:val="nil"/>
                </w:tcBorders>
                <w:shd w:val="clear" w:color="auto" w:fill="auto"/>
                <w:noWrap/>
                <w:vAlign w:val="bottom"/>
                <w:hideMark/>
              </w:tcPr>
              <w:p w:rsidR="0089684C" w:rsidRPr="00A3401A" w:rsidRDefault="0089684C" w:rsidP="00A03AD0">
                <w:pPr>
                  <w:spacing w:before="60"/>
                  <w:jc w:val="center"/>
                  <w:rPr>
                    <w:rFonts w:cstheme="minorHAnsi"/>
                    <w:b/>
                    <w:bCs/>
                    <w:sz w:val="16"/>
                    <w:szCs w:val="16"/>
                  </w:rPr>
                </w:pPr>
                <w:r>
                  <w:rPr>
                    <w:b/>
                    <w:bCs/>
                    <w:sz w:val="16"/>
                    <w:szCs w:val="16"/>
                  </w:rPr>
                  <w:t>70 345</w:t>
                </w:r>
              </w:p>
            </w:tc>
            <w:tc>
              <w:tcPr>
                <w:tcW w:w="364" w:type="pct"/>
                <w:tcBorders>
                  <w:top w:val="single" w:sz="4" w:space="0" w:color="auto"/>
                  <w:left w:val="nil"/>
                  <w:bottom w:val="single" w:sz="4" w:space="0" w:color="auto"/>
                  <w:right w:val="nil"/>
                </w:tcBorders>
                <w:shd w:val="clear" w:color="auto" w:fill="auto"/>
                <w:noWrap/>
                <w:vAlign w:val="bottom"/>
                <w:hideMark/>
              </w:tcPr>
              <w:p w:rsidR="0089684C" w:rsidRPr="00A3401A" w:rsidRDefault="0089684C" w:rsidP="00A03AD0">
                <w:pPr>
                  <w:spacing w:before="60"/>
                  <w:jc w:val="center"/>
                  <w:rPr>
                    <w:rFonts w:cstheme="minorHAnsi"/>
                    <w:b/>
                    <w:bCs/>
                    <w:sz w:val="16"/>
                    <w:szCs w:val="16"/>
                  </w:rPr>
                </w:pPr>
                <w:r>
                  <w:rPr>
                    <w:b/>
                    <w:bCs/>
                    <w:sz w:val="16"/>
                    <w:szCs w:val="16"/>
                  </w:rPr>
                  <w:t>77 256</w:t>
                </w:r>
              </w:p>
            </w:tc>
            <w:tc>
              <w:tcPr>
                <w:tcW w:w="350" w:type="pct"/>
                <w:tcBorders>
                  <w:top w:val="single" w:sz="4" w:space="0" w:color="auto"/>
                  <w:left w:val="nil"/>
                  <w:bottom w:val="single" w:sz="4" w:space="0" w:color="auto"/>
                  <w:right w:val="nil"/>
                </w:tcBorders>
                <w:shd w:val="clear" w:color="auto" w:fill="auto"/>
                <w:noWrap/>
                <w:vAlign w:val="bottom"/>
                <w:hideMark/>
              </w:tcPr>
              <w:p w:rsidR="0089684C" w:rsidRPr="00A3401A" w:rsidRDefault="0089684C" w:rsidP="00A03AD0">
                <w:pPr>
                  <w:spacing w:before="60"/>
                  <w:jc w:val="center"/>
                  <w:rPr>
                    <w:rFonts w:cstheme="minorHAnsi"/>
                    <w:b/>
                    <w:bCs/>
                    <w:sz w:val="16"/>
                    <w:szCs w:val="16"/>
                  </w:rPr>
                </w:pPr>
                <w:r>
                  <w:rPr>
                    <w:b/>
                    <w:bCs/>
                    <w:sz w:val="16"/>
                    <w:szCs w:val="16"/>
                  </w:rPr>
                  <w:t>81 882</w:t>
                </w:r>
              </w:p>
            </w:tc>
            <w:tc>
              <w:tcPr>
                <w:tcW w:w="415" w:type="pct"/>
                <w:tcBorders>
                  <w:top w:val="single" w:sz="4" w:space="0" w:color="auto"/>
                  <w:left w:val="nil"/>
                  <w:bottom w:val="single" w:sz="4" w:space="0" w:color="auto"/>
                  <w:right w:val="nil"/>
                </w:tcBorders>
                <w:shd w:val="clear" w:color="auto" w:fill="auto"/>
                <w:noWrap/>
                <w:vAlign w:val="bottom"/>
                <w:hideMark/>
              </w:tcPr>
              <w:p w:rsidR="0089684C" w:rsidRPr="00A3401A" w:rsidRDefault="0089684C" w:rsidP="00A03AD0">
                <w:pPr>
                  <w:spacing w:before="60"/>
                  <w:jc w:val="center"/>
                  <w:rPr>
                    <w:rFonts w:cstheme="minorHAnsi"/>
                    <w:b/>
                    <w:bCs/>
                    <w:sz w:val="16"/>
                    <w:szCs w:val="16"/>
                  </w:rPr>
                </w:pPr>
                <w:r>
                  <w:rPr>
                    <w:b/>
                    <w:bCs/>
                    <w:sz w:val="16"/>
                    <w:szCs w:val="16"/>
                  </w:rPr>
                  <w:t>83 504</w:t>
                </w:r>
              </w:p>
            </w:tc>
            <w:tc>
              <w:tcPr>
                <w:tcW w:w="415" w:type="pct"/>
                <w:tcBorders>
                  <w:top w:val="single" w:sz="4" w:space="0" w:color="auto"/>
                  <w:left w:val="nil"/>
                  <w:bottom w:val="single" w:sz="4" w:space="0" w:color="auto"/>
                  <w:right w:val="nil"/>
                </w:tcBorders>
                <w:shd w:val="clear" w:color="auto" w:fill="auto"/>
                <w:noWrap/>
                <w:vAlign w:val="bottom"/>
                <w:hideMark/>
              </w:tcPr>
              <w:p w:rsidR="0089684C" w:rsidRPr="00A3401A" w:rsidRDefault="0089684C" w:rsidP="00A03AD0">
                <w:pPr>
                  <w:spacing w:before="60"/>
                  <w:jc w:val="center"/>
                  <w:rPr>
                    <w:rFonts w:cstheme="minorHAnsi"/>
                    <w:b/>
                    <w:bCs/>
                    <w:sz w:val="16"/>
                    <w:szCs w:val="16"/>
                  </w:rPr>
                </w:pPr>
                <w:r>
                  <w:rPr>
                    <w:b/>
                    <w:bCs/>
                    <w:sz w:val="16"/>
                    <w:szCs w:val="16"/>
                  </w:rPr>
                  <w:t>87 719</w:t>
                </w:r>
              </w:p>
            </w:tc>
            <w:tc>
              <w:tcPr>
                <w:tcW w:w="415" w:type="pct"/>
                <w:tcBorders>
                  <w:top w:val="single" w:sz="4" w:space="0" w:color="auto"/>
                  <w:left w:val="nil"/>
                  <w:bottom w:val="single" w:sz="4" w:space="0" w:color="auto"/>
                  <w:right w:val="nil"/>
                </w:tcBorders>
                <w:shd w:val="clear" w:color="auto" w:fill="auto"/>
                <w:noWrap/>
                <w:vAlign w:val="bottom"/>
                <w:hideMark/>
              </w:tcPr>
              <w:p w:rsidR="0089684C" w:rsidRPr="00A3401A" w:rsidRDefault="0089684C" w:rsidP="00A03AD0">
                <w:pPr>
                  <w:spacing w:before="60"/>
                  <w:jc w:val="center"/>
                  <w:rPr>
                    <w:rFonts w:cstheme="minorHAnsi"/>
                    <w:b/>
                    <w:bCs/>
                    <w:sz w:val="16"/>
                    <w:szCs w:val="16"/>
                  </w:rPr>
                </w:pPr>
                <w:r>
                  <w:rPr>
                    <w:b/>
                    <w:bCs/>
                    <w:sz w:val="16"/>
                    <w:szCs w:val="16"/>
                  </w:rPr>
                  <w:t>46 629</w:t>
                </w:r>
              </w:p>
            </w:tc>
            <w:tc>
              <w:tcPr>
                <w:tcW w:w="415" w:type="pct"/>
                <w:tcBorders>
                  <w:top w:val="single" w:sz="4" w:space="0" w:color="auto"/>
                  <w:left w:val="nil"/>
                  <w:bottom w:val="single" w:sz="4" w:space="0" w:color="auto"/>
                  <w:right w:val="nil"/>
                </w:tcBorders>
                <w:shd w:val="clear" w:color="auto" w:fill="auto"/>
                <w:noWrap/>
                <w:vAlign w:val="bottom"/>
                <w:hideMark/>
              </w:tcPr>
              <w:p w:rsidR="0089684C" w:rsidRPr="00A3401A" w:rsidRDefault="0089684C" w:rsidP="00A03AD0">
                <w:pPr>
                  <w:spacing w:before="60"/>
                  <w:jc w:val="center"/>
                  <w:rPr>
                    <w:rFonts w:cstheme="minorHAnsi"/>
                    <w:b/>
                    <w:bCs/>
                    <w:sz w:val="16"/>
                    <w:szCs w:val="16"/>
                  </w:rPr>
                </w:pPr>
                <w:r>
                  <w:rPr>
                    <w:b/>
                    <w:bCs/>
                    <w:sz w:val="16"/>
                    <w:szCs w:val="16"/>
                  </w:rPr>
                  <w:t>46 359</w:t>
                </w:r>
              </w:p>
            </w:tc>
            <w:tc>
              <w:tcPr>
                <w:tcW w:w="415" w:type="pct"/>
                <w:tcBorders>
                  <w:top w:val="single" w:sz="4" w:space="0" w:color="auto"/>
                  <w:left w:val="nil"/>
                  <w:bottom w:val="single" w:sz="4" w:space="0" w:color="auto"/>
                  <w:right w:val="nil"/>
                </w:tcBorders>
                <w:shd w:val="clear" w:color="auto" w:fill="auto"/>
                <w:noWrap/>
                <w:vAlign w:val="bottom"/>
                <w:hideMark/>
              </w:tcPr>
              <w:p w:rsidR="0089684C" w:rsidRPr="00A3401A" w:rsidRDefault="0089684C" w:rsidP="00A03AD0">
                <w:pPr>
                  <w:spacing w:before="60"/>
                  <w:jc w:val="center"/>
                  <w:rPr>
                    <w:rFonts w:cstheme="minorHAnsi"/>
                    <w:b/>
                    <w:bCs/>
                    <w:sz w:val="16"/>
                    <w:szCs w:val="16"/>
                  </w:rPr>
                </w:pPr>
                <w:r>
                  <w:rPr>
                    <w:b/>
                    <w:bCs/>
                    <w:sz w:val="16"/>
                    <w:szCs w:val="16"/>
                  </w:rPr>
                  <w:t>47 535</w:t>
                </w:r>
              </w:p>
            </w:tc>
            <w:tc>
              <w:tcPr>
                <w:tcW w:w="415" w:type="pct"/>
                <w:tcBorders>
                  <w:top w:val="single" w:sz="4" w:space="0" w:color="auto"/>
                  <w:left w:val="nil"/>
                  <w:bottom w:val="single" w:sz="4" w:space="0" w:color="auto"/>
                  <w:right w:val="nil"/>
                </w:tcBorders>
                <w:shd w:val="clear" w:color="auto" w:fill="auto"/>
                <w:noWrap/>
                <w:vAlign w:val="bottom"/>
                <w:hideMark/>
              </w:tcPr>
              <w:p w:rsidR="0089684C" w:rsidRPr="00A3401A" w:rsidRDefault="0089684C" w:rsidP="00A03AD0">
                <w:pPr>
                  <w:spacing w:before="60"/>
                  <w:jc w:val="center"/>
                  <w:rPr>
                    <w:rFonts w:cstheme="minorHAnsi"/>
                    <w:b/>
                    <w:bCs/>
                    <w:sz w:val="16"/>
                    <w:szCs w:val="16"/>
                  </w:rPr>
                </w:pPr>
                <w:r>
                  <w:rPr>
                    <w:b/>
                    <w:bCs/>
                    <w:sz w:val="16"/>
                    <w:szCs w:val="16"/>
                  </w:rPr>
                  <w:t>50 566</w:t>
                </w:r>
              </w:p>
            </w:tc>
            <w:tc>
              <w:tcPr>
                <w:tcW w:w="416" w:type="pct"/>
                <w:tcBorders>
                  <w:top w:val="single" w:sz="4" w:space="0" w:color="auto"/>
                  <w:left w:val="nil"/>
                  <w:bottom w:val="single" w:sz="4" w:space="0" w:color="auto"/>
                  <w:right w:val="nil"/>
                </w:tcBorders>
              </w:tcPr>
              <w:p w:rsidR="0089684C" w:rsidRPr="00A3401A" w:rsidRDefault="0089684C" w:rsidP="00A03AD0">
                <w:pPr>
                  <w:spacing w:before="120"/>
                  <w:jc w:val="center"/>
                  <w:rPr>
                    <w:rFonts w:cstheme="minorHAnsi"/>
                    <w:b/>
                    <w:bCs/>
                    <w:sz w:val="16"/>
                    <w:szCs w:val="16"/>
                  </w:rPr>
                </w:pPr>
                <w:r>
                  <w:rPr>
                    <w:b/>
                    <w:bCs/>
                    <w:sz w:val="16"/>
                    <w:szCs w:val="16"/>
                  </w:rPr>
                  <w:t>52 650</w:t>
                </w:r>
              </w:p>
            </w:tc>
          </w:tr>
          <w:tr w:rsidR="0089684C" w:rsidRPr="00A3401A" w:rsidTr="00F959A4">
            <w:trPr>
              <w:trHeight w:val="315"/>
            </w:trPr>
            <w:tc>
              <w:tcPr>
                <w:tcW w:w="935" w:type="pct"/>
                <w:tcBorders>
                  <w:top w:val="single" w:sz="4" w:space="0" w:color="auto"/>
                  <w:left w:val="nil"/>
                  <w:bottom w:val="single" w:sz="4" w:space="0" w:color="auto"/>
                  <w:right w:val="nil"/>
                </w:tcBorders>
                <w:shd w:val="clear" w:color="auto" w:fill="auto"/>
                <w:noWrap/>
                <w:vAlign w:val="bottom"/>
              </w:tcPr>
              <w:p w:rsidR="0089684C" w:rsidRPr="00A3401A" w:rsidRDefault="00F959A4" w:rsidP="00A03AD0">
                <w:pPr>
                  <w:spacing w:before="60"/>
                  <w:rPr>
                    <w:rFonts w:cstheme="minorHAnsi"/>
                    <w:b/>
                    <w:bCs/>
                    <w:sz w:val="16"/>
                    <w:szCs w:val="16"/>
                  </w:rPr>
                </w:pPr>
                <w:r>
                  <w:rPr>
                    <w:b/>
                    <w:bCs/>
                    <w:sz w:val="16"/>
                    <w:szCs w:val="16"/>
                  </w:rPr>
                  <w:t>Över-/underskott</w:t>
                </w:r>
              </w:p>
            </w:tc>
            <w:tc>
              <w:tcPr>
                <w:tcW w:w="424" w:type="pct"/>
                <w:gridSpan w:val="3"/>
                <w:tcBorders>
                  <w:top w:val="single" w:sz="4" w:space="0" w:color="auto"/>
                  <w:left w:val="nil"/>
                  <w:bottom w:val="single" w:sz="4" w:space="0" w:color="auto"/>
                  <w:right w:val="nil"/>
                </w:tcBorders>
                <w:shd w:val="clear" w:color="auto" w:fill="auto"/>
                <w:noWrap/>
                <w:vAlign w:val="bottom"/>
              </w:tcPr>
              <w:p w:rsidR="0089684C" w:rsidRPr="00E36FDA" w:rsidRDefault="0089684C" w:rsidP="00A03AD0">
                <w:pPr>
                  <w:spacing w:before="60"/>
                  <w:jc w:val="center"/>
                  <w:rPr>
                    <w:rFonts w:cstheme="minorHAnsi"/>
                    <w:b/>
                    <w:bCs/>
                    <w:sz w:val="16"/>
                    <w:szCs w:val="16"/>
                  </w:rPr>
                </w:pPr>
                <w:r>
                  <w:rPr>
                    <w:sz w:val="16"/>
                    <w:szCs w:val="16"/>
                  </w:rPr>
                  <w:t>-14 229</w:t>
                </w:r>
              </w:p>
            </w:tc>
            <w:tc>
              <w:tcPr>
                <w:tcW w:w="385" w:type="pct"/>
                <w:gridSpan w:val="2"/>
                <w:tcBorders>
                  <w:top w:val="single" w:sz="4" w:space="0" w:color="auto"/>
                  <w:left w:val="nil"/>
                  <w:bottom w:val="single" w:sz="4" w:space="0" w:color="auto"/>
                  <w:right w:val="nil"/>
                </w:tcBorders>
                <w:shd w:val="clear" w:color="auto" w:fill="auto"/>
                <w:noWrap/>
                <w:vAlign w:val="bottom"/>
              </w:tcPr>
              <w:p w:rsidR="0089684C" w:rsidRPr="00E36FDA" w:rsidRDefault="0089684C" w:rsidP="00A03AD0">
                <w:pPr>
                  <w:spacing w:before="60"/>
                  <w:jc w:val="center"/>
                  <w:rPr>
                    <w:rFonts w:cstheme="minorHAnsi"/>
                    <w:b/>
                    <w:bCs/>
                    <w:sz w:val="16"/>
                    <w:szCs w:val="16"/>
                  </w:rPr>
                </w:pPr>
                <w:r>
                  <w:rPr>
                    <w:sz w:val="16"/>
                    <w:szCs w:val="16"/>
                  </w:rPr>
                  <w:t>-22 160</w:t>
                </w:r>
              </w:p>
            </w:tc>
            <w:tc>
              <w:tcPr>
                <w:tcW w:w="350" w:type="pct"/>
                <w:tcBorders>
                  <w:top w:val="single" w:sz="4" w:space="0" w:color="auto"/>
                  <w:left w:val="nil"/>
                  <w:bottom w:val="single" w:sz="4" w:space="0" w:color="auto"/>
                  <w:right w:val="nil"/>
                </w:tcBorders>
                <w:shd w:val="clear" w:color="auto" w:fill="auto"/>
                <w:noWrap/>
                <w:vAlign w:val="bottom"/>
              </w:tcPr>
              <w:p w:rsidR="0089684C" w:rsidRPr="00E36FDA" w:rsidRDefault="0089684C" w:rsidP="00A03AD0">
                <w:pPr>
                  <w:spacing w:before="60"/>
                  <w:jc w:val="center"/>
                  <w:rPr>
                    <w:rFonts w:cstheme="minorHAnsi"/>
                    <w:b/>
                    <w:bCs/>
                    <w:sz w:val="16"/>
                    <w:szCs w:val="16"/>
                  </w:rPr>
                </w:pPr>
                <w:r>
                  <w:rPr>
                    <w:sz w:val="16"/>
                    <w:szCs w:val="16"/>
                  </w:rPr>
                  <w:t>-915</w:t>
                </w:r>
              </w:p>
            </w:tc>
            <w:tc>
              <w:tcPr>
                <w:tcW w:w="415" w:type="pct"/>
                <w:tcBorders>
                  <w:top w:val="single" w:sz="4" w:space="0" w:color="auto"/>
                  <w:left w:val="nil"/>
                  <w:bottom w:val="single" w:sz="4" w:space="0" w:color="auto"/>
                  <w:right w:val="nil"/>
                </w:tcBorders>
                <w:shd w:val="clear" w:color="auto" w:fill="auto"/>
                <w:noWrap/>
                <w:vAlign w:val="bottom"/>
              </w:tcPr>
              <w:p w:rsidR="0089684C" w:rsidRPr="00E36FDA" w:rsidRDefault="0089684C" w:rsidP="00A03AD0">
                <w:pPr>
                  <w:spacing w:before="60"/>
                  <w:jc w:val="center"/>
                  <w:rPr>
                    <w:rFonts w:cstheme="minorHAnsi"/>
                    <w:b/>
                    <w:bCs/>
                    <w:sz w:val="16"/>
                    <w:szCs w:val="16"/>
                  </w:rPr>
                </w:pPr>
                <w:r>
                  <w:rPr>
                    <w:sz w:val="16"/>
                    <w:szCs w:val="16"/>
                  </w:rPr>
                  <w:t>-8 041</w:t>
                </w:r>
              </w:p>
            </w:tc>
            <w:tc>
              <w:tcPr>
                <w:tcW w:w="415" w:type="pct"/>
                <w:tcBorders>
                  <w:top w:val="single" w:sz="4" w:space="0" w:color="auto"/>
                  <w:left w:val="nil"/>
                  <w:bottom w:val="single" w:sz="4" w:space="0" w:color="auto"/>
                  <w:right w:val="nil"/>
                </w:tcBorders>
                <w:shd w:val="clear" w:color="auto" w:fill="auto"/>
                <w:noWrap/>
                <w:vAlign w:val="bottom"/>
              </w:tcPr>
              <w:p w:rsidR="0089684C" w:rsidRPr="00E36FDA" w:rsidRDefault="0089684C" w:rsidP="00A03AD0">
                <w:pPr>
                  <w:spacing w:before="60"/>
                  <w:jc w:val="center"/>
                  <w:rPr>
                    <w:rFonts w:cstheme="minorHAnsi"/>
                    <w:b/>
                    <w:bCs/>
                    <w:sz w:val="16"/>
                    <w:szCs w:val="16"/>
                  </w:rPr>
                </w:pPr>
                <w:r>
                  <w:rPr>
                    <w:sz w:val="16"/>
                    <w:szCs w:val="16"/>
                  </w:rPr>
                  <w:t>5 056</w:t>
                </w:r>
              </w:p>
            </w:tc>
            <w:tc>
              <w:tcPr>
                <w:tcW w:w="415" w:type="pct"/>
                <w:tcBorders>
                  <w:top w:val="single" w:sz="4" w:space="0" w:color="auto"/>
                  <w:left w:val="nil"/>
                  <w:bottom w:val="single" w:sz="4" w:space="0" w:color="auto"/>
                  <w:right w:val="nil"/>
                </w:tcBorders>
                <w:shd w:val="clear" w:color="auto" w:fill="auto"/>
                <w:noWrap/>
                <w:vAlign w:val="bottom"/>
              </w:tcPr>
              <w:p w:rsidR="0089684C" w:rsidRPr="00E36FDA" w:rsidRDefault="0089684C" w:rsidP="00A03AD0">
                <w:pPr>
                  <w:spacing w:before="60"/>
                  <w:jc w:val="center"/>
                  <w:rPr>
                    <w:rFonts w:cstheme="minorHAnsi"/>
                    <w:b/>
                    <w:bCs/>
                    <w:sz w:val="16"/>
                    <w:szCs w:val="16"/>
                  </w:rPr>
                </w:pPr>
                <w:r>
                  <w:rPr>
                    <w:sz w:val="16"/>
                    <w:szCs w:val="16"/>
                  </w:rPr>
                  <w:t>-28 234</w:t>
                </w:r>
              </w:p>
            </w:tc>
            <w:tc>
              <w:tcPr>
                <w:tcW w:w="415" w:type="pct"/>
                <w:tcBorders>
                  <w:top w:val="single" w:sz="4" w:space="0" w:color="auto"/>
                  <w:left w:val="nil"/>
                  <w:bottom w:val="single" w:sz="4" w:space="0" w:color="auto"/>
                  <w:right w:val="nil"/>
                </w:tcBorders>
                <w:shd w:val="clear" w:color="auto" w:fill="auto"/>
                <w:noWrap/>
                <w:vAlign w:val="bottom"/>
              </w:tcPr>
              <w:p w:rsidR="0089684C" w:rsidRPr="00E36FDA" w:rsidRDefault="0089684C" w:rsidP="00A03AD0">
                <w:pPr>
                  <w:spacing w:before="60"/>
                  <w:jc w:val="center"/>
                  <w:rPr>
                    <w:rFonts w:cstheme="minorHAnsi"/>
                    <w:b/>
                    <w:bCs/>
                    <w:sz w:val="16"/>
                    <w:szCs w:val="16"/>
                  </w:rPr>
                </w:pPr>
                <w:r>
                  <w:rPr>
                    <w:sz w:val="16"/>
                    <w:szCs w:val="16"/>
                  </w:rPr>
                  <w:t>-37 716</w:t>
                </w:r>
              </w:p>
            </w:tc>
            <w:tc>
              <w:tcPr>
                <w:tcW w:w="415" w:type="pct"/>
                <w:tcBorders>
                  <w:top w:val="single" w:sz="4" w:space="0" w:color="auto"/>
                  <w:left w:val="nil"/>
                  <w:bottom w:val="single" w:sz="4" w:space="0" w:color="auto"/>
                  <w:right w:val="nil"/>
                </w:tcBorders>
                <w:shd w:val="clear" w:color="auto" w:fill="auto"/>
                <w:noWrap/>
                <w:vAlign w:val="bottom"/>
              </w:tcPr>
              <w:p w:rsidR="0089684C" w:rsidRPr="00E36FDA" w:rsidRDefault="0089684C" w:rsidP="00A03AD0">
                <w:pPr>
                  <w:spacing w:before="60"/>
                  <w:jc w:val="center"/>
                  <w:rPr>
                    <w:rFonts w:cstheme="minorHAnsi"/>
                    <w:b/>
                    <w:bCs/>
                    <w:sz w:val="16"/>
                    <w:szCs w:val="16"/>
                  </w:rPr>
                </w:pPr>
                <w:r>
                  <w:rPr>
                    <w:sz w:val="16"/>
                    <w:szCs w:val="16"/>
                  </w:rPr>
                  <w:t>-36 317</w:t>
                </w:r>
              </w:p>
            </w:tc>
            <w:tc>
              <w:tcPr>
                <w:tcW w:w="415" w:type="pct"/>
                <w:tcBorders>
                  <w:top w:val="single" w:sz="4" w:space="0" w:color="auto"/>
                  <w:left w:val="nil"/>
                  <w:bottom w:val="single" w:sz="4" w:space="0" w:color="auto"/>
                  <w:right w:val="nil"/>
                </w:tcBorders>
                <w:shd w:val="clear" w:color="auto" w:fill="auto"/>
                <w:noWrap/>
                <w:vAlign w:val="bottom"/>
              </w:tcPr>
              <w:p w:rsidR="0089684C" w:rsidRPr="00E36FDA" w:rsidRDefault="0089684C" w:rsidP="00A03AD0">
                <w:pPr>
                  <w:spacing w:before="60"/>
                  <w:jc w:val="center"/>
                  <w:rPr>
                    <w:rFonts w:cstheme="minorHAnsi"/>
                    <w:b/>
                    <w:bCs/>
                    <w:sz w:val="16"/>
                    <w:szCs w:val="16"/>
                  </w:rPr>
                </w:pPr>
                <w:r>
                  <w:rPr>
                    <w:sz w:val="16"/>
                    <w:szCs w:val="16"/>
                  </w:rPr>
                  <w:t>-44 857</w:t>
                </w:r>
              </w:p>
            </w:tc>
            <w:tc>
              <w:tcPr>
                <w:tcW w:w="416" w:type="pct"/>
                <w:tcBorders>
                  <w:top w:val="single" w:sz="4" w:space="0" w:color="auto"/>
                  <w:left w:val="nil"/>
                  <w:bottom w:val="single" w:sz="4" w:space="0" w:color="auto"/>
                  <w:right w:val="nil"/>
                </w:tcBorders>
              </w:tcPr>
              <w:p w:rsidR="0089684C" w:rsidRPr="00E36FDA" w:rsidRDefault="0089684C" w:rsidP="00A03AD0">
                <w:pPr>
                  <w:spacing w:before="120"/>
                  <w:jc w:val="center"/>
                  <w:rPr>
                    <w:rFonts w:cs="Arial"/>
                    <w:sz w:val="16"/>
                    <w:szCs w:val="16"/>
                  </w:rPr>
                </w:pPr>
                <w:r>
                  <w:rPr>
                    <w:sz w:val="16"/>
                    <w:szCs w:val="16"/>
                  </w:rPr>
                  <w:t>-40 763</w:t>
                </w:r>
              </w:p>
            </w:tc>
          </w:tr>
          <w:tr w:rsidR="0089684C" w:rsidRPr="00A3401A" w:rsidTr="00F959A4">
            <w:trPr>
              <w:trHeight w:val="315"/>
            </w:trPr>
            <w:tc>
              <w:tcPr>
                <w:tcW w:w="1104" w:type="pct"/>
                <w:gridSpan w:val="3"/>
                <w:tcBorders>
                  <w:top w:val="single" w:sz="4" w:space="0" w:color="auto"/>
                  <w:left w:val="nil"/>
                  <w:bottom w:val="single" w:sz="4" w:space="0" w:color="auto"/>
                  <w:right w:val="nil"/>
                </w:tcBorders>
                <w:shd w:val="clear" w:color="auto" w:fill="auto"/>
                <w:noWrap/>
                <w:vAlign w:val="bottom"/>
                <w:hideMark/>
              </w:tcPr>
              <w:p w:rsidR="0089684C" w:rsidRPr="00A3401A" w:rsidRDefault="0089684C" w:rsidP="00A03AD0">
                <w:pPr>
                  <w:spacing w:before="60"/>
                  <w:rPr>
                    <w:rFonts w:cstheme="minorHAnsi"/>
                    <w:b/>
                    <w:bCs/>
                    <w:sz w:val="16"/>
                    <w:szCs w:val="16"/>
                  </w:rPr>
                </w:pPr>
                <w:r>
                  <w:rPr>
                    <w:b/>
                    <w:bCs/>
                    <w:sz w:val="16"/>
                    <w:szCs w:val="16"/>
                  </w:rPr>
                  <w:t>Kostnadsmotsvarighet, %</w:t>
                </w:r>
              </w:p>
            </w:tc>
            <w:tc>
              <w:tcPr>
                <w:tcW w:w="275" w:type="pct"/>
                <w:gridSpan w:val="2"/>
                <w:tcBorders>
                  <w:top w:val="single" w:sz="4" w:space="0" w:color="auto"/>
                  <w:left w:val="nil"/>
                  <w:bottom w:val="single" w:sz="4" w:space="0" w:color="auto"/>
                  <w:right w:val="nil"/>
                </w:tcBorders>
                <w:shd w:val="clear" w:color="auto" w:fill="auto"/>
                <w:noWrap/>
                <w:vAlign w:val="bottom"/>
                <w:hideMark/>
              </w:tcPr>
              <w:p w:rsidR="0089684C" w:rsidRPr="00A3401A" w:rsidRDefault="00F959A4" w:rsidP="00A03AD0">
                <w:pPr>
                  <w:spacing w:before="60"/>
                  <w:jc w:val="center"/>
                  <w:rPr>
                    <w:rFonts w:cstheme="minorHAnsi"/>
                    <w:b/>
                    <w:bCs/>
                    <w:sz w:val="16"/>
                    <w:szCs w:val="16"/>
                  </w:rPr>
                </w:pPr>
                <w:r>
                  <w:rPr>
                    <w:b/>
                    <w:bCs/>
                    <w:sz w:val="16"/>
                    <w:szCs w:val="16"/>
                  </w:rPr>
                  <w:t>83,2</w:t>
                </w:r>
              </w:p>
            </w:tc>
            <w:tc>
              <w:tcPr>
                <w:tcW w:w="364" w:type="pct"/>
                <w:tcBorders>
                  <w:top w:val="single" w:sz="4" w:space="0" w:color="auto"/>
                  <w:left w:val="nil"/>
                  <w:bottom w:val="single" w:sz="4" w:space="0" w:color="auto"/>
                  <w:right w:val="nil"/>
                </w:tcBorders>
                <w:shd w:val="clear" w:color="auto" w:fill="auto"/>
                <w:noWrap/>
                <w:vAlign w:val="bottom"/>
                <w:hideMark/>
              </w:tcPr>
              <w:p w:rsidR="0089684C" w:rsidRPr="00A3401A" w:rsidRDefault="00F959A4" w:rsidP="00A03AD0">
                <w:pPr>
                  <w:spacing w:before="60"/>
                  <w:jc w:val="center"/>
                  <w:rPr>
                    <w:rFonts w:cstheme="minorHAnsi"/>
                    <w:b/>
                    <w:bCs/>
                    <w:sz w:val="16"/>
                    <w:szCs w:val="16"/>
                  </w:rPr>
                </w:pPr>
                <w:r>
                  <w:rPr>
                    <w:b/>
                    <w:bCs/>
                    <w:sz w:val="16"/>
                    <w:szCs w:val="16"/>
                  </w:rPr>
                  <w:t>77,7</w:t>
                </w:r>
              </w:p>
            </w:tc>
            <w:tc>
              <w:tcPr>
                <w:tcW w:w="350" w:type="pct"/>
                <w:tcBorders>
                  <w:top w:val="single" w:sz="4" w:space="0" w:color="auto"/>
                  <w:left w:val="nil"/>
                  <w:bottom w:val="single" w:sz="4" w:space="0" w:color="auto"/>
                  <w:right w:val="nil"/>
                </w:tcBorders>
                <w:shd w:val="clear" w:color="auto" w:fill="auto"/>
                <w:noWrap/>
                <w:vAlign w:val="bottom"/>
                <w:hideMark/>
              </w:tcPr>
              <w:p w:rsidR="0089684C" w:rsidRPr="00A3401A" w:rsidRDefault="00F959A4" w:rsidP="00A03AD0">
                <w:pPr>
                  <w:spacing w:before="60"/>
                  <w:jc w:val="center"/>
                  <w:rPr>
                    <w:rFonts w:cstheme="minorHAnsi"/>
                    <w:b/>
                    <w:bCs/>
                    <w:sz w:val="16"/>
                    <w:szCs w:val="16"/>
                  </w:rPr>
                </w:pPr>
                <w:r>
                  <w:rPr>
                    <w:b/>
                    <w:bCs/>
                    <w:sz w:val="16"/>
                    <w:szCs w:val="16"/>
                  </w:rPr>
                  <w:t>98,9</w:t>
                </w:r>
              </w:p>
            </w:tc>
            <w:tc>
              <w:tcPr>
                <w:tcW w:w="415" w:type="pct"/>
                <w:tcBorders>
                  <w:top w:val="single" w:sz="4" w:space="0" w:color="auto"/>
                  <w:left w:val="nil"/>
                  <w:bottom w:val="single" w:sz="4" w:space="0" w:color="auto"/>
                  <w:right w:val="nil"/>
                </w:tcBorders>
                <w:shd w:val="clear" w:color="auto" w:fill="auto"/>
                <w:noWrap/>
                <w:vAlign w:val="bottom"/>
                <w:hideMark/>
              </w:tcPr>
              <w:p w:rsidR="0089684C" w:rsidRPr="00A3401A" w:rsidRDefault="00F959A4" w:rsidP="00A03AD0">
                <w:pPr>
                  <w:spacing w:before="60"/>
                  <w:jc w:val="center"/>
                  <w:rPr>
                    <w:rFonts w:cstheme="minorHAnsi"/>
                    <w:b/>
                    <w:bCs/>
                    <w:sz w:val="16"/>
                    <w:szCs w:val="16"/>
                  </w:rPr>
                </w:pPr>
                <w:r>
                  <w:rPr>
                    <w:b/>
                    <w:bCs/>
                    <w:sz w:val="16"/>
                    <w:szCs w:val="16"/>
                  </w:rPr>
                  <w:t>91,2</w:t>
                </w:r>
              </w:p>
            </w:tc>
            <w:tc>
              <w:tcPr>
                <w:tcW w:w="415" w:type="pct"/>
                <w:tcBorders>
                  <w:top w:val="single" w:sz="4" w:space="0" w:color="auto"/>
                  <w:left w:val="nil"/>
                  <w:bottom w:val="single" w:sz="4" w:space="0" w:color="auto"/>
                  <w:right w:val="nil"/>
                </w:tcBorders>
                <w:shd w:val="clear" w:color="auto" w:fill="auto"/>
                <w:noWrap/>
                <w:vAlign w:val="bottom"/>
                <w:hideMark/>
              </w:tcPr>
              <w:p w:rsidR="0089684C" w:rsidRPr="00A3401A" w:rsidRDefault="00F959A4" w:rsidP="00F959A4">
                <w:pPr>
                  <w:spacing w:before="60"/>
                  <w:jc w:val="center"/>
                  <w:rPr>
                    <w:rFonts w:cstheme="minorHAnsi"/>
                    <w:b/>
                    <w:bCs/>
                    <w:sz w:val="16"/>
                    <w:szCs w:val="16"/>
                  </w:rPr>
                </w:pPr>
                <w:r>
                  <w:rPr>
                    <w:b/>
                    <w:bCs/>
                    <w:sz w:val="16"/>
                    <w:szCs w:val="16"/>
                  </w:rPr>
                  <w:t>105,3</w:t>
                </w:r>
              </w:p>
            </w:tc>
            <w:tc>
              <w:tcPr>
                <w:tcW w:w="415" w:type="pct"/>
                <w:tcBorders>
                  <w:top w:val="single" w:sz="4" w:space="0" w:color="auto"/>
                  <w:left w:val="nil"/>
                  <w:bottom w:val="single" w:sz="4" w:space="0" w:color="auto"/>
                  <w:right w:val="nil"/>
                </w:tcBorders>
                <w:shd w:val="clear" w:color="auto" w:fill="auto"/>
                <w:noWrap/>
                <w:vAlign w:val="bottom"/>
                <w:hideMark/>
              </w:tcPr>
              <w:p w:rsidR="0089684C" w:rsidRPr="00A3401A" w:rsidRDefault="0089684C" w:rsidP="00A03AD0">
                <w:pPr>
                  <w:spacing w:before="60"/>
                  <w:jc w:val="center"/>
                  <w:rPr>
                    <w:rFonts w:cstheme="minorHAnsi"/>
                    <w:b/>
                    <w:bCs/>
                    <w:sz w:val="16"/>
                    <w:szCs w:val="16"/>
                  </w:rPr>
                </w:pPr>
                <w:r>
                  <w:rPr>
                    <w:b/>
                    <w:bCs/>
                    <w:sz w:val="16"/>
                    <w:szCs w:val="16"/>
                  </w:rPr>
                  <w:t>61,8</w:t>
                </w:r>
              </w:p>
            </w:tc>
            <w:tc>
              <w:tcPr>
                <w:tcW w:w="415" w:type="pct"/>
                <w:tcBorders>
                  <w:top w:val="single" w:sz="4" w:space="0" w:color="auto"/>
                  <w:left w:val="nil"/>
                  <w:bottom w:val="single" w:sz="4" w:space="0" w:color="auto"/>
                  <w:right w:val="nil"/>
                </w:tcBorders>
                <w:shd w:val="clear" w:color="auto" w:fill="auto"/>
                <w:noWrap/>
                <w:vAlign w:val="bottom"/>
                <w:hideMark/>
              </w:tcPr>
              <w:p w:rsidR="0089684C" w:rsidRPr="00A3401A" w:rsidRDefault="00F959A4" w:rsidP="00A03AD0">
                <w:pPr>
                  <w:spacing w:before="60"/>
                  <w:jc w:val="center"/>
                  <w:rPr>
                    <w:rFonts w:cstheme="minorHAnsi"/>
                    <w:b/>
                    <w:bCs/>
                    <w:sz w:val="16"/>
                    <w:szCs w:val="16"/>
                  </w:rPr>
                </w:pPr>
                <w:r>
                  <w:rPr>
                    <w:b/>
                    <w:bCs/>
                    <w:sz w:val="16"/>
                    <w:szCs w:val="16"/>
                  </w:rPr>
                  <w:t>55,0</w:t>
                </w:r>
              </w:p>
            </w:tc>
            <w:tc>
              <w:tcPr>
                <w:tcW w:w="415" w:type="pct"/>
                <w:tcBorders>
                  <w:top w:val="single" w:sz="4" w:space="0" w:color="auto"/>
                  <w:left w:val="nil"/>
                  <w:bottom w:val="single" w:sz="4" w:space="0" w:color="auto"/>
                  <w:right w:val="nil"/>
                </w:tcBorders>
                <w:shd w:val="clear" w:color="auto" w:fill="auto"/>
                <w:noWrap/>
                <w:vAlign w:val="bottom"/>
                <w:hideMark/>
              </w:tcPr>
              <w:p w:rsidR="0089684C" w:rsidRPr="00A3401A" w:rsidRDefault="00F959A4" w:rsidP="00A03AD0">
                <w:pPr>
                  <w:spacing w:before="60"/>
                  <w:jc w:val="center"/>
                  <w:rPr>
                    <w:rFonts w:cstheme="minorHAnsi"/>
                    <w:b/>
                    <w:bCs/>
                    <w:sz w:val="16"/>
                    <w:szCs w:val="16"/>
                  </w:rPr>
                </w:pPr>
                <w:r>
                  <w:rPr>
                    <w:b/>
                    <w:bCs/>
                    <w:sz w:val="16"/>
                    <w:szCs w:val="16"/>
                  </w:rPr>
                  <w:t>56,9</w:t>
                </w:r>
              </w:p>
            </w:tc>
            <w:tc>
              <w:tcPr>
                <w:tcW w:w="415" w:type="pct"/>
                <w:tcBorders>
                  <w:top w:val="single" w:sz="4" w:space="0" w:color="auto"/>
                  <w:left w:val="nil"/>
                  <w:bottom w:val="single" w:sz="4" w:space="0" w:color="auto"/>
                  <w:right w:val="nil"/>
                </w:tcBorders>
                <w:shd w:val="clear" w:color="auto" w:fill="auto"/>
                <w:noWrap/>
                <w:vAlign w:val="bottom"/>
                <w:hideMark/>
              </w:tcPr>
              <w:p w:rsidR="0089684C" w:rsidRPr="00A3401A" w:rsidRDefault="00F959A4" w:rsidP="00A03AD0">
                <w:pPr>
                  <w:spacing w:before="60"/>
                  <w:jc w:val="center"/>
                  <w:rPr>
                    <w:rFonts w:cstheme="minorHAnsi"/>
                    <w:b/>
                    <w:bCs/>
                    <w:sz w:val="16"/>
                    <w:szCs w:val="16"/>
                  </w:rPr>
                </w:pPr>
                <w:r>
                  <w:rPr>
                    <w:b/>
                    <w:bCs/>
                    <w:sz w:val="16"/>
                    <w:szCs w:val="16"/>
                  </w:rPr>
                  <w:t>53,4</w:t>
                </w:r>
              </w:p>
            </w:tc>
            <w:tc>
              <w:tcPr>
                <w:tcW w:w="416" w:type="pct"/>
                <w:tcBorders>
                  <w:top w:val="single" w:sz="4" w:space="0" w:color="auto"/>
                  <w:left w:val="nil"/>
                  <w:bottom w:val="single" w:sz="4" w:space="0" w:color="auto"/>
                  <w:right w:val="nil"/>
                </w:tcBorders>
              </w:tcPr>
              <w:p w:rsidR="0089684C" w:rsidRPr="00A3401A" w:rsidRDefault="0089684C" w:rsidP="00A03AD0">
                <w:pPr>
                  <w:spacing w:before="120"/>
                  <w:jc w:val="center"/>
                  <w:rPr>
                    <w:rFonts w:cstheme="minorHAnsi"/>
                    <w:b/>
                    <w:bCs/>
                    <w:sz w:val="16"/>
                    <w:szCs w:val="16"/>
                  </w:rPr>
                </w:pPr>
                <w:r>
                  <w:rPr>
                    <w:b/>
                    <w:bCs/>
                    <w:sz w:val="16"/>
                    <w:szCs w:val="16"/>
                  </w:rPr>
                  <w:t>56,4</w:t>
                </w:r>
              </w:p>
            </w:tc>
          </w:tr>
        </w:tbl>
        <w:p w:rsidR="0089684C" w:rsidRPr="0074028C" w:rsidRDefault="0089684C" w:rsidP="0089684C">
          <w:pPr>
            <w:rPr>
              <w:sz w:val="16"/>
              <w:szCs w:val="16"/>
            </w:rPr>
          </w:pPr>
          <w:r>
            <w:rPr>
              <w:sz w:val="16"/>
              <w:szCs w:val="16"/>
            </w:rPr>
            <w:t>* Specifikationen av kostnader ändrades i samband med ämbetsverksreformen vid ingången av 2019.</w:t>
          </w:r>
        </w:p>
        <w:p w:rsidR="0089684C" w:rsidRDefault="0089684C" w:rsidP="00F959A4">
          <w:pPr>
            <w:pStyle w:val="LLNormaali"/>
          </w:pPr>
        </w:p>
        <w:p w:rsidR="0089684C" w:rsidRPr="0089684C" w:rsidRDefault="0089684C" w:rsidP="0089684C">
          <w:pPr>
            <w:pStyle w:val="LLPerustelujenkappalejako"/>
            <w:rPr>
              <w:bCs/>
              <w:szCs w:val="22"/>
            </w:rPr>
          </w:pPr>
          <w:r>
            <w:t>Åren 2018–2019 kom cirka 67,8–68,0 procent (33,8–35,6 miljoner euro) av intäkterna av farledsavgiften från lastfartyg. Passagerarbilfärjornas andel var 21,1–21,7 procent (cirka 11 miljoner euro) och kryssningsfartygens andel 10,2–10,5 procent (5,1–5,5 miljoner euro). Pråmarnas och skjutbogserarnas andel var liten. Sett utifrån isklass betalades den största andelen av intäkterna för farledsavgiften, 35,2–37,7 procent, av fartyg som hör till den näst högsta isklassen IA. Andelen för fartyg ur den högsta isklassen IAS var 18,4–20,5 procent. Andelen av intäkterna av farledsavgiften för fartyg ur de högsta isklasserna (IAS och IA) var sammanlagt 53,6–58,2 procent. Andelarna för fartyg ur andra isklasser (IB, IC, II och III) var sammanlagt 31,4–35,5 procent. Fartyg som inte hör till någon isklass, av vilka den viktigaste fartygstypen är kryssningsfartyg, utgjorde en andel på 10,5–10,9 procent.</w:t>
          </w:r>
        </w:p>
        <w:p w:rsidR="0089684C" w:rsidRDefault="00C3097F" w:rsidP="0089684C">
          <w:pPr>
            <w:pStyle w:val="LLPerustelujenkappalejako"/>
            <w:rPr>
              <w:bCs/>
              <w:szCs w:val="22"/>
            </w:rPr>
          </w:pPr>
          <w:r>
            <w:t>Farledsavgiftens betydelse för Finlands logistikkostnader kan relateras till transportvolymerna. Passagerar- och kryssningsfartygens andel av farledsavgifterna, sammanlagt cirka 16 miljoner euro, har under de senaste åren kanaliserats via biljetter för cirka 19 miljoner resenärer och avgifter för över tre miljoner fordon som transporterats med passagerarbilfärjor. Lastfartygens farledsavgifter på cirka 34–36 miljoner euro kan beroende på året hänföras till varutransporter med lastfartyg på sammanlagt nästan 100 miljoner ton. I förhållande till antalet transporter är farledsavgiftens betydelse för transportkostnaderna liten. Det kostnadstillägg som farledsavgiften innebär i förhållande till lastens värde kan vara betydande för mindre värdefulla varuslag. För transporter av värdefulla varuslag är farledsavgiftens relativa betydelse liten.</w:t>
          </w:r>
        </w:p>
        <w:p w:rsidR="0089684C" w:rsidRPr="002066AC" w:rsidRDefault="0089684C" w:rsidP="0089684C">
          <w:pPr>
            <w:autoSpaceDE w:val="0"/>
            <w:autoSpaceDN w:val="0"/>
            <w:adjustRightInd w:val="0"/>
            <w:rPr>
              <w:bCs/>
              <w:i/>
            </w:rPr>
          </w:pPr>
          <w:r>
            <w:rPr>
              <w:bCs/>
              <w:i/>
            </w:rPr>
            <w:t>Intäkter av farledsavgiften enligt fartygstyp och isklass 2018–2019 (Tullen).</w:t>
          </w:r>
        </w:p>
        <w:tbl>
          <w:tblPr>
            <w:tblW w:w="7797" w:type="dxa"/>
            <w:tblInd w:w="-5" w:type="dxa"/>
            <w:tblCellMar>
              <w:left w:w="70" w:type="dxa"/>
              <w:right w:w="70" w:type="dxa"/>
            </w:tblCellMar>
            <w:tblLook w:val="04A0" w:firstRow="1" w:lastRow="0" w:firstColumn="1" w:lastColumn="0" w:noHBand="0" w:noVBand="1"/>
          </w:tblPr>
          <w:tblGrid>
            <w:gridCol w:w="2220"/>
            <w:gridCol w:w="1680"/>
            <w:gridCol w:w="1203"/>
            <w:gridCol w:w="1437"/>
            <w:gridCol w:w="1257"/>
          </w:tblGrid>
          <w:tr w:rsidR="0089684C" w:rsidRPr="00A13168" w:rsidTr="00A03AD0">
            <w:trPr>
              <w:trHeight w:val="310"/>
            </w:trPr>
            <w:tc>
              <w:tcPr>
                <w:tcW w:w="22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684C" w:rsidRPr="00C3097F" w:rsidRDefault="0089684C" w:rsidP="00A03AD0">
                <w:pPr>
                  <w:rPr>
                    <w:b/>
                    <w:color w:val="000000"/>
                    <w:sz w:val="18"/>
                    <w:szCs w:val="18"/>
                  </w:rPr>
                </w:pPr>
                <w:r>
                  <w:rPr>
                    <w:b/>
                    <w:color w:val="000000"/>
                    <w:sz w:val="18"/>
                    <w:szCs w:val="18"/>
                  </w:rPr>
                  <w:t> </w:t>
                </w:r>
              </w:p>
            </w:tc>
            <w:tc>
              <w:tcPr>
                <w:tcW w:w="1680" w:type="dxa"/>
                <w:tcBorders>
                  <w:top w:val="single" w:sz="4" w:space="0" w:color="auto"/>
                  <w:left w:val="nil"/>
                  <w:bottom w:val="single" w:sz="4" w:space="0" w:color="auto"/>
                </w:tcBorders>
                <w:shd w:val="clear" w:color="auto" w:fill="auto"/>
                <w:noWrap/>
                <w:vAlign w:val="bottom"/>
                <w:hideMark/>
              </w:tcPr>
              <w:p w:rsidR="0089684C" w:rsidRPr="00C3097F" w:rsidRDefault="0089684C" w:rsidP="00A03AD0">
                <w:pPr>
                  <w:jc w:val="center"/>
                  <w:rPr>
                    <w:b/>
                    <w:sz w:val="18"/>
                    <w:szCs w:val="18"/>
                  </w:rPr>
                </w:pPr>
                <w:r>
                  <w:rPr>
                    <w:b/>
                    <w:sz w:val="18"/>
                    <w:szCs w:val="18"/>
                  </w:rPr>
                  <w:t>2018, euro</w:t>
                </w:r>
              </w:p>
            </w:tc>
            <w:tc>
              <w:tcPr>
                <w:tcW w:w="1203" w:type="dxa"/>
                <w:tcBorders>
                  <w:top w:val="single" w:sz="4" w:space="0" w:color="auto"/>
                  <w:left w:val="nil"/>
                  <w:bottom w:val="single" w:sz="4" w:space="0" w:color="auto"/>
                  <w:right w:val="single" w:sz="4" w:space="0" w:color="auto"/>
                </w:tcBorders>
                <w:shd w:val="clear" w:color="auto" w:fill="auto"/>
                <w:noWrap/>
                <w:vAlign w:val="bottom"/>
                <w:hideMark/>
              </w:tcPr>
              <w:p w:rsidR="0089684C" w:rsidRPr="00C3097F" w:rsidRDefault="0089684C" w:rsidP="00A03AD0">
                <w:pPr>
                  <w:jc w:val="center"/>
                  <w:rPr>
                    <w:b/>
                    <w:color w:val="000000"/>
                    <w:sz w:val="18"/>
                    <w:szCs w:val="18"/>
                  </w:rPr>
                </w:pPr>
                <w:r>
                  <w:rPr>
                    <w:b/>
                    <w:color w:val="000000"/>
                    <w:sz w:val="18"/>
                    <w:szCs w:val="18"/>
                  </w:rPr>
                  <w:t>Andel, %</w:t>
                </w:r>
              </w:p>
            </w:tc>
            <w:tc>
              <w:tcPr>
                <w:tcW w:w="1437" w:type="dxa"/>
                <w:tcBorders>
                  <w:top w:val="single" w:sz="4" w:space="0" w:color="auto"/>
                  <w:left w:val="nil"/>
                  <w:bottom w:val="single" w:sz="4" w:space="0" w:color="auto"/>
                </w:tcBorders>
                <w:shd w:val="clear" w:color="auto" w:fill="auto"/>
                <w:noWrap/>
                <w:vAlign w:val="bottom"/>
                <w:hideMark/>
              </w:tcPr>
              <w:p w:rsidR="0089684C" w:rsidRPr="00C3097F" w:rsidRDefault="0089684C" w:rsidP="00A03AD0">
                <w:pPr>
                  <w:jc w:val="center"/>
                  <w:rPr>
                    <w:b/>
                    <w:sz w:val="18"/>
                    <w:szCs w:val="18"/>
                  </w:rPr>
                </w:pPr>
                <w:r>
                  <w:rPr>
                    <w:b/>
                    <w:sz w:val="18"/>
                    <w:szCs w:val="18"/>
                  </w:rPr>
                  <w:t>2019, euro</w:t>
                </w:r>
              </w:p>
            </w:tc>
            <w:tc>
              <w:tcPr>
                <w:tcW w:w="1257" w:type="dxa"/>
                <w:tcBorders>
                  <w:top w:val="single" w:sz="4" w:space="0" w:color="auto"/>
                  <w:left w:val="nil"/>
                  <w:bottom w:val="single" w:sz="4" w:space="0" w:color="auto"/>
                  <w:right w:val="single" w:sz="4" w:space="0" w:color="auto"/>
                </w:tcBorders>
                <w:shd w:val="clear" w:color="auto" w:fill="auto"/>
                <w:noWrap/>
                <w:vAlign w:val="bottom"/>
                <w:hideMark/>
              </w:tcPr>
              <w:p w:rsidR="0089684C" w:rsidRPr="00C3097F" w:rsidRDefault="0089684C" w:rsidP="00A03AD0">
                <w:pPr>
                  <w:jc w:val="center"/>
                  <w:rPr>
                    <w:b/>
                    <w:color w:val="000000"/>
                    <w:sz w:val="18"/>
                    <w:szCs w:val="18"/>
                  </w:rPr>
                </w:pPr>
                <w:r>
                  <w:rPr>
                    <w:b/>
                    <w:color w:val="000000"/>
                    <w:sz w:val="18"/>
                    <w:szCs w:val="18"/>
                  </w:rPr>
                  <w:t>Andel, %</w:t>
                </w:r>
              </w:p>
            </w:tc>
          </w:tr>
          <w:tr w:rsidR="0089684C" w:rsidRPr="00A13168" w:rsidTr="00A03AD0">
            <w:trPr>
              <w:trHeight w:val="310"/>
            </w:trPr>
            <w:tc>
              <w:tcPr>
                <w:tcW w:w="2220" w:type="dxa"/>
                <w:tcBorders>
                  <w:top w:val="single" w:sz="4" w:space="0" w:color="auto"/>
                  <w:left w:val="single" w:sz="4" w:space="0" w:color="auto"/>
                  <w:bottom w:val="single" w:sz="4" w:space="0" w:color="auto"/>
                </w:tcBorders>
                <w:shd w:val="clear" w:color="auto" w:fill="auto"/>
                <w:noWrap/>
                <w:vAlign w:val="bottom"/>
                <w:hideMark/>
              </w:tcPr>
              <w:p w:rsidR="0089684C" w:rsidRPr="00C3097F" w:rsidRDefault="0089684C" w:rsidP="00A03AD0">
                <w:pPr>
                  <w:rPr>
                    <w:b/>
                    <w:color w:val="000000"/>
                    <w:sz w:val="18"/>
                    <w:szCs w:val="18"/>
                  </w:rPr>
                </w:pPr>
                <w:r>
                  <w:rPr>
                    <w:b/>
                    <w:color w:val="000000"/>
                    <w:sz w:val="18"/>
                    <w:szCs w:val="18"/>
                  </w:rPr>
                  <w:t>Fartygstyp</w:t>
                </w:r>
              </w:p>
            </w:tc>
            <w:tc>
              <w:tcPr>
                <w:tcW w:w="1680" w:type="dxa"/>
                <w:tcBorders>
                  <w:top w:val="single" w:sz="4" w:space="0" w:color="auto"/>
                  <w:bottom w:val="single" w:sz="4" w:space="0" w:color="auto"/>
                </w:tcBorders>
                <w:shd w:val="clear" w:color="auto" w:fill="auto"/>
                <w:noWrap/>
                <w:vAlign w:val="bottom"/>
                <w:hideMark/>
              </w:tcPr>
              <w:p w:rsidR="0089684C" w:rsidRPr="00C3097F" w:rsidRDefault="0089684C" w:rsidP="00A03AD0">
                <w:pPr>
                  <w:jc w:val="center"/>
                  <w:rPr>
                    <w:sz w:val="18"/>
                    <w:szCs w:val="18"/>
                  </w:rPr>
                </w:pPr>
                <w:r>
                  <w:rPr>
                    <w:sz w:val="18"/>
                    <w:szCs w:val="18"/>
                  </w:rPr>
                  <w:t> </w:t>
                </w:r>
              </w:p>
            </w:tc>
            <w:tc>
              <w:tcPr>
                <w:tcW w:w="1203" w:type="dxa"/>
                <w:tcBorders>
                  <w:top w:val="single" w:sz="4" w:space="0" w:color="auto"/>
                  <w:bottom w:val="single" w:sz="4" w:space="0" w:color="auto"/>
                </w:tcBorders>
                <w:shd w:val="clear" w:color="auto" w:fill="auto"/>
                <w:noWrap/>
                <w:vAlign w:val="bottom"/>
                <w:hideMark/>
              </w:tcPr>
              <w:p w:rsidR="0089684C" w:rsidRPr="00C3097F" w:rsidRDefault="0089684C" w:rsidP="00A03AD0">
                <w:pPr>
                  <w:jc w:val="center"/>
                  <w:rPr>
                    <w:color w:val="000000"/>
                    <w:sz w:val="18"/>
                    <w:szCs w:val="18"/>
                  </w:rPr>
                </w:pPr>
                <w:r>
                  <w:rPr>
                    <w:color w:val="000000"/>
                    <w:sz w:val="18"/>
                    <w:szCs w:val="18"/>
                  </w:rPr>
                  <w:t> </w:t>
                </w:r>
              </w:p>
            </w:tc>
            <w:tc>
              <w:tcPr>
                <w:tcW w:w="1437" w:type="dxa"/>
                <w:tcBorders>
                  <w:top w:val="single" w:sz="4" w:space="0" w:color="auto"/>
                  <w:bottom w:val="single" w:sz="4" w:space="0" w:color="auto"/>
                </w:tcBorders>
                <w:shd w:val="clear" w:color="auto" w:fill="auto"/>
                <w:noWrap/>
                <w:vAlign w:val="bottom"/>
                <w:hideMark/>
              </w:tcPr>
              <w:p w:rsidR="0089684C" w:rsidRPr="00C3097F" w:rsidRDefault="0089684C" w:rsidP="00A03AD0">
                <w:pPr>
                  <w:jc w:val="center"/>
                  <w:rPr>
                    <w:sz w:val="18"/>
                    <w:szCs w:val="18"/>
                  </w:rPr>
                </w:pPr>
                <w:r>
                  <w:rPr>
                    <w:sz w:val="18"/>
                    <w:szCs w:val="18"/>
                  </w:rPr>
                  <w:t> </w:t>
                </w:r>
              </w:p>
            </w:tc>
            <w:tc>
              <w:tcPr>
                <w:tcW w:w="1257" w:type="dxa"/>
                <w:tcBorders>
                  <w:top w:val="single" w:sz="4" w:space="0" w:color="auto"/>
                  <w:bottom w:val="single" w:sz="4" w:space="0" w:color="auto"/>
                  <w:right w:val="single" w:sz="4" w:space="0" w:color="auto"/>
                </w:tcBorders>
                <w:shd w:val="clear" w:color="auto" w:fill="auto"/>
                <w:noWrap/>
                <w:vAlign w:val="bottom"/>
                <w:hideMark/>
              </w:tcPr>
              <w:p w:rsidR="0089684C" w:rsidRPr="00C3097F" w:rsidRDefault="0089684C" w:rsidP="00A03AD0">
                <w:pPr>
                  <w:jc w:val="center"/>
                  <w:rPr>
                    <w:color w:val="000000"/>
                    <w:sz w:val="18"/>
                    <w:szCs w:val="18"/>
                  </w:rPr>
                </w:pPr>
                <w:r>
                  <w:rPr>
                    <w:color w:val="000000"/>
                    <w:sz w:val="18"/>
                    <w:szCs w:val="18"/>
                  </w:rPr>
                  <w:t> </w:t>
                </w:r>
              </w:p>
            </w:tc>
          </w:tr>
          <w:tr w:rsidR="0089684C" w:rsidRPr="00A13168" w:rsidTr="00A03AD0">
            <w:trPr>
              <w:trHeight w:val="310"/>
            </w:trPr>
            <w:tc>
              <w:tcPr>
                <w:tcW w:w="2220" w:type="dxa"/>
                <w:tcBorders>
                  <w:top w:val="nil"/>
                  <w:left w:val="single" w:sz="4" w:space="0" w:color="auto"/>
                  <w:bottom w:val="single" w:sz="4" w:space="0" w:color="auto"/>
                  <w:right w:val="single" w:sz="4" w:space="0" w:color="auto"/>
                </w:tcBorders>
                <w:shd w:val="clear" w:color="auto" w:fill="auto"/>
                <w:noWrap/>
                <w:vAlign w:val="bottom"/>
                <w:hideMark/>
              </w:tcPr>
              <w:p w:rsidR="0089684C" w:rsidRPr="00C3097F" w:rsidRDefault="0089684C" w:rsidP="00A03AD0">
                <w:pPr>
                  <w:rPr>
                    <w:sz w:val="18"/>
                    <w:szCs w:val="18"/>
                  </w:rPr>
                </w:pPr>
                <w:r>
                  <w:rPr>
                    <w:sz w:val="18"/>
                    <w:szCs w:val="18"/>
                  </w:rPr>
                  <w:t>Kryssningsfartyg</w:t>
                </w:r>
              </w:p>
            </w:tc>
            <w:tc>
              <w:tcPr>
                <w:tcW w:w="1680" w:type="dxa"/>
                <w:tcBorders>
                  <w:top w:val="single" w:sz="4" w:space="0" w:color="auto"/>
                  <w:left w:val="nil"/>
                  <w:bottom w:val="single" w:sz="4" w:space="0" w:color="auto"/>
                </w:tcBorders>
                <w:shd w:val="clear" w:color="auto" w:fill="auto"/>
                <w:noWrap/>
                <w:vAlign w:val="bottom"/>
                <w:hideMark/>
              </w:tcPr>
              <w:p w:rsidR="0089684C" w:rsidRPr="00C3097F" w:rsidRDefault="0089684C" w:rsidP="00A03AD0">
                <w:pPr>
                  <w:jc w:val="center"/>
                  <w:rPr>
                    <w:sz w:val="18"/>
                    <w:szCs w:val="18"/>
                  </w:rPr>
                </w:pPr>
                <w:r>
                  <w:rPr>
                    <w:sz w:val="18"/>
                    <w:szCs w:val="18"/>
                  </w:rPr>
                  <w:t>5 100 229</w:t>
                </w:r>
              </w:p>
            </w:tc>
            <w:tc>
              <w:tcPr>
                <w:tcW w:w="1203" w:type="dxa"/>
                <w:tcBorders>
                  <w:top w:val="nil"/>
                  <w:left w:val="nil"/>
                  <w:bottom w:val="single" w:sz="4" w:space="0" w:color="auto"/>
                  <w:right w:val="single" w:sz="4" w:space="0" w:color="auto"/>
                </w:tcBorders>
                <w:shd w:val="clear" w:color="auto" w:fill="auto"/>
                <w:noWrap/>
                <w:vAlign w:val="bottom"/>
                <w:hideMark/>
              </w:tcPr>
              <w:p w:rsidR="0089684C" w:rsidRPr="00C3097F" w:rsidRDefault="0089684C" w:rsidP="00A03AD0">
                <w:pPr>
                  <w:jc w:val="center"/>
                  <w:rPr>
                    <w:color w:val="000000"/>
                    <w:sz w:val="18"/>
                    <w:szCs w:val="18"/>
                  </w:rPr>
                </w:pPr>
                <w:r>
                  <w:rPr>
                    <w:color w:val="000000"/>
                    <w:sz w:val="18"/>
                    <w:szCs w:val="18"/>
                  </w:rPr>
                  <w:t>10,2</w:t>
                </w:r>
              </w:p>
            </w:tc>
            <w:tc>
              <w:tcPr>
                <w:tcW w:w="1437" w:type="dxa"/>
                <w:tcBorders>
                  <w:top w:val="single" w:sz="4" w:space="0" w:color="auto"/>
                  <w:left w:val="nil"/>
                  <w:bottom w:val="single" w:sz="4" w:space="0" w:color="auto"/>
                </w:tcBorders>
                <w:shd w:val="clear" w:color="auto" w:fill="auto"/>
                <w:noWrap/>
                <w:vAlign w:val="bottom"/>
                <w:hideMark/>
              </w:tcPr>
              <w:p w:rsidR="0089684C" w:rsidRPr="00C3097F" w:rsidRDefault="0089684C" w:rsidP="00A03AD0">
                <w:pPr>
                  <w:jc w:val="center"/>
                  <w:rPr>
                    <w:sz w:val="18"/>
                    <w:szCs w:val="18"/>
                  </w:rPr>
                </w:pPr>
                <w:r>
                  <w:rPr>
                    <w:sz w:val="18"/>
                    <w:szCs w:val="18"/>
                  </w:rPr>
                  <w:t>5 508 700</w:t>
                </w:r>
              </w:p>
            </w:tc>
            <w:tc>
              <w:tcPr>
                <w:tcW w:w="1257" w:type="dxa"/>
                <w:tcBorders>
                  <w:top w:val="nil"/>
                  <w:left w:val="nil"/>
                  <w:bottom w:val="single" w:sz="4" w:space="0" w:color="auto"/>
                  <w:right w:val="single" w:sz="4" w:space="0" w:color="auto"/>
                </w:tcBorders>
                <w:shd w:val="clear" w:color="auto" w:fill="auto"/>
                <w:noWrap/>
                <w:vAlign w:val="bottom"/>
                <w:hideMark/>
              </w:tcPr>
              <w:p w:rsidR="0089684C" w:rsidRPr="00C3097F" w:rsidRDefault="0089684C" w:rsidP="00A03AD0">
                <w:pPr>
                  <w:jc w:val="center"/>
                  <w:rPr>
                    <w:color w:val="000000"/>
                    <w:sz w:val="18"/>
                    <w:szCs w:val="18"/>
                  </w:rPr>
                </w:pPr>
                <w:r>
                  <w:rPr>
                    <w:color w:val="000000"/>
                    <w:sz w:val="18"/>
                    <w:szCs w:val="18"/>
                  </w:rPr>
                  <w:t>10,5</w:t>
                </w:r>
              </w:p>
            </w:tc>
          </w:tr>
          <w:tr w:rsidR="0089684C" w:rsidRPr="00A13168" w:rsidTr="00A03AD0">
            <w:trPr>
              <w:trHeight w:val="310"/>
            </w:trPr>
            <w:tc>
              <w:tcPr>
                <w:tcW w:w="2220" w:type="dxa"/>
                <w:tcBorders>
                  <w:top w:val="nil"/>
                  <w:left w:val="single" w:sz="4" w:space="0" w:color="auto"/>
                  <w:bottom w:val="single" w:sz="4" w:space="0" w:color="auto"/>
                  <w:right w:val="single" w:sz="4" w:space="0" w:color="auto"/>
                </w:tcBorders>
                <w:shd w:val="clear" w:color="auto" w:fill="auto"/>
                <w:noWrap/>
                <w:vAlign w:val="bottom"/>
                <w:hideMark/>
              </w:tcPr>
              <w:p w:rsidR="0089684C" w:rsidRPr="00C3097F" w:rsidRDefault="0089684C" w:rsidP="00A03AD0">
                <w:pPr>
                  <w:rPr>
                    <w:sz w:val="18"/>
                    <w:szCs w:val="18"/>
                  </w:rPr>
                </w:pPr>
                <w:r>
                  <w:rPr>
                    <w:sz w:val="18"/>
                    <w:szCs w:val="18"/>
                  </w:rPr>
                  <w:t>Passagerarfartyg</w:t>
                </w:r>
              </w:p>
            </w:tc>
            <w:tc>
              <w:tcPr>
                <w:tcW w:w="1680" w:type="dxa"/>
                <w:tcBorders>
                  <w:top w:val="single" w:sz="4" w:space="0" w:color="auto"/>
                  <w:left w:val="nil"/>
                  <w:bottom w:val="single" w:sz="4" w:space="0" w:color="auto"/>
                </w:tcBorders>
                <w:shd w:val="clear" w:color="auto" w:fill="auto"/>
                <w:noWrap/>
                <w:vAlign w:val="bottom"/>
                <w:hideMark/>
              </w:tcPr>
              <w:p w:rsidR="0089684C" w:rsidRPr="00C3097F" w:rsidRDefault="0089684C" w:rsidP="00A03AD0">
                <w:pPr>
                  <w:jc w:val="center"/>
                  <w:rPr>
                    <w:sz w:val="18"/>
                    <w:szCs w:val="18"/>
                  </w:rPr>
                </w:pPr>
                <w:r>
                  <w:rPr>
                    <w:sz w:val="18"/>
                    <w:szCs w:val="18"/>
                  </w:rPr>
                  <w:t>10 834 049</w:t>
                </w:r>
              </w:p>
            </w:tc>
            <w:tc>
              <w:tcPr>
                <w:tcW w:w="1203" w:type="dxa"/>
                <w:tcBorders>
                  <w:top w:val="nil"/>
                  <w:left w:val="nil"/>
                  <w:bottom w:val="single" w:sz="4" w:space="0" w:color="auto"/>
                  <w:right w:val="single" w:sz="4" w:space="0" w:color="auto"/>
                </w:tcBorders>
                <w:shd w:val="clear" w:color="auto" w:fill="auto"/>
                <w:noWrap/>
                <w:vAlign w:val="bottom"/>
                <w:hideMark/>
              </w:tcPr>
              <w:p w:rsidR="0089684C" w:rsidRPr="00C3097F" w:rsidRDefault="0089684C" w:rsidP="00A03AD0">
                <w:pPr>
                  <w:jc w:val="center"/>
                  <w:rPr>
                    <w:color w:val="000000"/>
                    <w:sz w:val="18"/>
                    <w:szCs w:val="18"/>
                  </w:rPr>
                </w:pPr>
                <w:r>
                  <w:rPr>
                    <w:color w:val="000000"/>
                    <w:sz w:val="18"/>
                    <w:szCs w:val="18"/>
                  </w:rPr>
                  <w:t>21,7</w:t>
                </w:r>
              </w:p>
            </w:tc>
            <w:tc>
              <w:tcPr>
                <w:tcW w:w="1437" w:type="dxa"/>
                <w:tcBorders>
                  <w:top w:val="single" w:sz="4" w:space="0" w:color="auto"/>
                  <w:left w:val="nil"/>
                  <w:bottom w:val="single" w:sz="4" w:space="0" w:color="auto"/>
                </w:tcBorders>
                <w:shd w:val="clear" w:color="auto" w:fill="auto"/>
                <w:noWrap/>
                <w:vAlign w:val="bottom"/>
                <w:hideMark/>
              </w:tcPr>
              <w:p w:rsidR="0089684C" w:rsidRPr="00C3097F" w:rsidRDefault="0089684C" w:rsidP="00A03AD0">
                <w:pPr>
                  <w:jc w:val="center"/>
                  <w:rPr>
                    <w:sz w:val="18"/>
                    <w:szCs w:val="18"/>
                  </w:rPr>
                </w:pPr>
                <w:r>
                  <w:rPr>
                    <w:sz w:val="18"/>
                    <w:szCs w:val="18"/>
                  </w:rPr>
                  <w:t>11 064 202</w:t>
                </w:r>
              </w:p>
            </w:tc>
            <w:tc>
              <w:tcPr>
                <w:tcW w:w="1257" w:type="dxa"/>
                <w:tcBorders>
                  <w:top w:val="nil"/>
                  <w:left w:val="nil"/>
                  <w:bottom w:val="single" w:sz="4" w:space="0" w:color="auto"/>
                  <w:right w:val="single" w:sz="4" w:space="0" w:color="auto"/>
                </w:tcBorders>
                <w:shd w:val="clear" w:color="auto" w:fill="auto"/>
                <w:noWrap/>
                <w:vAlign w:val="bottom"/>
                <w:hideMark/>
              </w:tcPr>
              <w:p w:rsidR="0089684C" w:rsidRPr="00C3097F" w:rsidRDefault="0089684C" w:rsidP="00A03AD0">
                <w:pPr>
                  <w:jc w:val="center"/>
                  <w:rPr>
                    <w:color w:val="000000"/>
                    <w:sz w:val="18"/>
                    <w:szCs w:val="18"/>
                  </w:rPr>
                </w:pPr>
                <w:r>
                  <w:rPr>
                    <w:color w:val="000000"/>
                    <w:sz w:val="18"/>
                    <w:szCs w:val="18"/>
                  </w:rPr>
                  <w:t>21,1</w:t>
                </w:r>
              </w:p>
            </w:tc>
          </w:tr>
          <w:tr w:rsidR="0089684C" w:rsidRPr="00A13168" w:rsidTr="00A03AD0">
            <w:trPr>
              <w:trHeight w:val="310"/>
            </w:trPr>
            <w:tc>
              <w:tcPr>
                <w:tcW w:w="2220" w:type="dxa"/>
                <w:tcBorders>
                  <w:top w:val="nil"/>
                  <w:left w:val="single" w:sz="4" w:space="0" w:color="auto"/>
                  <w:bottom w:val="single" w:sz="4" w:space="0" w:color="auto"/>
                  <w:right w:val="single" w:sz="4" w:space="0" w:color="auto"/>
                </w:tcBorders>
                <w:shd w:val="clear" w:color="auto" w:fill="auto"/>
                <w:noWrap/>
                <w:vAlign w:val="bottom"/>
                <w:hideMark/>
              </w:tcPr>
              <w:p w:rsidR="0089684C" w:rsidRPr="00C3097F" w:rsidRDefault="0089684C" w:rsidP="00A03AD0">
                <w:pPr>
                  <w:rPr>
                    <w:sz w:val="18"/>
                    <w:szCs w:val="18"/>
                  </w:rPr>
                </w:pPr>
                <w:r>
                  <w:rPr>
                    <w:sz w:val="18"/>
                    <w:szCs w:val="18"/>
                  </w:rPr>
                  <w:t>Lastfartyg</w:t>
                </w:r>
              </w:p>
            </w:tc>
            <w:tc>
              <w:tcPr>
                <w:tcW w:w="1680" w:type="dxa"/>
                <w:tcBorders>
                  <w:top w:val="single" w:sz="4" w:space="0" w:color="auto"/>
                  <w:left w:val="nil"/>
                  <w:bottom w:val="single" w:sz="4" w:space="0" w:color="auto"/>
                </w:tcBorders>
                <w:shd w:val="clear" w:color="auto" w:fill="auto"/>
                <w:noWrap/>
                <w:vAlign w:val="bottom"/>
                <w:hideMark/>
              </w:tcPr>
              <w:p w:rsidR="0089684C" w:rsidRPr="00C3097F" w:rsidRDefault="0089684C" w:rsidP="00A03AD0">
                <w:pPr>
                  <w:jc w:val="center"/>
                  <w:rPr>
                    <w:sz w:val="18"/>
                    <w:szCs w:val="18"/>
                  </w:rPr>
                </w:pPr>
                <w:r>
                  <w:rPr>
                    <w:sz w:val="18"/>
                    <w:szCs w:val="18"/>
                  </w:rPr>
                  <w:t>33 833 813</w:t>
                </w:r>
              </w:p>
            </w:tc>
            <w:tc>
              <w:tcPr>
                <w:tcW w:w="1203" w:type="dxa"/>
                <w:tcBorders>
                  <w:top w:val="nil"/>
                  <w:left w:val="nil"/>
                  <w:bottom w:val="single" w:sz="4" w:space="0" w:color="auto"/>
                  <w:right w:val="single" w:sz="4" w:space="0" w:color="auto"/>
                </w:tcBorders>
                <w:shd w:val="clear" w:color="auto" w:fill="auto"/>
                <w:noWrap/>
                <w:vAlign w:val="bottom"/>
                <w:hideMark/>
              </w:tcPr>
              <w:p w:rsidR="0089684C" w:rsidRPr="00C3097F" w:rsidRDefault="0089684C" w:rsidP="00A03AD0">
                <w:pPr>
                  <w:jc w:val="center"/>
                  <w:rPr>
                    <w:color w:val="000000"/>
                    <w:sz w:val="18"/>
                    <w:szCs w:val="18"/>
                  </w:rPr>
                </w:pPr>
                <w:r>
                  <w:rPr>
                    <w:color w:val="000000"/>
                    <w:sz w:val="18"/>
                    <w:szCs w:val="18"/>
                  </w:rPr>
                  <w:t>67,8</w:t>
                </w:r>
              </w:p>
            </w:tc>
            <w:tc>
              <w:tcPr>
                <w:tcW w:w="1437" w:type="dxa"/>
                <w:tcBorders>
                  <w:top w:val="single" w:sz="4" w:space="0" w:color="auto"/>
                  <w:left w:val="nil"/>
                  <w:bottom w:val="single" w:sz="4" w:space="0" w:color="auto"/>
                </w:tcBorders>
                <w:shd w:val="clear" w:color="auto" w:fill="auto"/>
                <w:noWrap/>
                <w:vAlign w:val="bottom"/>
                <w:hideMark/>
              </w:tcPr>
              <w:p w:rsidR="0089684C" w:rsidRPr="00C3097F" w:rsidRDefault="0089684C" w:rsidP="00A03AD0">
                <w:pPr>
                  <w:jc w:val="center"/>
                  <w:rPr>
                    <w:sz w:val="18"/>
                    <w:szCs w:val="18"/>
                  </w:rPr>
                </w:pPr>
                <w:r>
                  <w:rPr>
                    <w:sz w:val="18"/>
                    <w:szCs w:val="18"/>
                  </w:rPr>
                  <w:t>35 612 330</w:t>
                </w:r>
              </w:p>
            </w:tc>
            <w:tc>
              <w:tcPr>
                <w:tcW w:w="1257" w:type="dxa"/>
                <w:tcBorders>
                  <w:top w:val="nil"/>
                  <w:left w:val="nil"/>
                  <w:bottom w:val="single" w:sz="4" w:space="0" w:color="auto"/>
                  <w:right w:val="single" w:sz="4" w:space="0" w:color="auto"/>
                </w:tcBorders>
                <w:shd w:val="clear" w:color="auto" w:fill="auto"/>
                <w:noWrap/>
                <w:vAlign w:val="bottom"/>
                <w:hideMark/>
              </w:tcPr>
              <w:p w:rsidR="0089684C" w:rsidRPr="00C3097F" w:rsidRDefault="0089684C" w:rsidP="00A03AD0">
                <w:pPr>
                  <w:jc w:val="center"/>
                  <w:rPr>
                    <w:color w:val="000000"/>
                    <w:sz w:val="18"/>
                    <w:szCs w:val="18"/>
                  </w:rPr>
                </w:pPr>
                <w:r>
                  <w:rPr>
                    <w:color w:val="000000"/>
                    <w:sz w:val="18"/>
                    <w:szCs w:val="18"/>
                  </w:rPr>
                  <w:t>68,0</w:t>
                </w:r>
              </w:p>
            </w:tc>
          </w:tr>
          <w:tr w:rsidR="0089684C" w:rsidRPr="00A13168" w:rsidTr="00A03AD0">
            <w:trPr>
              <w:trHeight w:val="310"/>
            </w:trPr>
            <w:tc>
              <w:tcPr>
                <w:tcW w:w="2220" w:type="dxa"/>
                <w:tcBorders>
                  <w:top w:val="nil"/>
                  <w:left w:val="single" w:sz="4" w:space="0" w:color="auto"/>
                  <w:bottom w:val="single" w:sz="4" w:space="0" w:color="auto"/>
                  <w:right w:val="single" w:sz="4" w:space="0" w:color="auto"/>
                </w:tcBorders>
                <w:shd w:val="clear" w:color="auto" w:fill="auto"/>
                <w:noWrap/>
                <w:vAlign w:val="bottom"/>
                <w:hideMark/>
              </w:tcPr>
              <w:p w:rsidR="0089684C" w:rsidRPr="00C3097F" w:rsidRDefault="0089684C" w:rsidP="00A03AD0">
                <w:pPr>
                  <w:rPr>
                    <w:sz w:val="18"/>
                    <w:szCs w:val="18"/>
                  </w:rPr>
                </w:pPr>
                <w:r>
                  <w:rPr>
                    <w:sz w:val="18"/>
                    <w:szCs w:val="18"/>
                  </w:rPr>
                  <w:t>Fartyg utan eget framdrivningsmaskineri</w:t>
                </w:r>
              </w:p>
            </w:tc>
            <w:tc>
              <w:tcPr>
                <w:tcW w:w="1680" w:type="dxa"/>
                <w:tcBorders>
                  <w:top w:val="single" w:sz="4" w:space="0" w:color="auto"/>
                  <w:left w:val="nil"/>
                  <w:bottom w:val="single" w:sz="4" w:space="0" w:color="auto"/>
                </w:tcBorders>
                <w:shd w:val="clear" w:color="auto" w:fill="auto"/>
                <w:noWrap/>
                <w:vAlign w:val="bottom"/>
                <w:hideMark/>
              </w:tcPr>
              <w:p w:rsidR="0089684C" w:rsidRPr="00C3097F" w:rsidRDefault="0089684C" w:rsidP="00A03AD0">
                <w:pPr>
                  <w:jc w:val="center"/>
                  <w:rPr>
                    <w:sz w:val="18"/>
                    <w:szCs w:val="18"/>
                  </w:rPr>
                </w:pPr>
                <w:r>
                  <w:rPr>
                    <w:sz w:val="18"/>
                    <w:szCs w:val="18"/>
                  </w:rPr>
                  <w:t>137 597</w:t>
                </w:r>
              </w:p>
            </w:tc>
            <w:tc>
              <w:tcPr>
                <w:tcW w:w="1203" w:type="dxa"/>
                <w:tcBorders>
                  <w:top w:val="nil"/>
                  <w:left w:val="nil"/>
                  <w:bottom w:val="single" w:sz="4" w:space="0" w:color="auto"/>
                  <w:right w:val="single" w:sz="4" w:space="0" w:color="auto"/>
                </w:tcBorders>
                <w:shd w:val="clear" w:color="auto" w:fill="auto"/>
                <w:noWrap/>
                <w:vAlign w:val="bottom"/>
                <w:hideMark/>
              </w:tcPr>
              <w:p w:rsidR="0089684C" w:rsidRPr="00C3097F" w:rsidRDefault="0089684C" w:rsidP="00A03AD0">
                <w:pPr>
                  <w:jc w:val="center"/>
                  <w:rPr>
                    <w:color w:val="000000"/>
                    <w:sz w:val="18"/>
                    <w:szCs w:val="18"/>
                  </w:rPr>
                </w:pPr>
                <w:r>
                  <w:rPr>
                    <w:color w:val="000000"/>
                    <w:sz w:val="18"/>
                    <w:szCs w:val="18"/>
                  </w:rPr>
                  <w:t>0,3</w:t>
                </w:r>
              </w:p>
            </w:tc>
            <w:tc>
              <w:tcPr>
                <w:tcW w:w="1437" w:type="dxa"/>
                <w:tcBorders>
                  <w:top w:val="single" w:sz="4" w:space="0" w:color="auto"/>
                  <w:left w:val="nil"/>
                  <w:bottom w:val="single" w:sz="4" w:space="0" w:color="auto"/>
                </w:tcBorders>
                <w:shd w:val="clear" w:color="auto" w:fill="auto"/>
                <w:noWrap/>
                <w:vAlign w:val="bottom"/>
                <w:hideMark/>
              </w:tcPr>
              <w:p w:rsidR="0089684C" w:rsidRPr="00C3097F" w:rsidRDefault="0089684C" w:rsidP="00A03AD0">
                <w:pPr>
                  <w:jc w:val="center"/>
                  <w:rPr>
                    <w:sz w:val="18"/>
                    <w:szCs w:val="18"/>
                  </w:rPr>
                </w:pPr>
                <w:r>
                  <w:rPr>
                    <w:sz w:val="18"/>
                    <w:szCs w:val="18"/>
                  </w:rPr>
                  <w:t>202 856</w:t>
                </w:r>
              </w:p>
            </w:tc>
            <w:tc>
              <w:tcPr>
                <w:tcW w:w="1257" w:type="dxa"/>
                <w:tcBorders>
                  <w:top w:val="nil"/>
                  <w:left w:val="nil"/>
                  <w:bottom w:val="single" w:sz="4" w:space="0" w:color="auto"/>
                  <w:right w:val="single" w:sz="4" w:space="0" w:color="auto"/>
                </w:tcBorders>
                <w:shd w:val="clear" w:color="auto" w:fill="auto"/>
                <w:noWrap/>
                <w:vAlign w:val="bottom"/>
                <w:hideMark/>
              </w:tcPr>
              <w:p w:rsidR="0089684C" w:rsidRPr="00C3097F" w:rsidRDefault="0089684C" w:rsidP="00A03AD0">
                <w:pPr>
                  <w:jc w:val="center"/>
                  <w:rPr>
                    <w:color w:val="000000"/>
                    <w:sz w:val="18"/>
                    <w:szCs w:val="18"/>
                  </w:rPr>
                </w:pPr>
                <w:r>
                  <w:rPr>
                    <w:color w:val="000000"/>
                    <w:sz w:val="18"/>
                    <w:szCs w:val="18"/>
                  </w:rPr>
                  <w:t>0,4</w:t>
                </w:r>
              </w:p>
            </w:tc>
          </w:tr>
          <w:tr w:rsidR="0089684C" w:rsidRPr="00A13168" w:rsidTr="00A03AD0">
            <w:trPr>
              <w:trHeight w:val="310"/>
            </w:trPr>
            <w:tc>
              <w:tcPr>
                <w:tcW w:w="2220" w:type="dxa"/>
                <w:tcBorders>
                  <w:top w:val="nil"/>
                  <w:left w:val="single" w:sz="4" w:space="0" w:color="auto"/>
                  <w:bottom w:val="single" w:sz="4" w:space="0" w:color="auto"/>
                  <w:right w:val="single" w:sz="4" w:space="0" w:color="auto"/>
                </w:tcBorders>
                <w:shd w:val="clear" w:color="auto" w:fill="auto"/>
                <w:noWrap/>
                <w:vAlign w:val="bottom"/>
                <w:hideMark/>
              </w:tcPr>
              <w:p w:rsidR="0089684C" w:rsidRPr="00C3097F" w:rsidRDefault="0089684C" w:rsidP="00A03AD0">
                <w:pPr>
                  <w:rPr>
                    <w:b/>
                    <w:color w:val="000000"/>
                    <w:sz w:val="18"/>
                    <w:szCs w:val="18"/>
                  </w:rPr>
                </w:pPr>
                <w:r>
                  <w:rPr>
                    <w:b/>
                    <w:color w:val="000000"/>
                    <w:sz w:val="18"/>
                    <w:szCs w:val="18"/>
                  </w:rPr>
                  <w:t>Sammanlagt</w:t>
                </w:r>
              </w:p>
            </w:tc>
            <w:tc>
              <w:tcPr>
                <w:tcW w:w="1680" w:type="dxa"/>
                <w:tcBorders>
                  <w:top w:val="single" w:sz="4" w:space="0" w:color="auto"/>
                  <w:left w:val="nil"/>
                  <w:bottom w:val="single" w:sz="4" w:space="0" w:color="auto"/>
                </w:tcBorders>
                <w:shd w:val="clear" w:color="auto" w:fill="auto"/>
                <w:noWrap/>
                <w:vAlign w:val="bottom"/>
                <w:hideMark/>
              </w:tcPr>
              <w:p w:rsidR="0089684C" w:rsidRPr="00C3097F" w:rsidRDefault="0089684C" w:rsidP="00A03AD0">
                <w:pPr>
                  <w:jc w:val="center"/>
                  <w:rPr>
                    <w:b/>
                    <w:sz w:val="18"/>
                    <w:szCs w:val="18"/>
                  </w:rPr>
                </w:pPr>
                <w:r>
                  <w:rPr>
                    <w:b/>
                    <w:sz w:val="18"/>
                    <w:szCs w:val="18"/>
                  </w:rPr>
                  <w:t>49 905 689</w:t>
                </w:r>
              </w:p>
            </w:tc>
            <w:tc>
              <w:tcPr>
                <w:tcW w:w="1203" w:type="dxa"/>
                <w:tcBorders>
                  <w:top w:val="nil"/>
                  <w:left w:val="nil"/>
                  <w:bottom w:val="single" w:sz="4" w:space="0" w:color="auto"/>
                  <w:right w:val="single" w:sz="4" w:space="0" w:color="auto"/>
                </w:tcBorders>
                <w:shd w:val="clear" w:color="auto" w:fill="auto"/>
                <w:noWrap/>
                <w:vAlign w:val="bottom"/>
                <w:hideMark/>
              </w:tcPr>
              <w:p w:rsidR="0089684C" w:rsidRPr="00C3097F" w:rsidRDefault="0089684C" w:rsidP="00A03AD0">
                <w:pPr>
                  <w:jc w:val="center"/>
                  <w:rPr>
                    <w:b/>
                    <w:color w:val="000000"/>
                    <w:sz w:val="18"/>
                    <w:szCs w:val="18"/>
                  </w:rPr>
                </w:pPr>
                <w:r>
                  <w:rPr>
                    <w:b/>
                    <w:color w:val="000000"/>
                    <w:sz w:val="18"/>
                    <w:szCs w:val="18"/>
                  </w:rPr>
                  <w:t>100,0</w:t>
                </w:r>
              </w:p>
            </w:tc>
            <w:tc>
              <w:tcPr>
                <w:tcW w:w="1437" w:type="dxa"/>
                <w:tcBorders>
                  <w:top w:val="single" w:sz="4" w:space="0" w:color="auto"/>
                  <w:left w:val="nil"/>
                  <w:bottom w:val="single" w:sz="4" w:space="0" w:color="auto"/>
                </w:tcBorders>
                <w:shd w:val="clear" w:color="auto" w:fill="auto"/>
                <w:noWrap/>
                <w:vAlign w:val="bottom"/>
                <w:hideMark/>
              </w:tcPr>
              <w:p w:rsidR="0089684C" w:rsidRPr="00C3097F" w:rsidRDefault="0089684C" w:rsidP="00A03AD0">
                <w:pPr>
                  <w:jc w:val="center"/>
                  <w:rPr>
                    <w:b/>
                    <w:sz w:val="18"/>
                    <w:szCs w:val="18"/>
                  </w:rPr>
                </w:pPr>
                <w:r>
                  <w:rPr>
                    <w:b/>
                    <w:sz w:val="18"/>
                    <w:szCs w:val="18"/>
                  </w:rPr>
                  <w:t>52 388 088</w:t>
                </w:r>
              </w:p>
            </w:tc>
            <w:tc>
              <w:tcPr>
                <w:tcW w:w="1257" w:type="dxa"/>
                <w:tcBorders>
                  <w:top w:val="nil"/>
                  <w:left w:val="nil"/>
                  <w:bottom w:val="single" w:sz="4" w:space="0" w:color="auto"/>
                  <w:right w:val="single" w:sz="4" w:space="0" w:color="auto"/>
                </w:tcBorders>
                <w:shd w:val="clear" w:color="auto" w:fill="auto"/>
                <w:noWrap/>
                <w:vAlign w:val="bottom"/>
                <w:hideMark/>
              </w:tcPr>
              <w:p w:rsidR="0089684C" w:rsidRPr="00C3097F" w:rsidRDefault="0089684C" w:rsidP="00A03AD0">
                <w:pPr>
                  <w:jc w:val="center"/>
                  <w:rPr>
                    <w:b/>
                    <w:color w:val="000000"/>
                    <w:sz w:val="18"/>
                    <w:szCs w:val="18"/>
                  </w:rPr>
                </w:pPr>
                <w:r>
                  <w:rPr>
                    <w:b/>
                    <w:color w:val="000000"/>
                    <w:sz w:val="18"/>
                    <w:szCs w:val="18"/>
                  </w:rPr>
                  <w:t>100,0</w:t>
                </w:r>
              </w:p>
            </w:tc>
          </w:tr>
          <w:tr w:rsidR="0089684C" w:rsidRPr="00A13168" w:rsidTr="00A03AD0">
            <w:trPr>
              <w:trHeight w:val="310"/>
            </w:trPr>
            <w:tc>
              <w:tcPr>
                <w:tcW w:w="2220" w:type="dxa"/>
                <w:tcBorders>
                  <w:top w:val="single" w:sz="4" w:space="0" w:color="auto"/>
                  <w:left w:val="single" w:sz="4" w:space="0" w:color="auto"/>
                  <w:bottom w:val="single" w:sz="4" w:space="0" w:color="auto"/>
                </w:tcBorders>
                <w:shd w:val="clear" w:color="auto" w:fill="auto"/>
                <w:noWrap/>
                <w:vAlign w:val="bottom"/>
                <w:hideMark/>
              </w:tcPr>
              <w:p w:rsidR="0089684C" w:rsidRPr="00C3097F" w:rsidRDefault="0089684C" w:rsidP="00A03AD0">
                <w:pPr>
                  <w:rPr>
                    <w:b/>
                    <w:sz w:val="18"/>
                    <w:szCs w:val="18"/>
                  </w:rPr>
                </w:pPr>
                <w:r>
                  <w:rPr>
                    <w:b/>
                    <w:sz w:val="18"/>
                    <w:szCs w:val="18"/>
                  </w:rPr>
                  <w:t>Isklass</w:t>
                </w:r>
              </w:p>
            </w:tc>
            <w:tc>
              <w:tcPr>
                <w:tcW w:w="1680" w:type="dxa"/>
                <w:tcBorders>
                  <w:top w:val="single" w:sz="4" w:space="0" w:color="auto"/>
                  <w:bottom w:val="single" w:sz="4" w:space="0" w:color="auto"/>
                </w:tcBorders>
                <w:shd w:val="clear" w:color="auto" w:fill="auto"/>
                <w:noWrap/>
                <w:vAlign w:val="bottom"/>
                <w:hideMark/>
              </w:tcPr>
              <w:p w:rsidR="0089684C" w:rsidRPr="00C3097F" w:rsidRDefault="0089684C" w:rsidP="00A03AD0">
                <w:pPr>
                  <w:jc w:val="center"/>
                  <w:rPr>
                    <w:color w:val="000000"/>
                    <w:sz w:val="18"/>
                    <w:szCs w:val="18"/>
                  </w:rPr>
                </w:pPr>
                <w:r>
                  <w:rPr>
                    <w:color w:val="000000"/>
                    <w:sz w:val="18"/>
                    <w:szCs w:val="18"/>
                  </w:rPr>
                  <w:t> </w:t>
                </w:r>
              </w:p>
            </w:tc>
            <w:tc>
              <w:tcPr>
                <w:tcW w:w="1203" w:type="dxa"/>
                <w:tcBorders>
                  <w:top w:val="single" w:sz="4" w:space="0" w:color="auto"/>
                  <w:bottom w:val="single" w:sz="4" w:space="0" w:color="auto"/>
                </w:tcBorders>
                <w:shd w:val="clear" w:color="auto" w:fill="auto"/>
                <w:noWrap/>
                <w:vAlign w:val="bottom"/>
                <w:hideMark/>
              </w:tcPr>
              <w:p w:rsidR="0089684C" w:rsidRPr="00C3097F" w:rsidRDefault="0089684C" w:rsidP="00A03AD0">
                <w:pPr>
                  <w:jc w:val="center"/>
                  <w:rPr>
                    <w:color w:val="000000"/>
                    <w:sz w:val="18"/>
                    <w:szCs w:val="18"/>
                  </w:rPr>
                </w:pPr>
                <w:r>
                  <w:rPr>
                    <w:color w:val="000000"/>
                    <w:sz w:val="18"/>
                    <w:szCs w:val="18"/>
                  </w:rPr>
                  <w:t> </w:t>
                </w:r>
              </w:p>
            </w:tc>
            <w:tc>
              <w:tcPr>
                <w:tcW w:w="1437" w:type="dxa"/>
                <w:tcBorders>
                  <w:top w:val="single" w:sz="4" w:space="0" w:color="auto"/>
                  <w:bottom w:val="single" w:sz="4" w:space="0" w:color="auto"/>
                </w:tcBorders>
                <w:shd w:val="clear" w:color="auto" w:fill="auto"/>
                <w:noWrap/>
                <w:vAlign w:val="bottom"/>
                <w:hideMark/>
              </w:tcPr>
              <w:p w:rsidR="0089684C" w:rsidRPr="00C3097F" w:rsidRDefault="0089684C" w:rsidP="00A03AD0">
                <w:pPr>
                  <w:jc w:val="center"/>
                  <w:rPr>
                    <w:color w:val="000000"/>
                    <w:sz w:val="18"/>
                    <w:szCs w:val="18"/>
                  </w:rPr>
                </w:pPr>
                <w:r>
                  <w:rPr>
                    <w:color w:val="000000"/>
                    <w:sz w:val="18"/>
                    <w:szCs w:val="18"/>
                  </w:rPr>
                  <w:t> </w:t>
                </w:r>
              </w:p>
            </w:tc>
            <w:tc>
              <w:tcPr>
                <w:tcW w:w="1257" w:type="dxa"/>
                <w:tcBorders>
                  <w:top w:val="single" w:sz="4" w:space="0" w:color="auto"/>
                  <w:bottom w:val="single" w:sz="4" w:space="0" w:color="auto"/>
                  <w:right w:val="single" w:sz="4" w:space="0" w:color="auto"/>
                </w:tcBorders>
                <w:shd w:val="clear" w:color="auto" w:fill="auto"/>
                <w:noWrap/>
                <w:vAlign w:val="bottom"/>
                <w:hideMark/>
              </w:tcPr>
              <w:p w:rsidR="0089684C" w:rsidRPr="00C3097F" w:rsidRDefault="0089684C" w:rsidP="00A03AD0">
                <w:pPr>
                  <w:jc w:val="center"/>
                  <w:rPr>
                    <w:color w:val="000000"/>
                    <w:sz w:val="18"/>
                    <w:szCs w:val="18"/>
                  </w:rPr>
                </w:pPr>
                <w:r>
                  <w:rPr>
                    <w:color w:val="000000"/>
                    <w:sz w:val="18"/>
                    <w:szCs w:val="18"/>
                  </w:rPr>
                  <w:t> </w:t>
                </w:r>
              </w:p>
            </w:tc>
          </w:tr>
          <w:tr w:rsidR="0089684C" w:rsidRPr="00A13168" w:rsidTr="00A03AD0">
            <w:trPr>
              <w:trHeight w:val="310"/>
            </w:trPr>
            <w:tc>
              <w:tcPr>
                <w:tcW w:w="2220" w:type="dxa"/>
                <w:tcBorders>
                  <w:top w:val="nil"/>
                  <w:left w:val="single" w:sz="4" w:space="0" w:color="auto"/>
                  <w:bottom w:val="single" w:sz="4" w:space="0" w:color="auto"/>
                  <w:right w:val="single" w:sz="4" w:space="0" w:color="auto"/>
                </w:tcBorders>
                <w:shd w:val="clear" w:color="auto" w:fill="auto"/>
                <w:noWrap/>
                <w:vAlign w:val="bottom"/>
                <w:hideMark/>
              </w:tcPr>
              <w:p w:rsidR="0089684C" w:rsidRPr="00C3097F" w:rsidRDefault="0089684C" w:rsidP="00A03AD0">
                <w:pPr>
                  <w:rPr>
                    <w:sz w:val="18"/>
                    <w:szCs w:val="18"/>
                  </w:rPr>
                </w:pPr>
                <w:r>
                  <w:rPr>
                    <w:sz w:val="18"/>
                    <w:szCs w:val="18"/>
                  </w:rPr>
                  <w:t>IA Super</w:t>
                </w:r>
              </w:p>
            </w:tc>
            <w:tc>
              <w:tcPr>
                <w:tcW w:w="1680" w:type="dxa"/>
                <w:tcBorders>
                  <w:top w:val="single" w:sz="4" w:space="0" w:color="auto"/>
                  <w:left w:val="nil"/>
                  <w:bottom w:val="single" w:sz="4" w:space="0" w:color="auto"/>
                </w:tcBorders>
                <w:shd w:val="clear" w:color="auto" w:fill="auto"/>
                <w:noWrap/>
                <w:vAlign w:val="bottom"/>
                <w:hideMark/>
              </w:tcPr>
              <w:p w:rsidR="0089684C" w:rsidRPr="00C3097F" w:rsidRDefault="0089684C" w:rsidP="00A03AD0">
                <w:pPr>
                  <w:jc w:val="center"/>
                  <w:rPr>
                    <w:sz w:val="18"/>
                    <w:szCs w:val="18"/>
                  </w:rPr>
                </w:pPr>
                <w:r>
                  <w:rPr>
                    <w:sz w:val="18"/>
                    <w:szCs w:val="18"/>
                  </w:rPr>
                  <w:t>10 209 358</w:t>
                </w:r>
              </w:p>
            </w:tc>
            <w:tc>
              <w:tcPr>
                <w:tcW w:w="1203" w:type="dxa"/>
                <w:tcBorders>
                  <w:top w:val="nil"/>
                  <w:left w:val="nil"/>
                  <w:bottom w:val="single" w:sz="4" w:space="0" w:color="auto"/>
                  <w:right w:val="single" w:sz="4" w:space="0" w:color="auto"/>
                </w:tcBorders>
                <w:shd w:val="clear" w:color="auto" w:fill="auto"/>
                <w:noWrap/>
                <w:vAlign w:val="bottom"/>
                <w:hideMark/>
              </w:tcPr>
              <w:p w:rsidR="0089684C" w:rsidRPr="00C3097F" w:rsidRDefault="0089684C" w:rsidP="00A03AD0">
                <w:pPr>
                  <w:jc w:val="center"/>
                  <w:rPr>
                    <w:color w:val="000000"/>
                    <w:sz w:val="18"/>
                    <w:szCs w:val="18"/>
                  </w:rPr>
                </w:pPr>
                <w:r>
                  <w:rPr>
                    <w:color w:val="000000"/>
                    <w:sz w:val="18"/>
                    <w:szCs w:val="18"/>
                  </w:rPr>
                  <w:t>20,5</w:t>
                </w:r>
              </w:p>
            </w:tc>
            <w:tc>
              <w:tcPr>
                <w:tcW w:w="1437" w:type="dxa"/>
                <w:tcBorders>
                  <w:top w:val="single" w:sz="4" w:space="0" w:color="auto"/>
                  <w:left w:val="nil"/>
                  <w:bottom w:val="single" w:sz="4" w:space="0" w:color="auto"/>
                </w:tcBorders>
                <w:shd w:val="clear" w:color="auto" w:fill="auto"/>
                <w:noWrap/>
                <w:vAlign w:val="bottom"/>
                <w:hideMark/>
              </w:tcPr>
              <w:p w:rsidR="0089684C" w:rsidRPr="00C3097F" w:rsidRDefault="0089684C" w:rsidP="00A03AD0">
                <w:pPr>
                  <w:jc w:val="center"/>
                  <w:rPr>
                    <w:sz w:val="18"/>
                    <w:szCs w:val="18"/>
                  </w:rPr>
                </w:pPr>
                <w:r>
                  <w:rPr>
                    <w:sz w:val="18"/>
                    <w:szCs w:val="18"/>
                  </w:rPr>
                  <w:t>9 619 454</w:t>
                </w:r>
              </w:p>
            </w:tc>
            <w:tc>
              <w:tcPr>
                <w:tcW w:w="1257" w:type="dxa"/>
                <w:tcBorders>
                  <w:top w:val="nil"/>
                  <w:left w:val="nil"/>
                  <w:bottom w:val="single" w:sz="4" w:space="0" w:color="auto"/>
                  <w:right w:val="single" w:sz="4" w:space="0" w:color="auto"/>
                </w:tcBorders>
                <w:shd w:val="clear" w:color="auto" w:fill="auto"/>
                <w:noWrap/>
                <w:vAlign w:val="bottom"/>
                <w:hideMark/>
              </w:tcPr>
              <w:p w:rsidR="0089684C" w:rsidRPr="00C3097F" w:rsidRDefault="0089684C" w:rsidP="00A03AD0">
                <w:pPr>
                  <w:jc w:val="center"/>
                  <w:rPr>
                    <w:color w:val="000000"/>
                    <w:sz w:val="18"/>
                    <w:szCs w:val="18"/>
                  </w:rPr>
                </w:pPr>
                <w:r>
                  <w:rPr>
                    <w:color w:val="000000"/>
                    <w:sz w:val="18"/>
                    <w:szCs w:val="18"/>
                  </w:rPr>
                  <w:t>18,4</w:t>
                </w:r>
              </w:p>
            </w:tc>
          </w:tr>
          <w:tr w:rsidR="0089684C" w:rsidRPr="00A13168" w:rsidTr="00A03AD0">
            <w:trPr>
              <w:trHeight w:val="310"/>
            </w:trPr>
            <w:tc>
              <w:tcPr>
                <w:tcW w:w="2220" w:type="dxa"/>
                <w:tcBorders>
                  <w:top w:val="nil"/>
                  <w:left w:val="single" w:sz="4" w:space="0" w:color="auto"/>
                  <w:bottom w:val="single" w:sz="4" w:space="0" w:color="auto"/>
                  <w:right w:val="single" w:sz="4" w:space="0" w:color="auto"/>
                </w:tcBorders>
                <w:shd w:val="clear" w:color="auto" w:fill="auto"/>
                <w:noWrap/>
                <w:vAlign w:val="bottom"/>
                <w:hideMark/>
              </w:tcPr>
              <w:p w:rsidR="0089684C" w:rsidRPr="00C3097F" w:rsidRDefault="0089684C" w:rsidP="00A03AD0">
                <w:pPr>
                  <w:rPr>
                    <w:sz w:val="18"/>
                    <w:szCs w:val="18"/>
                  </w:rPr>
                </w:pPr>
                <w:r>
                  <w:rPr>
                    <w:sz w:val="18"/>
                    <w:szCs w:val="18"/>
                  </w:rPr>
                  <w:t>IA</w:t>
                </w:r>
              </w:p>
            </w:tc>
            <w:tc>
              <w:tcPr>
                <w:tcW w:w="1680" w:type="dxa"/>
                <w:tcBorders>
                  <w:top w:val="single" w:sz="4" w:space="0" w:color="auto"/>
                  <w:left w:val="nil"/>
                  <w:bottom w:val="single" w:sz="4" w:space="0" w:color="auto"/>
                </w:tcBorders>
                <w:shd w:val="clear" w:color="auto" w:fill="auto"/>
                <w:noWrap/>
                <w:vAlign w:val="bottom"/>
                <w:hideMark/>
              </w:tcPr>
              <w:p w:rsidR="0089684C" w:rsidRPr="00C3097F" w:rsidRDefault="0089684C" w:rsidP="00A03AD0">
                <w:pPr>
                  <w:jc w:val="center"/>
                  <w:rPr>
                    <w:sz w:val="18"/>
                    <w:szCs w:val="18"/>
                  </w:rPr>
                </w:pPr>
                <w:r>
                  <w:rPr>
                    <w:sz w:val="18"/>
                    <w:szCs w:val="18"/>
                  </w:rPr>
                  <w:t>18 791 910</w:t>
                </w:r>
              </w:p>
            </w:tc>
            <w:tc>
              <w:tcPr>
                <w:tcW w:w="1203" w:type="dxa"/>
                <w:tcBorders>
                  <w:top w:val="nil"/>
                  <w:left w:val="nil"/>
                  <w:bottom w:val="single" w:sz="4" w:space="0" w:color="auto"/>
                  <w:right w:val="single" w:sz="4" w:space="0" w:color="auto"/>
                </w:tcBorders>
                <w:shd w:val="clear" w:color="auto" w:fill="auto"/>
                <w:noWrap/>
                <w:vAlign w:val="bottom"/>
                <w:hideMark/>
              </w:tcPr>
              <w:p w:rsidR="0089684C" w:rsidRPr="00C3097F" w:rsidRDefault="0089684C" w:rsidP="00A03AD0">
                <w:pPr>
                  <w:jc w:val="center"/>
                  <w:rPr>
                    <w:color w:val="000000"/>
                    <w:sz w:val="18"/>
                    <w:szCs w:val="18"/>
                  </w:rPr>
                </w:pPr>
                <w:r>
                  <w:rPr>
                    <w:color w:val="000000"/>
                    <w:sz w:val="18"/>
                    <w:szCs w:val="18"/>
                  </w:rPr>
                  <w:t>37,7</w:t>
                </w:r>
              </w:p>
            </w:tc>
            <w:tc>
              <w:tcPr>
                <w:tcW w:w="1437" w:type="dxa"/>
                <w:tcBorders>
                  <w:top w:val="single" w:sz="4" w:space="0" w:color="auto"/>
                  <w:left w:val="nil"/>
                  <w:bottom w:val="single" w:sz="4" w:space="0" w:color="auto"/>
                </w:tcBorders>
                <w:shd w:val="clear" w:color="auto" w:fill="auto"/>
                <w:noWrap/>
                <w:vAlign w:val="bottom"/>
                <w:hideMark/>
              </w:tcPr>
              <w:p w:rsidR="0089684C" w:rsidRPr="00C3097F" w:rsidRDefault="0089684C" w:rsidP="00A03AD0">
                <w:pPr>
                  <w:jc w:val="center"/>
                  <w:rPr>
                    <w:sz w:val="18"/>
                    <w:szCs w:val="18"/>
                  </w:rPr>
                </w:pPr>
                <w:r>
                  <w:rPr>
                    <w:sz w:val="18"/>
                    <w:szCs w:val="18"/>
                  </w:rPr>
                  <w:t>18 462 750</w:t>
                </w:r>
              </w:p>
            </w:tc>
            <w:tc>
              <w:tcPr>
                <w:tcW w:w="1257" w:type="dxa"/>
                <w:tcBorders>
                  <w:top w:val="nil"/>
                  <w:left w:val="nil"/>
                  <w:bottom w:val="single" w:sz="4" w:space="0" w:color="auto"/>
                  <w:right w:val="single" w:sz="4" w:space="0" w:color="auto"/>
                </w:tcBorders>
                <w:shd w:val="clear" w:color="auto" w:fill="auto"/>
                <w:noWrap/>
                <w:vAlign w:val="bottom"/>
                <w:hideMark/>
              </w:tcPr>
              <w:p w:rsidR="0089684C" w:rsidRPr="00C3097F" w:rsidRDefault="0089684C" w:rsidP="00A03AD0">
                <w:pPr>
                  <w:jc w:val="center"/>
                  <w:rPr>
                    <w:color w:val="000000"/>
                    <w:sz w:val="18"/>
                    <w:szCs w:val="18"/>
                  </w:rPr>
                </w:pPr>
                <w:r>
                  <w:rPr>
                    <w:color w:val="000000"/>
                    <w:sz w:val="18"/>
                    <w:szCs w:val="18"/>
                  </w:rPr>
                  <w:t>35,2</w:t>
                </w:r>
              </w:p>
            </w:tc>
          </w:tr>
          <w:tr w:rsidR="0089684C" w:rsidRPr="00A13168" w:rsidTr="00A03AD0">
            <w:trPr>
              <w:trHeight w:val="310"/>
            </w:trPr>
            <w:tc>
              <w:tcPr>
                <w:tcW w:w="2220" w:type="dxa"/>
                <w:tcBorders>
                  <w:top w:val="nil"/>
                  <w:left w:val="single" w:sz="4" w:space="0" w:color="auto"/>
                  <w:bottom w:val="single" w:sz="4" w:space="0" w:color="auto"/>
                  <w:right w:val="single" w:sz="4" w:space="0" w:color="auto"/>
                </w:tcBorders>
                <w:shd w:val="clear" w:color="auto" w:fill="auto"/>
                <w:noWrap/>
                <w:vAlign w:val="bottom"/>
                <w:hideMark/>
              </w:tcPr>
              <w:p w:rsidR="0089684C" w:rsidRPr="00C3097F" w:rsidRDefault="0089684C" w:rsidP="00A03AD0">
                <w:pPr>
                  <w:rPr>
                    <w:sz w:val="18"/>
                    <w:szCs w:val="18"/>
                  </w:rPr>
                </w:pPr>
                <w:r>
                  <w:rPr>
                    <w:sz w:val="18"/>
                    <w:szCs w:val="18"/>
                  </w:rPr>
                  <w:t>IB</w:t>
                </w:r>
              </w:p>
            </w:tc>
            <w:tc>
              <w:tcPr>
                <w:tcW w:w="1680" w:type="dxa"/>
                <w:tcBorders>
                  <w:top w:val="single" w:sz="4" w:space="0" w:color="auto"/>
                  <w:left w:val="nil"/>
                  <w:bottom w:val="single" w:sz="4" w:space="0" w:color="auto"/>
                </w:tcBorders>
                <w:shd w:val="clear" w:color="auto" w:fill="auto"/>
                <w:noWrap/>
                <w:vAlign w:val="bottom"/>
                <w:hideMark/>
              </w:tcPr>
              <w:p w:rsidR="0089684C" w:rsidRPr="00C3097F" w:rsidRDefault="0089684C" w:rsidP="00A03AD0">
                <w:pPr>
                  <w:jc w:val="center"/>
                  <w:rPr>
                    <w:sz w:val="18"/>
                    <w:szCs w:val="18"/>
                  </w:rPr>
                </w:pPr>
                <w:r>
                  <w:rPr>
                    <w:sz w:val="18"/>
                    <w:szCs w:val="18"/>
                  </w:rPr>
                  <w:t>3 552 992</w:t>
                </w:r>
              </w:p>
            </w:tc>
            <w:tc>
              <w:tcPr>
                <w:tcW w:w="1203" w:type="dxa"/>
                <w:tcBorders>
                  <w:top w:val="nil"/>
                  <w:left w:val="nil"/>
                  <w:bottom w:val="single" w:sz="4" w:space="0" w:color="auto"/>
                  <w:right w:val="single" w:sz="4" w:space="0" w:color="auto"/>
                </w:tcBorders>
                <w:shd w:val="clear" w:color="auto" w:fill="auto"/>
                <w:noWrap/>
                <w:vAlign w:val="bottom"/>
                <w:hideMark/>
              </w:tcPr>
              <w:p w:rsidR="0089684C" w:rsidRPr="00C3097F" w:rsidRDefault="0089684C" w:rsidP="00A03AD0">
                <w:pPr>
                  <w:jc w:val="center"/>
                  <w:rPr>
                    <w:color w:val="000000"/>
                    <w:sz w:val="18"/>
                    <w:szCs w:val="18"/>
                  </w:rPr>
                </w:pPr>
                <w:r>
                  <w:rPr>
                    <w:color w:val="000000"/>
                    <w:sz w:val="18"/>
                    <w:szCs w:val="18"/>
                  </w:rPr>
                  <w:t>7,1</w:t>
                </w:r>
              </w:p>
            </w:tc>
            <w:tc>
              <w:tcPr>
                <w:tcW w:w="1437" w:type="dxa"/>
                <w:tcBorders>
                  <w:top w:val="single" w:sz="4" w:space="0" w:color="auto"/>
                  <w:left w:val="nil"/>
                  <w:bottom w:val="single" w:sz="4" w:space="0" w:color="auto"/>
                </w:tcBorders>
                <w:shd w:val="clear" w:color="auto" w:fill="auto"/>
                <w:noWrap/>
                <w:vAlign w:val="bottom"/>
                <w:hideMark/>
              </w:tcPr>
              <w:p w:rsidR="0089684C" w:rsidRPr="00C3097F" w:rsidRDefault="0089684C" w:rsidP="00A03AD0">
                <w:pPr>
                  <w:jc w:val="center"/>
                  <w:rPr>
                    <w:sz w:val="18"/>
                    <w:szCs w:val="18"/>
                  </w:rPr>
                </w:pPr>
                <w:r>
                  <w:rPr>
                    <w:sz w:val="18"/>
                    <w:szCs w:val="18"/>
                  </w:rPr>
                  <w:t>3 834 459</w:t>
                </w:r>
              </w:p>
            </w:tc>
            <w:tc>
              <w:tcPr>
                <w:tcW w:w="1257" w:type="dxa"/>
                <w:tcBorders>
                  <w:top w:val="nil"/>
                  <w:left w:val="nil"/>
                  <w:bottom w:val="single" w:sz="4" w:space="0" w:color="auto"/>
                  <w:right w:val="single" w:sz="4" w:space="0" w:color="auto"/>
                </w:tcBorders>
                <w:shd w:val="clear" w:color="auto" w:fill="auto"/>
                <w:noWrap/>
                <w:vAlign w:val="bottom"/>
                <w:hideMark/>
              </w:tcPr>
              <w:p w:rsidR="0089684C" w:rsidRPr="00C3097F" w:rsidRDefault="0089684C" w:rsidP="00A03AD0">
                <w:pPr>
                  <w:jc w:val="center"/>
                  <w:rPr>
                    <w:color w:val="000000"/>
                    <w:sz w:val="18"/>
                    <w:szCs w:val="18"/>
                  </w:rPr>
                </w:pPr>
                <w:r>
                  <w:rPr>
                    <w:color w:val="000000"/>
                    <w:sz w:val="18"/>
                    <w:szCs w:val="18"/>
                  </w:rPr>
                  <w:t>7,3</w:t>
                </w:r>
              </w:p>
            </w:tc>
          </w:tr>
          <w:tr w:rsidR="0089684C" w:rsidRPr="00A13168" w:rsidTr="00A03AD0">
            <w:trPr>
              <w:trHeight w:val="310"/>
            </w:trPr>
            <w:tc>
              <w:tcPr>
                <w:tcW w:w="2220" w:type="dxa"/>
                <w:tcBorders>
                  <w:top w:val="nil"/>
                  <w:left w:val="single" w:sz="4" w:space="0" w:color="auto"/>
                  <w:bottom w:val="single" w:sz="4" w:space="0" w:color="auto"/>
                  <w:right w:val="single" w:sz="4" w:space="0" w:color="auto"/>
                </w:tcBorders>
                <w:shd w:val="clear" w:color="auto" w:fill="auto"/>
                <w:noWrap/>
                <w:vAlign w:val="bottom"/>
                <w:hideMark/>
              </w:tcPr>
              <w:p w:rsidR="0089684C" w:rsidRPr="00C3097F" w:rsidRDefault="0089684C" w:rsidP="00A03AD0">
                <w:pPr>
                  <w:rPr>
                    <w:sz w:val="18"/>
                    <w:szCs w:val="18"/>
                  </w:rPr>
                </w:pPr>
                <w:r>
                  <w:rPr>
                    <w:sz w:val="18"/>
                    <w:szCs w:val="18"/>
                  </w:rPr>
                  <w:t>IC</w:t>
                </w:r>
              </w:p>
            </w:tc>
            <w:tc>
              <w:tcPr>
                <w:tcW w:w="1680" w:type="dxa"/>
                <w:tcBorders>
                  <w:top w:val="single" w:sz="4" w:space="0" w:color="auto"/>
                  <w:left w:val="nil"/>
                  <w:bottom w:val="single" w:sz="4" w:space="0" w:color="auto"/>
                </w:tcBorders>
                <w:shd w:val="clear" w:color="auto" w:fill="auto"/>
                <w:noWrap/>
                <w:vAlign w:val="bottom"/>
                <w:hideMark/>
              </w:tcPr>
              <w:p w:rsidR="0089684C" w:rsidRPr="00C3097F" w:rsidRDefault="0089684C" w:rsidP="00A03AD0">
                <w:pPr>
                  <w:jc w:val="center"/>
                  <w:rPr>
                    <w:sz w:val="18"/>
                    <w:szCs w:val="18"/>
                  </w:rPr>
                </w:pPr>
                <w:r>
                  <w:rPr>
                    <w:sz w:val="18"/>
                    <w:szCs w:val="18"/>
                  </w:rPr>
                  <w:t>1 728 096</w:t>
                </w:r>
              </w:p>
            </w:tc>
            <w:tc>
              <w:tcPr>
                <w:tcW w:w="1203" w:type="dxa"/>
                <w:tcBorders>
                  <w:top w:val="nil"/>
                  <w:left w:val="nil"/>
                  <w:bottom w:val="single" w:sz="4" w:space="0" w:color="auto"/>
                  <w:right w:val="single" w:sz="4" w:space="0" w:color="auto"/>
                </w:tcBorders>
                <w:shd w:val="clear" w:color="auto" w:fill="auto"/>
                <w:noWrap/>
                <w:vAlign w:val="bottom"/>
                <w:hideMark/>
              </w:tcPr>
              <w:p w:rsidR="0089684C" w:rsidRPr="00C3097F" w:rsidRDefault="0089684C" w:rsidP="00A03AD0">
                <w:pPr>
                  <w:jc w:val="center"/>
                  <w:rPr>
                    <w:color w:val="000000"/>
                    <w:sz w:val="18"/>
                    <w:szCs w:val="18"/>
                  </w:rPr>
                </w:pPr>
                <w:r>
                  <w:rPr>
                    <w:color w:val="000000"/>
                    <w:sz w:val="18"/>
                    <w:szCs w:val="18"/>
                  </w:rPr>
                  <w:t>3,5</w:t>
                </w:r>
              </w:p>
            </w:tc>
            <w:tc>
              <w:tcPr>
                <w:tcW w:w="1437" w:type="dxa"/>
                <w:tcBorders>
                  <w:top w:val="single" w:sz="4" w:space="0" w:color="auto"/>
                  <w:left w:val="nil"/>
                  <w:bottom w:val="single" w:sz="4" w:space="0" w:color="auto"/>
                </w:tcBorders>
                <w:shd w:val="clear" w:color="auto" w:fill="auto"/>
                <w:noWrap/>
                <w:vAlign w:val="bottom"/>
                <w:hideMark/>
              </w:tcPr>
              <w:p w:rsidR="0089684C" w:rsidRPr="00C3097F" w:rsidRDefault="0089684C" w:rsidP="00A03AD0">
                <w:pPr>
                  <w:jc w:val="center"/>
                  <w:rPr>
                    <w:sz w:val="18"/>
                    <w:szCs w:val="18"/>
                  </w:rPr>
                </w:pPr>
                <w:r>
                  <w:rPr>
                    <w:sz w:val="18"/>
                    <w:szCs w:val="18"/>
                  </w:rPr>
                  <w:t>1 809 520</w:t>
                </w:r>
              </w:p>
            </w:tc>
            <w:tc>
              <w:tcPr>
                <w:tcW w:w="1257" w:type="dxa"/>
                <w:tcBorders>
                  <w:top w:val="nil"/>
                  <w:left w:val="nil"/>
                  <w:bottom w:val="single" w:sz="4" w:space="0" w:color="auto"/>
                  <w:right w:val="single" w:sz="4" w:space="0" w:color="auto"/>
                </w:tcBorders>
                <w:shd w:val="clear" w:color="auto" w:fill="auto"/>
                <w:noWrap/>
                <w:vAlign w:val="bottom"/>
                <w:hideMark/>
              </w:tcPr>
              <w:p w:rsidR="0089684C" w:rsidRPr="00C3097F" w:rsidRDefault="0089684C" w:rsidP="00A03AD0">
                <w:pPr>
                  <w:jc w:val="center"/>
                  <w:rPr>
                    <w:color w:val="000000"/>
                    <w:sz w:val="18"/>
                    <w:szCs w:val="18"/>
                  </w:rPr>
                </w:pPr>
                <w:r>
                  <w:rPr>
                    <w:color w:val="000000"/>
                    <w:sz w:val="18"/>
                    <w:szCs w:val="18"/>
                  </w:rPr>
                  <w:t>3,5</w:t>
                </w:r>
              </w:p>
            </w:tc>
          </w:tr>
          <w:tr w:rsidR="0089684C" w:rsidRPr="00A13168" w:rsidTr="00A03AD0">
            <w:trPr>
              <w:trHeight w:val="310"/>
            </w:trPr>
            <w:tc>
              <w:tcPr>
                <w:tcW w:w="2220" w:type="dxa"/>
                <w:tcBorders>
                  <w:top w:val="nil"/>
                  <w:left w:val="single" w:sz="4" w:space="0" w:color="auto"/>
                  <w:bottom w:val="single" w:sz="4" w:space="0" w:color="auto"/>
                  <w:right w:val="single" w:sz="4" w:space="0" w:color="auto"/>
                </w:tcBorders>
                <w:shd w:val="clear" w:color="auto" w:fill="auto"/>
                <w:noWrap/>
                <w:vAlign w:val="bottom"/>
                <w:hideMark/>
              </w:tcPr>
              <w:p w:rsidR="0089684C" w:rsidRPr="00C3097F" w:rsidRDefault="0089684C" w:rsidP="00A03AD0">
                <w:pPr>
                  <w:rPr>
                    <w:color w:val="000000"/>
                    <w:sz w:val="18"/>
                    <w:szCs w:val="18"/>
                  </w:rPr>
                </w:pPr>
                <w:r>
                  <w:rPr>
                    <w:color w:val="000000"/>
                    <w:sz w:val="18"/>
                    <w:szCs w:val="18"/>
                  </w:rPr>
                  <w:lastRenderedPageBreak/>
                  <w:t>II</w:t>
                </w:r>
              </w:p>
            </w:tc>
            <w:tc>
              <w:tcPr>
                <w:tcW w:w="1680" w:type="dxa"/>
                <w:tcBorders>
                  <w:top w:val="single" w:sz="4" w:space="0" w:color="auto"/>
                  <w:left w:val="nil"/>
                  <w:bottom w:val="single" w:sz="4" w:space="0" w:color="auto"/>
                </w:tcBorders>
                <w:shd w:val="clear" w:color="auto" w:fill="auto"/>
                <w:noWrap/>
                <w:vAlign w:val="bottom"/>
                <w:hideMark/>
              </w:tcPr>
              <w:p w:rsidR="0089684C" w:rsidRPr="00C3097F" w:rsidRDefault="0089684C" w:rsidP="00A03AD0">
                <w:pPr>
                  <w:jc w:val="center"/>
                  <w:rPr>
                    <w:sz w:val="18"/>
                    <w:szCs w:val="18"/>
                  </w:rPr>
                </w:pPr>
                <w:r>
                  <w:rPr>
                    <w:sz w:val="18"/>
                    <w:szCs w:val="18"/>
                  </w:rPr>
                  <w:t>10 370 693</w:t>
                </w:r>
              </w:p>
            </w:tc>
            <w:tc>
              <w:tcPr>
                <w:tcW w:w="1203" w:type="dxa"/>
                <w:tcBorders>
                  <w:top w:val="nil"/>
                  <w:left w:val="nil"/>
                  <w:bottom w:val="single" w:sz="4" w:space="0" w:color="auto"/>
                  <w:right w:val="single" w:sz="4" w:space="0" w:color="auto"/>
                </w:tcBorders>
                <w:shd w:val="clear" w:color="auto" w:fill="auto"/>
                <w:noWrap/>
                <w:vAlign w:val="bottom"/>
                <w:hideMark/>
              </w:tcPr>
              <w:p w:rsidR="0089684C" w:rsidRPr="00C3097F" w:rsidRDefault="0089684C" w:rsidP="00A03AD0">
                <w:pPr>
                  <w:jc w:val="center"/>
                  <w:rPr>
                    <w:color w:val="000000"/>
                    <w:sz w:val="18"/>
                    <w:szCs w:val="18"/>
                  </w:rPr>
                </w:pPr>
                <w:r>
                  <w:rPr>
                    <w:color w:val="000000"/>
                    <w:sz w:val="18"/>
                    <w:szCs w:val="18"/>
                  </w:rPr>
                  <w:t>20,8</w:t>
                </w:r>
              </w:p>
            </w:tc>
            <w:tc>
              <w:tcPr>
                <w:tcW w:w="1437" w:type="dxa"/>
                <w:tcBorders>
                  <w:top w:val="single" w:sz="4" w:space="0" w:color="auto"/>
                  <w:left w:val="nil"/>
                  <w:bottom w:val="single" w:sz="4" w:space="0" w:color="auto"/>
                </w:tcBorders>
                <w:shd w:val="clear" w:color="auto" w:fill="auto"/>
                <w:noWrap/>
                <w:vAlign w:val="bottom"/>
                <w:hideMark/>
              </w:tcPr>
              <w:p w:rsidR="0089684C" w:rsidRPr="00C3097F" w:rsidRDefault="0089684C" w:rsidP="00A03AD0">
                <w:pPr>
                  <w:jc w:val="center"/>
                  <w:rPr>
                    <w:sz w:val="18"/>
                    <w:szCs w:val="18"/>
                  </w:rPr>
                </w:pPr>
                <w:r>
                  <w:rPr>
                    <w:sz w:val="18"/>
                    <w:szCs w:val="18"/>
                  </w:rPr>
                  <w:t>12 854 188</w:t>
                </w:r>
              </w:p>
            </w:tc>
            <w:tc>
              <w:tcPr>
                <w:tcW w:w="1257" w:type="dxa"/>
                <w:tcBorders>
                  <w:top w:val="nil"/>
                  <w:left w:val="nil"/>
                  <w:bottom w:val="single" w:sz="4" w:space="0" w:color="auto"/>
                  <w:right w:val="single" w:sz="4" w:space="0" w:color="auto"/>
                </w:tcBorders>
                <w:shd w:val="clear" w:color="auto" w:fill="auto"/>
                <w:noWrap/>
                <w:vAlign w:val="bottom"/>
                <w:hideMark/>
              </w:tcPr>
              <w:p w:rsidR="0089684C" w:rsidRPr="00C3097F" w:rsidRDefault="0089684C" w:rsidP="00A03AD0">
                <w:pPr>
                  <w:jc w:val="center"/>
                  <w:rPr>
                    <w:color w:val="000000"/>
                    <w:sz w:val="18"/>
                    <w:szCs w:val="18"/>
                  </w:rPr>
                </w:pPr>
                <w:r>
                  <w:rPr>
                    <w:color w:val="000000"/>
                    <w:sz w:val="18"/>
                    <w:szCs w:val="18"/>
                  </w:rPr>
                  <w:t>24,5</w:t>
                </w:r>
              </w:p>
            </w:tc>
          </w:tr>
          <w:tr w:rsidR="0089684C" w:rsidRPr="00A13168" w:rsidTr="00A03AD0">
            <w:trPr>
              <w:trHeight w:val="310"/>
            </w:trPr>
            <w:tc>
              <w:tcPr>
                <w:tcW w:w="2220" w:type="dxa"/>
                <w:tcBorders>
                  <w:top w:val="nil"/>
                  <w:left w:val="single" w:sz="4" w:space="0" w:color="auto"/>
                  <w:bottom w:val="single" w:sz="4" w:space="0" w:color="auto"/>
                  <w:right w:val="single" w:sz="4" w:space="0" w:color="auto"/>
                </w:tcBorders>
                <w:shd w:val="clear" w:color="auto" w:fill="auto"/>
                <w:noWrap/>
                <w:vAlign w:val="bottom"/>
                <w:hideMark/>
              </w:tcPr>
              <w:p w:rsidR="0089684C" w:rsidRPr="00C3097F" w:rsidRDefault="0089684C" w:rsidP="00A03AD0">
                <w:pPr>
                  <w:rPr>
                    <w:sz w:val="18"/>
                    <w:szCs w:val="18"/>
                  </w:rPr>
                </w:pPr>
                <w:r>
                  <w:rPr>
                    <w:sz w:val="18"/>
                    <w:szCs w:val="18"/>
                  </w:rPr>
                  <w:t>III</w:t>
                </w:r>
              </w:p>
            </w:tc>
            <w:tc>
              <w:tcPr>
                <w:tcW w:w="1680" w:type="dxa"/>
                <w:tcBorders>
                  <w:top w:val="single" w:sz="4" w:space="0" w:color="auto"/>
                  <w:left w:val="nil"/>
                  <w:bottom w:val="single" w:sz="4" w:space="0" w:color="auto"/>
                </w:tcBorders>
                <w:shd w:val="clear" w:color="auto" w:fill="auto"/>
                <w:noWrap/>
                <w:vAlign w:val="bottom"/>
                <w:hideMark/>
              </w:tcPr>
              <w:p w:rsidR="0089684C" w:rsidRPr="00C3097F" w:rsidRDefault="0089684C" w:rsidP="00A03AD0">
                <w:pPr>
                  <w:jc w:val="center"/>
                  <w:rPr>
                    <w:sz w:val="18"/>
                    <w:szCs w:val="18"/>
                  </w:rPr>
                </w:pPr>
                <w:r>
                  <w:rPr>
                    <w:sz w:val="18"/>
                    <w:szCs w:val="18"/>
                  </w:rPr>
                  <w:t>14 813</w:t>
                </w:r>
              </w:p>
            </w:tc>
            <w:tc>
              <w:tcPr>
                <w:tcW w:w="1203" w:type="dxa"/>
                <w:tcBorders>
                  <w:top w:val="nil"/>
                  <w:left w:val="nil"/>
                  <w:bottom w:val="single" w:sz="4" w:space="0" w:color="auto"/>
                  <w:right w:val="single" w:sz="4" w:space="0" w:color="auto"/>
                </w:tcBorders>
                <w:shd w:val="clear" w:color="auto" w:fill="auto"/>
                <w:noWrap/>
                <w:vAlign w:val="bottom"/>
                <w:hideMark/>
              </w:tcPr>
              <w:p w:rsidR="0089684C" w:rsidRPr="00C3097F" w:rsidRDefault="0089684C" w:rsidP="00A03AD0">
                <w:pPr>
                  <w:jc w:val="center"/>
                  <w:rPr>
                    <w:color w:val="000000"/>
                    <w:sz w:val="18"/>
                    <w:szCs w:val="18"/>
                  </w:rPr>
                </w:pPr>
                <w:r>
                  <w:rPr>
                    <w:color w:val="000000"/>
                    <w:sz w:val="18"/>
                    <w:szCs w:val="18"/>
                  </w:rPr>
                  <w:t>0,0</w:t>
                </w:r>
              </w:p>
            </w:tc>
            <w:tc>
              <w:tcPr>
                <w:tcW w:w="1437" w:type="dxa"/>
                <w:tcBorders>
                  <w:top w:val="single" w:sz="4" w:space="0" w:color="auto"/>
                  <w:left w:val="nil"/>
                  <w:bottom w:val="single" w:sz="4" w:space="0" w:color="auto"/>
                </w:tcBorders>
                <w:shd w:val="clear" w:color="auto" w:fill="auto"/>
                <w:noWrap/>
                <w:vAlign w:val="bottom"/>
                <w:hideMark/>
              </w:tcPr>
              <w:p w:rsidR="0089684C" w:rsidRPr="00C3097F" w:rsidRDefault="0089684C" w:rsidP="00A03AD0">
                <w:pPr>
                  <w:jc w:val="center"/>
                  <w:rPr>
                    <w:sz w:val="18"/>
                    <w:szCs w:val="18"/>
                  </w:rPr>
                </w:pPr>
                <w:r>
                  <w:rPr>
                    <w:sz w:val="18"/>
                    <w:szCs w:val="18"/>
                  </w:rPr>
                  <w:t>96 160</w:t>
                </w:r>
              </w:p>
            </w:tc>
            <w:tc>
              <w:tcPr>
                <w:tcW w:w="1257" w:type="dxa"/>
                <w:tcBorders>
                  <w:top w:val="nil"/>
                  <w:left w:val="nil"/>
                  <w:bottom w:val="single" w:sz="4" w:space="0" w:color="auto"/>
                  <w:right w:val="single" w:sz="4" w:space="0" w:color="auto"/>
                </w:tcBorders>
                <w:shd w:val="clear" w:color="auto" w:fill="auto"/>
                <w:noWrap/>
                <w:vAlign w:val="bottom"/>
                <w:hideMark/>
              </w:tcPr>
              <w:p w:rsidR="0089684C" w:rsidRPr="00C3097F" w:rsidRDefault="0089684C" w:rsidP="00A03AD0">
                <w:pPr>
                  <w:jc w:val="center"/>
                  <w:rPr>
                    <w:color w:val="000000"/>
                    <w:sz w:val="18"/>
                    <w:szCs w:val="18"/>
                  </w:rPr>
                </w:pPr>
                <w:r>
                  <w:rPr>
                    <w:color w:val="000000"/>
                    <w:sz w:val="18"/>
                    <w:szCs w:val="18"/>
                  </w:rPr>
                  <w:t>0,2</w:t>
                </w:r>
              </w:p>
            </w:tc>
          </w:tr>
          <w:tr w:rsidR="0089684C" w:rsidRPr="00A13168" w:rsidTr="00A03AD0">
            <w:trPr>
              <w:trHeight w:val="310"/>
            </w:trPr>
            <w:tc>
              <w:tcPr>
                <w:tcW w:w="2220" w:type="dxa"/>
                <w:tcBorders>
                  <w:top w:val="nil"/>
                  <w:left w:val="single" w:sz="4" w:space="0" w:color="auto"/>
                  <w:bottom w:val="single" w:sz="4" w:space="0" w:color="auto"/>
                  <w:right w:val="single" w:sz="4" w:space="0" w:color="auto"/>
                </w:tcBorders>
                <w:shd w:val="clear" w:color="auto" w:fill="auto"/>
                <w:noWrap/>
                <w:vAlign w:val="bottom"/>
                <w:hideMark/>
              </w:tcPr>
              <w:p w:rsidR="0089684C" w:rsidRPr="00C3097F" w:rsidRDefault="0089684C" w:rsidP="00A03AD0">
                <w:pPr>
                  <w:rPr>
                    <w:sz w:val="18"/>
                    <w:szCs w:val="18"/>
                  </w:rPr>
                </w:pPr>
                <w:r>
                  <w:rPr>
                    <w:sz w:val="18"/>
                    <w:szCs w:val="18"/>
                  </w:rPr>
                  <w:t>Ingen isklass</w:t>
                </w:r>
              </w:p>
            </w:tc>
            <w:tc>
              <w:tcPr>
                <w:tcW w:w="1680" w:type="dxa"/>
                <w:tcBorders>
                  <w:top w:val="single" w:sz="4" w:space="0" w:color="auto"/>
                  <w:left w:val="nil"/>
                  <w:bottom w:val="single" w:sz="4" w:space="0" w:color="auto"/>
                </w:tcBorders>
                <w:shd w:val="clear" w:color="auto" w:fill="auto"/>
                <w:noWrap/>
                <w:vAlign w:val="bottom"/>
                <w:hideMark/>
              </w:tcPr>
              <w:p w:rsidR="0089684C" w:rsidRPr="00C3097F" w:rsidRDefault="0089684C" w:rsidP="00A03AD0">
                <w:pPr>
                  <w:jc w:val="center"/>
                  <w:rPr>
                    <w:sz w:val="18"/>
                    <w:szCs w:val="18"/>
                  </w:rPr>
                </w:pPr>
                <w:r>
                  <w:rPr>
                    <w:sz w:val="18"/>
                    <w:szCs w:val="18"/>
                  </w:rPr>
                  <w:t>5 237 827</w:t>
                </w:r>
              </w:p>
            </w:tc>
            <w:tc>
              <w:tcPr>
                <w:tcW w:w="1203" w:type="dxa"/>
                <w:tcBorders>
                  <w:top w:val="nil"/>
                  <w:left w:val="nil"/>
                  <w:bottom w:val="single" w:sz="4" w:space="0" w:color="auto"/>
                  <w:right w:val="single" w:sz="4" w:space="0" w:color="auto"/>
                </w:tcBorders>
                <w:shd w:val="clear" w:color="auto" w:fill="auto"/>
                <w:noWrap/>
                <w:vAlign w:val="bottom"/>
                <w:hideMark/>
              </w:tcPr>
              <w:p w:rsidR="0089684C" w:rsidRPr="00C3097F" w:rsidRDefault="0089684C" w:rsidP="00A03AD0">
                <w:pPr>
                  <w:jc w:val="center"/>
                  <w:rPr>
                    <w:color w:val="000000"/>
                    <w:sz w:val="18"/>
                    <w:szCs w:val="18"/>
                  </w:rPr>
                </w:pPr>
                <w:r>
                  <w:rPr>
                    <w:color w:val="000000"/>
                    <w:sz w:val="18"/>
                    <w:szCs w:val="18"/>
                  </w:rPr>
                  <w:t>10,5</w:t>
                </w:r>
              </w:p>
            </w:tc>
            <w:tc>
              <w:tcPr>
                <w:tcW w:w="1437" w:type="dxa"/>
                <w:tcBorders>
                  <w:top w:val="single" w:sz="4" w:space="0" w:color="auto"/>
                  <w:left w:val="nil"/>
                  <w:bottom w:val="single" w:sz="4" w:space="0" w:color="auto"/>
                </w:tcBorders>
                <w:shd w:val="clear" w:color="auto" w:fill="auto"/>
                <w:noWrap/>
                <w:vAlign w:val="bottom"/>
                <w:hideMark/>
              </w:tcPr>
              <w:p w:rsidR="0089684C" w:rsidRPr="00C3097F" w:rsidRDefault="0089684C" w:rsidP="00A03AD0">
                <w:pPr>
                  <w:jc w:val="center"/>
                  <w:rPr>
                    <w:sz w:val="18"/>
                    <w:szCs w:val="18"/>
                  </w:rPr>
                </w:pPr>
                <w:r>
                  <w:rPr>
                    <w:sz w:val="18"/>
                    <w:szCs w:val="18"/>
                  </w:rPr>
                  <w:t>5 711 556</w:t>
                </w:r>
              </w:p>
            </w:tc>
            <w:tc>
              <w:tcPr>
                <w:tcW w:w="1257" w:type="dxa"/>
                <w:tcBorders>
                  <w:top w:val="nil"/>
                  <w:left w:val="nil"/>
                  <w:bottom w:val="single" w:sz="4" w:space="0" w:color="auto"/>
                  <w:right w:val="single" w:sz="4" w:space="0" w:color="auto"/>
                </w:tcBorders>
                <w:shd w:val="clear" w:color="auto" w:fill="auto"/>
                <w:noWrap/>
                <w:vAlign w:val="bottom"/>
                <w:hideMark/>
              </w:tcPr>
              <w:p w:rsidR="0089684C" w:rsidRPr="00C3097F" w:rsidRDefault="0089684C" w:rsidP="00A03AD0">
                <w:pPr>
                  <w:jc w:val="center"/>
                  <w:rPr>
                    <w:color w:val="000000"/>
                    <w:sz w:val="18"/>
                    <w:szCs w:val="18"/>
                  </w:rPr>
                </w:pPr>
                <w:r>
                  <w:rPr>
                    <w:color w:val="000000"/>
                    <w:sz w:val="18"/>
                    <w:szCs w:val="18"/>
                  </w:rPr>
                  <w:t>10,9</w:t>
                </w:r>
              </w:p>
            </w:tc>
          </w:tr>
          <w:tr w:rsidR="0089684C" w:rsidRPr="00A13168" w:rsidTr="00A03AD0">
            <w:trPr>
              <w:trHeight w:val="310"/>
            </w:trPr>
            <w:tc>
              <w:tcPr>
                <w:tcW w:w="22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684C" w:rsidRPr="00C3097F" w:rsidRDefault="0089684C" w:rsidP="00A03AD0">
                <w:pPr>
                  <w:rPr>
                    <w:b/>
                    <w:sz w:val="18"/>
                    <w:szCs w:val="18"/>
                  </w:rPr>
                </w:pPr>
                <w:r>
                  <w:rPr>
                    <w:b/>
                    <w:sz w:val="18"/>
                    <w:szCs w:val="18"/>
                  </w:rPr>
                  <w:t>Sammanlagt</w:t>
                </w:r>
              </w:p>
            </w:tc>
            <w:tc>
              <w:tcPr>
                <w:tcW w:w="1680" w:type="dxa"/>
                <w:tcBorders>
                  <w:top w:val="single" w:sz="4" w:space="0" w:color="auto"/>
                  <w:left w:val="nil"/>
                  <w:bottom w:val="single" w:sz="4" w:space="0" w:color="auto"/>
                </w:tcBorders>
                <w:shd w:val="clear" w:color="auto" w:fill="auto"/>
                <w:noWrap/>
                <w:vAlign w:val="bottom"/>
                <w:hideMark/>
              </w:tcPr>
              <w:p w:rsidR="0089684C" w:rsidRPr="00C3097F" w:rsidRDefault="0089684C" w:rsidP="00A03AD0">
                <w:pPr>
                  <w:jc w:val="center"/>
                  <w:rPr>
                    <w:b/>
                    <w:sz w:val="18"/>
                    <w:szCs w:val="18"/>
                  </w:rPr>
                </w:pPr>
                <w:r>
                  <w:rPr>
                    <w:b/>
                    <w:sz w:val="18"/>
                    <w:szCs w:val="18"/>
                  </w:rPr>
                  <w:t>49 905 689</w:t>
                </w:r>
              </w:p>
            </w:tc>
            <w:tc>
              <w:tcPr>
                <w:tcW w:w="1203" w:type="dxa"/>
                <w:tcBorders>
                  <w:top w:val="single" w:sz="4" w:space="0" w:color="auto"/>
                  <w:left w:val="nil"/>
                  <w:bottom w:val="single" w:sz="4" w:space="0" w:color="auto"/>
                  <w:right w:val="single" w:sz="4" w:space="0" w:color="auto"/>
                </w:tcBorders>
                <w:shd w:val="clear" w:color="auto" w:fill="auto"/>
                <w:noWrap/>
                <w:vAlign w:val="bottom"/>
                <w:hideMark/>
              </w:tcPr>
              <w:p w:rsidR="0089684C" w:rsidRPr="00C3097F" w:rsidRDefault="0089684C" w:rsidP="00A03AD0">
                <w:pPr>
                  <w:jc w:val="center"/>
                  <w:rPr>
                    <w:b/>
                    <w:color w:val="000000"/>
                    <w:sz w:val="18"/>
                    <w:szCs w:val="18"/>
                  </w:rPr>
                </w:pPr>
                <w:r>
                  <w:rPr>
                    <w:b/>
                    <w:color w:val="000000"/>
                    <w:sz w:val="18"/>
                    <w:szCs w:val="18"/>
                  </w:rPr>
                  <w:t>100,0</w:t>
                </w:r>
              </w:p>
            </w:tc>
            <w:tc>
              <w:tcPr>
                <w:tcW w:w="1437" w:type="dxa"/>
                <w:tcBorders>
                  <w:top w:val="single" w:sz="4" w:space="0" w:color="auto"/>
                  <w:left w:val="nil"/>
                  <w:bottom w:val="single" w:sz="4" w:space="0" w:color="auto"/>
                </w:tcBorders>
                <w:shd w:val="clear" w:color="auto" w:fill="auto"/>
                <w:noWrap/>
                <w:vAlign w:val="bottom"/>
                <w:hideMark/>
              </w:tcPr>
              <w:p w:rsidR="0089684C" w:rsidRPr="00C3097F" w:rsidRDefault="0089684C" w:rsidP="00A03AD0">
                <w:pPr>
                  <w:jc w:val="center"/>
                  <w:rPr>
                    <w:b/>
                    <w:sz w:val="18"/>
                    <w:szCs w:val="18"/>
                  </w:rPr>
                </w:pPr>
                <w:r>
                  <w:rPr>
                    <w:b/>
                    <w:sz w:val="18"/>
                    <w:szCs w:val="18"/>
                  </w:rPr>
                  <w:t>52 388 088</w:t>
                </w:r>
              </w:p>
            </w:tc>
            <w:tc>
              <w:tcPr>
                <w:tcW w:w="1257" w:type="dxa"/>
                <w:tcBorders>
                  <w:top w:val="single" w:sz="4" w:space="0" w:color="auto"/>
                  <w:left w:val="nil"/>
                  <w:bottom w:val="single" w:sz="4" w:space="0" w:color="auto"/>
                  <w:right w:val="single" w:sz="4" w:space="0" w:color="auto"/>
                </w:tcBorders>
                <w:shd w:val="clear" w:color="auto" w:fill="auto"/>
                <w:noWrap/>
                <w:vAlign w:val="bottom"/>
                <w:hideMark/>
              </w:tcPr>
              <w:p w:rsidR="0089684C" w:rsidRPr="00C3097F" w:rsidRDefault="0089684C" w:rsidP="00A03AD0">
                <w:pPr>
                  <w:jc w:val="center"/>
                  <w:rPr>
                    <w:b/>
                    <w:color w:val="000000"/>
                    <w:sz w:val="18"/>
                    <w:szCs w:val="18"/>
                  </w:rPr>
                </w:pPr>
                <w:r>
                  <w:rPr>
                    <w:b/>
                    <w:color w:val="000000"/>
                    <w:sz w:val="18"/>
                    <w:szCs w:val="18"/>
                  </w:rPr>
                  <w:t>100,0</w:t>
                </w:r>
              </w:p>
            </w:tc>
          </w:tr>
        </w:tbl>
        <w:p w:rsidR="00F959A4" w:rsidRDefault="00F959A4" w:rsidP="00F959A4">
          <w:pPr>
            <w:pStyle w:val="LLNormaali"/>
          </w:pPr>
        </w:p>
        <w:p w:rsidR="00F959A4" w:rsidRDefault="00F959A4" w:rsidP="00F959A4">
          <w:pPr>
            <w:pStyle w:val="LLPerustelujenkappalejako"/>
          </w:pPr>
          <w:r>
            <w:t>Våren 2020 försämrades den ekonomiska situationen för rederierna inom handelssjöfarten, särskilt inom passagerarfartygstrafiken, på grund av covid-19-epidemin. Först minskade färjeresorna då resenärerna reagerade på riskerna med epidemin. Rederierna avbröt biljettförsäljningen enligt regeringens rekommendation för tiden mellan den 11 april 2020 och den 13 maj 2020. De trafikerade rutterna minskades, fartyg lades upp och personal permitterades i stor utsträckning. De fartyg som var i trafik transporterade rikligt med lastbilsfrakt, men intäkterna från detta kunde inte garantera lönsamheten för trafikerandet av rutterna. En del av trafiken till Estland och Sverige stöddes av Försörjningsberedskapscentralen. I slutet av maj började resandet öka och passagerarbilfärjorna började tas i trafik igen. Antalet passagerare för hela året blir sannolikt klart lägre än tidigare år. Lastfartygstrafiken fungerade ganska normalt under våren men lasterna började i någon mån minska i maj och juni. En del torrlastfartyg avställdes. Det befaras att lönsamhetsproblemen inom lastfartygstrafiken ökar när den internationella handeln enligt de ekonomiska prognoserna minskar under 2020.</w:t>
          </w:r>
        </w:p>
        <w:p w:rsidR="00F959A4" w:rsidRDefault="00F959A4" w:rsidP="00F959A4">
          <w:pPr>
            <w:pStyle w:val="LLPerustelujenkappalejako"/>
          </w:pPr>
        </w:p>
        <w:p w:rsidR="000E61DF" w:rsidRDefault="0075180F" w:rsidP="00A95059">
          <w:pPr>
            <w:pStyle w:val="LLP1Otsikkotaso"/>
          </w:pPr>
          <w:bookmarkStart w:id="5" w:name="_Toc43729674"/>
          <w:r>
            <w:rPr>
              <w:bCs/>
            </w:rPr>
            <w:t>Målsättning</w:t>
          </w:r>
          <w:bookmarkEnd w:id="5"/>
        </w:p>
        <w:p w:rsidR="0089684C" w:rsidRDefault="0089684C" w:rsidP="00EA4139">
          <w:pPr>
            <w:pStyle w:val="LLPerustelujenkappalejako"/>
          </w:pPr>
          <w:r>
            <w:t>Målet för propositionen är att bidra till att kompensera de ekonomiska skador som covid-19-epidemin förorsakar rederierna och deras transportkunder samt stödja de finländska sjötransportförbindelsernas funktionsförmåga så att den under ekonomiskt osäkra förhållanden kan återgå till den nivå som rådde före krisen. Målet är att stödja fungerande sjötransporter eftersom de har en viktig betydelse för samhällsekonomin och medborgarnas välfärd.</w:t>
          </w:r>
        </w:p>
        <w:p w:rsidR="0089684C" w:rsidRDefault="0089684C" w:rsidP="00EA4139">
          <w:pPr>
            <w:pStyle w:val="LLPerustelujenkappalejako"/>
          </w:pPr>
        </w:p>
        <w:p w:rsidR="00A939B2" w:rsidRDefault="006D3C8B" w:rsidP="00A939B2">
          <w:pPr>
            <w:pStyle w:val="LLP1Otsikkotaso"/>
          </w:pPr>
          <w:bookmarkStart w:id="6" w:name="_Toc43729675"/>
          <w:r>
            <w:t>Förslagen och deras konsekvenser</w:t>
          </w:r>
          <w:bookmarkEnd w:id="6"/>
        </w:p>
        <w:p w:rsidR="0089684C" w:rsidRDefault="0089684C" w:rsidP="0089684C">
          <w:pPr>
            <w:pStyle w:val="LLPerustelujenkappalejako"/>
          </w:pPr>
          <w:r>
            <w:t>I propositionen föreslås det att man år 2021 fortsättningsvis ska ta ut nedsatt farledsavgift enligt prislistan för 2015–2020.</w:t>
          </w:r>
        </w:p>
        <w:p w:rsidR="0089684C" w:rsidRDefault="00530165" w:rsidP="0089684C">
          <w:pPr>
            <w:pStyle w:val="LLPerustelujenkappalejako"/>
          </w:pPr>
          <w:r>
            <w:t xml:space="preserve">Till följd av åtgärden ökar kostnaderna för fartygstrafiken och sjötransporterna inte jämfört med om man 2021 återgår till den prislista som användes före den tillfälliga halveringen av farledsavgiften eller om man fastställer en ny prislista som motsvarar de nuvarande kostnaderna för serviceutbudet. Effekten av åtgärden är omedelbar och den riktas jämlikt mot all den fartygstrafik som betjänar Finlands handelssjöfart under ett helt trafikår. </w:t>
          </w:r>
        </w:p>
        <w:p w:rsidR="0089684C" w:rsidRDefault="0089684C" w:rsidP="0089684C">
          <w:pPr>
            <w:pStyle w:val="LLPerustelujenkappalejako"/>
          </w:pPr>
          <w:r>
            <w:t>Om fortsatt nedsatt farledsavgift uppbärs undgår rederierna inom handelssjöfarten och deras transportkunder att betala cirka 35,6 miljoner euro i farledsavgifter 2021 i jämförelse med om man återgår till den prislista som gällde 2012–2014. Nyttan överförs till transportkunderna. Beräkningen baserar sig på den genomsnittliga skillnaden mellan intäkterna av farledsavgiften enligt de olika prislistorna 2012–2014 och 2015–2019. Antagandet är att mängden fartygstrafik år 2021 återgår till samma nivå som före krisen 2020. Det är inte möjligt att göra upp en exakt prognos över mängden fartygstrafik och andra detaljer som inverkar på en lönsam farledsavgift.</w:t>
          </w:r>
        </w:p>
        <w:p w:rsidR="0089684C" w:rsidRDefault="0089684C" w:rsidP="0089684C">
          <w:pPr>
            <w:pStyle w:val="LLPerustelujenkappalejako"/>
          </w:pPr>
          <w:r>
            <w:lastRenderedPageBreak/>
            <w:t>Undvikandet av en kostnadsökning gynnar främst rederier som bedriver reguljär trafik, men också mindre regelbunden trafik. I fråga om transporterna inom utrikeshandeln och resandet undviks en prishöjning på uppskattningsvis några tiotals cent och högst några euro per fraktton, biljett eller transporterat fordon.</w:t>
          </w:r>
        </w:p>
        <w:p w:rsidR="003371A9" w:rsidRDefault="0089684C" w:rsidP="0089684C">
          <w:pPr>
            <w:pStyle w:val="LLPerustelujenkappalejako"/>
          </w:pPr>
          <w:r>
            <w:t>För staten medför propositionen år 2021 en förlust som motsvarar den beräknade inbesparingen på 35,6 miljoner i fråga om transportkostnader, i jämförelse med att farledsavgiften tas ut enligt prislistan för 2012–2014. Man har inte utvärderat förmågan att uppnå det exakta kostnadssambandsmålet för farledsavgiften 2021 hos den prislista som tillämpades före halveringen och som användes som jämförelse för kostnadseffekterna och de statsfinansiella konsekvenserna. Kommunikationsministeriet har i sitt budgetförslag för 2021 framfört att intäkterna av farledsavgiften kommer att uppgå till 48,1 miljoner euro.</w:t>
          </w:r>
        </w:p>
        <w:p w:rsidR="00A939B2" w:rsidRDefault="00A45287" w:rsidP="0089684C">
          <w:pPr>
            <w:pStyle w:val="LLPerustelujenkappalejako"/>
          </w:pPr>
          <w:r>
            <w:t>Att fortfarande ta ut sänkt farledsavgift kan indirekt förbättra Finlands internationella konkurrenskraft, näringslivets sysselsättningseffekt och skattebetalningsförmågan en aning.</w:t>
          </w:r>
        </w:p>
        <w:p w:rsidR="00A939B2" w:rsidRDefault="00A939B2" w:rsidP="003371A9">
          <w:pPr>
            <w:pStyle w:val="LLPerustelujenkappalejako"/>
          </w:pPr>
        </w:p>
        <w:p w:rsidR="005A623B" w:rsidRDefault="005A623B" w:rsidP="003371A9">
          <w:pPr>
            <w:pStyle w:val="LLPerustelujenkappalejako"/>
          </w:pPr>
        </w:p>
        <w:p w:rsidR="00A939B2" w:rsidRDefault="00A939B2" w:rsidP="00A939B2">
          <w:pPr>
            <w:pStyle w:val="LLP1Otsikkotaso"/>
          </w:pPr>
          <w:bookmarkStart w:id="7" w:name="_Toc43729676"/>
          <w:r>
            <w:t>Alternativa handlingsvägar</w:t>
          </w:r>
          <w:bookmarkEnd w:id="7"/>
        </w:p>
        <w:p w:rsidR="0089684C" w:rsidRDefault="0089684C" w:rsidP="0089684C">
          <w:pPr>
            <w:pStyle w:val="LLPerustelujenkappalejako"/>
          </w:pPr>
          <w:r>
            <w:t>Utan åtgärder återgår farledsavgiften till nivån i prislistan för 2012–2014. Under osäkra ekonomiska förhållanden innebär en höjning av farledsavgiften utmaningar för sjöfartsnäringarna och deras transportkunder. Som alternativ till att fortsätta halveringen av farledsavgiften kan farledsavgiften tillfälligt sänkas ytterligare eller tillfälligt avskaffas antingen för all trafik eller en del av fartygstrafiken. De här alternativen skulle orsaka alltför stora inkomstbortfall för statsfinanserna och man skulle till för stor del bli tvungen att finansiera handelssjöfartens tjänster genom att öka statsskulden. En åtgärd som behandlar olika delar av fartygstrafiken på olika sätt är inte jämlik och även svår att genomföra med tanke på reglerna om statligt stöd.</w:t>
          </w:r>
        </w:p>
        <w:p w:rsidR="00A939B2" w:rsidRDefault="0089684C" w:rsidP="0089684C">
          <w:pPr>
            <w:pStyle w:val="LLPerustelujenkappalejako"/>
          </w:pPr>
          <w:r>
            <w:t>Alternativa stödåtgärder under ett års tid, såsom direkta näringsunderstöd och lånegarantier, riktar sig endast till fartyg som för finsk flagg. Samtidigt skulle farledsavgiften höjas från den halverade nivån och det minskar likabehandlingen inom fartygstrafiken.</w:t>
          </w:r>
        </w:p>
        <w:p w:rsidR="00A939B2" w:rsidRDefault="00A939B2" w:rsidP="00A939B2">
          <w:pPr>
            <w:pStyle w:val="LLPerustelujenkappalejako"/>
          </w:pPr>
        </w:p>
        <w:p w:rsidR="007E0CB1" w:rsidRDefault="007E0CB1" w:rsidP="0089684C">
          <w:pPr>
            <w:pStyle w:val="LLP1Otsikkotaso"/>
          </w:pPr>
          <w:bookmarkStart w:id="8" w:name="_Toc43729677"/>
          <w:r>
            <w:t>Remissvar</w:t>
          </w:r>
          <w:bookmarkEnd w:id="8"/>
        </w:p>
        <w:p w:rsidR="007E0CB1" w:rsidRDefault="007E0CB1" w:rsidP="007E0CB1">
          <w:pPr>
            <w:pStyle w:val="LLPerustelujenkappalejako"/>
          </w:pPr>
        </w:p>
        <w:p w:rsidR="007E0CB1" w:rsidRDefault="007E0CB1" w:rsidP="007E0CB1">
          <w:pPr>
            <w:pStyle w:val="LLP1Otsikkotaso"/>
          </w:pPr>
          <w:bookmarkStart w:id="9" w:name="_Toc43729678"/>
          <w:r>
            <w:t>Ikraftträdande</w:t>
          </w:r>
          <w:bookmarkEnd w:id="9"/>
        </w:p>
        <w:p w:rsidR="007E0CB1" w:rsidRDefault="0089684C" w:rsidP="0089684C">
          <w:pPr>
            <w:pStyle w:val="LLPerustelujenkappalejako"/>
          </w:pPr>
          <w:r>
            <w:t>Det föreslås att lagen träder i kraft den 1 januari 2021 och gäller till och med den 31 december 2021.</w:t>
          </w:r>
        </w:p>
        <w:p w:rsidR="003D729C" w:rsidRDefault="003D729C" w:rsidP="003D729C">
          <w:pPr>
            <w:pStyle w:val="LLPerustelujenkappalejako"/>
          </w:pPr>
        </w:p>
        <w:p w:rsidR="003D729C" w:rsidRDefault="003D729C" w:rsidP="003D729C">
          <w:pPr>
            <w:pStyle w:val="LLP1Otsikkotaso"/>
          </w:pPr>
          <w:bookmarkStart w:id="10" w:name="_Toc43729679"/>
          <w:r>
            <w:t>Förhållande till andra propositioner</w:t>
          </w:r>
          <w:bookmarkEnd w:id="10"/>
        </w:p>
        <w:p w:rsidR="003D729C" w:rsidRDefault="0089684C" w:rsidP="003D729C">
          <w:pPr>
            <w:pStyle w:val="LLPerustelujenkappalejako"/>
          </w:pPr>
          <w:r>
            <w:t>Propositionen hänför sig till budgetpropositionen för 2021 och avses bli behandlad i samband med den.</w:t>
          </w:r>
        </w:p>
        <w:p w:rsidR="003D729C" w:rsidRDefault="006461AD" w:rsidP="003D729C">
          <w:pPr>
            <w:pStyle w:val="LLP1Otsikkotaso"/>
          </w:pPr>
          <w:bookmarkStart w:id="11" w:name="_Toc43729680"/>
          <w:r>
            <w:lastRenderedPageBreak/>
            <w:t>Förhållande till grundlagen samt lagstiftningsordning</w:t>
          </w:r>
          <w:bookmarkEnd w:id="11"/>
        </w:p>
        <w:p w:rsidR="0089684C" w:rsidRPr="008941DE" w:rsidRDefault="0089684C" w:rsidP="0089684C">
          <w:pPr>
            <w:pStyle w:val="LLPerustelujenkappalejako"/>
          </w:pPr>
          <w:r>
            <w:t>En fortsatt halvering av farledsavgiften bedöms inte ha några konsekvenser med avseende på tillgodoseendet av de grundläggande fri- och rättigheterna. Farledsavgiften är till sin juridiska karaktär en skatt och i propositionen föreslås det att halveringen av avgiften ska fortsätta för alla aktörer som omfattas av avgiftsskyldigheten, vilket betyder att åtgärden behandlar alla nämnda aktörer sinsemellan likvärdigt i enlighet med jämlikhetsprincipen i 6 § i grundlagen. Propositionen bedöms inte ha några konsekvenser med avseende på näringsfriheten enligt 18 § i grundlagen.</w:t>
          </w:r>
        </w:p>
        <w:p w:rsidR="0089684C" w:rsidRPr="0089684C" w:rsidRDefault="0089684C" w:rsidP="0089684C">
          <w:pPr>
            <w:pStyle w:val="LLPerustelujenkappalejako"/>
          </w:pPr>
          <w:r>
            <w:t>Målet med propositionen är att stödja sjöfartsnäringen i de undantagsförhållanden som har förorsakats av epidemin av den smittsamma sjukdomen covid-19.</w:t>
          </w:r>
        </w:p>
        <w:p w:rsidR="008414FE" w:rsidRPr="0089684C" w:rsidRDefault="0089684C" w:rsidP="0089684C">
          <w:pPr>
            <w:pStyle w:val="LLPerustelujenkappalejako"/>
          </w:pPr>
          <w:r>
            <w:t>På de grunder som anges ovan kan lagförslaget behandlas i vanlig lagstiftningsordning.</w:t>
          </w:r>
        </w:p>
      </w:sdtContent>
    </w:sdt>
    <w:p w:rsidR="004A648F" w:rsidRDefault="004A648F" w:rsidP="004A648F">
      <w:pPr>
        <w:pStyle w:val="LLNormaali"/>
      </w:pPr>
    </w:p>
    <w:p w:rsidR="0022764C" w:rsidRPr="00257518" w:rsidRDefault="0022764C" w:rsidP="00257518">
      <w:pPr>
        <w:pStyle w:val="LLPonsi"/>
        <w:rPr>
          <w:i/>
        </w:rPr>
      </w:pPr>
      <w:r>
        <w:rPr>
          <w:i/>
        </w:rPr>
        <w:t>Kläm</w:t>
      </w:r>
    </w:p>
    <w:p w:rsidR="00370114" w:rsidRDefault="00944981" w:rsidP="009C4545">
      <w:pPr>
        <w:pStyle w:val="LLPonsi"/>
      </w:pPr>
      <w:r>
        <w:t>Med stöd av vad som anförts ovan föreläggs riksdagen följande lagförslag:</w:t>
      </w:r>
    </w:p>
    <w:p w:rsidR="004A648F" w:rsidRDefault="004A648F" w:rsidP="00370114">
      <w:pPr>
        <w:pStyle w:val="LLNormaali"/>
      </w:pPr>
    </w:p>
    <w:p w:rsidR="00393B53" w:rsidRPr="009C4545" w:rsidRDefault="00EA5FF7" w:rsidP="00370114">
      <w:pPr>
        <w:pStyle w:val="LLNormaali"/>
      </w:pPr>
      <w:r>
        <w:br w:type="page"/>
      </w:r>
    </w:p>
    <w:bookmarkStart w:id="12" w:name="_Toc43729681"/>
    <w:p w:rsidR="00646DE3" w:rsidRDefault="002C6F0A" w:rsidP="00646DE3">
      <w:pPr>
        <w:pStyle w:val="LLLakiehdotukset"/>
      </w:pPr>
      <w:sdt>
        <w:sdtPr>
          <w:alias w:val="Lagförslag"/>
          <w:tag w:val="CCLakiehdotukset"/>
          <w:id w:val="1834638829"/>
          <w:placeholder>
            <w:docPart w:val="3C3F5981C0FF4077BBA77D87D4E97621"/>
          </w:placeholder>
          <w15:color w:val="00FFFF"/>
          <w:dropDownList>
            <w:listItem w:value="Valitse kohde."/>
            <w:listItem w:displayText="Lakiehdotus" w:value="Lakiehdotus"/>
            <w:listItem w:displayText="Lagförslag" w:value="Lakiehdotukset"/>
          </w:dropDownList>
        </w:sdtPr>
        <w:sdtEndPr/>
        <w:sdtContent>
          <w:r w:rsidR="007F6FAD">
            <w:t>Lagförslag</w:t>
          </w:r>
        </w:sdtContent>
      </w:sdt>
      <w:bookmarkEnd w:id="12"/>
    </w:p>
    <w:sdt>
      <w:sdtPr>
        <w:alias w:val="Lagförslag"/>
        <w:tag w:val="CCLakiehdotukset"/>
        <w:id w:val="1695884352"/>
        <w:placeholder>
          <w:docPart w:val="A4FE41D9F9744D31B5D6F556A776E670"/>
        </w:placeholder>
        <w15:color w:val="00FFFF"/>
      </w:sdtPr>
      <w:sdtEndPr/>
      <w:sdtContent>
        <w:p w:rsidR="009167E1" w:rsidRPr="009167E1" w:rsidRDefault="009167E1" w:rsidP="00534B1F">
          <w:pPr>
            <w:pStyle w:val="LLNormaali"/>
          </w:pPr>
        </w:p>
        <w:p w:rsidR="009167E1" w:rsidRPr="00F36633" w:rsidRDefault="009167E1" w:rsidP="009732F5">
          <w:pPr>
            <w:pStyle w:val="LLLaki"/>
          </w:pPr>
          <w:r>
            <w:t>Lag</w:t>
          </w:r>
        </w:p>
        <w:p w:rsidR="009167E1" w:rsidRPr="009167E1" w:rsidRDefault="00606930" w:rsidP="0082264A">
          <w:pPr>
            <w:pStyle w:val="LLSaadoksenNimi"/>
          </w:pPr>
          <w:bookmarkStart w:id="13" w:name="_Toc43729682"/>
          <w:r>
            <w:t>om ändring av ikraftträdandebestämmelsen i en lag om ändring och temporär ändring av lagen om farledsavgift</w:t>
          </w:r>
          <w:bookmarkEnd w:id="13"/>
        </w:p>
        <w:p w:rsidR="009167E1" w:rsidRPr="00606930" w:rsidRDefault="009167E1" w:rsidP="009167E1">
          <w:pPr>
            <w:pStyle w:val="LLJohtolauseKappaleet"/>
          </w:pPr>
          <w:r>
            <w:t xml:space="preserve">I enlighet med riksdagens beslut </w:t>
          </w:r>
        </w:p>
        <w:p w:rsidR="00DD46C1" w:rsidRDefault="009167E1" w:rsidP="009167E1">
          <w:pPr>
            <w:pStyle w:val="LLJohtolauseKappaleet"/>
          </w:pPr>
          <w:r>
            <w:rPr>
              <w:i/>
            </w:rPr>
            <w:t>ändras</w:t>
          </w:r>
          <w:r>
            <w:t> i lagen om ändring och temporär ändring av lagen om farledsavgift (1214/2014) 1 mom. i ikraftträdandebestämmelsen, sådant det lyder i lag 904/2018, som följer:</w:t>
          </w:r>
        </w:p>
        <w:p w:rsidR="008941DE" w:rsidRDefault="008941DE" w:rsidP="008941DE">
          <w:pPr>
            <w:pStyle w:val="LLNormaali"/>
          </w:pPr>
        </w:p>
        <w:p w:rsidR="008941DE" w:rsidRPr="00606930" w:rsidRDefault="008941DE" w:rsidP="008941DE">
          <w:pPr>
            <w:pStyle w:val="LLNormaali"/>
          </w:pPr>
        </w:p>
        <w:p w:rsidR="008941DE" w:rsidRDefault="008941DE" w:rsidP="002241CC">
          <w:pPr>
            <w:pStyle w:val="LLKappalejako"/>
          </w:pPr>
          <w:r>
            <w:t>Denna lag träder i kraft den 1 januari 2021. Lagens 6 och 8 § gäller till och med den 31 december 2021.</w:t>
          </w:r>
        </w:p>
        <w:p w:rsidR="0000497A" w:rsidRDefault="008941DE" w:rsidP="008941DE">
          <w:pPr>
            <w:pStyle w:val="LLNormaali"/>
          </w:pPr>
          <w:r>
            <w:t>— — — — — — — — — — — — — — — — — — — — — — — — — — — — — —</w:t>
          </w:r>
        </w:p>
        <w:p w:rsidR="009167E1" w:rsidRDefault="009167E1" w:rsidP="00F06DEC">
          <w:pPr>
            <w:pStyle w:val="LLKappalejako"/>
          </w:pPr>
        </w:p>
        <w:p w:rsidR="008941DE" w:rsidRDefault="008941DE" w:rsidP="00F06DEC">
          <w:pPr>
            <w:pStyle w:val="LLKappalejako"/>
          </w:pPr>
        </w:p>
        <w:p w:rsidR="00BA71BD" w:rsidRPr="009167E1" w:rsidRDefault="00BA71BD" w:rsidP="00BA71BD">
          <w:pPr>
            <w:pStyle w:val="LLNormaali"/>
            <w:jc w:val="center"/>
          </w:pPr>
          <w:r>
            <w:t>———</w:t>
          </w:r>
        </w:p>
        <w:p w:rsidR="00606930" w:rsidRDefault="008941DE" w:rsidP="008941DE">
          <w:pPr>
            <w:pStyle w:val="LLVoimaantulokappale"/>
          </w:pPr>
          <w:r>
            <w:t>Denna lag träder i kraft den                 20  .</w:t>
          </w:r>
        </w:p>
        <w:p w:rsidR="00AB6FBD" w:rsidRPr="009167E1" w:rsidRDefault="00AB6FBD" w:rsidP="0000497A">
          <w:pPr>
            <w:pStyle w:val="LLNormaali"/>
            <w:jc w:val="center"/>
          </w:pPr>
          <w:r>
            <w:t>—————</w:t>
          </w:r>
        </w:p>
        <w:p w:rsidR="003E4E0F" w:rsidRDefault="003E4E0F" w:rsidP="00BA71BD">
          <w:pPr>
            <w:pStyle w:val="LLNormaali"/>
            <w:jc w:val="center"/>
          </w:pPr>
        </w:p>
        <w:p w:rsidR="004A648F" w:rsidRDefault="002C6F0A" w:rsidP="003E4E0F">
          <w:pPr>
            <w:pStyle w:val="LLNormaali"/>
          </w:pPr>
        </w:p>
      </w:sdtContent>
    </w:sdt>
    <w:p w:rsidR="00B0425D" w:rsidRDefault="00B0425D" w:rsidP="004A648F">
      <w:pPr>
        <w:pStyle w:val="LLNormaali"/>
      </w:pPr>
    </w:p>
    <w:p w:rsidR="00196A1D" w:rsidRPr="00302A46" w:rsidRDefault="00196A1D" w:rsidP="004A648F">
      <w:pPr>
        <w:pStyle w:val="LLNormaali"/>
      </w:pPr>
    </w:p>
    <w:p w:rsidR="004A648F" w:rsidRPr="00302A46" w:rsidRDefault="004A648F" w:rsidP="007435F3">
      <w:pPr>
        <w:pStyle w:val="LLNormaali"/>
      </w:pPr>
    </w:p>
    <w:p w:rsidR="00137260" w:rsidRPr="00302A46" w:rsidRDefault="00137260" w:rsidP="007435F3">
      <w:pPr>
        <w:pStyle w:val="LLNormaali"/>
      </w:pPr>
    </w:p>
    <w:sdt>
      <w:sdtPr>
        <w:alias w:val="Datum"/>
        <w:tag w:val="CCPaivays"/>
        <w:id w:val="-857742363"/>
        <w:lock w:val="sdtLocked"/>
        <w:placeholder>
          <w:docPart w:val="F453EB603375418A89123DB89C2484CE"/>
        </w:placeholder>
        <w15:color w:val="33CCCC"/>
        <w:text/>
      </w:sdtPr>
      <w:sdtEndPr/>
      <w:sdtContent>
        <w:p w:rsidR="005F6E65" w:rsidRPr="00302A46" w:rsidRDefault="001401B3" w:rsidP="005F6E65">
          <w:pPr>
            <w:pStyle w:val="LLPaivays"/>
          </w:pPr>
          <w:r>
            <w:t>Helsingfors den          20</w:t>
          </w:r>
        </w:p>
      </w:sdtContent>
    </w:sdt>
    <w:p w:rsidR="005F6E65" w:rsidRPr="00030BA9" w:rsidRDefault="005F6E65" w:rsidP="00267E16">
      <w:pPr>
        <w:pStyle w:val="LLNormaali"/>
      </w:pPr>
    </w:p>
    <w:sdt>
      <w:sdtPr>
        <w:alias w:val="Undertecknarens ställning"/>
        <w:tag w:val="CCAllekirjoitus"/>
        <w:id w:val="1565067034"/>
        <w:lock w:val="sdtLocked"/>
        <w:placeholder>
          <w:docPart w:val="F453EB603375418A89123DB89C2484CE"/>
        </w:placeholder>
        <w15:color w:val="00FFFF"/>
      </w:sdtPr>
      <w:sdtEndPr/>
      <w:sdtContent>
        <w:p w:rsidR="005F6E65" w:rsidRPr="008D7BC7" w:rsidRDefault="0087446D" w:rsidP="005F6E65">
          <w:pPr>
            <w:pStyle w:val="LLAllekirjoitus"/>
          </w:pPr>
          <w:r>
            <w:t>Statsminister</w:t>
          </w:r>
        </w:p>
      </w:sdtContent>
    </w:sdt>
    <w:p w:rsidR="005F6E65" w:rsidRPr="00385A06" w:rsidRDefault="00746B85" w:rsidP="00385A06">
      <w:pPr>
        <w:pStyle w:val="LLNimenselvennys"/>
      </w:pPr>
      <w:r>
        <w:t>Sanna Marin</w:t>
      </w:r>
    </w:p>
    <w:p w:rsidR="005F6E65" w:rsidRPr="00385A06" w:rsidRDefault="005F6E65" w:rsidP="00267E16">
      <w:pPr>
        <w:pStyle w:val="LLNormaali"/>
      </w:pPr>
    </w:p>
    <w:p w:rsidR="005F6E65" w:rsidRPr="00385A06" w:rsidRDefault="005F6E65" w:rsidP="00267E16">
      <w:pPr>
        <w:pStyle w:val="LLNormaali"/>
      </w:pPr>
    </w:p>
    <w:p w:rsidR="005F6E65" w:rsidRPr="00385A06" w:rsidRDefault="005F6E65" w:rsidP="00267E16">
      <w:pPr>
        <w:pStyle w:val="LLNormaali"/>
      </w:pPr>
    </w:p>
    <w:p w:rsidR="005F6E65" w:rsidRPr="00385A06" w:rsidRDefault="005F6E65" w:rsidP="00267E16">
      <w:pPr>
        <w:pStyle w:val="LLNormaali"/>
      </w:pPr>
    </w:p>
    <w:p w:rsidR="005F6E65" w:rsidRPr="002C1B6D" w:rsidRDefault="00606930" w:rsidP="005F6E65">
      <w:pPr>
        <w:pStyle w:val="LLVarmennus"/>
      </w:pPr>
      <w:r>
        <w:t>Kommunikationsminister Timo Harakka</w:t>
      </w:r>
    </w:p>
    <w:p w:rsidR="004B1827" w:rsidRDefault="004B1827" w:rsidP="003920F1">
      <w:pPr>
        <w:pStyle w:val="LLNormaali"/>
        <w:sectPr w:rsidR="004B1827" w:rsidSect="00C85EB5">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701" w:right="1780" w:bottom="2155" w:left="1780" w:header="1701" w:footer="1911" w:gutter="0"/>
          <w:cols w:space="720"/>
          <w:formProt w:val="0"/>
          <w:titlePg/>
          <w:docGrid w:linePitch="360"/>
        </w:sectPr>
      </w:pPr>
    </w:p>
    <w:p w:rsidR="00247DAA" w:rsidRDefault="00247DAA" w:rsidP="00247DAA">
      <w:pPr>
        <w:pStyle w:val="LLNormaali"/>
      </w:pPr>
    </w:p>
    <w:sectPr w:rsidR="00247DAA" w:rsidSect="00746B85">
      <w:type w:val="continuous"/>
      <w:pgSz w:w="11906" w:h="16838" w:code="9"/>
      <w:pgMar w:top="1701" w:right="1780" w:bottom="2155" w:left="1780" w:header="1701" w:footer="1911"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6F0A" w:rsidRDefault="002C6F0A">
      <w:r>
        <w:separator/>
      </w:r>
    </w:p>
  </w:endnote>
  <w:endnote w:type="continuationSeparator" w:id="0">
    <w:p w:rsidR="002C6F0A" w:rsidRDefault="002C6F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73A1" w:rsidRDefault="006D73A1" w:rsidP="001310B9">
    <w:pPr>
      <w:pStyle w:val="Alatunniste"/>
      <w:framePr w:wrap="around" w:vAnchor="text" w:hAnchor="margin" w:xAlign="center" w:y="1"/>
      <w:rPr>
        <w:rStyle w:val="Sivunumero"/>
      </w:rPr>
    </w:pPr>
    <w:r>
      <w:rPr>
        <w:rStyle w:val="Sivunumero"/>
      </w:rPr>
      <w:fldChar w:fldCharType="begin"/>
    </w:r>
    <w:r>
      <w:rPr>
        <w:rStyle w:val="Sivunumero"/>
      </w:rPr>
      <w:instrText xml:space="preserve">PAGE  </w:instrText>
    </w:r>
    <w:r>
      <w:rPr>
        <w:rStyle w:val="Sivunumero"/>
      </w:rPr>
      <w:fldChar w:fldCharType="separate"/>
    </w:r>
    <w:r w:rsidR="007E1D48">
      <w:rPr>
        <w:rStyle w:val="Sivunumero"/>
        <w:noProof/>
      </w:rPr>
      <w:t>10</w:t>
    </w:r>
    <w:r>
      <w:rPr>
        <w:rStyle w:val="Sivunumero"/>
      </w:rPr>
      <w:fldChar w:fldCharType="end"/>
    </w:r>
  </w:p>
  <w:p w:rsidR="006D73A1" w:rsidRDefault="006D73A1">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insideH w:val="single" w:sz="4" w:space="0" w:color="auto"/>
      </w:tblBorders>
      <w:tblLayout w:type="fixed"/>
      <w:tblLook w:val="01E0" w:firstRow="1" w:lastRow="1" w:firstColumn="1" w:lastColumn="1" w:noHBand="0" w:noVBand="0"/>
    </w:tblPr>
    <w:tblGrid>
      <w:gridCol w:w="2828"/>
      <w:gridCol w:w="2829"/>
      <w:gridCol w:w="2829"/>
    </w:tblGrid>
    <w:tr w:rsidR="006D73A1" w:rsidTr="000C5020">
      <w:trPr>
        <w:trHeight w:hRule="exact" w:val="356"/>
      </w:trPr>
      <w:tc>
        <w:tcPr>
          <w:tcW w:w="2828" w:type="dxa"/>
          <w:shd w:val="clear" w:color="auto" w:fill="auto"/>
          <w:vAlign w:val="bottom"/>
        </w:tcPr>
        <w:p w:rsidR="006D73A1" w:rsidRPr="000C5020" w:rsidRDefault="006D73A1" w:rsidP="001310B9">
          <w:pPr>
            <w:pStyle w:val="Alatunniste"/>
            <w:rPr>
              <w:sz w:val="18"/>
              <w:szCs w:val="18"/>
            </w:rPr>
          </w:pPr>
        </w:p>
      </w:tc>
      <w:tc>
        <w:tcPr>
          <w:tcW w:w="2829" w:type="dxa"/>
          <w:shd w:val="clear" w:color="auto" w:fill="auto"/>
          <w:vAlign w:val="bottom"/>
        </w:tcPr>
        <w:p w:rsidR="006D73A1" w:rsidRPr="000C5020" w:rsidRDefault="006D73A1" w:rsidP="000C5020">
          <w:pPr>
            <w:pStyle w:val="Alatunniste"/>
            <w:jc w:val="center"/>
            <w:rPr>
              <w:sz w:val="22"/>
              <w:szCs w:val="22"/>
            </w:rPr>
          </w:pPr>
          <w:r w:rsidRPr="000C5020">
            <w:rPr>
              <w:rStyle w:val="Sivunumero"/>
              <w:sz w:val="22"/>
            </w:rPr>
            <w:fldChar w:fldCharType="begin"/>
          </w:r>
          <w:r w:rsidRPr="000C5020">
            <w:rPr>
              <w:rStyle w:val="Sivunumero"/>
              <w:sz w:val="22"/>
            </w:rPr>
            <w:instrText xml:space="preserve"> PAGE </w:instrText>
          </w:r>
          <w:r w:rsidRPr="000C5020">
            <w:rPr>
              <w:rStyle w:val="Sivunumero"/>
              <w:sz w:val="22"/>
            </w:rPr>
            <w:fldChar w:fldCharType="separate"/>
          </w:r>
          <w:r w:rsidR="00C04EC2">
            <w:rPr>
              <w:rStyle w:val="Sivunumero"/>
              <w:noProof/>
              <w:sz w:val="22"/>
            </w:rPr>
            <w:t>3</w:t>
          </w:r>
          <w:r w:rsidRPr="000C5020">
            <w:rPr>
              <w:rStyle w:val="Sivunumero"/>
              <w:sz w:val="22"/>
            </w:rPr>
            <w:fldChar w:fldCharType="end"/>
          </w:r>
        </w:p>
      </w:tc>
      <w:tc>
        <w:tcPr>
          <w:tcW w:w="2829" w:type="dxa"/>
          <w:shd w:val="clear" w:color="auto" w:fill="auto"/>
          <w:vAlign w:val="bottom"/>
        </w:tcPr>
        <w:p w:rsidR="006D73A1" w:rsidRPr="000C5020" w:rsidRDefault="006D73A1" w:rsidP="001310B9">
          <w:pPr>
            <w:pStyle w:val="Alatunniste"/>
            <w:rPr>
              <w:sz w:val="18"/>
              <w:szCs w:val="18"/>
            </w:rPr>
          </w:pPr>
        </w:p>
      </w:tc>
    </w:tr>
  </w:tbl>
  <w:p w:rsidR="006D73A1" w:rsidRDefault="006D73A1" w:rsidP="001310B9">
    <w:pPr>
      <w:pStyle w:val="Alatunniste"/>
    </w:pPr>
  </w:p>
  <w:p w:rsidR="006D73A1" w:rsidRDefault="006D73A1" w:rsidP="001310B9">
    <w:pPr>
      <w:pStyle w:val="Alatunniste"/>
      <w:framePr w:wrap="around" w:vAnchor="text" w:hAnchor="page" w:x="5921" w:y="729"/>
      <w:rPr>
        <w:rStyle w:val="Sivunumero"/>
      </w:rPr>
    </w:pPr>
  </w:p>
  <w:p w:rsidR="006D73A1" w:rsidRDefault="006D73A1" w:rsidP="001310B9">
    <w:pPr>
      <w:pStyle w:val="Alatunnist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insideH w:val="single" w:sz="4" w:space="0" w:color="auto"/>
      </w:tblBorders>
      <w:tblLayout w:type="fixed"/>
      <w:tblLook w:val="01E0" w:firstRow="1" w:lastRow="1" w:firstColumn="1" w:lastColumn="1" w:noHBand="0" w:noVBand="0"/>
    </w:tblPr>
    <w:tblGrid>
      <w:gridCol w:w="2829"/>
      <w:gridCol w:w="2829"/>
      <w:gridCol w:w="2829"/>
    </w:tblGrid>
    <w:tr w:rsidR="006D73A1" w:rsidTr="000C5020">
      <w:trPr>
        <w:trHeight w:val="841"/>
      </w:trPr>
      <w:tc>
        <w:tcPr>
          <w:tcW w:w="2829" w:type="dxa"/>
          <w:shd w:val="clear" w:color="auto" w:fill="auto"/>
        </w:tcPr>
        <w:p w:rsidR="006D73A1" w:rsidRPr="000C5020" w:rsidRDefault="006D73A1" w:rsidP="005224A0">
          <w:pPr>
            <w:pStyle w:val="Alatunniste"/>
            <w:rPr>
              <w:sz w:val="17"/>
              <w:szCs w:val="18"/>
            </w:rPr>
          </w:pPr>
        </w:p>
      </w:tc>
      <w:tc>
        <w:tcPr>
          <w:tcW w:w="2829" w:type="dxa"/>
          <w:shd w:val="clear" w:color="auto" w:fill="auto"/>
          <w:vAlign w:val="bottom"/>
        </w:tcPr>
        <w:p w:rsidR="006D73A1" w:rsidRPr="000C5020" w:rsidRDefault="006D73A1" w:rsidP="000C5020">
          <w:pPr>
            <w:pStyle w:val="Alatunniste"/>
            <w:jc w:val="center"/>
            <w:rPr>
              <w:sz w:val="22"/>
              <w:szCs w:val="22"/>
            </w:rPr>
          </w:pPr>
        </w:p>
      </w:tc>
      <w:tc>
        <w:tcPr>
          <w:tcW w:w="2829" w:type="dxa"/>
          <w:shd w:val="clear" w:color="auto" w:fill="auto"/>
        </w:tcPr>
        <w:p w:rsidR="006D73A1" w:rsidRPr="000C5020" w:rsidRDefault="006D73A1" w:rsidP="005224A0">
          <w:pPr>
            <w:pStyle w:val="Alatunniste"/>
            <w:rPr>
              <w:sz w:val="17"/>
              <w:szCs w:val="18"/>
            </w:rPr>
          </w:pPr>
        </w:p>
      </w:tc>
    </w:tr>
  </w:tbl>
  <w:p w:rsidR="006D73A1" w:rsidRPr="001310B9" w:rsidRDefault="006D73A1">
    <w:pPr>
      <w:pStyle w:val="Alatunniste"/>
      <w:rPr>
        <w:sz w:val="22"/>
        <w:szCs w:val="22"/>
      </w:rPr>
    </w:pPr>
  </w:p>
  <w:p w:rsidR="006D73A1" w:rsidRDefault="006D73A1">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6F0A" w:rsidRDefault="002C6F0A">
      <w:r>
        <w:separator/>
      </w:r>
    </w:p>
  </w:footnote>
  <w:footnote w:type="continuationSeparator" w:id="0">
    <w:p w:rsidR="002C6F0A" w:rsidRDefault="002C6F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73A1" w:rsidRDefault="006D73A1">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170" w:type="dxa"/>
        <w:right w:w="170" w:type="dxa"/>
      </w:tblCellMar>
      <w:tblLook w:val="01E0" w:firstRow="1" w:lastRow="1" w:firstColumn="1" w:lastColumn="1" w:noHBand="0" w:noVBand="0"/>
    </w:tblPr>
    <w:tblGrid>
      <w:gridCol w:w="2140"/>
      <w:gridCol w:w="2141"/>
      <w:gridCol w:w="2140"/>
      <w:gridCol w:w="2141"/>
    </w:tblGrid>
    <w:tr w:rsidR="006D73A1" w:rsidTr="00C95716">
      <w:tc>
        <w:tcPr>
          <w:tcW w:w="2140" w:type="dxa"/>
        </w:tcPr>
        <w:p w:rsidR="006D73A1" w:rsidRDefault="006D73A1" w:rsidP="00C95716">
          <w:pPr>
            <w:rPr>
              <w:lang w:val="en-US"/>
            </w:rPr>
          </w:pPr>
        </w:p>
      </w:tc>
      <w:tc>
        <w:tcPr>
          <w:tcW w:w="4281" w:type="dxa"/>
          <w:gridSpan w:val="2"/>
        </w:tcPr>
        <w:p w:rsidR="006D73A1" w:rsidRDefault="006D73A1" w:rsidP="00C95716">
          <w:pPr>
            <w:jc w:val="center"/>
          </w:pPr>
        </w:p>
      </w:tc>
      <w:tc>
        <w:tcPr>
          <w:tcW w:w="2141" w:type="dxa"/>
        </w:tcPr>
        <w:p w:rsidR="006D73A1" w:rsidRDefault="006D73A1" w:rsidP="00C95716">
          <w:pPr>
            <w:rPr>
              <w:lang w:val="en-US"/>
            </w:rPr>
          </w:pPr>
        </w:p>
      </w:tc>
    </w:tr>
    <w:tr w:rsidR="006D73A1" w:rsidTr="00C95716">
      <w:tc>
        <w:tcPr>
          <w:tcW w:w="4281" w:type="dxa"/>
          <w:gridSpan w:val="2"/>
        </w:tcPr>
        <w:p w:rsidR="006D73A1" w:rsidRPr="00AC3BA6" w:rsidRDefault="006D73A1" w:rsidP="00C95716">
          <w:pPr>
            <w:rPr>
              <w:i/>
            </w:rPr>
          </w:pPr>
        </w:p>
      </w:tc>
      <w:tc>
        <w:tcPr>
          <w:tcW w:w="4281" w:type="dxa"/>
          <w:gridSpan w:val="2"/>
        </w:tcPr>
        <w:p w:rsidR="006D73A1" w:rsidRPr="00AC3BA6" w:rsidRDefault="006D73A1" w:rsidP="00C95716">
          <w:pPr>
            <w:rPr>
              <w:i/>
            </w:rPr>
          </w:pPr>
        </w:p>
      </w:tc>
    </w:tr>
  </w:tbl>
  <w:p w:rsidR="006D73A1" w:rsidRDefault="006D73A1" w:rsidP="00007EA2">
    <w:pPr>
      <w:pStyle w:val="Yltunniste"/>
      <w:ind w:right="360" w:firstLine="36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170" w:type="dxa"/>
        <w:right w:w="170" w:type="dxa"/>
      </w:tblCellMar>
      <w:tblLook w:val="01E0" w:firstRow="1" w:lastRow="1" w:firstColumn="1" w:lastColumn="1" w:noHBand="0" w:noVBand="0"/>
    </w:tblPr>
    <w:tblGrid>
      <w:gridCol w:w="2140"/>
      <w:gridCol w:w="2141"/>
      <w:gridCol w:w="2140"/>
      <w:gridCol w:w="2141"/>
    </w:tblGrid>
    <w:tr w:rsidR="006D73A1" w:rsidTr="00F674CC">
      <w:tc>
        <w:tcPr>
          <w:tcW w:w="2140" w:type="dxa"/>
        </w:tcPr>
        <w:p w:rsidR="006D73A1" w:rsidRPr="00A34F4E" w:rsidRDefault="006D73A1" w:rsidP="00F674CC"/>
      </w:tc>
      <w:tc>
        <w:tcPr>
          <w:tcW w:w="4281" w:type="dxa"/>
          <w:gridSpan w:val="2"/>
        </w:tcPr>
        <w:p w:rsidR="006D73A1" w:rsidRDefault="006D73A1" w:rsidP="00F674CC">
          <w:pPr>
            <w:jc w:val="center"/>
          </w:pPr>
        </w:p>
      </w:tc>
      <w:tc>
        <w:tcPr>
          <w:tcW w:w="2141" w:type="dxa"/>
        </w:tcPr>
        <w:p w:rsidR="006D73A1" w:rsidRPr="00A34F4E" w:rsidRDefault="006D73A1" w:rsidP="00F674CC"/>
      </w:tc>
    </w:tr>
    <w:tr w:rsidR="006D73A1" w:rsidTr="00F674CC">
      <w:tc>
        <w:tcPr>
          <w:tcW w:w="4281" w:type="dxa"/>
          <w:gridSpan w:val="2"/>
        </w:tcPr>
        <w:p w:rsidR="006D73A1" w:rsidRPr="00AC3BA6" w:rsidRDefault="006D73A1" w:rsidP="00F674CC">
          <w:pPr>
            <w:rPr>
              <w:i/>
            </w:rPr>
          </w:pPr>
        </w:p>
      </w:tc>
      <w:tc>
        <w:tcPr>
          <w:tcW w:w="4281" w:type="dxa"/>
          <w:gridSpan w:val="2"/>
        </w:tcPr>
        <w:p w:rsidR="006D73A1" w:rsidRPr="00AC3BA6" w:rsidRDefault="006D73A1" w:rsidP="00F674CC">
          <w:pPr>
            <w:rPr>
              <w:i/>
            </w:rPr>
          </w:pPr>
        </w:p>
      </w:tc>
    </w:tr>
  </w:tbl>
  <w:p w:rsidR="006D73A1" w:rsidRDefault="006D73A1">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F148DBCE"/>
    <w:lvl w:ilvl="0">
      <w:start w:val="1"/>
      <w:numFmt w:val="decimal"/>
      <w:pStyle w:val="Numeroituluettelo"/>
      <w:lvlText w:val="%1."/>
      <w:lvlJc w:val="left"/>
      <w:pPr>
        <w:tabs>
          <w:tab w:val="num" w:pos="360"/>
        </w:tabs>
        <w:ind w:left="360" w:hanging="360"/>
      </w:pPr>
    </w:lvl>
  </w:abstractNum>
  <w:abstractNum w:abstractNumId="1" w15:restartNumberingAfterBreak="0">
    <w:nsid w:val="13316386"/>
    <w:multiLevelType w:val="multilevel"/>
    <w:tmpl w:val="6B10CACE"/>
    <w:name w:val="LLYLP"/>
    <w:lvl w:ilvl="0">
      <w:start w:val="1"/>
      <w:numFmt w:val="decimal"/>
      <w:pStyle w:val="LLP1Otsikkotaso"/>
      <w:suff w:val="space"/>
      <w:lvlText w:val="%1"/>
      <w:lvlJc w:val="left"/>
      <w:pPr>
        <w:ind w:left="227" w:hanging="227"/>
      </w:pPr>
      <w:rPr>
        <w:rFonts w:hint="default"/>
      </w:rPr>
    </w:lvl>
    <w:lvl w:ilvl="1">
      <w:start w:val="1"/>
      <w:numFmt w:val="decimal"/>
      <w:pStyle w:val="LLP2Otsikkotaso"/>
      <w:suff w:val="space"/>
      <w:lvlText w:val="%1.%2"/>
      <w:lvlJc w:val="left"/>
      <w:pPr>
        <w:ind w:left="454" w:hanging="454"/>
      </w:pPr>
      <w:rPr>
        <w:rFonts w:hint="default"/>
      </w:rPr>
    </w:lvl>
    <w:lvl w:ilvl="2">
      <w:start w:val="1"/>
      <w:numFmt w:val="decimal"/>
      <w:pStyle w:val="LLP3Otsikkotaso"/>
      <w:suff w:val="space"/>
      <w:lvlText w:val="%1.%2.%3"/>
      <w:lvlJc w:val="left"/>
      <w:pPr>
        <w:ind w:left="227" w:hanging="227"/>
      </w:pPr>
      <w:rPr>
        <w:rFonts w:hint="default"/>
      </w:rPr>
    </w:lvl>
    <w:lvl w:ilvl="3">
      <w:start w:val="1"/>
      <w:numFmt w:val="decimal"/>
      <w:pStyle w:val="LLP4Otsikkotaso"/>
      <w:suff w:val="space"/>
      <w:lvlText w:val="%1.%2.%3.%4"/>
      <w:lvlJc w:val="left"/>
      <w:pPr>
        <w:ind w:left="454" w:hanging="454"/>
      </w:pPr>
      <w:rPr>
        <w:rFonts w:hint="default"/>
      </w:rPr>
    </w:lvl>
    <w:lvl w:ilvl="4">
      <w:start w:val="1"/>
      <w:numFmt w:val="decimal"/>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2" w15:restartNumberingAfterBreak="0">
    <w:nsid w:val="3D9F3445"/>
    <w:multiLevelType w:val="hybridMultilevel"/>
    <w:tmpl w:val="F8A68FAC"/>
    <w:lvl w:ilvl="0" w:tplc="4342D09C">
      <w:start w:val="1"/>
      <w:numFmt w:val="decimal"/>
      <w:lvlText w:val="%1."/>
      <w:lvlJc w:val="left"/>
      <w:pPr>
        <w:ind w:left="947" w:hanging="360"/>
      </w:pPr>
    </w:lvl>
    <w:lvl w:ilvl="1" w:tplc="040B0019" w:tentative="1">
      <w:start w:val="1"/>
      <w:numFmt w:val="lowerLetter"/>
      <w:lvlText w:val="%2."/>
      <w:lvlJc w:val="left"/>
      <w:pPr>
        <w:ind w:left="1667" w:hanging="360"/>
      </w:pPr>
    </w:lvl>
    <w:lvl w:ilvl="2" w:tplc="040B001B" w:tentative="1">
      <w:start w:val="1"/>
      <w:numFmt w:val="lowerRoman"/>
      <w:lvlText w:val="%3."/>
      <w:lvlJc w:val="right"/>
      <w:pPr>
        <w:ind w:left="2387" w:hanging="180"/>
      </w:pPr>
    </w:lvl>
    <w:lvl w:ilvl="3" w:tplc="040B000F" w:tentative="1">
      <w:start w:val="1"/>
      <w:numFmt w:val="decimal"/>
      <w:lvlText w:val="%4."/>
      <w:lvlJc w:val="left"/>
      <w:pPr>
        <w:ind w:left="3107" w:hanging="360"/>
      </w:pPr>
    </w:lvl>
    <w:lvl w:ilvl="4" w:tplc="040B0019" w:tentative="1">
      <w:start w:val="1"/>
      <w:numFmt w:val="lowerLetter"/>
      <w:lvlText w:val="%5."/>
      <w:lvlJc w:val="left"/>
      <w:pPr>
        <w:ind w:left="3827" w:hanging="360"/>
      </w:pPr>
    </w:lvl>
    <w:lvl w:ilvl="5" w:tplc="040B001B" w:tentative="1">
      <w:start w:val="1"/>
      <w:numFmt w:val="lowerRoman"/>
      <w:lvlText w:val="%6."/>
      <w:lvlJc w:val="right"/>
      <w:pPr>
        <w:ind w:left="4547" w:hanging="180"/>
      </w:pPr>
    </w:lvl>
    <w:lvl w:ilvl="6" w:tplc="040B000F" w:tentative="1">
      <w:start w:val="1"/>
      <w:numFmt w:val="decimal"/>
      <w:lvlText w:val="%7."/>
      <w:lvlJc w:val="left"/>
      <w:pPr>
        <w:ind w:left="5267" w:hanging="360"/>
      </w:pPr>
    </w:lvl>
    <w:lvl w:ilvl="7" w:tplc="040B0019" w:tentative="1">
      <w:start w:val="1"/>
      <w:numFmt w:val="lowerLetter"/>
      <w:lvlText w:val="%8."/>
      <w:lvlJc w:val="left"/>
      <w:pPr>
        <w:ind w:left="5987" w:hanging="360"/>
      </w:pPr>
    </w:lvl>
    <w:lvl w:ilvl="8" w:tplc="040B001B" w:tentative="1">
      <w:start w:val="1"/>
      <w:numFmt w:val="lowerRoman"/>
      <w:lvlText w:val="%9."/>
      <w:lvlJc w:val="right"/>
      <w:pPr>
        <w:ind w:left="6707" w:hanging="180"/>
      </w:pPr>
    </w:lvl>
  </w:abstractNum>
  <w:abstractNum w:abstractNumId="3" w15:restartNumberingAfterBreak="0">
    <w:nsid w:val="3DB8058E"/>
    <w:multiLevelType w:val="multilevel"/>
    <w:tmpl w:val="7B5A9D2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4" w15:restartNumberingAfterBreak="0">
    <w:nsid w:val="46B84CDD"/>
    <w:multiLevelType w:val="hybridMultilevel"/>
    <w:tmpl w:val="6B6438EC"/>
    <w:lvl w:ilvl="0" w:tplc="E41C86A2">
      <w:start w:val="1"/>
      <w:numFmt w:val="decimal"/>
      <w:lvlText w:val="%1."/>
      <w:lvlJc w:val="left"/>
      <w:pPr>
        <w:ind w:left="947" w:hanging="360"/>
      </w:pPr>
      <w:rPr>
        <w:rFonts w:hint="default"/>
      </w:rPr>
    </w:lvl>
    <w:lvl w:ilvl="1" w:tplc="040B0019" w:tentative="1">
      <w:start w:val="1"/>
      <w:numFmt w:val="lowerLetter"/>
      <w:lvlText w:val="%2."/>
      <w:lvlJc w:val="left"/>
      <w:pPr>
        <w:ind w:left="1667" w:hanging="360"/>
      </w:pPr>
    </w:lvl>
    <w:lvl w:ilvl="2" w:tplc="040B001B" w:tentative="1">
      <w:start w:val="1"/>
      <w:numFmt w:val="lowerRoman"/>
      <w:lvlText w:val="%3."/>
      <w:lvlJc w:val="right"/>
      <w:pPr>
        <w:ind w:left="2387" w:hanging="180"/>
      </w:pPr>
    </w:lvl>
    <w:lvl w:ilvl="3" w:tplc="040B000F" w:tentative="1">
      <w:start w:val="1"/>
      <w:numFmt w:val="decimal"/>
      <w:lvlText w:val="%4."/>
      <w:lvlJc w:val="left"/>
      <w:pPr>
        <w:ind w:left="3107" w:hanging="360"/>
      </w:pPr>
    </w:lvl>
    <w:lvl w:ilvl="4" w:tplc="040B0019" w:tentative="1">
      <w:start w:val="1"/>
      <w:numFmt w:val="lowerLetter"/>
      <w:lvlText w:val="%5."/>
      <w:lvlJc w:val="left"/>
      <w:pPr>
        <w:ind w:left="3827" w:hanging="360"/>
      </w:pPr>
    </w:lvl>
    <w:lvl w:ilvl="5" w:tplc="040B001B" w:tentative="1">
      <w:start w:val="1"/>
      <w:numFmt w:val="lowerRoman"/>
      <w:lvlText w:val="%6."/>
      <w:lvlJc w:val="right"/>
      <w:pPr>
        <w:ind w:left="4547" w:hanging="180"/>
      </w:pPr>
    </w:lvl>
    <w:lvl w:ilvl="6" w:tplc="040B000F" w:tentative="1">
      <w:start w:val="1"/>
      <w:numFmt w:val="decimal"/>
      <w:lvlText w:val="%7."/>
      <w:lvlJc w:val="left"/>
      <w:pPr>
        <w:ind w:left="5267" w:hanging="360"/>
      </w:pPr>
    </w:lvl>
    <w:lvl w:ilvl="7" w:tplc="040B0019" w:tentative="1">
      <w:start w:val="1"/>
      <w:numFmt w:val="lowerLetter"/>
      <w:lvlText w:val="%8."/>
      <w:lvlJc w:val="left"/>
      <w:pPr>
        <w:ind w:left="5987" w:hanging="360"/>
      </w:pPr>
    </w:lvl>
    <w:lvl w:ilvl="8" w:tplc="040B001B" w:tentative="1">
      <w:start w:val="1"/>
      <w:numFmt w:val="lowerRoman"/>
      <w:lvlText w:val="%9."/>
      <w:lvlJc w:val="right"/>
      <w:pPr>
        <w:ind w:left="6707" w:hanging="180"/>
      </w:pPr>
    </w:lvl>
  </w:abstractNum>
  <w:abstractNum w:abstractNumId="5" w15:restartNumberingAfterBreak="0">
    <w:nsid w:val="4936647A"/>
    <w:multiLevelType w:val="multilevel"/>
    <w:tmpl w:val="DAB854D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6" w15:restartNumberingAfterBreak="0">
    <w:nsid w:val="5832418C"/>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5EA3693B"/>
    <w:multiLevelType w:val="hybridMultilevel"/>
    <w:tmpl w:val="8220A902"/>
    <w:lvl w:ilvl="0" w:tplc="5644E0B6">
      <w:start w:val="1"/>
      <w:numFmt w:val="bullet"/>
      <w:lvlText w:val="–"/>
      <w:lvlJc w:val="left"/>
      <w:pPr>
        <w:ind w:left="720" w:hanging="360"/>
      </w:pPr>
      <w:rPr>
        <w:rFonts w:ascii="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60741604"/>
    <w:multiLevelType w:val="multilevel"/>
    <w:tmpl w:val="6B9CDFA0"/>
    <w:name w:val="LLYKP"/>
    <w:lvl w:ilvl="0">
      <w:start w:val="1"/>
      <w:numFmt w:val="decimal"/>
      <w:lvlText w:val="%1"/>
      <w:lvlJc w:val="left"/>
      <w:pPr>
        <w:ind w:left="227" w:hanging="227"/>
      </w:pPr>
      <w:rPr>
        <w:rFonts w:hint="default"/>
      </w:rPr>
    </w:lvl>
    <w:lvl w:ilvl="1">
      <w:start w:val="1"/>
      <w:numFmt w:val="decimal"/>
      <w:suff w:val="space"/>
      <w:lvlText w:val="%1.%2"/>
      <w:lvlJc w:val="left"/>
      <w:pPr>
        <w:ind w:left="227" w:hanging="227"/>
      </w:pPr>
      <w:rPr>
        <w:rFonts w:hint="default"/>
      </w:rPr>
    </w:lvl>
    <w:lvl w:ilvl="2">
      <w:start w:val="1"/>
      <w:numFmt w:val="lowerRoman"/>
      <w:lvlText w:val="%3)"/>
      <w:lvlJc w:val="left"/>
      <w:pPr>
        <w:ind w:left="227" w:hanging="227"/>
      </w:pPr>
      <w:rPr>
        <w:rFonts w:hint="default"/>
      </w:rPr>
    </w:lvl>
    <w:lvl w:ilvl="3">
      <w:start w:val="1"/>
      <w:numFmt w:val="decimal"/>
      <w:lvlText w:val="(%4)"/>
      <w:lvlJc w:val="left"/>
      <w:pPr>
        <w:ind w:left="227" w:hanging="227"/>
      </w:pPr>
      <w:rPr>
        <w:rFonts w:hint="default"/>
      </w:rPr>
    </w:lvl>
    <w:lvl w:ilvl="4">
      <w:start w:val="1"/>
      <w:numFmt w:val="lowerLetter"/>
      <w:lvlText w:val="(%5)"/>
      <w:lvlJc w:val="left"/>
      <w:pPr>
        <w:ind w:left="227" w:hanging="227"/>
      </w:pPr>
      <w:rPr>
        <w:rFonts w:hint="default"/>
      </w:rPr>
    </w:lvl>
    <w:lvl w:ilvl="5">
      <w:start w:val="1"/>
      <w:numFmt w:val="lowerRoman"/>
      <w:lvlText w:val="(%6)"/>
      <w:lvlJc w:val="left"/>
      <w:pPr>
        <w:ind w:left="227" w:hanging="227"/>
      </w:pPr>
      <w:rPr>
        <w:rFonts w:hint="default"/>
      </w:rPr>
    </w:lvl>
    <w:lvl w:ilvl="6">
      <w:start w:val="1"/>
      <w:numFmt w:val="decimal"/>
      <w:lvlText w:val="%7."/>
      <w:lvlJc w:val="left"/>
      <w:pPr>
        <w:ind w:left="227" w:hanging="227"/>
      </w:pPr>
      <w:rPr>
        <w:rFonts w:hint="default"/>
      </w:rPr>
    </w:lvl>
    <w:lvl w:ilvl="7">
      <w:start w:val="1"/>
      <w:numFmt w:val="lowerLetter"/>
      <w:lvlText w:val="%8."/>
      <w:lvlJc w:val="left"/>
      <w:pPr>
        <w:ind w:left="227" w:hanging="227"/>
      </w:pPr>
      <w:rPr>
        <w:rFonts w:hint="default"/>
      </w:rPr>
    </w:lvl>
    <w:lvl w:ilvl="8">
      <w:start w:val="1"/>
      <w:numFmt w:val="lowerRoman"/>
      <w:lvlText w:val="%9."/>
      <w:lvlJc w:val="left"/>
      <w:pPr>
        <w:ind w:left="227" w:hanging="227"/>
      </w:pPr>
      <w:rPr>
        <w:rFonts w:hint="default"/>
      </w:rPr>
    </w:lvl>
  </w:abstractNum>
  <w:abstractNum w:abstractNumId="9" w15:restartNumberingAfterBreak="0">
    <w:nsid w:val="60EE615B"/>
    <w:multiLevelType w:val="multilevel"/>
    <w:tmpl w:val="D798664E"/>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decimal"/>
      <w:suff w:val="space"/>
      <w:lvlText w:val="%4.%2.%3"/>
      <w:lvlJc w:val="left"/>
      <w:pPr>
        <w:ind w:left="454" w:hanging="454"/>
      </w:pPr>
      <w:rPr>
        <w:rFonts w:hint="default"/>
      </w:rPr>
    </w:lvl>
    <w:lvl w:ilvl="4">
      <w:start w:val="1"/>
      <w:numFmt w:val="decimal"/>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10" w15:restartNumberingAfterBreak="0">
    <w:nsid w:val="739A3967"/>
    <w:multiLevelType w:val="multilevel"/>
    <w:tmpl w:val="DAB854D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4"/>
  </w:num>
  <w:num w:numId="7">
    <w:abstractNumId w:val="0"/>
  </w:num>
  <w:num w:numId="8">
    <w:abstractNumId w:val="4"/>
    <w:lvlOverride w:ilvl="0">
      <w:startOverride w:val="1"/>
    </w:lvlOverride>
  </w:num>
  <w:num w:numId="9">
    <w:abstractNumId w:val="4"/>
    <w:lvlOverride w:ilvl="0">
      <w:startOverride w:val="1"/>
    </w:lvlOverride>
  </w:num>
  <w:num w:numId="10">
    <w:abstractNumId w:val="4"/>
    <w:lvlOverride w:ilvl="0">
      <w:startOverride w:val="1"/>
    </w:lvlOverride>
  </w:num>
  <w:num w:numId="11">
    <w:abstractNumId w:val="4"/>
    <w:lvlOverride w:ilvl="0">
      <w:startOverride w:val="1"/>
    </w:lvlOverride>
  </w:num>
  <w:num w:numId="12">
    <w:abstractNumId w:val="6"/>
  </w:num>
  <w:num w:numId="13">
    <w:abstractNumId w:val="4"/>
    <w:lvlOverride w:ilvl="0">
      <w:startOverride w:val="1"/>
    </w:lvlOverride>
  </w:num>
  <w:num w:numId="14">
    <w:abstractNumId w:val="4"/>
    <w:lvlOverride w:ilvl="0">
      <w:startOverride w:val="1"/>
    </w:lvlOverride>
  </w:num>
  <w:num w:numId="15">
    <w:abstractNumId w:val="2"/>
  </w:num>
  <w:num w:numId="16">
    <w:abstractNumId w:val="2"/>
    <w:lvlOverride w:ilvl="0">
      <w:startOverride w:val="1"/>
    </w:lvlOverride>
  </w:num>
  <w:num w:numId="17">
    <w:abstractNumId w:val="4"/>
    <w:lvlOverride w:ilvl="0">
      <w:startOverride w:val="1"/>
    </w:lvlOverride>
  </w:num>
  <w:num w:numId="18">
    <w:abstractNumId w:val="3"/>
  </w:num>
  <w:num w:numId="19">
    <w:abstractNumId w:val="5"/>
  </w:num>
  <w:num w:numId="20">
    <w:abstractNumId w:val="10"/>
  </w:num>
  <w:num w:numId="21">
    <w:abstractNumId w:val="1"/>
    <w:lvlOverride w:ilvl="0">
      <w:lvl w:ilvl="0">
        <w:start w:val="1"/>
        <w:numFmt w:val="decimal"/>
        <w:pStyle w:val="LLP1Otsikkotaso"/>
        <w:suff w:val="space"/>
        <w:lvlText w:val="%1"/>
        <w:lvlJc w:val="left"/>
        <w:pPr>
          <w:ind w:left="227" w:hanging="227"/>
        </w:pPr>
        <w:rPr>
          <w:rFonts w:hint="default"/>
        </w:rPr>
      </w:lvl>
    </w:lvlOverride>
    <w:lvlOverride w:ilvl="1">
      <w:lvl w:ilvl="1">
        <w:start w:val="1"/>
        <w:numFmt w:val="decimal"/>
        <w:pStyle w:val="LLP2Otsikkotaso"/>
        <w:suff w:val="space"/>
        <w:lvlText w:val="%1.%2"/>
        <w:lvlJc w:val="left"/>
        <w:pPr>
          <w:ind w:left="454" w:hanging="454"/>
        </w:pPr>
        <w:rPr>
          <w:rFonts w:hint="default"/>
        </w:rPr>
      </w:lvl>
    </w:lvlOverride>
    <w:lvlOverride w:ilvl="2">
      <w:lvl w:ilvl="2">
        <w:start w:val="1"/>
        <w:numFmt w:val="decimal"/>
        <w:pStyle w:val="LLP3Otsikkotaso"/>
        <w:suff w:val="space"/>
        <w:lvlText w:val="%1.%2.%3"/>
        <w:lvlJc w:val="left"/>
        <w:pPr>
          <w:ind w:left="227" w:hanging="227"/>
        </w:pPr>
        <w:rPr>
          <w:rFonts w:hint="default"/>
        </w:rPr>
      </w:lvl>
    </w:lvlOverride>
    <w:lvlOverride w:ilvl="3">
      <w:lvl w:ilvl="3">
        <w:start w:val="1"/>
        <w:numFmt w:val="decimal"/>
        <w:lvlRestart w:val="1"/>
        <w:pStyle w:val="LLP4Otsikkotaso"/>
        <w:suff w:val="space"/>
        <w:lvlText w:val="%4.%2.%3.%1"/>
        <w:lvlJc w:val="left"/>
        <w:pPr>
          <w:ind w:left="454" w:hanging="454"/>
        </w:pPr>
        <w:rPr>
          <w:rFonts w:hint="default"/>
        </w:rPr>
      </w:lvl>
    </w:lvlOverride>
    <w:lvlOverride w:ilvl="4">
      <w:lvl w:ilvl="4">
        <w:start w:val="1"/>
        <w:numFmt w:val="decimal"/>
        <w:lvlText w:val="%5."/>
        <w:lvlJc w:val="left"/>
        <w:pPr>
          <w:ind w:left="454" w:hanging="454"/>
        </w:pPr>
        <w:rPr>
          <w:rFonts w:hint="default"/>
        </w:rPr>
      </w:lvl>
    </w:lvlOverride>
    <w:lvlOverride w:ilvl="5">
      <w:lvl w:ilvl="5">
        <w:start w:val="1"/>
        <w:numFmt w:val="lowerRoman"/>
        <w:lvlText w:val="%6."/>
        <w:lvlJc w:val="right"/>
        <w:pPr>
          <w:ind w:left="454" w:hanging="454"/>
        </w:pPr>
        <w:rPr>
          <w:rFonts w:hint="default"/>
        </w:rPr>
      </w:lvl>
    </w:lvlOverride>
    <w:lvlOverride w:ilvl="6">
      <w:lvl w:ilvl="6">
        <w:start w:val="1"/>
        <w:numFmt w:val="decimal"/>
        <w:lvlText w:val="%7."/>
        <w:lvlJc w:val="left"/>
        <w:pPr>
          <w:ind w:left="454" w:hanging="454"/>
        </w:pPr>
        <w:rPr>
          <w:rFonts w:hint="default"/>
        </w:rPr>
      </w:lvl>
    </w:lvlOverride>
    <w:lvlOverride w:ilvl="7">
      <w:lvl w:ilvl="7">
        <w:start w:val="1"/>
        <w:numFmt w:val="lowerLetter"/>
        <w:lvlText w:val="%8."/>
        <w:lvlJc w:val="left"/>
        <w:pPr>
          <w:ind w:left="454" w:hanging="454"/>
        </w:pPr>
        <w:rPr>
          <w:rFonts w:hint="default"/>
        </w:rPr>
      </w:lvl>
    </w:lvlOverride>
    <w:lvlOverride w:ilvl="8">
      <w:lvl w:ilvl="8">
        <w:start w:val="1"/>
        <w:numFmt w:val="lowerRoman"/>
        <w:lvlText w:val="%9."/>
        <w:lvlJc w:val="right"/>
        <w:pPr>
          <w:ind w:left="454" w:hanging="454"/>
        </w:pPr>
        <w:rPr>
          <w:rFonts w:hint="default"/>
        </w:rPr>
      </w:lvl>
    </w:lvlOverride>
  </w:num>
  <w:num w:numId="22">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ctiveWritingStyle w:appName="MSWord" w:lang="fi-FI" w:vendorID="22" w:dllVersion="513" w:checkStyle="1"/>
  <w:activeWritingStyle w:appName="MSWord" w:lang="sv-SE" w:vendorID="22" w:dllVersion="513"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0"/>
  <w:defaultTabStop w:val="1304"/>
  <w:autoHyphenation/>
  <w:hyphenationZone w:val="14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0FE9"/>
    <w:rsid w:val="00000B13"/>
    <w:rsid w:val="00000D79"/>
    <w:rsid w:val="00001C65"/>
    <w:rsid w:val="000026A6"/>
    <w:rsid w:val="00002765"/>
    <w:rsid w:val="00003D02"/>
    <w:rsid w:val="000046E8"/>
    <w:rsid w:val="0000497A"/>
    <w:rsid w:val="00005736"/>
    <w:rsid w:val="00006393"/>
    <w:rsid w:val="00007C03"/>
    <w:rsid w:val="00007EA2"/>
    <w:rsid w:val="00012145"/>
    <w:rsid w:val="000131D0"/>
    <w:rsid w:val="0001433B"/>
    <w:rsid w:val="0001582F"/>
    <w:rsid w:val="00015D45"/>
    <w:rsid w:val="000166D0"/>
    <w:rsid w:val="00017270"/>
    <w:rsid w:val="000202BC"/>
    <w:rsid w:val="000208A6"/>
    <w:rsid w:val="0002194F"/>
    <w:rsid w:val="00023201"/>
    <w:rsid w:val="00024344"/>
    <w:rsid w:val="00024B6D"/>
    <w:rsid w:val="000269DC"/>
    <w:rsid w:val="000278A9"/>
    <w:rsid w:val="00027992"/>
    <w:rsid w:val="00030044"/>
    <w:rsid w:val="00030BA9"/>
    <w:rsid w:val="00031114"/>
    <w:rsid w:val="0003265F"/>
    <w:rsid w:val="000331C9"/>
    <w:rsid w:val="0003331C"/>
    <w:rsid w:val="0003393F"/>
    <w:rsid w:val="00034B95"/>
    <w:rsid w:val="0003652F"/>
    <w:rsid w:val="000370C8"/>
    <w:rsid w:val="00040D23"/>
    <w:rsid w:val="0004360C"/>
    <w:rsid w:val="00043723"/>
    <w:rsid w:val="00043F6F"/>
    <w:rsid w:val="00044A1B"/>
    <w:rsid w:val="00045101"/>
    <w:rsid w:val="00046AF3"/>
    <w:rsid w:val="00046C60"/>
    <w:rsid w:val="00047B66"/>
    <w:rsid w:val="000502E9"/>
    <w:rsid w:val="00050C95"/>
    <w:rsid w:val="00052549"/>
    <w:rsid w:val="00052D29"/>
    <w:rsid w:val="00052E56"/>
    <w:rsid w:val="00053D25"/>
    <w:rsid w:val="000543D1"/>
    <w:rsid w:val="00057B14"/>
    <w:rsid w:val="000608D6"/>
    <w:rsid w:val="00061325"/>
    <w:rsid w:val="000614BC"/>
    <w:rsid w:val="00061565"/>
    <w:rsid w:val="00061FE7"/>
    <w:rsid w:val="00062A38"/>
    <w:rsid w:val="00062D45"/>
    <w:rsid w:val="00063DCC"/>
    <w:rsid w:val="000646B8"/>
    <w:rsid w:val="00066DC3"/>
    <w:rsid w:val="000677E9"/>
    <w:rsid w:val="00070B45"/>
    <w:rsid w:val="0007112D"/>
    <w:rsid w:val="000722C4"/>
    <w:rsid w:val="0007388F"/>
    <w:rsid w:val="00075ADB"/>
    <w:rsid w:val="000769BB"/>
    <w:rsid w:val="00077867"/>
    <w:rsid w:val="000811EC"/>
    <w:rsid w:val="00081D3F"/>
    <w:rsid w:val="00082609"/>
    <w:rsid w:val="00083E71"/>
    <w:rsid w:val="00084034"/>
    <w:rsid w:val="000852C2"/>
    <w:rsid w:val="000863E1"/>
    <w:rsid w:val="00086D51"/>
    <w:rsid w:val="00086E44"/>
    <w:rsid w:val="00086F52"/>
    <w:rsid w:val="00090BAD"/>
    <w:rsid w:val="00090F33"/>
    <w:rsid w:val="000919F0"/>
    <w:rsid w:val="0009275E"/>
    <w:rsid w:val="00094938"/>
    <w:rsid w:val="00095306"/>
    <w:rsid w:val="00095BC2"/>
    <w:rsid w:val="000968AF"/>
    <w:rsid w:val="00096F94"/>
    <w:rsid w:val="000973BA"/>
    <w:rsid w:val="00097836"/>
    <w:rsid w:val="000A06A9"/>
    <w:rsid w:val="000A11C9"/>
    <w:rsid w:val="000A1602"/>
    <w:rsid w:val="000A23C8"/>
    <w:rsid w:val="000A2C2D"/>
    <w:rsid w:val="000A3181"/>
    <w:rsid w:val="000A32FA"/>
    <w:rsid w:val="000A334A"/>
    <w:rsid w:val="000A4218"/>
    <w:rsid w:val="000A4827"/>
    <w:rsid w:val="000A48BD"/>
    <w:rsid w:val="000A4CC1"/>
    <w:rsid w:val="000A55E5"/>
    <w:rsid w:val="000A6C3E"/>
    <w:rsid w:val="000A6EE3"/>
    <w:rsid w:val="000A7212"/>
    <w:rsid w:val="000A75CB"/>
    <w:rsid w:val="000B0F5F"/>
    <w:rsid w:val="000B2410"/>
    <w:rsid w:val="000B43F5"/>
    <w:rsid w:val="000B6D79"/>
    <w:rsid w:val="000C13BA"/>
    <w:rsid w:val="000C15D4"/>
    <w:rsid w:val="000C1725"/>
    <w:rsid w:val="000C1BEB"/>
    <w:rsid w:val="000C2FDB"/>
    <w:rsid w:val="000C3A8E"/>
    <w:rsid w:val="000C4809"/>
    <w:rsid w:val="000C5020"/>
    <w:rsid w:val="000C6EC7"/>
    <w:rsid w:val="000C6EDC"/>
    <w:rsid w:val="000D0AA3"/>
    <w:rsid w:val="000D1D74"/>
    <w:rsid w:val="000D3443"/>
    <w:rsid w:val="000D37E7"/>
    <w:rsid w:val="000D3D1D"/>
    <w:rsid w:val="000D425F"/>
    <w:rsid w:val="000D4882"/>
    <w:rsid w:val="000D5454"/>
    <w:rsid w:val="000D550A"/>
    <w:rsid w:val="000D6DF9"/>
    <w:rsid w:val="000D701B"/>
    <w:rsid w:val="000D7B48"/>
    <w:rsid w:val="000E0B7D"/>
    <w:rsid w:val="000E1BB8"/>
    <w:rsid w:val="000E2BF4"/>
    <w:rsid w:val="000E2F7E"/>
    <w:rsid w:val="000E3C0F"/>
    <w:rsid w:val="000E446C"/>
    <w:rsid w:val="000E61DF"/>
    <w:rsid w:val="000E73C2"/>
    <w:rsid w:val="000F02E2"/>
    <w:rsid w:val="000F06B2"/>
    <w:rsid w:val="000F1313"/>
    <w:rsid w:val="000F1A50"/>
    <w:rsid w:val="000F1AE5"/>
    <w:rsid w:val="000F1F95"/>
    <w:rsid w:val="000F39AF"/>
    <w:rsid w:val="000F3FDB"/>
    <w:rsid w:val="000F4F20"/>
    <w:rsid w:val="000F5A45"/>
    <w:rsid w:val="000F66A0"/>
    <w:rsid w:val="000F6DC9"/>
    <w:rsid w:val="000F70C7"/>
    <w:rsid w:val="000F71FD"/>
    <w:rsid w:val="00100EB7"/>
    <w:rsid w:val="0010111D"/>
    <w:rsid w:val="00103ACA"/>
    <w:rsid w:val="00103C5F"/>
    <w:rsid w:val="001044A0"/>
    <w:rsid w:val="00104BDC"/>
    <w:rsid w:val="001063A9"/>
    <w:rsid w:val="00106FD6"/>
    <w:rsid w:val="0010701E"/>
    <w:rsid w:val="00107C32"/>
    <w:rsid w:val="00107FEC"/>
    <w:rsid w:val="001122D6"/>
    <w:rsid w:val="001138E2"/>
    <w:rsid w:val="00113CCD"/>
    <w:rsid w:val="00113D42"/>
    <w:rsid w:val="00113FEF"/>
    <w:rsid w:val="00114D89"/>
    <w:rsid w:val="0011571F"/>
    <w:rsid w:val="0011693E"/>
    <w:rsid w:val="00116A7E"/>
    <w:rsid w:val="00117C3F"/>
    <w:rsid w:val="00120A6F"/>
    <w:rsid w:val="00121E3B"/>
    <w:rsid w:val="0012475C"/>
    <w:rsid w:val="00125ABB"/>
    <w:rsid w:val="00126652"/>
    <w:rsid w:val="00127D8D"/>
    <w:rsid w:val="001305A0"/>
    <w:rsid w:val="001310B9"/>
    <w:rsid w:val="0013473F"/>
    <w:rsid w:val="00137260"/>
    <w:rsid w:val="0013779E"/>
    <w:rsid w:val="001401B3"/>
    <w:rsid w:val="0014084B"/>
    <w:rsid w:val="001421FF"/>
    <w:rsid w:val="00143933"/>
    <w:rsid w:val="0014421F"/>
    <w:rsid w:val="00144D26"/>
    <w:rsid w:val="001454DF"/>
    <w:rsid w:val="00151813"/>
    <w:rsid w:val="00152091"/>
    <w:rsid w:val="00152FD7"/>
    <w:rsid w:val="0015343C"/>
    <w:rsid w:val="001534DC"/>
    <w:rsid w:val="00154A91"/>
    <w:rsid w:val="001565E1"/>
    <w:rsid w:val="001617CA"/>
    <w:rsid w:val="001619B4"/>
    <w:rsid w:val="00161A08"/>
    <w:rsid w:val="001628A5"/>
    <w:rsid w:val="00164B49"/>
    <w:rsid w:val="00165F63"/>
    <w:rsid w:val="00166459"/>
    <w:rsid w:val="00167060"/>
    <w:rsid w:val="00167E6A"/>
    <w:rsid w:val="00170B5F"/>
    <w:rsid w:val="00171AEB"/>
    <w:rsid w:val="001729CF"/>
    <w:rsid w:val="00172F9D"/>
    <w:rsid w:val="0017311E"/>
    <w:rsid w:val="001737ED"/>
    <w:rsid w:val="00173F89"/>
    <w:rsid w:val="00174FCA"/>
    <w:rsid w:val="00175AD6"/>
    <w:rsid w:val="00177976"/>
    <w:rsid w:val="001809D8"/>
    <w:rsid w:val="001828F5"/>
    <w:rsid w:val="0018338F"/>
    <w:rsid w:val="00185F2E"/>
    <w:rsid w:val="00186610"/>
    <w:rsid w:val="0019152A"/>
    <w:rsid w:val="0019244A"/>
    <w:rsid w:val="00193986"/>
    <w:rsid w:val="001942C3"/>
    <w:rsid w:val="00196A1D"/>
    <w:rsid w:val="00197B82"/>
    <w:rsid w:val="00197F54"/>
    <w:rsid w:val="001A0813"/>
    <w:rsid w:val="001A0C83"/>
    <w:rsid w:val="001A119D"/>
    <w:rsid w:val="001A15F0"/>
    <w:rsid w:val="001A20EA"/>
    <w:rsid w:val="001A2377"/>
    <w:rsid w:val="001A2585"/>
    <w:rsid w:val="001A2C87"/>
    <w:rsid w:val="001A5FE9"/>
    <w:rsid w:val="001A6BB6"/>
    <w:rsid w:val="001A72B3"/>
    <w:rsid w:val="001B0461"/>
    <w:rsid w:val="001B0E89"/>
    <w:rsid w:val="001B1D4B"/>
    <w:rsid w:val="001B2357"/>
    <w:rsid w:val="001B3072"/>
    <w:rsid w:val="001B3C37"/>
    <w:rsid w:val="001B4438"/>
    <w:rsid w:val="001B5202"/>
    <w:rsid w:val="001B537E"/>
    <w:rsid w:val="001B5E85"/>
    <w:rsid w:val="001B67C7"/>
    <w:rsid w:val="001B6BBA"/>
    <w:rsid w:val="001B6ED7"/>
    <w:rsid w:val="001C14B4"/>
    <w:rsid w:val="001C225D"/>
    <w:rsid w:val="001C2301"/>
    <w:rsid w:val="001C35EE"/>
    <w:rsid w:val="001C428A"/>
    <w:rsid w:val="001C4A97"/>
    <w:rsid w:val="001C5331"/>
    <w:rsid w:val="001C6C94"/>
    <w:rsid w:val="001C77EA"/>
    <w:rsid w:val="001D0443"/>
    <w:rsid w:val="001D07D2"/>
    <w:rsid w:val="001D0B90"/>
    <w:rsid w:val="001D2CCF"/>
    <w:rsid w:val="001D2F6E"/>
    <w:rsid w:val="001D333D"/>
    <w:rsid w:val="001D36E0"/>
    <w:rsid w:val="001D41B9"/>
    <w:rsid w:val="001D5CD3"/>
    <w:rsid w:val="001D6BD4"/>
    <w:rsid w:val="001D74D6"/>
    <w:rsid w:val="001D7C49"/>
    <w:rsid w:val="001D7C93"/>
    <w:rsid w:val="001E07D9"/>
    <w:rsid w:val="001E0895"/>
    <w:rsid w:val="001E2815"/>
    <w:rsid w:val="001E2BCC"/>
    <w:rsid w:val="001E3303"/>
    <w:rsid w:val="001E66E9"/>
    <w:rsid w:val="001E6CAE"/>
    <w:rsid w:val="001E6CCB"/>
    <w:rsid w:val="001E6D80"/>
    <w:rsid w:val="001F0934"/>
    <w:rsid w:val="001F2163"/>
    <w:rsid w:val="001F5DBC"/>
    <w:rsid w:val="001F6E1A"/>
    <w:rsid w:val="001F7A9D"/>
    <w:rsid w:val="002013EA"/>
    <w:rsid w:val="00203617"/>
    <w:rsid w:val="002042DB"/>
    <w:rsid w:val="002049A0"/>
    <w:rsid w:val="00205F1C"/>
    <w:rsid w:val="002070FC"/>
    <w:rsid w:val="00207E96"/>
    <w:rsid w:val="002113C3"/>
    <w:rsid w:val="00213078"/>
    <w:rsid w:val="002133C2"/>
    <w:rsid w:val="002141FA"/>
    <w:rsid w:val="00214F6B"/>
    <w:rsid w:val="0021664F"/>
    <w:rsid w:val="002168F9"/>
    <w:rsid w:val="00216F59"/>
    <w:rsid w:val="0021781C"/>
    <w:rsid w:val="00220C7D"/>
    <w:rsid w:val="002233F1"/>
    <w:rsid w:val="00223FC3"/>
    <w:rsid w:val="002241CC"/>
    <w:rsid w:val="0022764C"/>
    <w:rsid w:val="002305CB"/>
    <w:rsid w:val="00232CF3"/>
    <w:rsid w:val="00232E8B"/>
    <w:rsid w:val="00233151"/>
    <w:rsid w:val="00236391"/>
    <w:rsid w:val="00236F17"/>
    <w:rsid w:val="00237BEC"/>
    <w:rsid w:val="00241124"/>
    <w:rsid w:val="00241EBC"/>
    <w:rsid w:val="00242EC3"/>
    <w:rsid w:val="002445F2"/>
    <w:rsid w:val="002446DA"/>
    <w:rsid w:val="00244B73"/>
    <w:rsid w:val="00245257"/>
    <w:rsid w:val="00245804"/>
    <w:rsid w:val="0024634E"/>
    <w:rsid w:val="0024762B"/>
    <w:rsid w:val="002478DC"/>
    <w:rsid w:val="00247B38"/>
    <w:rsid w:val="00247D0A"/>
    <w:rsid w:val="00247DAA"/>
    <w:rsid w:val="002502FA"/>
    <w:rsid w:val="002505A5"/>
    <w:rsid w:val="00251092"/>
    <w:rsid w:val="002516A5"/>
    <w:rsid w:val="002519A0"/>
    <w:rsid w:val="0025236F"/>
    <w:rsid w:val="002523B2"/>
    <w:rsid w:val="00252A04"/>
    <w:rsid w:val="00252C30"/>
    <w:rsid w:val="00252C37"/>
    <w:rsid w:val="00252CD6"/>
    <w:rsid w:val="00253030"/>
    <w:rsid w:val="002530B0"/>
    <w:rsid w:val="002531E7"/>
    <w:rsid w:val="00253ED4"/>
    <w:rsid w:val="00254B1E"/>
    <w:rsid w:val="00255C8C"/>
    <w:rsid w:val="002568F3"/>
    <w:rsid w:val="00257518"/>
    <w:rsid w:val="002600EF"/>
    <w:rsid w:val="00260ED8"/>
    <w:rsid w:val="00261B3D"/>
    <w:rsid w:val="00263506"/>
    <w:rsid w:val="002637F9"/>
    <w:rsid w:val="002640C3"/>
    <w:rsid w:val="002644A7"/>
    <w:rsid w:val="002647EB"/>
    <w:rsid w:val="00264939"/>
    <w:rsid w:val="00266690"/>
    <w:rsid w:val="00267E16"/>
    <w:rsid w:val="00272D80"/>
    <w:rsid w:val="002733B9"/>
    <w:rsid w:val="00273F65"/>
    <w:rsid w:val="0027666C"/>
    <w:rsid w:val="002767A8"/>
    <w:rsid w:val="0027698E"/>
    <w:rsid w:val="00276C0A"/>
    <w:rsid w:val="00280153"/>
    <w:rsid w:val="00280A74"/>
    <w:rsid w:val="00283256"/>
    <w:rsid w:val="0028520A"/>
    <w:rsid w:val="00285F21"/>
    <w:rsid w:val="00292DB8"/>
    <w:rsid w:val="002931AD"/>
    <w:rsid w:val="00293397"/>
    <w:rsid w:val="0029367C"/>
    <w:rsid w:val="00293DCE"/>
    <w:rsid w:val="00294145"/>
    <w:rsid w:val="0029486C"/>
    <w:rsid w:val="00295268"/>
    <w:rsid w:val="002953B9"/>
    <w:rsid w:val="00296B68"/>
    <w:rsid w:val="00296CB8"/>
    <w:rsid w:val="002A0577"/>
    <w:rsid w:val="002A0B5D"/>
    <w:rsid w:val="002A2066"/>
    <w:rsid w:val="002A2FB5"/>
    <w:rsid w:val="002A2FEF"/>
    <w:rsid w:val="002A431F"/>
    <w:rsid w:val="002A4575"/>
    <w:rsid w:val="002A5827"/>
    <w:rsid w:val="002A630E"/>
    <w:rsid w:val="002A6D63"/>
    <w:rsid w:val="002B0120"/>
    <w:rsid w:val="002B1508"/>
    <w:rsid w:val="002B2FD8"/>
    <w:rsid w:val="002B3891"/>
    <w:rsid w:val="002B4A7F"/>
    <w:rsid w:val="002B712B"/>
    <w:rsid w:val="002B788A"/>
    <w:rsid w:val="002C0CBA"/>
    <w:rsid w:val="002C1572"/>
    <w:rsid w:val="002C19FF"/>
    <w:rsid w:val="002C1B6D"/>
    <w:rsid w:val="002C25AD"/>
    <w:rsid w:val="002C46C0"/>
    <w:rsid w:val="002C588D"/>
    <w:rsid w:val="002C5AF9"/>
    <w:rsid w:val="002C694B"/>
    <w:rsid w:val="002C6F0A"/>
    <w:rsid w:val="002C6F56"/>
    <w:rsid w:val="002D0561"/>
    <w:rsid w:val="002D158A"/>
    <w:rsid w:val="002D1FC4"/>
    <w:rsid w:val="002D2DFF"/>
    <w:rsid w:val="002D4C0B"/>
    <w:rsid w:val="002D59A5"/>
    <w:rsid w:val="002D62BF"/>
    <w:rsid w:val="002D7B09"/>
    <w:rsid w:val="002E0619"/>
    <w:rsid w:val="002E0770"/>
    <w:rsid w:val="002E0859"/>
    <w:rsid w:val="002E0AA9"/>
    <w:rsid w:val="002E136D"/>
    <w:rsid w:val="002E1AD6"/>
    <w:rsid w:val="002E1C57"/>
    <w:rsid w:val="002E2928"/>
    <w:rsid w:val="002E2A5D"/>
    <w:rsid w:val="002E58B2"/>
    <w:rsid w:val="002E6BE3"/>
    <w:rsid w:val="002E73F2"/>
    <w:rsid w:val="002F036A"/>
    <w:rsid w:val="002F0DA6"/>
    <w:rsid w:val="002F1CAA"/>
    <w:rsid w:val="002F3ECD"/>
    <w:rsid w:val="002F47BF"/>
    <w:rsid w:val="002F486D"/>
    <w:rsid w:val="002F5A3F"/>
    <w:rsid w:val="002F690F"/>
    <w:rsid w:val="0030010F"/>
    <w:rsid w:val="00302945"/>
    <w:rsid w:val="00302A04"/>
    <w:rsid w:val="00302A46"/>
    <w:rsid w:val="0030338C"/>
    <w:rsid w:val="00303A94"/>
    <w:rsid w:val="003042E3"/>
    <w:rsid w:val="0030433D"/>
    <w:rsid w:val="00304948"/>
    <w:rsid w:val="0030512D"/>
    <w:rsid w:val="003115B9"/>
    <w:rsid w:val="00311A68"/>
    <w:rsid w:val="00312ED2"/>
    <w:rsid w:val="00313379"/>
    <w:rsid w:val="003141AB"/>
    <w:rsid w:val="0031475A"/>
    <w:rsid w:val="00314807"/>
    <w:rsid w:val="00315799"/>
    <w:rsid w:val="0031770D"/>
    <w:rsid w:val="00317836"/>
    <w:rsid w:val="003206A2"/>
    <w:rsid w:val="0032557F"/>
    <w:rsid w:val="00326029"/>
    <w:rsid w:val="0032663D"/>
    <w:rsid w:val="00327C20"/>
    <w:rsid w:val="0033013E"/>
    <w:rsid w:val="00331079"/>
    <w:rsid w:val="00332AFA"/>
    <w:rsid w:val="0033438A"/>
    <w:rsid w:val="00334D23"/>
    <w:rsid w:val="00335B8E"/>
    <w:rsid w:val="00335E45"/>
    <w:rsid w:val="00336539"/>
    <w:rsid w:val="00336569"/>
    <w:rsid w:val="00337046"/>
    <w:rsid w:val="003371A9"/>
    <w:rsid w:val="00337B35"/>
    <w:rsid w:val="00342547"/>
    <w:rsid w:val="00343148"/>
    <w:rsid w:val="003433C2"/>
    <w:rsid w:val="00343EC6"/>
    <w:rsid w:val="003509C9"/>
    <w:rsid w:val="0035308D"/>
    <w:rsid w:val="00353702"/>
    <w:rsid w:val="003540B1"/>
    <w:rsid w:val="003545B7"/>
    <w:rsid w:val="003569FE"/>
    <w:rsid w:val="00360341"/>
    <w:rsid w:val="00360460"/>
    <w:rsid w:val="00360578"/>
    <w:rsid w:val="00360E69"/>
    <w:rsid w:val="00362079"/>
    <w:rsid w:val="0036367F"/>
    <w:rsid w:val="00365E6E"/>
    <w:rsid w:val="00370114"/>
    <w:rsid w:val="00371EB9"/>
    <w:rsid w:val="00373F61"/>
    <w:rsid w:val="00374108"/>
    <w:rsid w:val="003741DD"/>
    <w:rsid w:val="0037489B"/>
    <w:rsid w:val="0037519F"/>
    <w:rsid w:val="0037538C"/>
    <w:rsid w:val="0037558E"/>
    <w:rsid w:val="00375A2E"/>
    <w:rsid w:val="00375D79"/>
    <w:rsid w:val="0037664C"/>
    <w:rsid w:val="00377BFD"/>
    <w:rsid w:val="003800D8"/>
    <w:rsid w:val="003801DE"/>
    <w:rsid w:val="00380D02"/>
    <w:rsid w:val="00380D59"/>
    <w:rsid w:val="00381294"/>
    <w:rsid w:val="0038158D"/>
    <w:rsid w:val="0038398A"/>
    <w:rsid w:val="00384BEB"/>
    <w:rsid w:val="00385A06"/>
    <w:rsid w:val="0039043F"/>
    <w:rsid w:val="00390BBF"/>
    <w:rsid w:val="003920F1"/>
    <w:rsid w:val="00392B9C"/>
    <w:rsid w:val="00392BB4"/>
    <w:rsid w:val="0039392F"/>
    <w:rsid w:val="00393B53"/>
    <w:rsid w:val="00394176"/>
    <w:rsid w:val="00396469"/>
    <w:rsid w:val="003972A4"/>
    <w:rsid w:val="003A124E"/>
    <w:rsid w:val="003A14A2"/>
    <w:rsid w:val="003A3881"/>
    <w:rsid w:val="003A533F"/>
    <w:rsid w:val="003A58B2"/>
    <w:rsid w:val="003A6829"/>
    <w:rsid w:val="003A7AF7"/>
    <w:rsid w:val="003B0771"/>
    <w:rsid w:val="003B1CA9"/>
    <w:rsid w:val="003B1D71"/>
    <w:rsid w:val="003B2B16"/>
    <w:rsid w:val="003B2DC7"/>
    <w:rsid w:val="003B2F0E"/>
    <w:rsid w:val="003B4835"/>
    <w:rsid w:val="003B5D49"/>
    <w:rsid w:val="003B63D8"/>
    <w:rsid w:val="003B6E9E"/>
    <w:rsid w:val="003B7BE4"/>
    <w:rsid w:val="003B7D1D"/>
    <w:rsid w:val="003C1150"/>
    <w:rsid w:val="003C1511"/>
    <w:rsid w:val="003C224C"/>
    <w:rsid w:val="003C2B7B"/>
    <w:rsid w:val="003C2EFC"/>
    <w:rsid w:val="003C37B9"/>
    <w:rsid w:val="003C434F"/>
    <w:rsid w:val="003C47C4"/>
    <w:rsid w:val="003C4DCC"/>
    <w:rsid w:val="003C5A37"/>
    <w:rsid w:val="003C5C12"/>
    <w:rsid w:val="003C65E6"/>
    <w:rsid w:val="003D038A"/>
    <w:rsid w:val="003D1C5B"/>
    <w:rsid w:val="003D6403"/>
    <w:rsid w:val="003D729C"/>
    <w:rsid w:val="003D7447"/>
    <w:rsid w:val="003E10C5"/>
    <w:rsid w:val="003E1A35"/>
    <w:rsid w:val="003E2774"/>
    <w:rsid w:val="003E3AA4"/>
    <w:rsid w:val="003E46C0"/>
    <w:rsid w:val="003E4E0F"/>
    <w:rsid w:val="003E4F2F"/>
    <w:rsid w:val="003E5F2C"/>
    <w:rsid w:val="003F0137"/>
    <w:rsid w:val="003F1444"/>
    <w:rsid w:val="003F1C96"/>
    <w:rsid w:val="003F30E4"/>
    <w:rsid w:val="003F350F"/>
    <w:rsid w:val="003F3890"/>
    <w:rsid w:val="003F4E7F"/>
    <w:rsid w:val="003F591E"/>
    <w:rsid w:val="003F672A"/>
    <w:rsid w:val="003F7948"/>
    <w:rsid w:val="003F7A17"/>
    <w:rsid w:val="00400C9A"/>
    <w:rsid w:val="004015A2"/>
    <w:rsid w:val="0040234E"/>
    <w:rsid w:val="00402460"/>
    <w:rsid w:val="004025AA"/>
    <w:rsid w:val="0040537C"/>
    <w:rsid w:val="00407254"/>
    <w:rsid w:val="00407335"/>
    <w:rsid w:val="00407AE9"/>
    <w:rsid w:val="00407D15"/>
    <w:rsid w:val="00407DE4"/>
    <w:rsid w:val="00407EDE"/>
    <w:rsid w:val="00411E77"/>
    <w:rsid w:val="00412B76"/>
    <w:rsid w:val="00412DDA"/>
    <w:rsid w:val="00412F15"/>
    <w:rsid w:val="00413287"/>
    <w:rsid w:val="00413E31"/>
    <w:rsid w:val="00414DB5"/>
    <w:rsid w:val="0041513C"/>
    <w:rsid w:val="00420AF8"/>
    <w:rsid w:val="00420D6E"/>
    <w:rsid w:val="00421B61"/>
    <w:rsid w:val="00421C3C"/>
    <w:rsid w:val="004232D2"/>
    <w:rsid w:val="00424DB0"/>
    <w:rsid w:val="00424EDF"/>
    <w:rsid w:val="0042598D"/>
    <w:rsid w:val="00426EAE"/>
    <w:rsid w:val="00427F43"/>
    <w:rsid w:val="004300A4"/>
    <w:rsid w:val="0043081A"/>
    <w:rsid w:val="00431A47"/>
    <w:rsid w:val="004340A9"/>
    <w:rsid w:val="004341D8"/>
    <w:rsid w:val="004348C9"/>
    <w:rsid w:val="004357BA"/>
    <w:rsid w:val="00436A88"/>
    <w:rsid w:val="00436DE1"/>
    <w:rsid w:val="00437F5E"/>
    <w:rsid w:val="00440C37"/>
    <w:rsid w:val="004417F1"/>
    <w:rsid w:val="00442197"/>
    <w:rsid w:val="00442C18"/>
    <w:rsid w:val="0044376A"/>
    <w:rsid w:val="00443949"/>
    <w:rsid w:val="00445534"/>
    <w:rsid w:val="00445B1B"/>
    <w:rsid w:val="00446423"/>
    <w:rsid w:val="004465E7"/>
    <w:rsid w:val="0045072D"/>
    <w:rsid w:val="00451B3B"/>
    <w:rsid w:val="00452280"/>
    <w:rsid w:val="004556A2"/>
    <w:rsid w:val="004558C8"/>
    <w:rsid w:val="00455974"/>
    <w:rsid w:val="00456368"/>
    <w:rsid w:val="0045667E"/>
    <w:rsid w:val="00456803"/>
    <w:rsid w:val="00457C55"/>
    <w:rsid w:val="00457D8E"/>
    <w:rsid w:val="00460201"/>
    <w:rsid w:val="0046089E"/>
    <w:rsid w:val="00460B8E"/>
    <w:rsid w:val="004612E9"/>
    <w:rsid w:val="00463249"/>
    <w:rsid w:val="00463FD2"/>
    <w:rsid w:val="0047100A"/>
    <w:rsid w:val="004752BA"/>
    <w:rsid w:val="004752C5"/>
    <w:rsid w:val="004753A3"/>
    <w:rsid w:val="00475D37"/>
    <w:rsid w:val="004763D6"/>
    <w:rsid w:val="004768CC"/>
    <w:rsid w:val="004808A8"/>
    <w:rsid w:val="00482025"/>
    <w:rsid w:val="00482E87"/>
    <w:rsid w:val="00483449"/>
    <w:rsid w:val="00483E5F"/>
    <w:rsid w:val="00485B55"/>
    <w:rsid w:val="00486869"/>
    <w:rsid w:val="0049168D"/>
    <w:rsid w:val="00493235"/>
    <w:rsid w:val="004941E5"/>
    <w:rsid w:val="00495E87"/>
    <w:rsid w:val="004967AF"/>
    <w:rsid w:val="004A089D"/>
    <w:rsid w:val="004A09D9"/>
    <w:rsid w:val="004A0D39"/>
    <w:rsid w:val="004A1C19"/>
    <w:rsid w:val="004A20F3"/>
    <w:rsid w:val="004A2472"/>
    <w:rsid w:val="004A2A42"/>
    <w:rsid w:val="004A58F9"/>
    <w:rsid w:val="004A5CEA"/>
    <w:rsid w:val="004A648F"/>
    <w:rsid w:val="004A6E42"/>
    <w:rsid w:val="004B1827"/>
    <w:rsid w:val="004B2703"/>
    <w:rsid w:val="004B2C46"/>
    <w:rsid w:val="004B472D"/>
    <w:rsid w:val="004B4B00"/>
    <w:rsid w:val="004B5A50"/>
    <w:rsid w:val="004B7136"/>
    <w:rsid w:val="004B741F"/>
    <w:rsid w:val="004C0EF7"/>
    <w:rsid w:val="004C0F0E"/>
    <w:rsid w:val="004C2447"/>
    <w:rsid w:val="004C56B7"/>
    <w:rsid w:val="004C5949"/>
    <w:rsid w:val="004C6006"/>
    <w:rsid w:val="004C6D41"/>
    <w:rsid w:val="004C7C3F"/>
    <w:rsid w:val="004D0421"/>
    <w:rsid w:val="004D1C90"/>
    <w:rsid w:val="004D2778"/>
    <w:rsid w:val="004D30BE"/>
    <w:rsid w:val="004D328B"/>
    <w:rsid w:val="004D35CD"/>
    <w:rsid w:val="004D3E0C"/>
    <w:rsid w:val="004D4146"/>
    <w:rsid w:val="004D5330"/>
    <w:rsid w:val="004D6E15"/>
    <w:rsid w:val="004D73A9"/>
    <w:rsid w:val="004E0F73"/>
    <w:rsid w:val="004E2153"/>
    <w:rsid w:val="004E232B"/>
    <w:rsid w:val="004E5CEA"/>
    <w:rsid w:val="004E6355"/>
    <w:rsid w:val="004F0FC8"/>
    <w:rsid w:val="004F1386"/>
    <w:rsid w:val="004F3408"/>
    <w:rsid w:val="004F37CF"/>
    <w:rsid w:val="004F4065"/>
    <w:rsid w:val="004F45F5"/>
    <w:rsid w:val="004F6D83"/>
    <w:rsid w:val="0050389C"/>
    <w:rsid w:val="005045AC"/>
    <w:rsid w:val="00505460"/>
    <w:rsid w:val="00507067"/>
    <w:rsid w:val="005078C4"/>
    <w:rsid w:val="00507AB7"/>
    <w:rsid w:val="00510785"/>
    <w:rsid w:val="005112AE"/>
    <w:rsid w:val="005121CA"/>
    <w:rsid w:val="00512DBE"/>
    <w:rsid w:val="00513B2F"/>
    <w:rsid w:val="00513BE7"/>
    <w:rsid w:val="00515ED7"/>
    <w:rsid w:val="00516C58"/>
    <w:rsid w:val="0051737D"/>
    <w:rsid w:val="0051743C"/>
    <w:rsid w:val="00517AA6"/>
    <w:rsid w:val="00521077"/>
    <w:rsid w:val="005224A0"/>
    <w:rsid w:val="0052352A"/>
    <w:rsid w:val="005248DC"/>
    <w:rsid w:val="00524CDE"/>
    <w:rsid w:val="00524D91"/>
    <w:rsid w:val="00525752"/>
    <w:rsid w:val="00526862"/>
    <w:rsid w:val="00530165"/>
    <w:rsid w:val="00530AE7"/>
    <w:rsid w:val="00533274"/>
    <w:rsid w:val="00533D08"/>
    <w:rsid w:val="00534002"/>
    <w:rsid w:val="00534B1F"/>
    <w:rsid w:val="005359A7"/>
    <w:rsid w:val="00535DA6"/>
    <w:rsid w:val="00536E21"/>
    <w:rsid w:val="00536F30"/>
    <w:rsid w:val="00537322"/>
    <w:rsid w:val="00540668"/>
    <w:rsid w:val="00540C5D"/>
    <w:rsid w:val="00540E92"/>
    <w:rsid w:val="00540FE5"/>
    <w:rsid w:val="00541E6B"/>
    <w:rsid w:val="00541F5E"/>
    <w:rsid w:val="00543113"/>
    <w:rsid w:val="00545F55"/>
    <w:rsid w:val="00546C4C"/>
    <w:rsid w:val="00550702"/>
    <w:rsid w:val="00551096"/>
    <w:rsid w:val="00553833"/>
    <w:rsid w:val="00553E1A"/>
    <w:rsid w:val="0055413D"/>
    <w:rsid w:val="005546EC"/>
    <w:rsid w:val="00554D30"/>
    <w:rsid w:val="00555017"/>
    <w:rsid w:val="00556BBA"/>
    <w:rsid w:val="00564047"/>
    <w:rsid w:val="00564DEC"/>
    <w:rsid w:val="005662AC"/>
    <w:rsid w:val="00567228"/>
    <w:rsid w:val="005747C4"/>
    <w:rsid w:val="00574A50"/>
    <w:rsid w:val="005771EA"/>
    <w:rsid w:val="005815B1"/>
    <w:rsid w:val="005815CB"/>
    <w:rsid w:val="00581CED"/>
    <w:rsid w:val="005853E6"/>
    <w:rsid w:val="0058679B"/>
    <w:rsid w:val="00587CD7"/>
    <w:rsid w:val="00590362"/>
    <w:rsid w:val="0059124A"/>
    <w:rsid w:val="00591464"/>
    <w:rsid w:val="00591743"/>
    <w:rsid w:val="005926F7"/>
    <w:rsid w:val="00592912"/>
    <w:rsid w:val="00593173"/>
    <w:rsid w:val="00594ADA"/>
    <w:rsid w:val="00595AFC"/>
    <w:rsid w:val="005A0584"/>
    <w:rsid w:val="005A10EA"/>
    <w:rsid w:val="005A1605"/>
    <w:rsid w:val="005A1C33"/>
    <w:rsid w:val="005A2BE8"/>
    <w:rsid w:val="005A2F48"/>
    <w:rsid w:val="005A3292"/>
    <w:rsid w:val="005A38B8"/>
    <w:rsid w:val="005A4567"/>
    <w:rsid w:val="005A4C29"/>
    <w:rsid w:val="005A623B"/>
    <w:rsid w:val="005A6711"/>
    <w:rsid w:val="005A6734"/>
    <w:rsid w:val="005A6D8B"/>
    <w:rsid w:val="005A7B14"/>
    <w:rsid w:val="005B0BF3"/>
    <w:rsid w:val="005B2871"/>
    <w:rsid w:val="005B468B"/>
    <w:rsid w:val="005B7A21"/>
    <w:rsid w:val="005C021A"/>
    <w:rsid w:val="005C2199"/>
    <w:rsid w:val="005C28BF"/>
    <w:rsid w:val="005C349C"/>
    <w:rsid w:val="005C4FE0"/>
    <w:rsid w:val="005C5D46"/>
    <w:rsid w:val="005C6E54"/>
    <w:rsid w:val="005C7BB3"/>
    <w:rsid w:val="005C7E83"/>
    <w:rsid w:val="005C7F12"/>
    <w:rsid w:val="005D03E4"/>
    <w:rsid w:val="005D0466"/>
    <w:rsid w:val="005D047B"/>
    <w:rsid w:val="005D15B5"/>
    <w:rsid w:val="005D1D26"/>
    <w:rsid w:val="005D3BA2"/>
    <w:rsid w:val="005D443C"/>
    <w:rsid w:val="005D46A7"/>
    <w:rsid w:val="005D569A"/>
    <w:rsid w:val="005D5B30"/>
    <w:rsid w:val="005D752A"/>
    <w:rsid w:val="005E079F"/>
    <w:rsid w:val="005E0C8A"/>
    <w:rsid w:val="005E2844"/>
    <w:rsid w:val="005E491F"/>
    <w:rsid w:val="005E7444"/>
    <w:rsid w:val="005F35B9"/>
    <w:rsid w:val="005F428D"/>
    <w:rsid w:val="005F466A"/>
    <w:rsid w:val="005F6E65"/>
    <w:rsid w:val="0060037A"/>
    <w:rsid w:val="00600AE3"/>
    <w:rsid w:val="0060141F"/>
    <w:rsid w:val="00602870"/>
    <w:rsid w:val="00604651"/>
    <w:rsid w:val="006048BE"/>
    <w:rsid w:val="00606930"/>
    <w:rsid w:val="00606968"/>
    <w:rsid w:val="00606F87"/>
    <w:rsid w:val="006079E6"/>
    <w:rsid w:val="00610036"/>
    <w:rsid w:val="006100A7"/>
    <w:rsid w:val="0061039B"/>
    <w:rsid w:val="00610662"/>
    <w:rsid w:val="006119FE"/>
    <w:rsid w:val="00612BF3"/>
    <w:rsid w:val="00612C71"/>
    <w:rsid w:val="00613511"/>
    <w:rsid w:val="00615341"/>
    <w:rsid w:val="00616838"/>
    <w:rsid w:val="00616D07"/>
    <w:rsid w:val="00616D6E"/>
    <w:rsid w:val="00617625"/>
    <w:rsid w:val="00617919"/>
    <w:rsid w:val="006209C3"/>
    <w:rsid w:val="00620AC3"/>
    <w:rsid w:val="00620B67"/>
    <w:rsid w:val="0062144A"/>
    <w:rsid w:val="006218BE"/>
    <w:rsid w:val="006222AD"/>
    <w:rsid w:val="006233A5"/>
    <w:rsid w:val="00624CAE"/>
    <w:rsid w:val="0062665A"/>
    <w:rsid w:val="0062698C"/>
    <w:rsid w:val="00630648"/>
    <w:rsid w:val="006309A0"/>
    <w:rsid w:val="0063318C"/>
    <w:rsid w:val="0063467F"/>
    <w:rsid w:val="00635303"/>
    <w:rsid w:val="006372F4"/>
    <w:rsid w:val="00637C8E"/>
    <w:rsid w:val="00640310"/>
    <w:rsid w:val="00640A11"/>
    <w:rsid w:val="00641C5F"/>
    <w:rsid w:val="006428BE"/>
    <w:rsid w:val="00643460"/>
    <w:rsid w:val="00643C05"/>
    <w:rsid w:val="00644FCD"/>
    <w:rsid w:val="006461AD"/>
    <w:rsid w:val="00646DE3"/>
    <w:rsid w:val="0064745A"/>
    <w:rsid w:val="00647733"/>
    <w:rsid w:val="00647CAC"/>
    <w:rsid w:val="00650521"/>
    <w:rsid w:val="00651023"/>
    <w:rsid w:val="006524E7"/>
    <w:rsid w:val="006536D5"/>
    <w:rsid w:val="00654B5D"/>
    <w:rsid w:val="00654F70"/>
    <w:rsid w:val="006565C8"/>
    <w:rsid w:val="0066014E"/>
    <w:rsid w:val="00660696"/>
    <w:rsid w:val="00660FA6"/>
    <w:rsid w:val="00660FE9"/>
    <w:rsid w:val="00661C40"/>
    <w:rsid w:val="00661CDA"/>
    <w:rsid w:val="006639E8"/>
    <w:rsid w:val="00664184"/>
    <w:rsid w:val="006652DD"/>
    <w:rsid w:val="0066592E"/>
    <w:rsid w:val="0066688F"/>
    <w:rsid w:val="006669BF"/>
    <w:rsid w:val="00670496"/>
    <w:rsid w:val="00671503"/>
    <w:rsid w:val="006724B9"/>
    <w:rsid w:val="00672E0E"/>
    <w:rsid w:val="006747C5"/>
    <w:rsid w:val="00676463"/>
    <w:rsid w:val="006766B8"/>
    <w:rsid w:val="00677D3F"/>
    <w:rsid w:val="0068060D"/>
    <w:rsid w:val="00680CBB"/>
    <w:rsid w:val="00683309"/>
    <w:rsid w:val="006834AF"/>
    <w:rsid w:val="00683843"/>
    <w:rsid w:val="00683F3E"/>
    <w:rsid w:val="0068454F"/>
    <w:rsid w:val="0068492B"/>
    <w:rsid w:val="00685B6B"/>
    <w:rsid w:val="00690920"/>
    <w:rsid w:val="006922EC"/>
    <w:rsid w:val="00693643"/>
    <w:rsid w:val="00695838"/>
    <w:rsid w:val="00695D94"/>
    <w:rsid w:val="006960DA"/>
    <w:rsid w:val="006A0F0B"/>
    <w:rsid w:val="006A1E9E"/>
    <w:rsid w:val="006A21FC"/>
    <w:rsid w:val="006A2F36"/>
    <w:rsid w:val="006A5163"/>
    <w:rsid w:val="006A7BD4"/>
    <w:rsid w:val="006B0989"/>
    <w:rsid w:val="006B0E5E"/>
    <w:rsid w:val="006B1145"/>
    <w:rsid w:val="006B18AB"/>
    <w:rsid w:val="006B1EE3"/>
    <w:rsid w:val="006B2658"/>
    <w:rsid w:val="006B2F61"/>
    <w:rsid w:val="006B3128"/>
    <w:rsid w:val="006B4D2D"/>
    <w:rsid w:val="006B525A"/>
    <w:rsid w:val="006B557C"/>
    <w:rsid w:val="006B557E"/>
    <w:rsid w:val="006B62C1"/>
    <w:rsid w:val="006B6985"/>
    <w:rsid w:val="006B7B0A"/>
    <w:rsid w:val="006C070F"/>
    <w:rsid w:val="006C170E"/>
    <w:rsid w:val="006C25C2"/>
    <w:rsid w:val="006C2A50"/>
    <w:rsid w:val="006C38DC"/>
    <w:rsid w:val="006C45AA"/>
    <w:rsid w:val="006C4755"/>
    <w:rsid w:val="006C4822"/>
    <w:rsid w:val="006C6BDE"/>
    <w:rsid w:val="006C7D1F"/>
    <w:rsid w:val="006D177C"/>
    <w:rsid w:val="006D225C"/>
    <w:rsid w:val="006D26D2"/>
    <w:rsid w:val="006D2EC0"/>
    <w:rsid w:val="006D3C8B"/>
    <w:rsid w:val="006D3E8F"/>
    <w:rsid w:val="006D4C55"/>
    <w:rsid w:val="006D642E"/>
    <w:rsid w:val="006D72D8"/>
    <w:rsid w:val="006D73A1"/>
    <w:rsid w:val="006E0967"/>
    <w:rsid w:val="006E0F42"/>
    <w:rsid w:val="006E17ED"/>
    <w:rsid w:val="006E45DD"/>
    <w:rsid w:val="006E498A"/>
    <w:rsid w:val="006E4E45"/>
    <w:rsid w:val="006E5405"/>
    <w:rsid w:val="006E56A2"/>
    <w:rsid w:val="006E640F"/>
    <w:rsid w:val="006E6C84"/>
    <w:rsid w:val="006E6F46"/>
    <w:rsid w:val="006E7E9F"/>
    <w:rsid w:val="006F0B1A"/>
    <w:rsid w:val="006F0FE3"/>
    <w:rsid w:val="006F1114"/>
    <w:rsid w:val="006F1A2F"/>
    <w:rsid w:val="006F20FD"/>
    <w:rsid w:val="006F29B2"/>
    <w:rsid w:val="006F3115"/>
    <w:rsid w:val="006F3FB1"/>
    <w:rsid w:val="006F5F3F"/>
    <w:rsid w:val="0070038B"/>
    <w:rsid w:val="00700459"/>
    <w:rsid w:val="00700617"/>
    <w:rsid w:val="00701097"/>
    <w:rsid w:val="00701EDC"/>
    <w:rsid w:val="0070214C"/>
    <w:rsid w:val="00702977"/>
    <w:rsid w:val="00702F51"/>
    <w:rsid w:val="00703CD6"/>
    <w:rsid w:val="00704DA4"/>
    <w:rsid w:val="0070655B"/>
    <w:rsid w:val="00710840"/>
    <w:rsid w:val="00711F7C"/>
    <w:rsid w:val="00712406"/>
    <w:rsid w:val="00712590"/>
    <w:rsid w:val="0071289A"/>
    <w:rsid w:val="00712A36"/>
    <w:rsid w:val="00713949"/>
    <w:rsid w:val="0071463C"/>
    <w:rsid w:val="00715039"/>
    <w:rsid w:val="00715847"/>
    <w:rsid w:val="00715A0A"/>
    <w:rsid w:val="00716F5B"/>
    <w:rsid w:val="007179BE"/>
    <w:rsid w:val="00717A35"/>
    <w:rsid w:val="00717D2E"/>
    <w:rsid w:val="00720B6F"/>
    <w:rsid w:val="00721D80"/>
    <w:rsid w:val="00722E11"/>
    <w:rsid w:val="00723434"/>
    <w:rsid w:val="0072425F"/>
    <w:rsid w:val="00725317"/>
    <w:rsid w:val="00725509"/>
    <w:rsid w:val="0072588C"/>
    <w:rsid w:val="007264E0"/>
    <w:rsid w:val="00726A28"/>
    <w:rsid w:val="0072735A"/>
    <w:rsid w:val="007275D7"/>
    <w:rsid w:val="0073026D"/>
    <w:rsid w:val="007304C2"/>
    <w:rsid w:val="007304CB"/>
    <w:rsid w:val="007337ED"/>
    <w:rsid w:val="00734053"/>
    <w:rsid w:val="007341C4"/>
    <w:rsid w:val="00736DB4"/>
    <w:rsid w:val="0073710B"/>
    <w:rsid w:val="007374FE"/>
    <w:rsid w:val="0074053D"/>
    <w:rsid w:val="00740F02"/>
    <w:rsid w:val="007410C5"/>
    <w:rsid w:val="00741C40"/>
    <w:rsid w:val="007435F3"/>
    <w:rsid w:val="00744738"/>
    <w:rsid w:val="00745955"/>
    <w:rsid w:val="00745A91"/>
    <w:rsid w:val="00746A73"/>
    <w:rsid w:val="00746B85"/>
    <w:rsid w:val="007501D0"/>
    <w:rsid w:val="00750520"/>
    <w:rsid w:val="007508DA"/>
    <w:rsid w:val="00750DD3"/>
    <w:rsid w:val="00751369"/>
    <w:rsid w:val="0075180F"/>
    <w:rsid w:val="00751EF6"/>
    <w:rsid w:val="00753679"/>
    <w:rsid w:val="007543E9"/>
    <w:rsid w:val="00755550"/>
    <w:rsid w:val="007560CA"/>
    <w:rsid w:val="0075732B"/>
    <w:rsid w:val="007573C3"/>
    <w:rsid w:val="00757844"/>
    <w:rsid w:val="0076001A"/>
    <w:rsid w:val="00760A57"/>
    <w:rsid w:val="00760DA7"/>
    <w:rsid w:val="0076114C"/>
    <w:rsid w:val="00761922"/>
    <w:rsid w:val="0076239B"/>
    <w:rsid w:val="00763A8F"/>
    <w:rsid w:val="00766185"/>
    <w:rsid w:val="00771167"/>
    <w:rsid w:val="007736DF"/>
    <w:rsid w:val="00774E8C"/>
    <w:rsid w:val="00775119"/>
    <w:rsid w:val="00775B66"/>
    <w:rsid w:val="0077641D"/>
    <w:rsid w:val="00780BBD"/>
    <w:rsid w:val="00780FAA"/>
    <w:rsid w:val="0078170F"/>
    <w:rsid w:val="007845C1"/>
    <w:rsid w:val="00784F86"/>
    <w:rsid w:val="00785D7E"/>
    <w:rsid w:val="00786460"/>
    <w:rsid w:val="007914C8"/>
    <w:rsid w:val="00796058"/>
    <w:rsid w:val="007961ED"/>
    <w:rsid w:val="0079674C"/>
    <w:rsid w:val="00797CFD"/>
    <w:rsid w:val="007A1F5B"/>
    <w:rsid w:val="007A4A61"/>
    <w:rsid w:val="007A5B7D"/>
    <w:rsid w:val="007A5C1E"/>
    <w:rsid w:val="007A5C3B"/>
    <w:rsid w:val="007A5F41"/>
    <w:rsid w:val="007A669F"/>
    <w:rsid w:val="007A6BD2"/>
    <w:rsid w:val="007A700B"/>
    <w:rsid w:val="007A7D26"/>
    <w:rsid w:val="007B0AD9"/>
    <w:rsid w:val="007B2660"/>
    <w:rsid w:val="007B29BB"/>
    <w:rsid w:val="007B2DFB"/>
    <w:rsid w:val="007B4171"/>
    <w:rsid w:val="007B47C4"/>
    <w:rsid w:val="007B52B9"/>
    <w:rsid w:val="007B5D24"/>
    <w:rsid w:val="007B6F03"/>
    <w:rsid w:val="007B6F82"/>
    <w:rsid w:val="007C05F6"/>
    <w:rsid w:val="007C1B99"/>
    <w:rsid w:val="007C3721"/>
    <w:rsid w:val="007C4D61"/>
    <w:rsid w:val="007C5DA4"/>
    <w:rsid w:val="007C6E98"/>
    <w:rsid w:val="007C7399"/>
    <w:rsid w:val="007C7A83"/>
    <w:rsid w:val="007D151B"/>
    <w:rsid w:val="007D1BDD"/>
    <w:rsid w:val="007D277B"/>
    <w:rsid w:val="007D28F1"/>
    <w:rsid w:val="007D331F"/>
    <w:rsid w:val="007D3A96"/>
    <w:rsid w:val="007D3C45"/>
    <w:rsid w:val="007D46F9"/>
    <w:rsid w:val="007D4C94"/>
    <w:rsid w:val="007D4DF4"/>
    <w:rsid w:val="007D4E10"/>
    <w:rsid w:val="007D7028"/>
    <w:rsid w:val="007E0CB1"/>
    <w:rsid w:val="007E1D46"/>
    <w:rsid w:val="007E1D48"/>
    <w:rsid w:val="007E2989"/>
    <w:rsid w:val="007E2B56"/>
    <w:rsid w:val="007E2F44"/>
    <w:rsid w:val="007E3BCF"/>
    <w:rsid w:val="007E421A"/>
    <w:rsid w:val="007E4274"/>
    <w:rsid w:val="007E430E"/>
    <w:rsid w:val="007E4CE9"/>
    <w:rsid w:val="007E5567"/>
    <w:rsid w:val="007E6681"/>
    <w:rsid w:val="007E6A10"/>
    <w:rsid w:val="007F0C36"/>
    <w:rsid w:val="007F1727"/>
    <w:rsid w:val="007F17D0"/>
    <w:rsid w:val="007F197F"/>
    <w:rsid w:val="007F260B"/>
    <w:rsid w:val="007F394E"/>
    <w:rsid w:val="007F46A7"/>
    <w:rsid w:val="007F6115"/>
    <w:rsid w:val="007F6E4D"/>
    <w:rsid w:val="007F6FAD"/>
    <w:rsid w:val="00800ADC"/>
    <w:rsid w:val="00801EDC"/>
    <w:rsid w:val="00803E18"/>
    <w:rsid w:val="00807643"/>
    <w:rsid w:val="008130D3"/>
    <w:rsid w:val="00814E3D"/>
    <w:rsid w:val="00815458"/>
    <w:rsid w:val="00815D87"/>
    <w:rsid w:val="00816AFB"/>
    <w:rsid w:val="00816EB6"/>
    <w:rsid w:val="008208B7"/>
    <w:rsid w:val="00820D4A"/>
    <w:rsid w:val="00821567"/>
    <w:rsid w:val="00822509"/>
    <w:rsid w:val="0082264A"/>
    <w:rsid w:val="00825DF1"/>
    <w:rsid w:val="00826432"/>
    <w:rsid w:val="0083016B"/>
    <w:rsid w:val="00831EC7"/>
    <w:rsid w:val="00832A4D"/>
    <w:rsid w:val="008335B6"/>
    <w:rsid w:val="00833E01"/>
    <w:rsid w:val="008357B3"/>
    <w:rsid w:val="00835ED2"/>
    <w:rsid w:val="0084002E"/>
    <w:rsid w:val="00841169"/>
    <w:rsid w:val="008414FB"/>
    <w:rsid w:val="008414FE"/>
    <w:rsid w:val="0084150F"/>
    <w:rsid w:val="00842B89"/>
    <w:rsid w:val="008434DE"/>
    <w:rsid w:val="0084362A"/>
    <w:rsid w:val="008460FB"/>
    <w:rsid w:val="00846891"/>
    <w:rsid w:val="008506D5"/>
    <w:rsid w:val="00850724"/>
    <w:rsid w:val="008509A0"/>
    <w:rsid w:val="00850AF4"/>
    <w:rsid w:val="00850BA7"/>
    <w:rsid w:val="0085139F"/>
    <w:rsid w:val="008516D7"/>
    <w:rsid w:val="00852C5E"/>
    <w:rsid w:val="00852F5A"/>
    <w:rsid w:val="00853BB7"/>
    <w:rsid w:val="00853D20"/>
    <w:rsid w:val="00853E81"/>
    <w:rsid w:val="00856BB8"/>
    <w:rsid w:val="008571E9"/>
    <w:rsid w:val="00861733"/>
    <w:rsid w:val="00861A2E"/>
    <w:rsid w:val="00862C1C"/>
    <w:rsid w:val="00862CEB"/>
    <w:rsid w:val="00863AA4"/>
    <w:rsid w:val="00863DDF"/>
    <w:rsid w:val="00864859"/>
    <w:rsid w:val="00864CEC"/>
    <w:rsid w:val="00865DA7"/>
    <w:rsid w:val="00866185"/>
    <w:rsid w:val="00866475"/>
    <w:rsid w:val="0086797D"/>
    <w:rsid w:val="0087128B"/>
    <w:rsid w:val="00872E1F"/>
    <w:rsid w:val="008731A2"/>
    <w:rsid w:val="0087370F"/>
    <w:rsid w:val="0087446D"/>
    <w:rsid w:val="00876A7C"/>
    <w:rsid w:val="00876B11"/>
    <w:rsid w:val="00876D9E"/>
    <w:rsid w:val="00877003"/>
    <w:rsid w:val="00877266"/>
    <w:rsid w:val="00877B99"/>
    <w:rsid w:val="008826AF"/>
    <w:rsid w:val="00883638"/>
    <w:rsid w:val="0088386A"/>
    <w:rsid w:val="00884F03"/>
    <w:rsid w:val="0088593E"/>
    <w:rsid w:val="00885DD6"/>
    <w:rsid w:val="0088642E"/>
    <w:rsid w:val="008867C6"/>
    <w:rsid w:val="00886C85"/>
    <w:rsid w:val="008903A6"/>
    <w:rsid w:val="008906AD"/>
    <w:rsid w:val="008907B4"/>
    <w:rsid w:val="00890B76"/>
    <w:rsid w:val="00890C18"/>
    <w:rsid w:val="00892348"/>
    <w:rsid w:val="008941DE"/>
    <w:rsid w:val="00896403"/>
    <w:rsid w:val="0089684C"/>
    <w:rsid w:val="0089686D"/>
    <w:rsid w:val="00896F25"/>
    <w:rsid w:val="00896F9E"/>
    <w:rsid w:val="00897EA1"/>
    <w:rsid w:val="008A030C"/>
    <w:rsid w:val="008A084C"/>
    <w:rsid w:val="008A3088"/>
    <w:rsid w:val="008A3DB3"/>
    <w:rsid w:val="008A5B08"/>
    <w:rsid w:val="008A6284"/>
    <w:rsid w:val="008A62A7"/>
    <w:rsid w:val="008A6434"/>
    <w:rsid w:val="008A6BA8"/>
    <w:rsid w:val="008B0045"/>
    <w:rsid w:val="008B0F37"/>
    <w:rsid w:val="008B10BB"/>
    <w:rsid w:val="008B1700"/>
    <w:rsid w:val="008B2208"/>
    <w:rsid w:val="008B26BA"/>
    <w:rsid w:val="008B26DF"/>
    <w:rsid w:val="008B5067"/>
    <w:rsid w:val="008B6AF2"/>
    <w:rsid w:val="008B7338"/>
    <w:rsid w:val="008B782B"/>
    <w:rsid w:val="008B79F7"/>
    <w:rsid w:val="008B7B4B"/>
    <w:rsid w:val="008C059B"/>
    <w:rsid w:val="008C1A09"/>
    <w:rsid w:val="008C2174"/>
    <w:rsid w:val="008C2AFC"/>
    <w:rsid w:val="008C45A8"/>
    <w:rsid w:val="008C46F4"/>
    <w:rsid w:val="008C4A4D"/>
    <w:rsid w:val="008C4DF0"/>
    <w:rsid w:val="008C5245"/>
    <w:rsid w:val="008C618E"/>
    <w:rsid w:val="008C6CEB"/>
    <w:rsid w:val="008C6F48"/>
    <w:rsid w:val="008C712A"/>
    <w:rsid w:val="008D0491"/>
    <w:rsid w:val="008D0FCE"/>
    <w:rsid w:val="008D2404"/>
    <w:rsid w:val="008D4752"/>
    <w:rsid w:val="008D4A96"/>
    <w:rsid w:val="008D50E1"/>
    <w:rsid w:val="008D714A"/>
    <w:rsid w:val="008D734E"/>
    <w:rsid w:val="008D765A"/>
    <w:rsid w:val="008D7665"/>
    <w:rsid w:val="008D78E1"/>
    <w:rsid w:val="008D7BB5"/>
    <w:rsid w:val="008D7BC7"/>
    <w:rsid w:val="008E15F4"/>
    <w:rsid w:val="008E336B"/>
    <w:rsid w:val="008E33BA"/>
    <w:rsid w:val="008E3437"/>
    <w:rsid w:val="008E3838"/>
    <w:rsid w:val="008E3D10"/>
    <w:rsid w:val="008E5DE8"/>
    <w:rsid w:val="008E64B5"/>
    <w:rsid w:val="008E6701"/>
    <w:rsid w:val="008F01C4"/>
    <w:rsid w:val="008F030F"/>
    <w:rsid w:val="008F0AB8"/>
    <w:rsid w:val="008F1F22"/>
    <w:rsid w:val="008F3926"/>
    <w:rsid w:val="008F471B"/>
    <w:rsid w:val="008F545A"/>
    <w:rsid w:val="008F57CF"/>
    <w:rsid w:val="008F6A51"/>
    <w:rsid w:val="008F6AC8"/>
    <w:rsid w:val="0090165C"/>
    <w:rsid w:val="009033B5"/>
    <w:rsid w:val="009066F7"/>
    <w:rsid w:val="0090789F"/>
    <w:rsid w:val="00907CDB"/>
    <w:rsid w:val="00907D0D"/>
    <w:rsid w:val="0091070F"/>
    <w:rsid w:val="00911005"/>
    <w:rsid w:val="00911180"/>
    <w:rsid w:val="009115E3"/>
    <w:rsid w:val="009126FE"/>
    <w:rsid w:val="00912A46"/>
    <w:rsid w:val="0091383C"/>
    <w:rsid w:val="009142F6"/>
    <w:rsid w:val="0091470C"/>
    <w:rsid w:val="00915E94"/>
    <w:rsid w:val="009167E1"/>
    <w:rsid w:val="009212F7"/>
    <w:rsid w:val="009227B4"/>
    <w:rsid w:val="009231B9"/>
    <w:rsid w:val="009234AB"/>
    <w:rsid w:val="00923FB2"/>
    <w:rsid w:val="00925A7D"/>
    <w:rsid w:val="00925BA7"/>
    <w:rsid w:val="00926F01"/>
    <w:rsid w:val="00927D77"/>
    <w:rsid w:val="009309AB"/>
    <w:rsid w:val="00930B9A"/>
    <w:rsid w:val="009316A8"/>
    <w:rsid w:val="00931A81"/>
    <w:rsid w:val="0093232A"/>
    <w:rsid w:val="00932830"/>
    <w:rsid w:val="00934693"/>
    <w:rsid w:val="009346BC"/>
    <w:rsid w:val="00936049"/>
    <w:rsid w:val="00936812"/>
    <w:rsid w:val="0093694A"/>
    <w:rsid w:val="00936D9D"/>
    <w:rsid w:val="00936E0C"/>
    <w:rsid w:val="00937EDD"/>
    <w:rsid w:val="009404EC"/>
    <w:rsid w:val="00940C37"/>
    <w:rsid w:val="00940EE2"/>
    <w:rsid w:val="00941007"/>
    <w:rsid w:val="00941491"/>
    <w:rsid w:val="00941D51"/>
    <w:rsid w:val="00942708"/>
    <w:rsid w:val="00943D06"/>
    <w:rsid w:val="00944981"/>
    <w:rsid w:val="00946CA5"/>
    <w:rsid w:val="00947D8C"/>
    <w:rsid w:val="009500E7"/>
    <w:rsid w:val="0095031F"/>
    <w:rsid w:val="00951B10"/>
    <w:rsid w:val="009524A4"/>
    <w:rsid w:val="0095254D"/>
    <w:rsid w:val="00952BB2"/>
    <w:rsid w:val="00953EC3"/>
    <w:rsid w:val="00954A27"/>
    <w:rsid w:val="00955368"/>
    <w:rsid w:val="00956EB7"/>
    <w:rsid w:val="009577A3"/>
    <w:rsid w:val="00957B58"/>
    <w:rsid w:val="00957F10"/>
    <w:rsid w:val="00960AD0"/>
    <w:rsid w:val="00964660"/>
    <w:rsid w:val="00964667"/>
    <w:rsid w:val="00970EFC"/>
    <w:rsid w:val="009732A8"/>
    <w:rsid w:val="009732F5"/>
    <w:rsid w:val="00974E8C"/>
    <w:rsid w:val="00975C65"/>
    <w:rsid w:val="00976D40"/>
    <w:rsid w:val="0098169D"/>
    <w:rsid w:val="0098337C"/>
    <w:rsid w:val="0098383B"/>
    <w:rsid w:val="00983C8A"/>
    <w:rsid w:val="00987062"/>
    <w:rsid w:val="00990555"/>
    <w:rsid w:val="00991863"/>
    <w:rsid w:val="009918A7"/>
    <w:rsid w:val="00992911"/>
    <w:rsid w:val="00994366"/>
    <w:rsid w:val="009947F3"/>
    <w:rsid w:val="00994A79"/>
    <w:rsid w:val="00995170"/>
    <w:rsid w:val="00995C60"/>
    <w:rsid w:val="009961B1"/>
    <w:rsid w:val="009977DD"/>
    <w:rsid w:val="00997C0F"/>
    <w:rsid w:val="009A1494"/>
    <w:rsid w:val="009B0B47"/>
    <w:rsid w:val="009B0E3F"/>
    <w:rsid w:val="009B0F48"/>
    <w:rsid w:val="009B1141"/>
    <w:rsid w:val="009B3382"/>
    <w:rsid w:val="009B3478"/>
    <w:rsid w:val="009B4CFF"/>
    <w:rsid w:val="009B5946"/>
    <w:rsid w:val="009B70A2"/>
    <w:rsid w:val="009B717E"/>
    <w:rsid w:val="009B71AB"/>
    <w:rsid w:val="009C06D4"/>
    <w:rsid w:val="009C17FA"/>
    <w:rsid w:val="009C1B7F"/>
    <w:rsid w:val="009C4545"/>
    <w:rsid w:val="009C4A36"/>
    <w:rsid w:val="009C5AEB"/>
    <w:rsid w:val="009D1283"/>
    <w:rsid w:val="009D22F8"/>
    <w:rsid w:val="009D38F3"/>
    <w:rsid w:val="009D7B40"/>
    <w:rsid w:val="009D7D94"/>
    <w:rsid w:val="009E0EB6"/>
    <w:rsid w:val="009E102C"/>
    <w:rsid w:val="009E166A"/>
    <w:rsid w:val="009E232B"/>
    <w:rsid w:val="009E3EA6"/>
    <w:rsid w:val="009E455B"/>
    <w:rsid w:val="009E481E"/>
    <w:rsid w:val="009E4F6F"/>
    <w:rsid w:val="009E519A"/>
    <w:rsid w:val="009E5515"/>
    <w:rsid w:val="009E5F6A"/>
    <w:rsid w:val="009E765A"/>
    <w:rsid w:val="009F0511"/>
    <w:rsid w:val="009F18AE"/>
    <w:rsid w:val="009F263A"/>
    <w:rsid w:val="009F3A7E"/>
    <w:rsid w:val="009F4241"/>
    <w:rsid w:val="009F5183"/>
    <w:rsid w:val="009F72FD"/>
    <w:rsid w:val="009F7D23"/>
    <w:rsid w:val="00A0024C"/>
    <w:rsid w:val="00A00AE4"/>
    <w:rsid w:val="00A014EA"/>
    <w:rsid w:val="00A02CA8"/>
    <w:rsid w:val="00A02F9B"/>
    <w:rsid w:val="00A03AD0"/>
    <w:rsid w:val="00A05399"/>
    <w:rsid w:val="00A0547A"/>
    <w:rsid w:val="00A06CF5"/>
    <w:rsid w:val="00A1054A"/>
    <w:rsid w:val="00A105F8"/>
    <w:rsid w:val="00A10E1E"/>
    <w:rsid w:val="00A12B86"/>
    <w:rsid w:val="00A14CBE"/>
    <w:rsid w:val="00A17195"/>
    <w:rsid w:val="00A172DE"/>
    <w:rsid w:val="00A173AE"/>
    <w:rsid w:val="00A204F7"/>
    <w:rsid w:val="00A2052F"/>
    <w:rsid w:val="00A20A78"/>
    <w:rsid w:val="00A20C41"/>
    <w:rsid w:val="00A210D4"/>
    <w:rsid w:val="00A2129B"/>
    <w:rsid w:val="00A21ADC"/>
    <w:rsid w:val="00A2544B"/>
    <w:rsid w:val="00A25833"/>
    <w:rsid w:val="00A25C2F"/>
    <w:rsid w:val="00A27BCC"/>
    <w:rsid w:val="00A3091D"/>
    <w:rsid w:val="00A30F19"/>
    <w:rsid w:val="00A33806"/>
    <w:rsid w:val="00A34650"/>
    <w:rsid w:val="00A34BEC"/>
    <w:rsid w:val="00A34F4E"/>
    <w:rsid w:val="00A35FFE"/>
    <w:rsid w:val="00A3683F"/>
    <w:rsid w:val="00A36A75"/>
    <w:rsid w:val="00A36F96"/>
    <w:rsid w:val="00A373F2"/>
    <w:rsid w:val="00A37B8B"/>
    <w:rsid w:val="00A402B0"/>
    <w:rsid w:val="00A41323"/>
    <w:rsid w:val="00A43667"/>
    <w:rsid w:val="00A4401A"/>
    <w:rsid w:val="00A45011"/>
    <w:rsid w:val="00A45287"/>
    <w:rsid w:val="00A46441"/>
    <w:rsid w:val="00A4663A"/>
    <w:rsid w:val="00A478FD"/>
    <w:rsid w:val="00A503EE"/>
    <w:rsid w:val="00A5209C"/>
    <w:rsid w:val="00A52586"/>
    <w:rsid w:val="00A52894"/>
    <w:rsid w:val="00A54615"/>
    <w:rsid w:val="00A54B91"/>
    <w:rsid w:val="00A5603C"/>
    <w:rsid w:val="00A5645A"/>
    <w:rsid w:val="00A60C26"/>
    <w:rsid w:val="00A62BF1"/>
    <w:rsid w:val="00A62C64"/>
    <w:rsid w:val="00A62E7A"/>
    <w:rsid w:val="00A6367D"/>
    <w:rsid w:val="00A650D3"/>
    <w:rsid w:val="00A65997"/>
    <w:rsid w:val="00A66854"/>
    <w:rsid w:val="00A6779F"/>
    <w:rsid w:val="00A7038D"/>
    <w:rsid w:val="00A704A9"/>
    <w:rsid w:val="00A70622"/>
    <w:rsid w:val="00A712DA"/>
    <w:rsid w:val="00A716B4"/>
    <w:rsid w:val="00A730AA"/>
    <w:rsid w:val="00A747CF"/>
    <w:rsid w:val="00A7606C"/>
    <w:rsid w:val="00A808D7"/>
    <w:rsid w:val="00A811DA"/>
    <w:rsid w:val="00A8125B"/>
    <w:rsid w:val="00A8134F"/>
    <w:rsid w:val="00A82953"/>
    <w:rsid w:val="00A83834"/>
    <w:rsid w:val="00A83C7D"/>
    <w:rsid w:val="00A84112"/>
    <w:rsid w:val="00A844AA"/>
    <w:rsid w:val="00A8672B"/>
    <w:rsid w:val="00A87584"/>
    <w:rsid w:val="00A877C7"/>
    <w:rsid w:val="00A90D5A"/>
    <w:rsid w:val="00A9153D"/>
    <w:rsid w:val="00A92286"/>
    <w:rsid w:val="00A931F0"/>
    <w:rsid w:val="00A939B2"/>
    <w:rsid w:val="00A95059"/>
    <w:rsid w:val="00A95673"/>
    <w:rsid w:val="00A95921"/>
    <w:rsid w:val="00A95B62"/>
    <w:rsid w:val="00AA1334"/>
    <w:rsid w:val="00AA28B3"/>
    <w:rsid w:val="00AA30CA"/>
    <w:rsid w:val="00AA34DE"/>
    <w:rsid w:val="00AA4121"/>
    <w:rsid w:val="00AA5644"/>
    <w:rsid w:val="00AA6E8E"/>
    <w:rsid w:val="00AB1F2E"/>
    <w:rsid w:val="00AB3E0E"/>
    <w:rsid w:val="00AB445E"/>
    <w:rsid w:val="00AB4A50"/>
    <w:rsid w:val="00AB5CB0"/>
    <w:rsid w:val="00AB6042"/>
    <w:rsid w:val="00AB6FBD"/>
    <w:rsid w:val="00AB7499"/>
    <w:rsid w:val="00AC14B9"/>
    <w:rsid w:val="00AC2BF0"/>
    <w:rsid w:val="00AC2F49"/>
    <w:rsid w:val="00AC3BA6"/>
    <w:rsid w:val="00AC44C1"/>
    <w:rsid w:val="00AD0537"/>
    <w:rsid w:val="00AD07FE"/>
    <w:rsid w:val="00AD0BD6"/>
    <w:rsid w:val="00AD162A"/>
    <w:rsid w:val="00AD21B7"/>
    <w:rsid w:val="00AD3472"/>
    <w:rsid w:val="00AD3B0F"/>
    <w:rsid w:val="00AD3E93"/>
    <w:rsid w:val="00AD4E26"/>
    <w:rsid w:val="00AD5878"/>
    <w:rsid w:val="00AD632D"/>
    <w:rsid w:val="00AD63E1"/>
    <w:rsid w:val="00AD75B9"/>
    <w:rsid w:val="00AD7DC0"/>
    <w:rsid w:val="00AD7FF9"/>
    <w:rsid w:val="00AE3490"/>
    <w:rsid w:val="00AE3D34"/>
    <w:rsid w:val="00AE46AD"/>
    <w:rsid w:val="00AE4750"/>
    <w:rsid w:val="00AE4FD7"/>
    <w:rsid w:val="00AE580E"/>
    <w:rsid w:val="00AE728D"/>
    <w:rsid w:val="00AF04EA"/>
    <w:rsid w:val="00AF0995"/>
    <w:rsid w:val="00AF19A1"/>
    <w:rsid w:val="00AF3245"/>
    <w:rsid w:val="00AF466E"/>
    <w:rsid w:val="00AF477A"/>
    <w:rsid w:val="00AF4C4C"/>
    <w:rsid w:val="00AF51CC"/>
    <w:rsid w:val="00AF5273"/>
    <w:rsid w:val="00AF62AA"/>
    <w:rsid w:val="00AF6BDB"/>
    <w:rsid w:val="00AF7B7E"/>
    <w:rsid w:val="00B004CF"/>
    <w:rsid w:val="00B01AE3"/>
    <w:rsid w:val="00B01C56"/>
    <w:rsid w:val="00B0255F"/>
    <w:rsid w:val="00B0290C"/>
    <w:rsid w:val="00B02F9A"/>
    <w:rsid w:val="00B03AAF"/>
    <w:rsid w:val="00B0425D"/>
    <w:rsid w:val="00B04385"/>
    <w:rsid w:val="00B055DB"/>
    <w:rsid w:val="00B10593"/>
    <w:rsid w:val="00B11D1A"/>
    <w:rsid w:val="00B1236E"/>
    <w:rsid w:val="00B12E8B"/>
    <w:rsid w:val="00B131FB"/>
    <w:rsid w:val="00B14081"/>
    <w:rsid w:val="00B140DF"/>
    <w:rsid w:val="00B146BB"/>
    <w:rsid w:val="00B16728"/>
    <w:rsid w:val="00B20077"/>
    <w:rsid w:val="00B206FB"/>
    <w:rsid w:val="00B207DD"/>
    <w:rsid w:val="00B20B4D"/>
    <w:rsid w:val="00B20FDD"/>
    <w:rsid w:val="00B21AB5"/>
    <w:rsid w:val="00B220CC"/>
    <w:rsid w:val="00B233CE"/>
    <w:rsid w:val="00B236F7"/>
    <w:rsid w:val="00B23E78"/>
    <w:rsid w:val="00B24747"/>
    <w:rsid w:val="00B25B2C"/>
    <w:rsid w:val="00B26DDF"/>
    <w:rsid w:val="00B27533"/>
    <w:rsid w:val="00B305CC"/>
    <w:rsid w:val="00B30909"/>
    <w:rsid w:val="00B31116"/>
    <w:rsid w:val="00B31211"/>
    <w:rsid w:val="00B31E54"/>
    <w:rsid w:val="00B32CCB"/>
    <w:rsid w:val="00B334B4"/>
    <w:rsid w:val="00B34089"/>
    <w:rsid w:val="00B34684"/>
    <w:rsid w:val="00B356D4"/>
    <w:rsid w:val="00B35B11"/>
    <w:rsid w:val="00B36A40"/>
    <w:rsid w:val="00B37620"/>
    <w:rsid w:val="00B37C2C"/>
    <w:rsid w:val="00B40308"/>
    <w:rsid w:val="00B4051A"/>
    <w:rsid w:val="00B40531"/>
    <w:rsid w:val="00B40D6E"/>
    <w:rsid w:val="00B411FF"/>
    <w:rsid w:val="00B416B5"/>
    <w:rsid w:val="00B42D9C"/>
    <w:rsid w:val="00B433F9"/>
    <w:rsid w:val="00B43BC5"/>
    <w:rsid w:val="00B46941"/>
    <w:rsid w:val="00B50676"/>
    <w:rsid w:val="00B51264"/>
    <w:rsid w:val="00B515DE"/>
    <w:rsid w:val="00B51A90"/>
    <w:rsid w:val="00B51DCD"/>
    <w:rsid w:val="00B52097"/>
    <w:rsid w:val="00B5239F"/>
    <w:rsid w:val="00B530E4"/>
    <w:rsid w:val="00B5336D"/>
    <w:rsid w:val="00B53A6A"/>
    <w:rsid w:val="00B541E3"/>
    <w:rsid w:val="00B5559F"/>
    <w:rsid w:val="00B56BCE"/>
    <w:rsid w:val="00B6025A"/>
    <w:rsid w:val="00B60428"/>
    <w:rsid w:val="00B6050B"/>
    <w:rsid w:val="00B61C66"/>
    <w:rsid w:val="00B6486A"/>
    <w:rsid w:val="00B66882"/>
    <w:rsid w:val="00B67343"/>
    <w:rsid w:val="00B67E15"/>
    <w:rsid w:val="00B719E1"/>
    <w:rsid w:val="00B73260"/>
    <w:rsid w:val="00B73393"/>
    <w:rsid w:val="00B73ECE"/>
    <w:rsid w:val="00B77E51"/>
    <w:rsid w:val="00B817A6"/>
    <w:rsid w:val="00B8432A"/>
    <w:rsid w:val="00B84430"/>
    <w:rsid w:val="00B84E3D"/>
    <w:rsid w:val="00B858FE"/>
    <w:rsid w:val="00B872D6"/>
    <w:rsid w:val="00B9042C"/>
    <w:rsid w:val="00B93603"/>
    <w:rsid w:val="00B93F5E"/>
    <w:rsid w:val="00B9420D"/>
    <w:rsid w:val="00B9434E"/>
    <w:rsid w:val="00B94AB5"/>
    <w:rsid w:val="00B95FAB"/>
    <w:rsid w:val="00B966B4"/>
    <w:rsid w:val="00B96D33"/>
    <w:rsid w:val="00B9791C"/>
    <w:rsid w:val="00BA2B10"/>
    <w:rsid w:val="00BA564D"/>
    <w:rsid w:val="00BA71BD"/>
    <w:rsid w:val="00BB1043"/>
    <w:rsid w:val="00BB30DF"/>
    <w:rsid w:val="00BB3BF0"/>
    <w:rsid w:val="00BB618B"/>
    <w:rsid w:val="00BB70AC"/>
    <w:rsid w:val="00BB7178"/>
    <w:rsid w:val="00BB76B6"/>
    <w:rsid w:val="00BC27B0"/>
    <w:rsid w:val="00BC283C"/>
    <w:rsid w:val="00BC50F7"/>
    <w:rsid w:val="00BC57BF"/>
    <w:rsid w:val="00BC5D6D"/>
    <w:rsid w:val="00BC6172"/>
    <w:rsid w:val="00BC692D"/>
    <w:rsid w:val="00BC7C29"/>
    <w:rsid w:val="00BD18B1"/>
    <w:rsid w:val="00BD39D7"/>
    <w:rsid w:val="00BD465D"/>
    <w:rsid w:val="00BD55AF"/>
    <w:rsid w:val="00BD6F46"/>
    <w:rsid w:val="00BE009D"/>
    <w:rsid w:val="00BE014A"/>
    <w:rsid w:val="00BE03B1"/>
    <w:rsid w:val="00BE0BC3"/>
    <w:rsid w:val="00BE0FDC"/>
    <w:rsid w:val="00BE3F31"/>
    <w:rsid w:val="00BE415C"/>
    <w:rsid w:val="00BE60DA"/>
    <w:rsid w:val="00BE6FA0"/>
    <w:rsid w:val="00BF1E83"/>
    <w:rsid w:val="00BF28A9"/>
    <w:rsid w:val="00BF29D9"/>
    <w:rsid w:val="00BF42DA"/>
    <w:rsid w:val="00BF51C5"/>
    <w:rsid w:val="00BF7B61"/>
    <w:rsid w:val="00C00C97"/>
    <w:rsid w:val="00C01DCD"/>
    <w:rsid w:val="00C02835"/>
    <w:rsid w:val="00C02E57"/>
    <w:rsid w:val="00C033FF"/>
    <w:rsid w:val="00C03B8E"/>
    <w:rsid w:val="00C0479F"/>
    <w:rsid w:val="00C04EC2"/>
    <w:rsid w:val="00C059CE"/>
    <w:rsid w:val="00C10016"/>
    <w:rsid w:val="00C1045B"/>
    <w:rsid w:val="00C113FC"/>
    <w:rsid w:val="00C11A03"/>
    <w:rsid w:val="00C1237C"/>
    <w:rsid w:val="00C12FFC"/>
    <w:rsid w:val="00C131FF"/>
    <w:rsid w:val="00C13E48"/>
    <w:rsid w:val="00C17116"/>
    <w:rsid w:val="00C20617"/>
    <w:rsid w:val="00C21082"/>
    <w:rsid w:val="00C227C1"/>
    <w:rsid w:val="00C22CBF"/>
    <w:rsid w:val="00C26932"/>
    <w:rsid w:val="00C3097F"/>
    <w:rsid w:val="00C31695"/>
    <w:rsid w:val="00C31A7D"/>
    <w:rsid w:val="00C32B61"/>
    <w:rsid w:val="00C33176"/>
    <w:rsid w:val="00C341C0"/>
    <w:rsid w:val="00C36E9A"/>
    <w:rsid w:val="00C3764E"/>
    <w:rsid w:val="00C4269D"/>
    <w:rsid w:val="00C4277D"/>
    <w:rsid w:val="00C43D48"/>
    <w:rsid w:val="00C44A6E"/>
    <w:rsid w:val="00C45FAE"/>
    <w:rsid w:val="00C46E51"/>
    <w:rsid w:val="00C504B5"/>
    <w:rsid w:val="00C51846"/>
    <w:rsid w:val="00C5185A"/>
    <w:rsid w:val="00C52B9A"/>
    <w:rsid w:val="00C53C66"/>
    <w:rsid w:val="00C53D86"/>
    <w:rsid w:val="00C54247"/>
    <w:rsid w:val="00C567FF"/>
    <w:rsid w:val="00C5702D"/>
    <w:rsid w:val="00C574CF"/>
    <w:rsid w:val="00C57814"/>
    <w:rsid w:val="00C6092A"/>
    <w:rsid w:val="00C60BD5"/>
    <w:rsid w:val="00C613F2"/>
    <w:rsid w:val="00C643D4"/>
    <w:rsid w:val="00C66974"/>
    <w:rsid w:val="00C67B43"/>
    <w:rsid w:val="00C73D6A"/>
    <w:rsid w:val="00C74E0A"/>
    <w:rsid w:val="00C752A5"/>
    <w:rsid w:val="00C76363"/>
    <w:rsid w:val="00C76996"/>
    <w:rsid w:val="00C802FF"/>
    <w:rsid w:val="00C80B0A"/>
    <w:rsid w:val="00C81A4F"/>
    <w:rsid w:val="00C820E8"/>
    <w:rsid w:val="00C82C17"/>
    <w:rsid w:val="00C82FE7"/>
    <w:rsid w:val="00C854FD"/>
    <w:rsid w:val="00C8577D"/>
    <w:rsid w:val="00C85ADE"/>
    <w:rsid w:val="00C85BA8"/>
    <w:rsid w:val="00C85EB5"/>
    <w:rsid w:val="00C864A9"/>
    <w:rsid w:val="00C87843"/>
    <w:rsid w:val="00C87A0E"/>
    <w:rsid w:val="00C903B4"/>
    <w:rsid w:val="00C90859"/>
    <w:rsid w:val="00C912AD"/>
    <w:rsid w:val="00C9368B"/>
    <w:rsid w:val="00C95454"/>
    <w:rsid w:val="00C95716"/>
    <w:rsid w:val="00C96614"/>
    <w:rsid w:val="00C97827"/>
    <w:rsid w:val="00C97A03"/>
    <w:rsid w:val="00C97C27"/>
    <w:rsid w:val="00CA0357"/>
    <w:rsid w:val="00CA0CF5"/>
    <w:rsid w:val="00CA21C9"/>
    <w:rsid w:val="00CA3714"/>
    <w:rsid w:val="00CA3F71"/>
    <w:rsid w:val="00CA5970"/>
    <w:rsid w:val="00CA77FB"/>
    <w:rsid w:val="00CB06D2"/>
    <w:rsid w:val="00CB16B7"/>
    <w:rsid w:val="00CB2440"/>
    <w:rsid w:val="00CB2B32"/>
    <w:rsid w:val="00CB4A03"/>
    <w:rsid w:val="00CB6579"/>
    <w:rsid w:val="00CB711F"/>
    <w:rsid w:val="00CB7AA5"/>
    <w:rsid w:val="00CC16DD"/>
    <w:rsid w:val="00CC1BB0"/>
    <w:rsid w:val="00CC25E7"/>
    <w:rsid w:val="00CC265D"/>
    <w:rsid w:val="00CC3AC0"/>
    <w:rsid w:val="00CC4DA8"/>
    <w:rsid w:val="00CC55DD"/>
    <w:rsid w:val="00CC5A11"/>
    <w:rsid w:val="00CC6107"/>
    <w:rsid w:val="00CC7214"/>
    <w:rsid w:val="00CC7C08"/>
    <w:rsid w:val="00CD0C80"/>
    <w:rsid w:val="00CD1909"/>
    <w:rsid w:val="00CD4BCE"/>
    <w:rsid w:val="00CD52D3"/>
    <w:rsid w:val="00CD5667"/>
    <w:rsid w:val="00CD661D"/>
    <w:rsid w:val="00CD733F"/>
    <w:rsid w:val="00CD7A90"/>
    <w:rsid w:val="00CE1ABC"/>
    <w:rsid w:val="00CE27F3"/>
    <w:rsid w:val="00CE3174"/>
    <w:rsid w:val="00CE43BD"/>
    <w:rsid w:val="00CE51C5"/>
    <w:rsid w:val="00CE6A12"/>
    <w:rsid w:val="00CE7CBF"/>
    <w:rsid w:val="00CF0363"/>
    <w:rsid w:val="00CF07CF"/>
    <w:rsid w:val="00CF0CD5"/>
    <w:rsid w:val="00CF1122"/>
    <w:rsid w:val="00CF127D"/>
    <w:rsid w:val="00CF561D"/>
    <w:rsid w:val="00D00070"/>
    <w:rsid w:val="00D00BD0"/>
    <w:rsid w:val="00D013B6"/>
    <w:rsid w:val="00D0289E"/>
    <w:rsid w:val="00D02BFB"/>
    <w:rsid w:val="00D03754"/>
    <w:rsid w:val="00D04186"/>
    <w:rsid w:val="00D045AC"/>
    <w:rsid w:val="00D04F06"/>
    <w:rsid w:val="00D07BF0"/>
    <w:rsid w:val="00D115D2"/>
    <w:rsid w:val="00D123EF"/>
    <w:rsid w:val="00D1327D"/>
    <w:rsid w:val="00D13544"/>
    <w:rsid w:val="00D13C8D"/>
    <w:rsid w:val="00D148A8"/>
    <w:rsid w:val="00D151B8"/>
    <w:rsid w:val="00D15630"/>
    <w:rsid w:val="00D15803"/>
    <w:rsid w:val="00D161B6"/>
    <w:rsid w:val="00D1660D"/>
    <w:rsid w:val="00D17641"/>
    <w:rsid w:val="00D17FE3"/>
    <w:rsid w:val="00D207E4"/>
    <w:rsid w:val="00D20E3A"/>
    <w:rsid w:val="00D2314B"/>
    <w:rsid w:val="00D23F1D"/>
    <w:rsid w:val="00D244F1"/>
    <w:rsid w:val="00D25FFD"/>
    <w:rsid w:val="00D276F1"/>
    <w:rsid w:val="00D32C0C"/>
    <w:rsid w:val="00D33088"/>
    <w:rsid w:val="00D348B0"/>
    <w:rsid w:val="00D34A4F"/>
    <w:rsid w:val="00D3664C"/>
    <w:rsid w:val="00D366BD"/>
    <w:rsid w:val="00D3687F"/>
    <w:rsid w:val="00D4041C"/>
    <w:rsid w:val="00D40A31"/>
    <w:rsid w:val="00D40ACA"/>
    <w:rsid w:val="00D43329"/>
    <w:rsid w:val="00D441EB"/>
    <w:rsid w:val="00D44217"/>
    <w:rsid w:val="00D44710"/>
    <w:rsid w:val="00D44FBB"/>
    <w:rsid w:val="00D46B7E"/>
    <w:rsid w:val="00D46C06"/>
    <w:rsid w:val="00D4753B"/>
    <w:rsid w:val="00D47CF2"/>
    <w:rsid w:val="00D50343"/>
    <w:rsid w:val="00D50D0E"/>
    <w:rsid w:val="00D52659"/>
    <w:rsid w:val="00D54D11"/>
    <w:rsid w:val="00D55EC0"/>
    <w:rsid w:val="00D60F32"/>
    <w:rsid w:val="00D62D3E"/>
    <w:rsid w:val="00D6309A"/>
    <w:rsid w:val="00D63547"/>
    <w:rsid w:val="00D708F9"/>
    <w:rsid w:val="00D72EC0"/>
    <w:rsid w:val="00D739FA"/>
    <w:rsid w:val="00D74339"/>
    <w:rsid w:val="00D75546"/>
    <w:rsid w:val="00D75D46"/>
    <w:rsid w:val="00D7667A"/>
    <w:rsid w:val="00D766F6"/>
    <w:rsid w:val="00D76C49"/>
    <w:rsid w:val="00D76DBA"/>
    <w:rsid w:val="00D80579"/>
    <w:rsid w:val="00D81152"/>
    <w:rsid w:val="00D8152C"/>
    <w:rsid w:val="00D81538"/>
    <w:rsid w:val="00D82045"/>
    <w:rsid w:val="00D8216E"/>
    <w:rsid w:val="00D840F4"/>
    <w:rsid w:val="00D8452E"/>
    <w:rsid w:val="00D84B29"/>
    <w:rsid w:val="00D85324"/>
    <w:rsid w:val="00D85ED8"/>
    <w:rsid w:val="00D87C47"/>
    <w:rsid w:val="00D92136"/>
    <w:rsid w:val="00D943D2"/>
    <w:rsid w:val="00D95FAF"/>
    <w:rsid w:val="00D95FE3"/>
    <w:rsid w:val="00DA0D8E"/>
    <w:rsid w:val="00DA122D"/>
    <w:rsid w:val="00DA2D5A"/>
    <w:rsid w:val="00DA35B5"/>
    <w:rsid w:val="00DA3F48"/>
    <w:rsid w:val="00DA6196"/>
    <w:rsid w:val="00DA6FE4"/>
    <w:rsid w:val="00DA77AE"/>
    <w:rsid w:val="00DB1223"/>
    <w:rsid w:val="00DB2956"/>
    <w:rsid w:val="00DB487F"/>
    <w:rsid w:val="00DB6247"/>
    <w:rsid w:val="00DB7FAE"/>
    <w:rsid w:val="00DC1FC8"/>
    <w:rsid w:val="00DC2CAB"/>
    <w:rsid w:val="00DC3CC6"/>
    <w:rsid w:val="00DC50D4"/>
    <w:rsid w:val="00DC604D"/>
    <w:rsid w:val="00DC6FEF"/>
    <w:rsid w:val="00DD0576"/>
    <w:rsid w:val="00DD09E5"/>
    <w:rsid w:val="00DD2F75"/>
    <w:rsid w:val="00DD46C1"/>
    <w:rsid w:val="00DD66BB"/>
    <w:rsid w:val="00DD7346"/>
    <w:rsid w:val="00DD74A7"/>
    <w:rsid w:val="00DD7657"/>
    <w:rsid w:val="00DE20E2"/>
    <w:rsid w:val="00DE2CAD"/>
    <w:rsid w:val="00DE32DD"/>
    <w:rsid w:val="00DE44E1"/>
    <w:rsid w:val="00DE49FF"/>
    <w:rsid w:val="00DF3BBD"/>
    <w:rsid w:val="00DF5083"/>
    <w:rsid w:val="00DF5087"/>
    <w:rsid w:val="00DF655E"/>
    <w:rsid w:val="00E012B8"/>
    <w:rsid w:val="00E01CF0"/>
    <w:rsid w:val="00E020CC"/>
    <w:rsid w:val="00E04C11"/>
    <w:rsid w:val="00E052E5"/>
    <w:rsid w:val="00E053CB"/>
    <w:rsid w:val="00E05762"/>
    <w:rsid w:val="00E0699A"/>
    <w:rsid w:val="00E072AC"/>
    <w:rsid w:val="00E10184"/>
    <w:rsid w:val="00E124EB"/>
    <w:rsid w:val="00E135AF"/>
    <w:rsid w:val="00E157A3"/>
    <w:rsid w:val="00E16623"/>
    <w:rsid w:val="00E1681B"/>
    <w:rsid w:val="00E21A95"/>
    <w:rsid w:val="00E232A3"/>
    <w:rsid w:val="00E2369D"/>
    <w:rsid w:val="00E24146"/>
    <w:rsid w:val="00E25A1B"/>
    <w:rsid w:val="00E261DA"/>
    <w:rsid w:val="00E26380"/>
    <w:rsid w:val="00E26CB0"/>
    <w:rsid w:val="00E27C6D"/>
    <w:rsid w:val="00E31481"/>
    <w:rsid w:val="00E314F3"/>
    <w:rsid w:val="00E32223"/>
    <w:rsid w:val="00E345E3"/>
    <w:rsid w:val="00E34637"/>
    <w:rsid w:val="00E347B9"/>
    <w:rsid w:val="00E35ED5"/>
    <w:rsid w:val="00E363E1"/>
    <w:rsid w:val="00E3677E"/>
    <w:rsid w:val="00E36D8D"/>
    <w:rsid w:val="00E37438"/>
    <w:rsid w:val="00E37754"/>
    <w:rsid w:val="00E40FE6"/>
    <w:rsid w:val="00E42032"/>
    <w:rsid w:val="00E430CA"/>
    <w:rsid w:val="00E43474"/>
    <w:rsid w:val="00E43AE5"/>
    <w:rsid w:val="00E44257"/>
    <w:rsid w:val="00E44C6B"/>
    <w:rsid w:val="00E45BC2"/>
    <w:rsid w:val="00E471A5"/>
    <w:rsid w:val="00E477E3"/>
    <w:rsid w:val="00E479DD"/>
    <w:rsid w:val="00E52237"/>
    <w:rsid w:val="00E53FCD"/>
    <w:rsid w:val="00E54355"/>
    <w:rsid w:val="00E562BB"/>
    <w:rsid w:val="00E565CE"/>
    <w:rsid w:val="00E56A47"/>
    <w:rsid w:val="00E574F2"/>
    <w:rsid w:val="00E61ED6"/>
    <w:rsid w:val="00E61EED"/>
    <w:rsid w:val="00E61F6B"/>
    <w:rsid w:val="00E63A86"/>
    <w:rsid w:val="00E63CDA"/>
    <w:rsid w:val="00E6442F"/>
    <w:rsid w:val="00E649AC"/>
    <w:rsid w:val="00E66659"/>
    <w:rsid w:val="00E70B03"/>
    <w:rsid w:val="00E70EDE"/>
    <w:rsid w:val="00E7135D"/>
    <w:rsid w:val="00E72ED5"/>
    <w:rsid w:val="00E735EF"/>
    <w:rsid w:val="00E745DA"/>
    <w:rsid w:val="00E7545F"/>
    <w:rsid w:val="00E7689F"/>
    <w:rsid w:val="00E8048E"/>
    <w:rsid w:val="00E81D6E"/>
    <w:rsid w:val="00E82D11"/>
    <w:rsid w:val="00E8300F"/>
    <w:rsid w:val="00E846FF"/>
    <w:rsid w:val="00E91332"/>
    <w:rsid w:val="00E91477"/>
    <w:rsid w:val="00E9174C"/>
    <w:rsid w:val="00E92368"/>
    <w:rsid w:val="00E92D87"/>
    <w:rsid w:val="00E940ED"/>
    <w:rsid w:val="00E94730"/>
    <w:rsid w:val="00E94855"/>
    <w:rsid w:val="00E951A8"/>
    <w:rsid w:val="00E9582E"/>
    <w:rsid w:val="00E95E2E"/>
    <w:rsid w:val="00E95EB9"/>
    <w:rsid w:val="00E96AF3"/>
    <w:rsid w:val="00E96B10"/>
    <w:rsid w:val="00E96D52"/>
    <w:rsid w:val="00E97615"/>
    <w:rsid w:val="00EA1DE3"/>
    <w:rsid w:val="00EA1F80"/>
    <w:rsid w:val="00EA2351"/>
    <w:rsid w:val="00EA2B73"/>
    <w:rsid w:val="00EA4139"/>
    <w:rsid w:val="00EA5FF7"/>
    <w:rsid w:val="00EA6D0E"/>
    <w:rsid w:val="00EB0A9A"/>
    <w:rsid w:val="00EB0CC7"/>
    <w:rsid w:val="00EB124A"/>
    <w:rsid w:val="00EB1616"/>
    <w:rsid w:val="00EB1630"/>
    <w:rsid w:val="00EB2B72"/>
    <w:rsid w:val="00EB3ACE"/>
    <w:rsid w:val="00EB4CF7"/>
    <w:rsid w:val="00EB5118"/>
    <w:rsid w:val="00EB6C57"/>
    <w:rsid w:val="00EB7B56"/>
    <w:rsid w:val="00EC0BFA"/>
    <w:rsid w:val="00EC103C"/>
    <w:rsid w:val="00EC4B73"/>
    <w:rsid w:val="00EC603C"/>
    <w:rsid w:val="00EC74CD"/>
    <w:rsid w:val="00EC781D"/>
    <w:rsid w:val="00ED0809"/>
    <w:rsid w:val="00ED0D5F"/>
    <w:rsid w:val="00ED164A"/>
    <w:rsid w:val="00ED1BD6"/>
    <w:rsid w:val="00ED2320"/>
    <w:rsid w:val="00ED23EC"/>
    <w:rsid w:val="00ED284C"/>
    <w:rsid w:val="00ED3558"/>
    <w:rsid w:val="00ED3656"/>
    <w:rsid w:val="00ED3D12"/>
    <w:rsid w:val="00ED5088"/>
    <w:rsid w:val="00ED515D"/>
    <w:rsid w:val="00ED5685"/>
    <w:rsid w:val="00ED5C72"/>
    <w:rsid w:val="00ED5FDC"/>
    <w:rsid w:val="00ED643A"/>
    <w:rsid w:val="00ED6EF2"/>
    <w:rsid w:val="00ED7C11"/>
    <w:rsid w:val="00ED7C82"/>
    <w:rsid w:val="00EE0696"/>
    <w:rsid w:val="00EE1256"/>
    <w:rsid w:val="00EE203E"/>
    <w:rsid w:val="00EE2276"/>
    <w:rsid w:val="00EE4232"/>
    <w:rsid w:val="00EE4362"/>
    <w:rsid w:val="00EE56E6"/>
    <w:rsid w:val="00EE6422"/>
    <w:rsid w:val="00EE6EBE"/>
    <w:rsid w:val="00EE75D5"/>
    <w:rsid w:val="00EF0861"/>
    <w:rsid w:val="00EF0CF0"/>
    <w:rsid w:val="00EF3837"/>
    <w:rsid w:val="00EF3AF3"/>
    <w:rsid w:val="00EF3FC2"/>
    <w:rsid w:val="00EF5ACA"/>
    <w:rsid w:val="00EF5E41"/>
    <w:rsid w:val="00EF64C2"/>
    <w:rsid w:val="00EF7C09"/>
    <w:rsid w:val="00F013CA"/>
    <w:rsid w:val="00F01B05"/>
    <w:rsid w:val="00F01B6A"/>
    <w:rsid w:val="00F01E95"/>
    <w:rsid w:val="00F0247E"/>
    <w:rsid w:val="00F037E4"/>
    <w:rsid w:val="00F03EF8"/>
    <w:rsid w:val="00F054DC"/>
    <w:rsid w:val="00F05555"/>
    <w:rsid w:val="00F059F8"/>
    <w:rsid w:val="00F05CA8"/>
    <w:rsid w:val="00F06981"/>
    <w:rsid w:val="00F06DEC"/>
    <w:rsid w:val="00F078D7"/>
    <w:rsid w:val="00F15900"/>
    <w:rsid w:val="00F1713A"/>
    <w:rsid w:val="00F175B6"/>
    <w:rsid w:val="00F17A72"/>
    <w:rsid w:val="00F20720"/>
    <w:rsid w:val="00F208B1"/>
    <w:rsid w:val="00F21707"/>
    <w:rsid w:val="00F2300D"/>
    <w:rsid w:val="00F23A79"/>
    <w:rsid w:val="00F268D9"/>
    <w:rsid w:val="00F302C0"/>
    <w:rsid w:val="00F33148"/>
    <w:rsid w:val="00F33CB8"/>
    <w:rsid w:val="00F34CBB"/>
    <w:rsid w:val="00F352E3"/>
    <w:rsid w:val="00F36633"/>
    <w:rsid w:val="00F36AFD"/>
    <w:rsid w:val="00F36C8E"/>
    <w:rsid w:val="00F3745E"/>
    <w:rsid w:val="00F37C8E"/>
    <w:rsid w:val="00F40066"/>
    <w:rsid w:val="00F41E98"/>
    <w:rsid w:val="00F4286A"/>
    <w:rsid w:val="00F428FC"/>
    <w:rsid w:val="00F43A27"/>
    <w:rsid w:val="00F443A3"/>
    <w:rsid w:val="00F44F7B"/>
    <w:rsid w:val="00F45931"/>
    <w:rsid w:val="00F45AE3"/>
    <w:rsid w:val="00F47DD7"/>
    <w:rsid w:val="00F47FEA"/>
    <w:rsid w:val="00F50A15"/>
    <w:rsid w:val="00F523BA"/>
    <w:rsid w:val="00F5399B"/>
    <w:rsid w:val="00F53B09"/>
    <w:rsid w:val="00F57621"/>
    <w:rsid w:val="00F57C9D"/>
    <w:rsid w:val="00F57DCF"/>
    <w:rsid w:val="00F60243"/>
    <w:rsid w:val="00F607FB"/>
    <w:rsid w:val="00F60D0A"/>
    <w:rsid w:val="00F61261"/>
    <w:rsid w:val="00F612FD"/>
    <w:rsid w:val="00F61379"/>
    <w:rsid w:val="00F651F0"/>
    <w:rsid w:val="00F674CC"/>
    <w:rsid w:val="00F7032E"/>
    <w:rsid w:val="00F7047E"/>
    <w:rsid w:val="00F76660"/>
    <w:rsid w:val="00F770B4"/>
    <w:rsid w:val="00F77563"/>
    <w:rsid w:val="00F77ECC"/>
    <w:rsid w:val="00F80067"/>
    <w:rsid w:val="00F830A8"/>
    <w:rsid w:val="00F83C56"/>
    <w:rsid w:val="00F86862"/>
    <w:rsid w:val="00F86B93"/>
    <w:rsid w:val="00F87108"/>
    <w:rsid w:val="00F90715"/>
    <w:rsid w:val="00F9097C"/>
    <w:rsid w:val="00F9114B"/>
    <w:rsid w:val="00F93111"/>
    <w:rsid w:val="00F9318B"/>
    <w:rsid w:val="00F93578"/>
    <w:rsid w:val="00F95229"/>
    <w:rsid w:val="00F9534B"/>
    <w:rsid w:val="00F9586C"/>
    <w:rsid w:val="00F959A4"/>
    <w:rsid w:val="00F95AD1"/>
    <w:rsid w:val="00F973F8"/>
    <w:rsid w:val="00F9744E"/>
    <w:rsid w:val="00F97695"/>
    <w:rsid w:val="00FA0014"/>
    <w:rsid w:val="00FA015D"/>
    <w:rsid w:val="00FA1026"/>
    <w:rsid w:val="00FA1DA0"/>
    <w:rsid w:val="00FA2536"/>
    <w:rsid w:val="00FA2BAB"/>
    <w:rsid w:val="00FA2BED"/>
    <w:rsid w:val="00FA300C"/>
    <w:rsid w:val="00FA3706"/>
    <w:rsid w:val="00FA3BAB"/>
    <w:rsid w:val="00FA50F4"/>
    <w:rsid w:val="00FA5F87"/>
    <w:rsid w:val="00FA6A64"/>
    <w:rsid w:val="00FA739A"/>
    <w:rsid w:val="00FA7583"/>
    <w:rsid w:val="00FB0D2A"/>
    <w:rsid w:val="00FB17F8"/>
    <w:rsid w:val="00FB21EC"/>
    <w:rsid w:val="00FB42FC"/>
    <w:rsid w:val="00FB5B7D"/>
    <w:rsid w:val="00FB6269"/>
    <w:rsid w:val="00FB7AA4"/>
    <w:rsid w:val="00FB7BE7"/>
    <w:rsid w:val="00FC051D"/>
    <w:rsid w:val="00FC0B4B"/>
    <w:rsid w:val="00FC0F79"/>
    <w:rsid w:val="00FC1777"/>
    <w:rsid w:val="00FC19DC"/>
    <w:rsid w:val="00FC3AED"/>
    <w:rsid w:val="00FC51DF"/>
    <w:rsid w:val="00FC6AD6"/>
    <w:rsid w:val="00FC7546"/>
    <w:rsid w:val="00FD036D"/>
    <w:rsid w:val="00FD06D9"/>
    <w:rsid w:val="00FD1158"/>
    <w:rsid w:val="00FD1658"/>
    <w:rsid w:val="00FD20BE"/>
    <w:rsid w:val="00FD47D6"/>
    <w:rsid w:val="00FD49DA"/>
    <w:rsid w:val="00FE0AEA"/>
    <w:rsid w:val="00FE1AFF"/>
    <w:rsid w:val="00FE2325"/>
    <w:rsid w:val="00FE37EF"/>
    <w:rsid w:val="00FE54AF"/>
    <w:rsid w:val="00FE5627"/>
    <w:rsid w:val="00FE64B9"/>
    <w:rsid w:val="00FE7770"/>
    <w:rsid w:val="00FF053C"/>
    <w:rsid w:val="00FF2180"/>
    <w:rsid w:val="00FF2B63"/>
    <w:rsid w:val="00FF33A7"/>
    <w:rsid w:val="00FF3610"/>
    <w:rsid w:val="00FF3DDD"/>
    <w:rsid w:val="00FF3F41"/>
    <w:rsid w:val="00FF3F92"/>
    <w:rsid w:val="00FF6128"/>
    <w:rsid w:val="00FF6158"/>
    <w:rsid w:val="00FF7420"/>
  </w:rsids>
  <m:mathPr>
    <m:mathFont m:val="Cambria Math"/>
    <m:brkBin m:val="before"/>
    <m:brkBinSub m:val="--"/>
    <m:smallFrac m:val="0"/>
    <m:dispDef/>
    <m:lMargin m:val="0"/>
    <m:rMargin m:val="0"/>
    <m:defJc m:val="centerGroup"/>
    <m:wrapIndent m:val="1440"/>
    <m:intLim m:val="subSup"/>
    <m:naryLim m:val="undOvr"/>
  </m:mathPr>
  <w:themeFontLang w:val="fi-FI"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DF961E3"/>
  <w15:docId w15:val="{082FC91D-9518-4C7E-87BB-67BA89346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v-SE" w:eastAsia="fi-FI" w:bidi="ar-SA"/>
      </w:rPr>
    </w:rPrDefault>
    <w:pPrDefault/>
  </w:docDefaults>
  <w:latentStyles w:defLockedState="0" w:defUIPriority="0" w:defSemiHidden="0" w:defUnhideWhenUsed="0" w:defQFormat="0" w:count="371">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CC265D"/>
    <w:pPr>
      <w:spacing w:line="276" w:lineRule="auto"/>
    </w:pPr>
    <w:rPr>
      <w:rFonts w:eastAsia="Calibri"/>
      <w:sz w:val="22"/>
      <w:szCs w:val="22"/>
      <w:lang w:eastAsia="en-US"/>
    </w:rPr>
  </w:style>
  <w:style w:type="paragraph" w:styleId="Otsikko1">
    <w:name w:val="heading 1"/>
    <w:basedOn w:val="Normaali"/>
    <w:next w:val="Normaali"/>
    <w:rsid w:val="00412DDA"/>
    <w:pPr>
      <w:keepNext/>
      <w:spacing w:before="240" w:after="60" w:line="240" w:lineRule="auto"/>
      <w:outlineLvl w:val="0"/>
    </w:pPr>
    <w:rPr>
      <w:rFonts w:ascii="Arial" w:eastAsia="Times New Roman" w:hAnsi="Arial" w:cs="Arial"/>
      <w:b/>
      <w:bCs/>
      <w:kern w:val="32"/>
      <w:sz w:val="32"/>
      <w:szCs w:val="32"/>
      <w:lang w:eastAsia="fi-FI"/>
    </w:rPr>
  </w:style>
  <w:style w:type="paragraph" w:styleId="Otsikko2">
    <w:name w:val="heading 2"/>
    <w:basedOn w:val="Normaali"/>
    <w:next w:val="Normaali"/>
    <w:rsid w:val="005D047B"/>
    <w:pPr>
      <w:keepNext/>
      <w:spacing w:before="240" w:after="60" w:line="240" w:lineRule="auto"/>
      <w:outlineLvl w:val="1"/>
    </w:pPr>
    <w:rPr>
      <w:rFonts w:ascii="Arial" w:eastAsia="Times New Roman" w:hAnsi="Arial" w:cs="Arial"/>
      <w:b/>
      <w:bCs/>
      <w:i/>
      <w:iCs/>
      <w:sz w:val="28"/>
      <w:szCs w:val="28"/>
      <w:lang w:eastAsia="fi-FI"/>
    </w:rPr>
  </w:style>
  <w:style w:type="paragraph" w:styleId="Otsikko3">
    <w:name w:val="heading 3"/>
    <w:basedOn w:val="Normaali"/>
    <w:next w:val="Normaali"/>
    <w:rsid w:val="00412DDA"/>
    <w:pPr>
      <w:keepNext/>
      <w:spacing w:before="240" w:after="60" w:line="240" w:lineRule="auto"/>
      <w:outlineLvl w:val="2"/>
    </w:pPr>
    <w:rPr>
      <w:rFonts w:ascii="Arial" w:eastAsia="Times New Roman" w:hAnsi="Arial" w:cs="Arial"/>
      <w:b/>
      <w:bCs/>
      <w:sz w:val="26"/>
      <w:szCs w:val="26"/>
      <w:lang w:eastAsia="fi-FI"/>
    </w:rPr>
  </w:style>
  <w:style w:type="paragraph" w:styleId="Otsikko4">
    <w:name w:val="heading 4"/>
    <w:basedOn w:val="Normaali"/>
    <w:next w:val="Normaali"/>
    <w:rsid w:val="00412DDA"/>
    <w:pPr>
      <w:keepNext/>
      <w:spacing w:before="240" w:after="60" w:line="240" w:lineRule="auto"/>
      <w:outlineLvl w:val="3"/>
    </w:pPr>
    <w:rPr>
      <w:rFonts w:eastAsia="Times New Roman"/>
      <w:b/>
      <w:bCs/>
      <w:sz w:val="28"/>
      <w:szCs w:val="28"/>
      <w:lang w:eastAsia="fi-FI"/>
    </w:rPr>
  </w:style>
  <w:style w:type="paragraph" w:styleId="Otsikko5">
    <w:name w:val="heading 5"/>
    <w:basedOn w:val="Normaali"/>
    <w:next w:val="Normaali"/>
    <w:rsid w:val="00412DDA"/>
    <w:pPr>
      <w:spacing w:before="240" w:after="60" w:line="240" w:lineRule="auto"/>
      <w:outlineLvl w:val="4"/>
    </w:pPr>
    <w:rPr>
      <w:rFonts w:eastAsia="Times New Roman"/>
      <w:b/>
      <w:bCs/>
      <w:i/>
      <w:iCs/>
      <w:sz w:val="26"/>
      <w:szCs w:val="26"/>
      <w:lang w:eastAsia="fi-FI"/>
    </w:rPr>
  </w:style>
  <w:style w:type="paragraph" w:styleId="Otsikko6">
    <w:name w:val="heading 6"/>
    <w:basedOn w:val="Normaali"/>
    <w:next w:val="Normaali"/>
    <w:rsid w:val="00412DDA"/>
    <w:pPr>
      <w:spacing w:before="240" w:after="60" w:line="240" w:lineRule="auto"/>
      <w:outlineLvl w:val="5"/>
    </w:pPr>
    <w:rPr>
      <w:rFonts w:eastAsia="Times New Roman"/>
      <w:b/>
      <w:bCs/>
      <w:lang w:eastAsia="fi-FI"/>
    </w:rPr>
  </w:style>
  <w:style w:type="paragraph" w:styleId="Otsikko7">
    <w:name w:val="heading 7"/>
    <w:basedOn w:val="Normaali"/>
    <w:next w:val="Normaali"/>
    <w:rsid w:val="00412DDA"/>
    <w:pPr>
      <w:spacing w:before="240" w:after="60" w:line="240" w:lineRule="auto"/>
      <w:outlineLvl w:val="6"/>
    </w:pPr>
    <w:rPr>
      <w:rFonts w:eastAsia="Times New Roman"/>
      <w:sz w:val="24"/>
      <w:szCs w:val="24"/>
      <w:lang w:eastAsia="fi-FI"/>
    </w:rPr>
  </w:style>
  <w:style w:type="paragraph" w:styleId="Otsikko8">
    <w:name w:val="heading 8"/>
    <w:basedOn w:val="Normaali"/>
    <w:next w:val="Normaali"/>
    <w:rsid w:val="00412DDA"/>
    <w:pPr>
      <w:spacing w:before="240" w:after="60" w:line="240" w:lineRule="auto"/>
      <w:outlineLvl w:val="7"/>
    </w:pPr>
    <w:rPr>
      <w:rFonts w:eastAsia="Times New Roman"/>
      <w:i/>
      <w:iCs/>
      <w:sz w:val="24"/>
      <w:szCs w:val="24"/>
      <w:lang w:eastAsia="fi-FI"/>
    </w:rPr>
  </w:style>
  <w:style w:type="paragraph" w:styleId="Otsikko9">
    <w:name w:val="heading 9"/>
    <w:basedOn w:val="Normaali"/>
    <w:next w:val="Normaali"/>
    <w:rsid w:val="00412DDA"/>
    <w:pPr>
      <w:spacing w:before="240" w:after="60" w:line="240" w:lineRule="auto"/>
      <w:outlineLvl w:val="8"/>
    </w:pPr>
    <w:rPr>
      <w:rFonts w:ascii="Arial" w:eastAsia="Times New Roman" w:hAnsi="Arial" w:cs="Arial"/>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rsid w:val="00007EA2"/>
    <w:pPr>
      <w:tabs>
        <w:tab w:val="center" w:pos="4819"/>
        <w:tab w:val="right" w:pos="9638"/>
      </w:tabs>
      <w:spacing w:line="240" w:lineRule="auto"/>
    </w:pPr>
    <w:rPr>
      <w:rFonts w:eastAsia="Times New Roman"/>
      <w:sz w:val="24"/>
      <w:szCs w:val="24"/>
      <w:lang w:eastAsia="fi-FI"/>
    </w:rPr>
  </w:style>
  <w:style w:type="character" w:styleId="Sivunumero">
    <w:name w:val="page number"/>
    <w:basedOn w:val="Kappaleenoletusfontti"/>
    <w:rsid w:val="00007EA2"/>
  </w:style>
  <w:style w:type="paragraph" w:styleId="Alatunniste">
    <w:name w:val="footer"/>
    <w:basedOn w:val="Normaali"/>
    <w:rsid w:val="002B712B"/>
    <w:pPr>
      <w:tabs>
        <w:tab w:val="center" w:pos="4819"/>
        <w:tab w:val="right" w:pos="9638"/>
      </w:tabs>
      <w:spacing w:line="240" w:lineRule="auto"/>
    </w:pPr>
    <w:rPr>
      <w:rFonts w:eastAsia="Times New Roman"/>
      <w:sz w:val="24"/>
      <w:szCs w:val="24"/>
      <w:lang w:eastAsia="fi-FI"/>
    </w:rPr>
  </w:style>
  <w:style w:type="paragraph" w:customStyle="1" w:styleId="LLKappalejako">
    <w:name w:val="LLKappalejako"/>
    <w:link w:val="LLKappalejakoChar"/>
    <w:rsid w:val="00F06DEC"/>
    <w:pPr>
      <w:spacing w:line="220" w:lineRule="exact"/>
      <w:ind w:firstLine="170"/>
      <w:jc w:val="both"/>
    </w:pPr>
    <w:rPr>
      <w:sz w:val="22"/>
      <w:szCs w:val="24"/>
    </w:rPr>
  </w:style>
  <w:style w:type="character" w:customStyle="1" w:styleId="LLKappalejakoChar">
    <w:name w:val="LLKappalejako Char"/>
    <w:link w:val="LLKappalejako"/>
    <w:locked/>
    <w:rsid w:val="00F06DEC"/>
    <w:rPr>
      <w:sz w:val="22"/>
      <w:szCs w:val="24"/>
    </w:rPr>
  </w:style>
  <w:style w:type="table" w:styleId="TaulukkoRuudukko">
    <w:name w:val="Table Grid"/>
    <w:basedOn w:val="Normaalitaulukko"/>
    <w:rsid w:val="007B6F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LPykala">
    <w:name w:val="LLPykala"/>
    <w:next w:val="Normaali"/>
    <w:rsid w:val="008D0491"/>
    <w:pPr>
      <w:spacing w:line="220" w:lineRule="exact"/>
      <w:jc w:val="center"/>
    </w:pPr>
    <w:rPr>
      <w:sz w:val="22"/>
      <w:szCs w:val="24"/>
    </w:rPr>
  </w:style>
  <w:style w:type="paragraph" w:customStyle="1" w:styleId="LLPykalanOtsikko">
    <w:name w:val="LLPykalanOtsikko"/>
    <w:next w:val="Normaali"/>
    <w:rsid w:val="00525752"/>
    <w:pPr>
      <w:spacing w:before="220" w:after="220" w:line="220" w:lineRule="exact"/>
      <w:jc w:val="center"/>
    </w:pPr>
    <w:rPr>
      <w:i/>
      <w:sz w:val="22"/>
      <w:szCs w:val="24"/>
    </w:rPr>
  </w:style>
  <w:style w:type="paragraph" w:customStyle="1" w:styleId="LLLuku">
    <w:name w:val="LLLuku"/>
    <w:next w:val="LLLuvunOtsikko"/>
    <w:rsid w:val="007E2B56"/>
    <w:pPr>
      <w:spacing w:after="220" w:line="220" w:lineRule="exact"/>
      <w:jc w:val="center"/>
    </w:pPr>
    <w:rPr>
      <w:sz w:val="22"/>
      <w:szCs w:val="24"/>
    </w:rPr>
  </w:style>
  <w:style w:type="paragraph" w:customStyle="1" w:styleId="LLLuvunOtsikko">
    <w:name w:val="LLLuvunOtsikko"/>
    <w:next w:val="Normaali"/>
    <w:rsid w:val="004B741F"/>
    <w:pPr>
      <w:spacing w:after="220" w:line="220" w:lineRule="exact"/>
      <w:jc w:val="center"/>
    </w:pPr>
    <w:rPr>
      <w:b/>
      <w:sz w:val="22"/>
      <w:szCs w:val="24"/>
    </w:rPr>
  </w:style>
  <w:style w:type="paragraph" w:customStyle="1" w:styleId="LLOsa">
    <w:name w:val="LLOsa"/>
    <w:next w:val="LLOsanOtsikko"/>
    <w:rsid w:val="004300A4"/>
    <w:pPr>
      <w:spacing w:after="220" w:line="220" w:lineRule="exact"/>
      <w:jc w:val="center"/>
    </w:pPr>
    <w:rPr>
      <w:caps/>
      <w:sz w:val="22"/>
      <w:szCs w:val="24"/>
    </w:rPr>
  </w:style>
  <w:style w:type="paragraph" w:customStyle="1" w:styleId="LLOsanOtsikko">
    <w:name w:val="LLOsanOtsikko"/>
    <w:next w:val="Normaali"/>
    <w:rsid w:val="009B1141"/>
    <w:pPr>
      <w:spacing w:after="220" w:line="220" w:lineRule="exact"/>
      <w:jc w:val="center"/>
    </w:pPr>
    <w:rPr>
      <w:b/>
      <w:sz w:val="22"/>
      <w:szCs w:val="24"/>
    </w:rPr>
  </w:style>
  <w:style w:type="paragraph" w:customStyle="1" w:styleId="LLValiotsikko">
    <w:name w:val="LLValiotsikko"/>
    <w:next w:val="LLKappalejako"/>
    <w:rsid w:val="00E42032"/>
    <w:pPr>
      <w:spacing w:after="220" w:line="220" w:lineRule="exact"/>
      <w:jc w:val="center"/>
    </w:pPr>
    <w:rPr>
      <w:i/>
      <w:sz w:val="22"/>
      <w:szCs w:val="24"/>
    </w:rPr>
  </w:style>
  <w:style w:type="paragraph" w:customStyle="1" w:styleId="LLVoimaantulokappale">
    <w:name w:val="LLVoimaantulokappale"/>
    <w:rsid w:val="00BA71BD"/>
    <w:pPr>
      <w:spacing w:line="220" w:lineRule="exact"/>
      <w:ind w:firstLine="170"/>
      <w:jc w:val="both"/>
    </w:pPr>
    <w:rPr>
      <w:sz w:val="22"/>
      <w:szCs w:val="24"/>
    </w:rPr>
  </w:style>
  <w:style w:type="paragraph" w:customStyle="1" w:styleId="LLMomentinJohdantoKappale">
    <w:name w:val="LLMomentinJohdantoKappale"/>
    <w:basedOn w:val="LLKappalejako"/>
    <w:next w:val="LLMomentinKohta"/>
    <w:rsid w:val="00343148"/>
  </w:style>
  <w:style w:type="paragraph" w:customStyle="1" w:styleId="LLMomentinKohta">
    <w:name w:val="LLMomentinKohta"/>
    <w:rsid w:val="00296CB8"/>
    <w:pPr>
      <w:spacing w:line="220" w:lineRule="exact"/>
      <w:ind w:firstLine="170"/>
      <w:jc w:val="both"/>
    </w:pPr>
    <w:rPr>
      <w:sz w:val="22"/>
      <w:szCs w:val="24"/>
    </w:rPr>
  </w:style>
  <w:style w:type="paragraph" w:customStyle="1" w:styleId="LLMomentinAlakohta">
    <w:name w:val="LLMomentinAlakohta"/>
    <w:basedOn w:val="LLKappalejako"/>
    <w:rsid w:val="00343148"/>
  </w:style>
  <w:style w:type="paragraph" w:customStyle="1" w:styleId="LLPaivays">
    <w:name w:val="LLPaivays"/>
    <w:next w:val="Normaali"/>
    <w:rsid w:val="00185F2E"/>
    <w:pPr>
      <w:spacing w:after="220" w:line="220" w:lineRule="exact"/>
    </w:pPr>
    <w:rPr>
      <w:sz w:val="22"/>
      <w:szCs w:val="24"/>
    </w:rPr>
  </w:style>
  <w:style w:type="paragraph" w:customStyle="1" w:styleId="LLLakiehdotukset">
    <w:name w:val="LLLakiehdotukset"/>
    <w:next w:val="Normaali"/>
    <w:rsid w:val="00BB70AC"/>
    <w:pPr>
      <w:spacing w:line="220" w:lineRule="exact"/>
      <w:ind w:left="6691"/>
      <w:outlineLvl w:val="0"/>
    </w:pPr>
    <w:rPr>
      <w:i/>
      <w:sz w:val="22"/>
      <w:szCs w:val="24"/>
    </w:rPr>
  </w:style>
  <w:style w:type="paragraph" w:customStyle="1" w:styleId="LLLiite">
    <w:name w:val="LLLiite"/>
    <w:next w:val="LLNormaali"/>
    <w:rsid w:val="002B788A"/>
    <w:pPr>
      <w:spacing w:line="220" w:lineRule="exact"/>
      <w:ind w:left="6691"/>
      <w:outlineLvl w:val="0"/>
    </w:pPr>
    <w:rPr>
      <w:i/>
      <w:sz w:val="22"/>
      <w:szCs w:val="24"/>
    </w:rPr>
  </w:style>
  <w:style w:type="paragraph" w:customStyle="1" w:styleId="LLAsetusluonnokset">
    <w:name w:val="LLAsetusluonnokset"/>
    <w:next w:val="LLNormaali"/>
    <w:rsid w:val="00D72EC0"/>
    <w:pPr>
      <w:spacing w:line="220" w:lineRule="exact"/>
      <w:ind w:left="6691"/>
      <w:outlineLvl w:val="0"/>
    </w:pPr>
    <w:rPr>
      <w:i/>
      <w:color w:val="000000" w:themeColor="text1"/>
      <w:sz w:val="22"/>
      <w:szCs w:val="24"/>
    </w:rPr>
  </w:style>
  <w:style w:type="paragraph" w:customStyle="1" w:styleId="LLMuutliitteet">
    <w:name w:val="LLMuutliitteet"/>
    <w:next w:val="LLNormaali"/>
    <w:rsid w:val="009E0EB6"/>
    <w:pPr>
      <w:spacing w:line="220" w:lineRule="exact"/>
      <w:ind w:left="6691"/>
      <w:outlineLvl w:val="0"/>
    </w:pPr>
    <w:rPr>
      <w:i/>
      <w:sz w:val="22"/>
      <w:szCs w:val="24"/>
    </w:rPr>
  </w:style>
  <w:style w:type="paragraph" w:customStyle="1" w:styleId="LLRinnakkaistekstit">
    <w:name w:val="LLRinnakkaistekstit"/>
    <w:basedOn w:val="LLNormaali"/>
    <w:next w:val="LLNormaali"/>
    <w:qFormat/>
    <w:rsid w:val="00166459"/>
    <w:pPr>
      <w:ind w:left="6691"/>
      <w:outlineLvl w:val="0"/>
    </w:pPr>
    <w:rPr>
      <w:i/>
    </w:rPr>
  </w:style>
  <w:style w:type="paragraph" w:customStyle="1" w:styleId="LLLainNumero">
    <w:name w:val="LLLainNumero"/>
    <w:next w:val="Normaali"/>
    <w:rsid w:val="00956EB7"/>
    <w:pPr>
      <w:spacing w:before="220" w:after="220" w:line="320" w:lineRule="exact"/>
    </w:pPr>
    <w:rPr>
      <w:b/>
      <w:sz w:val="30"/>
      <w:szCs w:val="24"/>
    </w:rPr>
  </w:style>
  <w:style w:type="paragraph" w:customStyle="1" w:styleId="LLLaki">
    <w:name w:val="LLLaki"/>
    <w:next w:val="Normaali"/>
    <w:rsid w:val="00166459"/>
    <w:pPr>
      <w:spacing w:before="220" w:after="220" w:line="320" w:lineRule="exact"/>
      <w:jc w:val="center"/>
    </w:pPr>
    <w:rPr>
      <w:b/>
      <w:spacing w:val="22"/>
      <w:sz w:val="30"/>
      <w:szCs w:val="24"/>
    </w:rPr>
  </w:style>
  <w:style w:type="paragraph" w:customStyle="1" w:styleId="LLSaadoksenNimi">
    <w:name w:val="LLSaadoksenNimi"/>
    <w:next w:val="Normaali"/>
    <w:autoRedefine/>
    <w:rsid w:val="00B26DDF"/>
    <w:pPr>
      <w:spacing w:after="220" w:line="220" w:lineRule="exact"/>
      <w:jc w:val="center"/>
      <w:outlineLvl w:val="2"/>
    </w:pPr>
    <w:rPr>
      <w:b/>
      <w:sz w:val="21"/>
      <w:szCs w:val="24"/>
    </w:rPr>
  </w:style>
  <w:style w:type="paragraph" w:customStyle="1" w:styleId="LLPasiallinensislt">
    <w:name w:val="LLPääasiallinensisältö"/>
    <w:next w:val="Normaali"/>
    <w:rsid w:val="00C820E8"/>
    <w:pPr>
      <w:spacing w:after="220" w:line="220" w:lineRule="exact"/>
      <w:outlineLvl w:val="0"/>
    </w:pPr>
    <w:rPr>
      <w:b/>
      <w:caps/>
      <w:sz w:val="21"/>
      <w:szCs w:val="24"/>
    </w:rPr>
  </w:style>
  <w:style w:type="paragraph" w:customStyle="1" w:styleId="LLperustelut">
    <w:name w:val="LLperustelut"/>
    <w:next w:val="Normaali"/>
    <w:rsid w:val="00C820E8"/>
    <w:pPr>
      <w:spacing w:after="220" w:line="220" w:lineRule="exact"/>
      <w:outlineLvl w:val="0"/>
    </w:pPr>
    <w:rPr>
      <w:b/>
      <w:caps/>
      <w:sz w:val="21"/>
      <w:szCs w:val="24"/>
    </w:rPr>
  </w:style>
  <w:style w:type="paragraph" w:customStyle="1" w:styleId="LLP1Otsikkotaso">
    <w:name w:val="LLP1Otsikkotaso"/>
    <w:next w:val="LLPerustelujenkappalejako"/>
    <w:rsid w:val="00B966B4"/>
    <w:pPr>
      <w:keepNext/>
      <w:numPr>
        <w:numId w:val="1"/>
      </w:numPr>
      <w:spacing w:after="220" w:line="220" w:lineRule="exact"/>
      <w:outlineLvl w:val="0"/>
    </w:pPr>
    <w:rPr>
      <w:b/>
      <w:spacing w:val="22"/>
      <w:sz w:val="21"/>
      <w:szCs w:val="24"/>
    </w:rPr>
  </w:style>
  <w:style w:type="paragraph" w:customStyle="1" w:styleId="LLP2Otsikkotaso">
    <w:name w:val="LLP2Otsikkotaso"/>
    <w:next w:val="LLPerustelujenkappalejako"/>
    <w:rsid w:val="00B966B4"/>
    <w:pPr>
      <w:keepNext/>
      <w:numPr>
        <w:ilvl w:val="1"/>
        <w:numId w:val="1"/>
      </w:numPr>
      <w:spacing w:after="220" w:line="220" w:lineRule="exact"/>
      <w:outlineLvl w:val="1"/>
    </w:pPr>
    <w:rPr>
      <w:b/>
      <w:sz w:val="21"/>
      <w:szCs w:val="24"/>
    </w:rPr>
  </w:style>
  <w:style w:type="paragraph" w:customStyle="1" w:styleId="LLP3Otsikkotaso">
    <w:name w:val="LLP3Otsikkotaso"/>
    <w:next w:val="LLPerustelujenkappalejako"/>
    <w:rsid w:val="00B966B4"/>
    <w:pPr>
      <w:keepNext/>
      <w:numPr>
        <w:ilvl w:val="2"/>
        <w:numId w:val="1"/>
      </w:numPr>
      <w:spacing w:after="220" w:line="220" w:lineRule="exact"/>
      <w:outlineLvl w:val="2"/>
    </w:pPr>
    <w:rPr>
      <w:sz w:val="22"/>
      <w:szCs w:val="24"/>
    </w:rPr>
  </w:style>
  <w:style w:type="paragraph" w:customStyle="1" w:styleId="LLPonsi">
    <w:name w:val="LLPonsi"/>
    <w:rsid w:val="00944981"/>
    <w:pPr>
      <w:spacing w:after="220" w:line="220" w:lineRule="exact"/>
    </w:pPr>
    <w:rPr>
      <w:sz w:val="22"/>
      <w:szCs w:val="24"/>
    </w:rPr>
  </w:style>
  <w:style w:type="character" w:styleId="Kommentinviite">
    <w:name w:val="annotation reference"/>
    <w:semiHidden/>
    <w:rsid w:val="00994A79"/>
    <w:rPr>
      <w:sz w:val="16"/>
      <w:szCs w:val="16"/>
    </w:rPr>
  </w:style>
  <w:style w:type="paragraph" w:customStyle="1" w:styleId="LLEsityksennimi">
    <w:name w:val="LLEsityksennimi"/>
    <w:next w:val="Normaali"/>
    <w:rsid w:val="00311A68"/>
    <w:pPr>
      <w:spacing w:after="220" w:line="220" w:lineRule="exact"/>
      <w:jc w:val="both"/>
    </w:pPr>
    <w:rPr>
      <w:rFonts w:cs="Arial"/>
      <w:b/>
      <w:sz w:val="21"/>
      <w:szCs w:val="24"/>
    </w:rPr>
  </w:style>
  <w:style w:type="paragraph" w:customStyle="1" w:styleId="LLVoimaantuloPykala">
    <w:name w:val="LLVoimaantuloPykala"/>
    <w:next w:val="Normaali"/>
    <w:rsid w:val="00063DCC"/>
    <w:pPr>
      <w:spacing w:line="220" w:lineRule="exact"/>
      <w:jc w:val="center"/>
    </w:pPr>
    <w:rPr>
      <w:sz w:val="22"/>
      <w:szCs w:val="24"/>
    </w:rPr>
  </w:style>
  <w:style w:type="paragraph" w:styleId="Sisluet1">
    <w:name w:val="toc 1"/>
    <w:basedOn w:val="Normaali"/>
    <w:next w:val="Normaali"/>
    <w:autoRedefine/>
    <w:uiPriority w:val="39"/>
    <w:rsid w:val="00166459"/>
    <w:pPr>
      <w:tabs>
        <w:tab w:val="right" w:leader="dot" w:pos="8336"/>
      </w:tabs>
      <w:spacing w:line="220" w:lineRule="exact"/>
    </w:pPr>
    <w:rPr>
      <w:rFonts w:eastAsia="Times New Roman"/>
      <w:bCs/>
      <w:caps/>
      <w:szCs w:val="20"/>
      <w:lang w:eastAsia="fi-FI"/>
    </w:rPr>
  </w:style>
  <w:style w:type="paragraph" w:styleId="Sisluet2">
    <w:name w:val="toc 2"/>
    <w:basedOn w:val="Normaali"/>
    <w:next w:val="Normaali"/>
    <w:autoRedefine/>
    <w:uiPriority w:val="39"/>
    <w:rsid w:val="00F523BA"/>
    <w:pPr>
      <w:tabs>
        <w:tab w:val="right" w:leader="dot" w:pos="8336"/>
      </w:tabs>
      <w:spacing w:line="220" w:lineRule="exact"/>
      <w:ind w:left="539" w:hanging="539"/>
    </w:pPr>
    <w:rPr>
      <w:rFonts w:eastAsia="Times New Roman"/>
      <w:noProof/>
      <w:szCs w:val="20"/>
      <w:lang w:eastAsia="fi-FI"/>
    </w:rPr>
  </w:style>
  <w:style w:type="paragraph" w:styleId="Kommentinteksti">
    <w:name w:val="annotation text"/>
    <w:basedOn w:val="Normaali"/>
    <w:semiHidden/>
    <w:rsid w:val="00994A79"/>
    <w:pPr>
      <w:spacing w:line="240" w:lineRule="auto"/>
    </w:pPr>
    <w:rPr>
      <w:rFonts w:eastAsia="Times New Roman"/>
      <w:sz w:val="20"/>
      <w:szCs w:val="20"/>
      <w:lang w:eastAsia="fi-FI"/>
    </w:rPr>
  </w:style>
  <w:style w:type="paragraph" w:styleId="Sisluet4">
    <w:name w:val="toc 4"/>
    <w:basedOn w:val="Normaali"/>
    <w:next w:val="Normaali"/>
    <w:autoRedefine/>
    <w:uiPriority w:val="39"/>
    <w:rsid w:val="00AA6E8E"/>
    <w:pPr>
      <w:spacing w:line="220" w:lineRule="exact"/>
    </w:pPr>
    <w:rPr>
      <w:rFonts w:eastAsia="Times New Roman"/>
      <w:caps/>
      <w:szCs w:val="18"/>
      <w:lang w:eastAsia="fi-FI"/>
    </w:rPr>
  </w:style>
  <w:style w:type="paragraph" w:styleId="Sisluet5">
    <w:name w:val="toc 5"/>
    <w:basedOn w:val="Normaali"/>
    <w:next w:val="Normaali"/>
    <w:autoRedefine/>
    <w:semiHidden/>
    <w:rsid w:val="00FE7770"/>
    <w:pPr>
      <w:spacing w:line="240" w:lineRule="auto"/>
      <w:ind w:left="960"/>
    </w:pPr>
    <w:rPr>
      <w:rFonts w:eastAsia="Times New Roman"/>
      <w:sz w:val="18"/>
      <w:szCs w:val="18"/>
      <w:lang w:eastAsia="fi-FI"/>
    </w:rPr>
  </w:style>
  <w:style w:type="paragraph" w:styleId="Sisluet6">
    <w:name w:val="toc 6"/>
    <w:basedOn w:val="Normaali"/>
    <w:next w:val="Normaali"/>
    <w:autoRedefine/>
    <w:semiHidden/>
    <w:rsid w:val="0064745A"/>
    <w:pPr>
      <w:spacing w:line="240" w:lineRule="auto"/>
    </w:pPr>
    <w:rPr>
      <w:rFonts w:eastAsia="Times New Roman"/>
      <w:sz w:val="18"/>
      <w:szCs w:val="18"/>
      <w:lang w:eastAsia="fi-FI"/>
    </w:rPr>
  </w:style>
  <w:style w:type="paragraph" w:styleId="Sisluet7">
    <w:name w:val="toc 7"/>
    <w:basedOn w:val="Normaali"/>
    <w:next w:val="Normaali"/>
    <w:autoRedefine/>
    <w:semiHidden/>
    <w:rsid w:val="00FE7770"/>
    <w:pPr>
      <w:spacing w:line="240" w:lineRule="auto"/>
      <w:ind w:left="1440"/>
    </w:pPr>
    <w:rPr>
      <w:rFonts w:eastAsia="Times New Roman"/>
      <w:sz w:val="18"/>
      <w:szCs w:val="18"/>
      <w:lang w:eastAsia="fi-FI"/>
    </w:rPr>
  </w:style>
  <w:style w:type="paragraph" w:styleId="Sisluet8">
    <w:name w:val="toc 8"/>
    <w:basedOn w:val="Normaali"/>
    <w:next w:val="Normaali"/>
    <w:autoRedefine/>
    <w:semiHidden/>
    <w:rsid w:val="00FE7770"/>
    <w:pPr>
      <w:spacing w:line="240" w:lineRule="auto"/>
      <w:ind w:left="1680"/>
    </w:pPr>
    <w:rPr>
      <w:rFonts w:eastAsia="Times New Roman"/>
      <w:sz w:val="18"/>
      <w:szCs w:val="18"/>
      <w:lang w:eastAsia="fi-FI"/>
    </w:rPr>
  </w:style>
  <w:style w:type="paragraph" w:styleId="Sisluet9">
    <w:name w:val="toc 9"/>
    <w:basedOn w:val="Normaali"/>
    <w:next w:val="Normaali"/>
    <w:autoRedefine/>
    <w:semiHidden/>
    <w:rsid w:val="00FE7770"/>
    <w:pPr>
      <w:spacing w:line="240" w:lineRule="auto"/>
      <w:ind w:left="1920"/>
    </w:pPr>
    <w:rPr>
      <w:rFonts w:eastAsia="Times New Roman"/>
      <w:sz w:val="18"/>
      <w:szCs w:val="18"/>
      <w:lang w:eastAsia="fi-FI"/>
    </w:rPr>
  </w:style>
  <w:style w:type="character" w:styleId="Hyperlinkki">
    <w:name w:val="Hyperlink"/>
    <w:uiPriority w:val="99"/>
    <w:rsid w:val="00FE7770"/>
    <w:rPr>
      <w:color w:val="0000FF"/>
      <w:u w:val="single"/>
    </w:rPr>
  </w:style>
  <w:style w:type="paragraph" w:customStyle="1" w:styleId="LLJohtolauseKappaleet">
    <w:name w:val="LLJohtolauseKappaleet"/>
    <w:rsid w:val="00F06DEC"/>
    <w:pPr>
      <w:spacing w:line="220" w:lineRule="exact"/>
      <w:ind w:firstLine="170"/>
      <w:jc w:val="both"/>
    </w:pPr>
    <w:rPr>
      <w:sz w:val="22"/>
      <w:szCs w:val="24"/>
    </w:rPr>
  </w:style>
  <w:style w:type="paragraph" w:styleId="Hakemisto1">
    <w:name w:val="index 1"/>
    <w:basedOn w:val="Normaali"/>
    <w:next w:val="Normaali"/>
    <w:autoRedefine/>
    <w:semiHidden/>
    <w:rsid w:val="0087128B"/>
    <w:pPr>
      <w:spacing w:line="240" w:lineRule="auto"/>
      <w:ind w:left="240" w:hanging="240"/>
    </w:pPr>
    <w:rPr>
      <w:rFonts w:eastAsia="Times New Roman"/>
      <w:sz w:val="24"/>
      <w:szCs w:val="24"/>
      <w:lang w:eastAsia="fi-FI"/>
    </w:rPr>
  </w:style>
  <w:style w:type="paragraph" w:styleId="Hakemisto3">
    <w:name w:val="index 3"/>
    <w:basedOn w:val="Normaali"/>
    <w:next w:val="Normaali"/>
    <w:autoRedefine/>
    <w:semiHidden/>
    <w:rsid w:val="0087128B"/>
    <w:pPr>
      <w:spacing w:line="240" w:lineRule="auto"/>
      <w:ind w:left="720" w:hanging="240"/>
    </w:pPr>
    <w:rPr>
      <w:rFonts w:eastAsia="Times New Roman"/>
      <w:sz w:val="24"/>
      <w:szCs w:val="24"/>
      <w:lang w:eastAsia="fi-FI"/>
    </w:rPr>
  </w:style>
  <w:style w:type="paragraph" w:styleId="Alaviitteenteksti">
    <w:name w:val="footnote text"/>
    <w:basedOn w:val="Normaali"/>
    <w:semiHidden/>
    <w:rsid w:val="00261B3D"/>
    <w:pPr>
      <w:spacing w:line="240" w:lineRule="auto"/>
    </w:pPr>
    <w:rPr>
      <w:rFonts w:eastAsia="Times New Roman"/>
      <w:sz w:val="20"/>
      <w:szCs w:val="20"/>
      <w:lang w:eastAsia="fi-FI"/>
    </w:rPr>
  </w:style>
  <w:style w:type="character" w:styleId="Alaviitteenviite">
    <w:name w:val="footnote reference"/>
    <w:semiHidden/>
    <w:rsid w:val="00261B3D"/>
    <w:rPr>
      <w:vertAlign w:val="superscript"/>
    </w:rPr>
  </w:style>
  <w:style w:type="paragraph" w:customStyle="1" w:styleId="LLPerustelujenkappalejako">
    <w:name w:val="LLPerustelujenkappalejako"/>
    <w:rsid w:val="00F03EF8"/>
    <w:pPr>
      <w:spacing w:after="220" w:line="220" w:lineRule="exact"/>
      <w:jc w:val="both"/>
    </w:pPr>
    <w:rPr>
      <w:sz w:val="22"/>
      <w:szCs w:val="24"/>
    </w:rPr>
  </w:style>
  <w:style w:type="paragraph" w:styleId="Kommentinotsikko">
    <w:name w:val="annotation subject"/>
    <w:basedOn w:val="Kommentinteksti"/>
    <w:next w:val="Kommentinteksti"/>
    <w:semiHidden/>
    <w:rsid w:val="00994A79"/>
    <w:rPr>
      <w:b/>
      <w:bCs/>
    </w:rPr>
  </w:style>
  <w:style w:type="paragraph" w:styleId="Seliteteksti">
    <w:name w:val="Balloon Text"/>
    <w:basedOn w:val="Normaali"/>
    <w:semiHidden/>
    <w:rsid w:val="00994A79"/>
    <w:rPr>
      <w:rFonts w:ascii="Tahoma" w:hAnsi="Tahoma" w:cs="Tahoma"/>
      <w:sz w:val="16"/>
      <w:szCs w:val="16"/>
    </w:rPr>
  </w:style>
  <w:style w:type="paragraph" w:customStyle="1" w:styleId="LLAllekirjoitus">
    <w:name w:val="LLAllekirjoitus"/>
    <w:next w:val="Normaali"/>
    <w:rsid w:val="00185F2E"/>
    <w:pPr>
      <w:jc w:val="center"/>
    </w:pPr>
    <w:rPr>
      <w:b/>
      <w:sz w:val="21"/>
      <w:szCs w:val="24"/>
    </w:rPr>
  </w:style>
  <w:style w:type="paragraph" w:customStyle="1" w:styleId="LLNimenselvennys">
    <w:name w:val="LLNimenselvennys"/>
    <w:next w:val="Normaali"/>
    <w:rsid w:val="00185F2E"/>
    <w:pPr>
      <w:spacing w:before="880" w:after="220" w:line="220" w:lineRule="exact"/>
      <w:jc w:val="center"/>
    </w:pPr>
    <w:rPr>
      <w:b/>
      <w:sz w:val="21"/>
      <w:szCs w:val="24"/>
    </w:rPr>
  </w:style>
  <w:style w:type="paragraph" w:customStyle="1" w:styleId="LLVarmennus">
    <w:name w:val="LLVarmennus"/>
    <w:next w:val="Normaali"/>
    <w:rsid w:val="00185F2E"/>
    <w:pPr>
      <w:spacing w:before="220" w:line="220" w:lineRule="exact"/>
      <w:jc w:val="right"/>
    </w:pPr>
    <w:rPr>
      <w:sz w:val="22"/>
      <w:szCs w:val="24"/>
    </w:rPr>
  </w:style>
  <w:style w:type="paragraph" w:styleId="Sisluet3">
    <w:name w:val="toc 3"/>
    <w:basedOn w:val="Normaali"/>
    <w:next w:val="Normaali"/>
    <w:autoRedefine/>
    <w:uiPriority w:val="39"/>
    <w:rsid w:val="00712406"/>
    <w:pPr>
      <w:tabs>
        <w:tab w:val="right" w:leader="dot" w:pos="8336"/>
      </w:tabs>
      <w:spacing w:line="240" w:lineRule="auto"/>
      <w:ind w:left="480"/>
    </w:pPr>
    <w:rPr>
      <w:rFonts w:eastAsia="Times New Roman"/>
      <w:szCs w:val="24"/>
      <w:lang w:eastAsia="fi-FI"/>
    </w:rPr>
  </w:style>
  <w:style w:type="paragraph" w:styleId="Muutos">
    <w:name w:val="Revision"/>
    <w:hidden/>
    <w:uiPriority w:val="99"/>
    <w:semiHidden/>
    <w:rsid w:val="00E35ED5"/>
    <w:rPr>
      <w:rFonts w:eastAsia="Calibri"/>
      <w:sz w:val="22"/>
      <w:szCs w:val="22"/>
      <w:lang w:eastAsia="en-US"/>
    </w:rPr>
  </w:style>
  <w:style w:type="character" w:styleId="Paikkamerkkiteksti">
    <w:name w:val="Placeholder Text"/>
    <w:basedOn w:val="Kappaleenoletusfontti"/>
    <w:uiPriority w:val="99"/>
    <w:semiHidden/>
    <w:rsid w:val="00643460"/>
    <w:rPr>
      <w:color w:val="808080"/>
    </w:rPr>
  </w:style>
  <w:style w:type="character" w:styleId="AvattuHyperlinkki">
    <w:name w:val="FollowedHyperlink"/>
    <w:basedOn w:val="Kappaleenoletusfontti"/>
    <w:semiHidden/>
    <w:unhideWhenUsed/>
    <w:rsid w:val="00F43A27"/>
    <w:rPr>
      <w:color w:val="800080" w:themeColor="followedHyperlink"/>
      <w:u w:val="single"/>
    </w:rPr>
  </w:style>
  <w:style w:type="paragraph" w:styleId="Numeroituluettelo">
    <w:name w:val="List Number"/>
    <w:basedOn w:val="Normaali"/>
    <w:rsid w:val="007B6F03"/>
    <w:pPr>
      <w:numPr>
        <w:numId w:val="7"/>
      </w:numPr>
      <w:tabs>
        <w:tab w:val="clear" w:pos="360"/>
        <w:tab w:val="left" w:pos="567"/>
      </w:tabs>
      <w:spacing w:line="220" w:lineRule="exact"/>
      <w:ind w:left="227" w:firstLine="0"/>
      <w:contextualSpacing/>
    </w:pPr>
  </w:style>
  <w:style w:type="paragraph" w:styleId="Luettelo">
    <w:name w:val="List"/>
    <w:basedOn w:val="Normaali"/>
    <w:semiHidden/>
    <w:unhideWhenUsed/>
    <w:rsid w:val="006C6BDE"/>
    <w:pPr>
      <w:ind w:left="283" w:hanging="283"/>
      <w:contextualSpacing/>
    </w:pPr>
  </w:style>
  <w:style w:type="paragraph" w:styleId="Luettelokappale">
    <w:name w:val="List Paragraph"/>
    <w:basedOn w:val="Normaali"/>
    <w:uiPriority w:val="34"/>
    <w:qFormat/>
    <w:rsid w:val="002C1572"/>
    <w:pPr>
      <w:spacing w:line="220" w:lineRule="exact"/>
      <w:ind w:left="227"/>
      <w:contextualSpacing/>
    </w:pPr>
  </w:style>
  <w:style w:type="paragraph" w:customStyle="1" w:styleId="LLNormaali">
    <w:name w:val="LLNormaali"/>
    <w:basedOn w:val="Normaali"/>
    <w:qFormat/>
    <w:rsid w:val="00BA71BD"/>
    <w:pPr>
      <w:spacing w:line="220" w:lineRule="exact"/>
    </w:pPr>
  </w:style>
  <w:style w:type="paragraph" w:customStyle="1" w:styleId="LLSisllys">
    <w:name w:val="LLSisällys"/>
    <w:next w:val="LLNormaali"/>
    <w:qFormat/>
    <w:rsid w:val="00612C71"/>
    <w:pPr>
      <w:spacing w:after="220" w:line="220" w:lineRule="exact"/>
    </w:pPr>
    <w:rPr>
      <w:rFonts w:eastAsia="Calibri"/>
      <w:b/>
      <w:caps/>
      <w:sz w:val="21"/>
      <w:szCs w:val="22"/>
      <w:lang w:eastAsia="en-US"/>
    </w:rPr>
  </w:style>
  <w:style w:type="paragraph" w:customStyle="1" w:styleId="LLLakiYhdyssanaOtsikko">
    <w:name w:val="LLLakiYhdyssanaOtsikko"/>
    <w:next w:val="LLNormaali"/>
    <w:qFormat/>
    <w:rsid w:val="00F36633"/>
    <w:pPr>
      <w:spacing w:after="220" w:line="320" w:lineRule="exact"/>
      <w:jc w:val="center"/>
      <w:outlineLvl w:val="2"/>
    </w:pPr>
    <w:rPr>
      <w:rFonts w:eastAsia="Calibri"/>
      <w:b/>
      <w:sz w:val="30"/>
      <w:szCs w:val="22"/>
      <w:lang w:eastAsia="en-US"/>
    </w:rPr>
  </w:style>
  <w:style w:type="paragraph" w:customStyle="1" w:styleId="LLP4Otsikkotaso">
    <w:name w:val="LLP4Otsikkotaso"/>
    <w:basedOn w:val="LLP3Otsikkotaso"/>
    <w:next w:val="LLPerustelujenkappalejako"/>
    <w:qFormat/>
    <w:rsid w:val="00BC57BF"/>
    <w:pPr>
      <w:numPr>
        <w:ilvl w:val="3"/>
      </w:numPr>
      <w:outlineLvl w:val="3"/>
    </w:pPr>
  </w:style>
  <w:style w:type="paragraph" w:customStyle="1" w:styleId="LLUusiLaki">
    <w:name w:val="LLUusiLaki"/>
    <w:basedOn w:val="LLLaki"/>
    <w:next w:val="LLNormaali"/>
    <w:qFormat/>
    <w:rsid w:val="009732A8"/>
  </w:style>
  <w:style w:type="paragraph" w:customStyle="1" w:styleId="LLUusiSaadoksenNimi">
    <w:name w:val="LLUusiSaadoksenNimi"/>
    <w:basedOn w:val="LLSaadoksenNimi"/>
    <w:next w:val="LLNormaali"/>
    <w:qFormat/>
    <w:rsid w:val="009732A8"/>
  </w:style>
  <w:style w:type="paragraph" w:customStyle="1" w:styleId="LLLiiteOtsikko">
    <w:name w:val="LLLiiteOtsikko"/>
    <w:next w:val="LLNormaali"/>
    <w:qFormat/>
    <w:rsid w:val="005C5D46"/>
    <w:pPr>
      <w:spacing w:before="220" w:after="220" w:line="220" w:lineRule="exact"/>
      <w:outlineLvl w:val="0"/>
    </w:pPr>
    <w:rPr>
      <w:rFonts w:eastAsia="Calibri"/>
      <w:sz w:val="22"/>
      <w:szCs w:val="22"/>
      <w:lang w:eastAsia="en-US"/>
    </w:rPr>
  </w:style>
  <w:style w:type="paragraph" w:customStyle="1" w:styleId="LLValtioneuvostonAsetus">
    <w:name w:val="LLValtioneuvostonAsetus"/>
    <w:next w:val="LLNormaali"/>
    <w:qFormat/>
    <w:rsid w:val="00F9744E"/>
    <w:pPr>
      <w:spacing w:after="220" w:line="320" w:lineRule="exact"/>
      <w:jc w:val="center"/>
    </w:pPr>
    <w:rPr>
      <w:rFonts w:eastAsia="Calibri"/>
      <w:b/>
      <w:sz w:val="30"/>
      <w:szCs w:val="22"/>
    </w:rPr>
  </w:style>
  <w:style w:type="paragraph" w:customStyle="1" w:styleId="LLPValiotsikko">
    <w:name w:val="LLPValiotsikko"/>
    <w:next w:val="LLPerustelujenkappalejako"/>
    <w:qFormat/>
    <w:rsid w:val="00593173"/>
    <w:pPr>
      <w:spacing w:after="220"/>
    </w:pPr>
    <w:rPr>
      <w:i/>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1556281">
      <w:bodyDiv w:val="1"/>
      <w:marLeft w:val="0"/>
      <w:marRight w:val="0"/>
      <w:marTop w:val="0"/>
      <w:marBottom w:val="0"/>
      <w:divBdr>
        <w:top w:val="none" w:sz="0" w:space="0" w:color="auto"/>
        <w:left w:val="none" w:sz="0" w:space="0" w:color="auto"/>
        <w:bottom w:val="none" w:sz="0" w:space="0" w:color="auto"/>
        <w:right w:val="none" w:sz="0" w:space="0" w:color="auto"/>
      </w:divBdr>
    </w:div>
    <w:div w:id="1338583790">
      <w:bodyDiv w:val="1"/>
      <w:marLeft w:val="0"/>
      <w:marRight w:val="0"/>
      <w:marTop w:val="0"/>
      <w:marBottom w:val="0"/>
      <w:divBdr>
        <w:top w:val="none" w:sz="0" w:space="0" w:color="auto"/>
        <w:left w:val="none" w:sz="0" w:space="0" w:color="auto"/>
        <w:bottom w:val="none" w:sz="0" w:space="0" w:color="auto"/>
        <w:right w:val="none" w:sz="0" w:space="0" w:color="auto"/>
      </w:divBdr>
    </w:div>
    <w:div w:id="1532644776">
      <w:bodyDiv w:val="1"/>
      <w:marLeft w:val="0"/>
      <w:marRight w:val="0"/>
      <w:marTop w:val="0"/>
      <w:marBottom w:val="0"/>
      <w:divBdr>
        <w:top w:val="none" w:sz="0" w:space="0" w:color="auto"/>
        <w:left w:val="none" w:sz="0" w:space="0" w:color="auto"/>
        <w:bottom w:val="none" w:sz="0" w:space="0" w:color="auto"/>
        <w:right w:val="none" w:sz="0" w:space="0" w:color="auto"/>
      </w:divBdr>
    </w:div>
    <w:div w:id="1575771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3070296\AppData\Roaming\Microsoft\Mallit\HEperu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453EB603375418A89123DB89C2484CE"/>
        <w:category>
          <w:name w:val="Yleiset"/>
          <w:gallery w:val="placeholder"/>
        </w:category>
        <w:types>
          <w:type w:val="bbPlcHdr"/>
        </w:types>
        <w:behaviors>
          <w:behavior w:val="content"/>
        </w:behaviors>
        <w:guid w:val="{AB359093-3405-4204-BC29-9D3C1C1F704B}"/>
      </w:docPartPr>
      <w:docPartBody>
        <w:p w:rsidR="004A1D3E" w:rsidRDefault="004A1D3E">
          <w:pPr>
            <w:pStyle w:val="F453EB603375418A89123DB89C2484CE"/>
          </w:pPr>
          <w:r w:rsidRPr="005D3E42">
            <w:rPr>
              <w:rStyle w:val="Paikkamerkkiteksti"/>
            </w:rPr>
            <w:t>Click or tap here to enter text.</w:t>
          </w:r>
        </w:p>
      </w:docPartBody>
    </w:docPart>
    <w:docPart>
      <w:docPartPr>
        <w:name w:val="FFA966EF144F42C29B19B0759A9031DC"/>
        <w:category>
          <w:name w:val="Yleiset"/>
          <w:gallery w:val="placeholder"/>
        </w:category>
        <w:types>
          <w:type w:val="bbPlcHdr"/>
        </w:types>
        <w:behaviors>
          <w:behavior w:val="content"/>
        </w:behaviors>
        <w:guid w:val="{09FD0FAE-10FE-4269-B157-14B0A4C21831}"/>
      </w:docPartPr>
      <w:docPartBody>
        <w:p w:rsidR="004A1D3E" w:rsidRDefault="004A1D3E">
          <w:pPr>
            <w:pStyle w:val="FFA966EF144F42C29B19B0759A9031DC"/>
          </w:pPr>
          <w:r w:rsidRPr="005D3E42">
            <w:rPr>
              <w:rStyle w:val="Paikkamerkkiteksti"/>
            </w:rPr>
            <w:t>Click or tap here to enter text.</w:t>
          </w:r>
        </w:p>
      </w:docPartBody>
    </w:docPart>
    <w:docPart>
      <w:docPartPr>
        <w:name w:val="99110BDB547B4CD0AF65E7B7ED57AF89"/>
        <w:category>
          <w:name w:val="Yleiset"/>
          <w:gallery w:val="placeholder"/>
        </w:category>
        <w:types>
          <w:type w:val="bbPlcHdr"/>
        </w:types>
        <w:behaviors>
          <w:behavior w:val="content"/>
        </w:behaviors>
        <w:guid w:val="{6C7C2660-5918-40FE-9865-F03F348070C7}"/>
      </w:docPartPr>
      <w:docPartBody>
        <w:p w:rsidR="004A1D3E" w:rsidRDefault="004A1D3E">
          <w:pPr>
            <w:pStyle w:val="99110BDB547B4CD0AF65E7B7ED57AF89"/>
          </w:pPr>
          <w:r w:rsidRPr="002B458A">
            <w:rPr>
              <w:rStyle w:val="Paikkamerkkiteksti"/>
            </w:rPr>
            <w:t>Kirjoita tekstiä napsauttamalla tai napauttamalla tätä.</w:t>
          </w:r>
        </w:p>
      </w:docPartBody>
    </w:docPart>
    <w:docPart>
      <w:docPartPr>
        <w:name w:val="3C3F5981C0FF4077BBA77D87D4E97621"/>
        <w:category>
          <w:name w:val="Yleiset"/>
          <w:gallery w:val="placeholder"/>
        </w:category>
        <w:types>
          <w:type w:val="bbPlcHdr"/>
        </w:types>
        <w:behaviors>
          <w:behavior w:val="content"/>
        </w:behaviors>
        <w:guid w:val="{E65F186C-D931-4462-B12B-7DD71B129C0D}"/>
      </w:docPartPr>
      <w:docPartBody>
        <w:p w:rsidR="004A1D3E" w:rsidRDefault="004A1D3E">
          <w:pPr>
            <w:pStyle w:val="3C3F5981C0FF4077BBA77D87D4E97621"/>
          </w:pPr>
          <w:r w:rsidRPr="00E27C6D">
            <w:t>Valitse kohde.</w:t>
          </w:r>
        </w:p>
      </w:docPartBody>
    </w:docPart>
    <w:docPart>
      <w:docPartPr>
        <w:name w:val="A4FE41D9F9744D31B5D6F556A776E670"/>
        <w:category>
          <w:name w:val="Yleiset"/>
          <w:gallery w:val="placeholder"/>
        </w:category>
        <w:types>
          <w:type w:val="bbPlcHdr"/>
        </w:types>
        <w:behaviors>
          <w:behavior w:val="content"/>
        </w:behaviors>
        <w:guid w:val="{D4E74602-1701-4DDB-92BD-FE7BBF23AAA0}"/>
      </w:docPartPr>
      <w:docPartBody>
        <w:p w:rsidR="004A1D3E" w:rsidRDefault="004A1D3E">
          <w:pPr>
            <w:pStyle w:val="A4FE41D9F9744D31B5D6F556A776E670"/>
          </w:pPr>
          <w:r w:rsidRPr="005D3E42">
            <w:rPr>
              <w:rStyle w:val="Paikkamerkkiteksti"/>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D3E"/>
    <w:rsid w:val="00320D19"/>
    <w:rsid w:val="004A1D3E"/>
    <w:rsid w:val="00654956"/>
    <w:rsid w:val="008708DF"/>
    <w:rsid w:val="00A24096"/>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Pr>
      <w:color w:val="808080"/>
    </w:rPr>
  </w:style>
  <w:style w:type="paragraph" w:customStyle="1" w:styleId="F453EB603375418A89123DB89C2484CE">
    <w:name w:val="F453EB603375418A89123DB89C2484CE"/>
  </w:style>
  <w:style w:type="paragraph" w:customStyle="1" w:styleId="FFA966EF144F42C29B19B0759A9031DC">
    <w:name w:val="FFA966EF144F42C29B19B0759A9031DC"/>
  </w:style>
  <w:style w:type="paragraph" w:customStyle="1" w:styleId="99110BDB547B4CD0AF65E7B7ED57AF89">
    <w:name w:val="99110BDB547B4CD0AF65E7B7ED57AF89"/>
  </w:style>
  <w:style w:type="paragraph" w:customStyle="1" w:styleId="3C3F5981C0FF4077BBA77D87D4E97621">
    <w:name w:val="3C3F5981C0FF4077BBA77D87D4E97621"/>
  </w:style>
  <w:style w:type="paragraph" w:customStyle="1" w:styleId="A4FE41D9F9744D31B5D6F556A776E670">
    <w:name w:val="A4FE41D9F9744D31B5D6F556A776E670"/>
  </w:style>
  <w:style w:type="paragraph" w:customStyle="1" w:styleId="C0A781E88652408B8474C30851FDDAFB">
    <w:name w:val="C0A781E88652408B8474C30851FDDA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834789-76ED-4BFB-939E-9E959C0EF9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HEperus.dotx</Template>
  <TotalTime>0</TotalTime>
  <Pages>10</Pages>
  <Words>2378</Words>
  <Characters>19270</Characters>
  <Application>Microsoft Office Word</Application>
  <DocSecurity>0</DocSecurity>
  <Lines>160</Lines>
  <Paragraphs>43</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1</vt:lpstr>
      <vt:lpstr>1</vt:lpstr>
    </vt:vector>
  </TitlesOfParts>
  <Company>VM</Company>
  <LinksUpToDate>false</LinksUpToDate>
  <CharactersWithSpaces>21605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Ahonen Emma</dc:creator>
  <cp:keywords/>
  <dc:description/>
  <cp:lastModifiedBy>Kaskinen Sisko-Sinikka (LVM)</cp:lastModifiedBy>
  <cp:revision>2</cp:revision>
  <cp:lastPrinted>2017-12-04T10:02:00Z</cp:lastPrinted>
  <dcterms:created xsi:type="dcterms:W3CDTF">2020-07-06T08:36:00Z</dcterms:created>
  <dcterms:modified xsi:type="dcterms:W3CDTF">2020-07-06T08:36:00Z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akAs">
    <vt:lpwstr>HEperus</vt:lpwstr>
  </property>
</Properties>
</file>