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äädös"/>
        <w:id w:val="42569056"/>
        <w:placeholder>
          <w:docPart w:val="D017F84A8D154E4E9CAB7C22E5D27414"/>
        </w:placeholder>
        <w15:color w:val="00FFFF"/>
      </w:sdtPr>
      <w:sdtEndPr/>
      <w:sdtContent>
        <w:p w:rsidR="00BF75F4" w:rsidRDefault="00BF75F4">
          <w:pPr>
            <w:pStyle w:val="LLNormaali"/>
          </w:pPr>
        </w:p>
        <w:p w:rsidR="004F334C" w:rsidRDefault="00314676" w:rsidP="004F334C">
          <w:pPr>
            <w:pStyle w:val="LLMinisterionAsetus"/>
          </w:pPr>
          <w:r>
            <w:t>Arbets- och näringsministeriets förordning</w:t>
          </w:r>
        </w:p>
        <w:p w:rsidR="008341AB" w:rsidRPr="009167E1" w:rsidRDefault="00314676" w:rsidP="008341AB">
          <w:pPr>
            <w:pStyle w:val="LLSaadoksenNimi"/>
          </w:pPr>
          <w:r>
            <w:t>om förenklad riskbedömning av standardiserade och förenklade planer för övervakning av utsläpp</w:t>
          </w:r>
        </w:p>
        <w:p w:rsidR="008341AB" w:rsidRPr="009167E1" w:rsidRDefault="00314676" w:rsidP="008341AB">
          <w:pPr>
            <w:pStyle w:val="LLJohtolauseKappaleet"/>
          </w:pPr>
          <w:r>
            <w:t>I enlighet med arbets- och näringsministeriets beslut föreskrivs med stöd av 8 a § 3 mom. i lagen om utsläppshandel (311/2011):</w:t>
          </w:r>
        </w:p>
        <w:p w:rsidR="008341AB" w:rsidRDefault="008341AB" w:rsidP="008341AB">
          <w:pPr>
            <w:pStyle w:val="LLNormaali"/>
          </w:pPr>
        </w:p>
        <w:p w:rsidR="008341AB" w:rsidRDefault="00314676" w:rsidP="00314676">
          <w:pPr>
            <w:pStyle w:val="LLPykala"/>
          </w:pPr>
          <w:r>
            <w:t>1 §</w:t>
          </w:r>
        </w:p>
        <w:p w:rsidR="00314676" w:rsidRPr="00314676" w:rsidRDefault="00314676" w:rsidP="00314676">
          <w:pPr>
            <w:pStyle w:val="LLPykalanOtsikko"/>
          </w:pPr>
          <w:r>
            <w:t>Tillämpningsområde</w:t>
          </w:r>
        </w:p>
        <w:p w:rsidR="008341AB" w:rsidRDefault="00314676" w:rsidP="008341AB">
          <w:pPr>
            <w:pStyle w:val="LLKappalejako"/>
          </w:pPr>
          <w:r>
            <w:t>Denna förordning och kommissionens övervakningsförordning tillämpas på utförande av en i 8 a § 1 mom. i lagen om utsläppshandel (311/2011) avsedd förenklad riskbedömning av standardiserade och förenklade planer för övervakning av utsläpp.</w:t>
          </w:r>
        </w:p>
        <w:p w:rsidR="00314676" w:rsidRDefault="00314676" w:rsidP="00314676">
          <w:pPr>
            <w:pStyle w:val="LLNormaali"/>
          </w:pPr>
        </w:p>
        <w:p w:rsidR="00314676" w:rsidRDefault="00314676" w:rsidP="00314676">
          <w:pPr>
            <w:pStyle w:val="LLPykala"/>
          </w:pPr>
          <w:r>
            <w:t>2 §</w:t>
          </w:r>
        </w:p>
        <w:p w:rsidR="00314676" w:rsidRDefault="008D18B9" w:rsidP="00314676">
          <w:pPr>
            <w:pStyle w:val="LLPykalanOtsikko"/>
          </w:pPr>
          <w:r>
            <w:t>Utförande av förenklad riskbedömning</w:t>
          </w:r>
        </w:p>
        <w:p w:rsidR="00C87997" w:rsidRDefault="00314676" w:rsidP="00C87997">
          <w:pPr>
            <w:pStyle w:val="LLKappalejako"/>
          </w:pPr>
          <w:r>
            <w:t>Utsläppshandelsmyndigheten utför en förenklad riskbedömning i enlighet med vad som föreskrivs i artikel 13.2 i kommissionens övervakningsförordning för att bedöma om det förfarande som anges i 8 a § i lagen om utsläppshandel är lämpligt för den ansökande anläggningen. Utsläppshandelsmyndigheten får tillåta användning av standardiserade och förenklade planer för övervakning av utsläpp endast för de anläggningar i fråga om vilka förfarandet inte medför en ogrundad risk för feltolkningar i den årliga rapport enligt 7 § 2 punkten i lagen om utsläppshandel som ska utarbetas om utsläppen.</w:t>
          </w:r>
        </w:p>
        <w:p w:rsidR="00C87997" w:rsidRDefault="00C87997" w:rsidP="00C87997">
          <w:pPr>
            <w:pStyle w:val="LLPykala"/>
          </w:pPr>
          <w:r>
            <w:t>3 §</w:t>
          </w:r>
        </w:p>
        <w:p w:rsidR="00C87997" w:rsidRDefault="00C87997" w:rsidP="00C87997">
          <w:pPr>
            <w:pStyle w:val="LLPykalanOtsikko"/>
          </w:pPr>
          <w:r>
            <w:t>De omständigheter som ska granskas inom ramen för förenklad riskbedömning</w:t>
          </w:r>
        </w:p>
        <w:p w:rsidR="00C87997" w:rsidRDefault="00C87997" w:rsidP="00C87997">
          <w:pPr>
            <w:pStyle w:val="LLMomentinJohdantoKappale"/>
          </w:pPr>
          <w:r>
            <w:t>Utsläppshandelsmyndigheten ska granska åtminstone följande omständigheter i fråga om anläggningens verksamhet och övervakningsmetoderna för utsläpp när myndigheten utför en förenklad riskbedömning:</w:t>
          </w:r>
        </w:p>
        <w:p w:rsidR="00C87997" w:rsidRPr="00C87997" w:rsidRDefault="00C87997" w:rsidP="00C87997">
          <w:pPr>
            <w:pStyle w:val="LLMomentinKohta"/>
          </w:pPr>
          <w:r>
            <w:t>1) att anläggningen inte har processutsläpp som avses i artikel 3.31 i kommissionens övervakningsförordning,</w:t>
          </w:r>
        </w:p>
        <w:p w:rsidR="00C87997" w:rsidRPr="00C87997" w:rsidRDefault="00C87997" w:rsidP="00C87997">
          <w:pPr>
            <w:pStyle w:val="LLMomentinKohta"/>
          </w:pPr>
          <w:r>
            <w:t>2) att anläggningen fastställer utsläppen från bränsle-/materialmängder på det sätt som föreskrivs i artikel 24 i kommissionens övervakningsförordning,</w:t>
          </w:r>
        </w:p>
        <w:p w:rsidR="00C87997" w:rsidRPr="00C87997" w:rsidRDefault="00C87997" w:rsidP="00C87997">
          <w:pPr>
            <w:pStyle w:val="LLMomentinKohta"/>
          </w:pPr>
          <w:r>
            <w:t>3) att anläggningen fastställer mängden bränsle och material på det sätt som föreskrivs i artikel 47.4 i kommissionens övervakningsförordning,</w:t>
          </w:r>
        </w:p>
        <w:p w:rsidR="00C87997" w:rsidRPr="00C87997" w:rsidRDefault="00C87997" w:rsidP="00C87997">
          <w:pPr>
            <w:pStyle w:val="LLMomentinKohta"/>
          </w:pPr>
          <w:r>
            <w:t>4) att anläggningen använder de i 4 § 1 mom. i arbets- och näringsministeriets förordning (  /2020) angivna standardvärdena som beräkningsfaktorer,</w:t>
          </w:r>
        </w:p>
        <w:p w:rsidR="00C87997" w:rsidRPr="00C87997" w:rsidRDefault="00C87997" w:rsidP="00C87997">
          <w:pPr>
            <w:pStyle w:val="LLMomentinKohta"/>
          </w:pPr>
          <w:r>
            <w:t>5) att det i anläggningen inte sker i artikel 48 i kommissionens övervakningsförordning avsedda överföringar av koldioxid som ingår i bränsle-/materialmängden eller i artikel 49 i den förordningen avsedda överföringar av koldioxid,</w:t>
          </w:r>
        </w:p>
        <w:p w:rsidR="00314676" w:rsidRDefault="00C87997" w:rsidP="00C87997">
          <w:pPr>
            <w:pStyle w:val="LLMomentinKohta"/>
          </w:pPr>
          <w:r>
            <w:t>6) att anläggningen inte har några andra i 2 § 1 mom. i lagen om utsläppshandel angivna växthusgasutsläpp än koldioxidutsläpp.</w:t>
          </w:r>
        </w:p>
        <w:p w:rsidR="00CA0C3C" w:rsidRDefault="00CA0C3C" w:rsidP="00CA0C3C">
          <w:pPr>
            <w:pStyle w:val="LLNormaali"/>
          </w:pPr>
        </w:p>
        <w:p w:rsidR="00C87997" w:rsidRDefault="00C87997" w:rsidP="00C87997">
          <w:pPr>
            <w:pStyle w:val="LLPykala"/>
          </w:pPr>
          <w:r>
            <w:lastRenderedPageBreak/>
            <w:t>4 §</w:t>
          </w:r>
        </w:p>
        <w:p w:rsidR="00C87997" w:rsidRDefault="00C87997" w:rsidP="00C87997">
          <w:pPr>
            <w:pStyle w:val="LLPykalanOtsikko"/>
          </w:pPr>
          <w:r>
            <w:t>Resultaten av förenklad riskbedömning</w:t>
          </w:r>
        </w:p>
        <w:p w:rsidR="00C87997" w:rsidRDefault="00C87997" w:rsidP="00C87997">
          <w:pPr>
            <w:pStyle w:val="LLKappalejako"/>
          </w:pPr>
          <w:r>
            <w:t>Utsläppshandelsmyndigheten kan betrakta ett förfarande enligt 8 a § i lagen om utsläppshandel som lämpligt för en anläggning som utöver de förutsättningar som anges i den ovannämnda paragrafen uppfyller också de omständigheter som anges i 3 §, om utsläppshandelsmyndigheten inte känner till andra omständigheter som påverkar utsläppsövervakningens kvalitet.</w:t>
          </w:r>
        </w:p>
        <w:p w:rsidR="00C87997" w:rsidRDefault="00C87997" w:rsidP="00C87997">
          <w:pPr>
            <w:pStyle w:val="LLKappalejako"/>
          </w:pPr>
          <w:r>
            <w:t>Om anläggningens verksamhet eller övervakningsmetoderna för utsläpp avviker från de omständigheter som anges i 3 § eller utsläppshandelsmyndigheten känner till en annan omständighet som påverkar utsläppsövervakningen, ska utsläppshandelsmyndigheten särskilt begära att verksamhetsutövaren till behövliga delar utreder de i artiklarna 58 och 59 i kommissionens övervakningsförordning avsedda dataflödes- och kontrollförfaranden för övervakning av anläggningens utsläpp och bedöma hur lämplig en avvikande omständighet är för det förfarande som avses i 8 a § i lagen om utsläppshandel.</w:t>
          </w:r>
        </w:p>
        <w:p w:rsidR="00C87997" w:rsidRPr="00C87997" w:rsidRDefault="00C87997" w:rsidP="0017605E">
          <w:pPr>
            <w:pStyle w:val="LLNormaali"/>
          </w:pPr>
        </w:p>
        <w:p w:rsidR="00C87997" w:rsidRDefault="00C87997" w:rsidP="00CA0C3C">
          <w:pPr>
            <w:pStyle w:val="LLVoimaantuloPykala"/>
          </w:pPr>
          <w:r>
            <w:t>5 §</w:t>
          </w:r>
        </w:p>
        <w:p w:rsidR="00C87997" w:rsidRDefault="00C87997" w:rsidP="00CA0C3C">
          <w:pPr>
            <w:pStyle w:val="LLPykalanOtsikko"/>
          </w:pPr>
          <w:r>
            <w:t>Ikraftträdande</w:t>
          </w:r>
        </w:p>
        <w:p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:rsidR="008341AB" w:rsidRDefault="008341AB" w:rsidP="00CA0C3C">
          <w:pPr>
            <w:pStyle w:val="LLKappalejako"/>
          </w:pPr>
          <w:r>
            <w:t>Denna förordning träder i kraft den      20  .</w:t>
          </w:r>
        </w:p>
        <w:p w:rsidR="008341AB" w:rsidRDefault="00F9325D" w:rsidP="008341AB">
          <w:pPr>
            <w:pStyle w:val="LLNormaali"/>
          </w:pPr>
        </w:p>
      </w:sdtContent>
    </w:sdt>
    <w:p w:rsidR="00BF75F4" w:rsidRDefault="00BF75F4">
      <w:pPr>
        <w:pStyle w:val="LLNormaali"/>
      </w:pPr>
    </w:p>
    <w:sdt>
      <w:sdtPr>
        <w:alias w:val="Datum"/>
        <w:tag w:val="CCPaivays"/>
        <w:id w:val="2059428280"/>
        <w:placeholder>
          <w:docPart w:val="6D5BC8E4D35144BC9D1898B30F88EBF4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</w:rPr>
          </w:pPr>
          <w:r>
            <w:t>Helsingfors den    20xx</w:t>
          </w:r>
        </w:p>
      </w:sdtContent>
    </w:sdt>
    <w:sdt>
      <w:sdtPr>
        <w:alias w:val="Undertecknarens ställning"/>
        <w:tag w:val="CCAllekirjoitus"/>
        <w:id w:val="834419858"/>
        <w:placeholder>
          <w:docPart w:val="A324A9B9D53B4BE2A36898E5AD4253CA"/>
        </w:placeholder>
        <w15:color w:val="00FFFF"/>
      </w:sdtPr>
      <w:sdtEndPr/>
      <w:sdtContent>
        <w:p w:rsidR="008341AB" w:rsidRDefault="00CA0C3C" w:rsidP="008341AB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Näringsminister Mika Lintilä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CA0C3C" w:rsidP="008341AB">
      <w:pPr>
        <w:pStyle w:val="LLVarmennus"/>
      </w:pPr>
      <w:r>
        <w:t>Överinspektör Tarja Virkkunen</w:t>
      </w:r>
    </w:p>
    <w:sectPr w:rsidR="0083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5D" w:rsidRDefault="00F9325D">
      <w:r>
        <w:separator/>
      </w:r>
    </w:p>
  </w:endnote>
  <w:endnote w:type="continuationSeparator" w:id="0">
    <w:p w:rsidR="00F9325D" w:rsidRDefault="00F9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7E479B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5D" w:rsidRDefault="00F9325D">
      <w:r>
        <w:separator/>
      </w:r>
    </w:p>
  </w:footnote>
  <w:footnote w:type="continuationSeparator" w:id="0">
    <w:p w:rsidR="00F9325D" w:rsidRDefault="00F9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9E" w:rsidRDefault="009C1A9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5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605E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1EE9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676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308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0D6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79B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18B9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A9E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17F85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37CE3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5F4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997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3C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25D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17F84A8D154E4E9CAB7C22E5D274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C4BC6C-409C-4358-A9AB-753F8A1CD9EC}"/>
      </w:docPartPr>
      <w:docPartBody>
        <w:p w:rsidR="003B0DA5" w:rsidRDefault="00093944">
          <w:pPr>
            <w:pStyle w:val="D017F84A8D154E4E9CAB7C22E5D2741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D5BC8E4D35144BC9D1898B30F88EB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5C1499-2736-41D6-84CB-663FB4D085B9}"/>
      </w:docPartPr>
      <w:docPartBody>
        <w:p w:rsidR="003B0DA5" w:rsidRDefault="00093944">
          <w:pPr>
            <w:pStyle w:val="6D5BC8E4D35144BC9D1898B30F88EBF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324A9B9D53B4BE2A36898E5AD4253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D4CBBF-3D9D-4A8B-B13F-6FC1DB9F9A35}"/>
      </w:docPartPr>
      <w:docPartBody>
        <w:p w:rsidR="003B0DA5" w:rsidRDefault="00093944">
          <w:pPr>
            <w:pStyle w:val="A324A9B9D53B4BE2A36898E5AD4253C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A5"/>
    <w:rsid w:val="00093944"/>
    <w:rsid w:val="003B0DA5"/>
    <w:rsid w:val="008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017F84A8D154E4E9CAB7C22E5D27414">
    <w:name w:val="D017F84A8D154E4E9CAB7C22E5D27414"/>
  </w:style>
  <w:style w:type="paragraph" w:customStyle="1" w:styleId="6D5BC8E4D35144BC9D1898B30F88EBF4">
    <w:name w:val="6D5BC8E4D35144BC9D1898B30F88EBF4"/>
  </w:style>
  <w:style w:type="paragraph" w:customStyle="1" w:styleId="A324A9B9D53B4BE2A36898E5AD4253CA">
    <w:name w:val="A324A9B9D53B4BE2A36898E5AD42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3116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2020-11-06T05:59:00Z</dcterms:created>
  <dcterms:modified xsi:type="dcterms:W3CDTF">2020-11-06T05:59:00Z</dcterms:modified>
</cp:coreProperties>
</file>