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867AFE8FAD054654BB2982CA0E395526"/>
        </w:placeholder>
        <w15:color w:val="00FFFF"/>
      </w:sdtPr>
      <w:sdtEndPr/>
      <w:sdtContent>
        <w:p w:rsidR="00956245" w:rsidRDefault="00956245">
          <w:pPr>
            <w:pStyle w:val="LLNormaali"/>
          </w:pPr>
        </w:p>
        <w:p w:rsidR="004F334C" w:rsidRDefault="004F334C" w:rsidP="004F334C">
          <w:pPr>
            <w:pStyle w:val="LLValtioneuvostonAsetus"/>
          </w:pPr>
          <w:r>
            <w:t>Statsrådets förordning</w:t>
          </w:r>
        </w:p>
        <w:p w:rsidR="001D5B51" w:rsidRPr="009167E1" w:rsidRDefault="00FC67C8" w:rsidP="001D5B51">
          <w:pPr>
            <w:pStyle w:val="LLSaadoksenNimi"/>
          </w:pPr>
          <w:r w:rsidRPr="00FC67C8">
            <w:t>om Brottspåföljdsmyndigheten</w:t>
          </w:r>
        </w:p>
        <w:p w:rsidR="001D5B51" w:rsidRPr="009167E1" w:rsidRDefault="008341AB" w:rsidP="001D5B51">
          <w:pPr>
            <w:pStyle w:val="LLJohtolauseKappaleet"/>
          </w:pPr>
          <w:r>
            <w:t>I enlighet med statsrådets beslut</w:t>
          </w:r>
          <w:r w:rsidR="00C73021">
            <w:t xml:space="preserve"> </w:t>
          </w:r>
          <w:r w:rsidR="00C73021" w:rsidRPr="00C73021">
            <w:t>föreskrivs</w:t>
          </w:r>
          <w:r w:rsidR="00BC7D3E">
            <w:t>:</w:t>
          </w:r>
        </w:p>
        <w:p w:rsidR="001D5B51" w:rsidRDefault="001D5B51" w:rsidP="001D5B51">
          <w:pPr>
            <w:pStyle w:val="LLNormaali"/>
          </w:pPr>
        </w:p>
        <w:p w:rsidR="00FC67C8" w:rsidRDefault="00FC67C8" w:rsidP="00FC67C8">
          <w:pPr>
            <w:pStyle w:val="LLPykala"/>
          </w:pPr>
          <w:r>
            <w:t>1 §</w:t>
          </w:r>
        </w:p>
        <w:p w:rsidR="00FC67C8" w:rsidRDefault="00FC67C8" w:rsidP="00FC67C8">
          <w:pPr>
            <w:pStyle w:val="LLPykalanOtsikko"/>
          </w:pPr>
          <w:r>
            <w:t>Brottspåföljdsmyndighetens ansvarsområden</w:t>
          </w:r>
        </w:p>
        <w:p w:rsidR="00FC67C8" w:rsidRDefault="00FC67C8" w:rsidP="00FC67C8">
          <w:pPr>
            <w:pStyle w:val="LLMomentinJohdantoKappale"/>
          </w:pPr>
          <w:r>
            <w:t>Varje ansvarsområde inom Brottspåföljdsmyndigheten ska inom sitt verksamhetsområde svara för</w:t>
          </w:r>
        </w:p>
        <w:p w:rsidR="00FC67C8" w:rsidRDefault="00FC67C8" w:rsidP="00FC67C8">
          <w:pPr>
            <w:pStyle w:val="LLMomentinKohta"/>
          </w:pPr>
          <w:r>
            <w:t>1) utvecklingen och styrningen av verksamheten,</w:t>
          </w:r>
        </w:p>
        <w:p w:rsidR="00FC67C8" w:rsidRDefault="00FC67C8" w:rsidP="00FC67C8">
          <w:pPr>
            <w:pStyle w:val="LLMomentinKohta"/>
          </w:pPr>
          <w:r>
            <w:t>2) lagligheten, enhetligheten och resultaten i verksamheten,</w:t>
          </w:r>
        </w:p>
        <w:p w:rsidR="00FC67C8" w:rsidRDefault="00FC67C8" w:rsidP="00FC67C8">
          <w:pPr>
            <w:pStyle w:val="LLMomentinKohta"/>
          </w:pPr>
          <w:r>
            <w:t>3) det nationella och internationella samarbetet.</w:t>
          </w:r>
        </w:p>
        <w:p w:rsidR="00FC67C8" w:rsidRDefault="00FC67C8" w:rsidP="00FC67C8">
          <w:pPr>
            <w:pStyle w:val="LLMomentinJohdantoKappale"/>
          </w:pPr>
          <w:r>
            <w:t xml:space="preserve">Ansvarsområdet för utveckling och styrning ska svara för </w:t>
          </w:r>
        </w:p>
        <w:p w:rsidR="00FC67C8" w:rsidRDefault="00FC67C8" w:rsidP="00FC67C8">
          <w:pPr>
            <w:pStyle w:val="LLMomentinKohta"/>
          </w:pPr>
          <w:r>
            <w:t>1) utvecklingen och styrningen av Brottspåföljdsmyndighetens ledningssystem, tjänster och verksamhetssätt samt Brottspåföljdsmyndighetens strategiarbete,</w:t>
          </w:r>
        </w:p>
        <w:p w:rsidR="00FC67C8" w:rsidRDefault="00FC67C8" w:rsidP="00FC67C8">
          <w:pPr>
            <w:pStyle w:val="LLMomentinKohta"/>
          </w:pPr>
          <w:r>
            <w:t>2) Brottspåföljdsmyndighetens resultatstyrning,</w:t>
          </w:r>
        </w:p>
        <w:p w:rsidR="00FC67C8" w:rsidRDefault="00FC67C8" w:rsidP="00FC67C8">
          <w:pPr>
            <w:pStyle w:val="LLMomentinKohta"/>
          </w:pPr>
          <w:r>
            <w:t>3) Brottspåföljdsmyndighetens forskningsverksamhet och statistikproduktion,</w:t>
          </w:r>
        </w:p>
        <w:p w:rsidR="00FC67C8" w:rsidRDefault="00FC67C8" w:rsidP="00FC67C8">
          <w:pPr>
            <w:pStyle w:val="LLMomentinKohta"/>
          </w:pPr>
          <w:r>
            <w:t>4) Brottspåföljdsmyndighetens personals kompetensutveckling och utbildning,</w:t>
          </w:r>
        </w:p>
        <w:p w:rsidR="00FC67C8" w:rsidRDefault="00FC67C8" w:rsidP="00FC67C8">
          <w:pPr>
            <w:pStyle w:val="LLMomentinKohta"/>
          </w:pPr>
          <w:r>
            <w:t>5) Brottspåföljdsmyndighetens samordning av lagberedningen, rättsliga styrning och laglighetskontroll,</w:t>
          </w:r>
        </w:p>
        <w:p w:rsidR="00FC67C8" w:rsidRDefault="00FC67C8" w:rsidP="00FC67C8">
          <w:pPr>
            <w:pStyle w:val="LLMomentinKohta"/>
          </w:pPr>
          <w:r>
            <w:t>6) Brottspåföljdsmyndighetens uppgifter som personuppgiftsansvarig.</w:t>
          </w:r>
        </w:p>
        <w:p w:rsidR="00FC67C8" w:rsidRDefault="00FC67C8" w:rsidP="00FC67C8">
          <w:pPr>
            <w:pStyle w:val="LLMomentinJohdantoKappale"/>
          </w:pPr>
          <w:r>
            <w:t>Ansvarsområdet för klientprocesser ska svara för</w:t>
          </w:r>
        </w:p>
        <w:p w:rsidR="00FC67C8" w:rsidRDefault="00FC67C8" w:rsidP="00FC67C8">
          <w:pPr>
            <w:pStyle w:val="LLMomentinKohta"/>
          </w:pPr>
          <w:r>
            <w:t>1) Brottspåföljdsmyndighetens bedömning av klienter och fångar och planering av strafftiden,</w:t>
          </w:r>
        </w:p>
        <w:p w:rsidR="00FC67C8" w:rsidRDefault="00FC67C8" w:rsidP="00FC67C8">
          <w:pPr>
            <w:pStyle w:val="LLMomentinKohta"/>
          </w:pPr>
          <w:r>
            <w:t>2) Brottspåföljdsmyndighetens formella verkställighet och internationella verkställighetsuppgifter,</w:t>
          </w:r>
        </w:p>
        <w:p w:rsidR="00FC67C8" w:rsidRDefault="00FC67C8" w:rsidP="00FC67C8">
          <w:pPr>
            <w:pStyle w:val="LLMomentinKohta"/>
          </w:pPr>
          <w:r>
            <w:t>3) Brottspåföljdsmyndighetens uppföljning av klientprocessernas kvalitet.</w:t>
          </w:r>
        </w:p>
        <w:p w:rsidR="00FC67C8" w:rsidRDefault="00FC67C8" w:rsidP="00FC67C8">
          <w:pPr>
            <w:pStyle w:val="LLMomentinJohdantoKappale"/>
          </w:pPr>
          <w:r>
            <w:t>Ansvarsområdet för förvaltnings- och stödtjänster ska svara för</w:t>
          </w:r>
        </w:p>
        <w:p w:rsidR="00FC67C8" w:rsidRDefault="00FC67C8" w:rsidP="00FC67C8">
          <w:pPr>
            <w:pStyle w:val="LLMomentinKohta"/>
          </w:pPr>
          <w:r>
            <w:t>1) Brottspåföljdsmyndighetens personalförvaltning, allmänna förvaltning och arbetsgivaruppgifter,</w:t>
          </w:r>
        </w:p>
        <w:p w:rsidR="00FC67C8" w:rsidRDefault="00FC67C8" w:rsidP="00FC67C8">
          <w:pPr>
            <w:pStyle w:val="LLMomentinKohta"/>
          </w:pPr>
          <w:r>
            <w:t>2) Brottspåföljdsmyndighetens uppgifter inom ekonomiförvaltning och upphandling,</w:t>
          </w:r>
        </w:p>
        <w:p w:rsidR="00FC67C8" w:rsidRDefault="00FC67C8" w:rsidP="00FC67C8">
          <w:pPr>
            <w:pStyle w:val="LLMomentinKohta"/>
          </w:pPr>
          <w:r>
            <w:t xml:space="preserve">3) Brottspåföljdsmyndighetens </w:t>
          </w:r>
          <w:proofErr w:type="spellStart"/>
          <w:r>
            <w:t>IKT</w:t>
          </w:r>
          <w:proofErr w:type="spellEnd"/>
          <w:r>
            <w:t>-tjänster,</w:t>
          </w:r>
        </w:p>
        <w:p w:rsidR="00FC67C8" w:rsidRDefault="00FC67C8" w:rsidP="00FC67C8">
          <w:pPr>
            <w:pStyle w:val="LLMomentinKohta"/>
          </w:pPr>
          <w:r>
            <w:t>4) Brottspåföljdsmyndighetens lokaler och säkerhetsteknik,</w:t>
          </w:r>
        </w:p>
        <w:p w:rsidR="00FC67C8" w:rsidRDefault="00FC67C8" w:rsidP="00FC67C8">
          <w:pPr>
            <w:pStyle w:val="LLMomentinKohta"/>
          </w:pPr>
          <w:r>
            <w:t>5) Brottspåföljdsmyndighetens registratorskontor och arkivfunktion.</w:t>
          </w:r>
        </w:p>
        <w:p w:rsidR="00FC67C8" w:rsidRDefault="00FC67C8" w:rsidP="00FC67C8">
          <w:pPr>
            <w:pStyle w:val="LLMomentinJohdantoKappale"/>
          </w:pPr>
          <w:r>
            <w:t>Ansvarsområdet för operativ verksamhet ska svara för</w:t>
          </w:r>
        </w:p>
        <w:p w:rsidR="00FC67C8" w:rsidRDefault="00FC67C8" w:rsidP="00FC67C8">
          <w:pPr>
            <w:pStyle w:val="LLMomentinKohta"/>
          </w:pPr>
          <w:r>
            <w:t>1) organiseringen av brottspåföljdscentralernas verksamhet och tjänster,</w:t>
          </w:r>
        </w:p>
        <w:p w:rsidR="00FC67C8" w:rsidRDefault="00FC67C8" w:rsidP="00FC67C8">
          <w:pPr>
            <w:pStyle w:val="LLMomentinKohta"/>
          </w:pPr>
          <w:r>
            <w:t>2) planeringen, styrningen och övervakningen av samt fördelningen av resurser till Brottspåföljdsmyndighetens operativa verksamhet,</w:t>
          </w:r>
        </w:p>
        <w:p w:rsidR="00FC67C8" w:rsidRDefault="00FC67C8" w:rsidP="00FC67C8">
          <w:pPr>
            <w:pStyle w:val="LLMomentinKohta"/>
          </w:pPr>
          <w:r>
            <w:t>3) utvecklingen och ledningen av brottspåföljdscentralernas samarbete med intressentgrupper,</w:t>
          </w:r>
        </w:p>
        <w:p w:rsidR="00FC67C8" w:rsidRDefault="00FC67C8" w:rsidP="00FC67C8">
          <w:pPr>
            <w:pStyle w:val="LLMomentinKohta"/>
          </w:pPr>
          <w:r>
            <w:t>4) organiseringen av övervakningscentralsverksamheten och fångtransporterna,</w:t>
          </w:r>
        </w:p>
        <w:p w:rsidR="00FC67C8" w:rsidRDefault="00FC67C8" w:rsidP="00FC67C8">
          <w:pPr>
            <w:pStyle w:val="LLMomentinKohta"/>
          </w:pPr>
          <w:r>
            <w:t>5) andra operativa uppgifter som organiseras på riksomfattande nivå.</w:t>
          </w:r>
        </w:p>
        <w:p w:rsidR="00FC67C8" w:rsidRDefault="00FC67C8" w:rsidP="00FC67C8">
          <w:pPr>
            <w:pStyle w:val="LLKappalejako"/>
          </w:pPr>
          <w:r>
            <w:t>Brottspåföljdsmyndighetens ansvarsområden för utveckling och styrning, klientprocesser, förvaltnings- och stödtjänster samt operativ verksamhet verkar vid Brottspåföljdsmyndighetens olika verksamhetsställen.</w:t>
          </w:r>
        </w:p>
        <w:p w:rsidR="00FC67C8" w:rsidRDefault="00FC67C8" w:rsidP="00FC67C8">
          <w:pPr>
            <w:pStyle w:val="LLKappalejako"/>
          </w:pPr>
          <w:r>
            <w:t>Myndighetens interna revision, stöd för ledningen, kommunikation och samordning av den internationella verksamheten är underställda generaldirektören.</w:t>
          </w:r>
        </w:p>
        <w:p w:rsidR="00FC67C8" w:rsidRDefault="00FC67C8" w:rsidP="00FC67C8">
          <w:pPr>
            <w:pStyle w:val="LLKappalejako"/>
          </w:pPr>
        </w:p>
        <w:p w:rsidR="0046230D" w:rsidRDefault="0046230D" w:rsidP="0046230D">
          <w:pPr>
            <w:pStyle w:val="LLPykala"/>
          </w:pPr>
          <w:r>
            <w:t>2 §</w:t>
          </w:r>
        </w:p>
        <w:p w:rsidR="00FC67C8" w:rsidRDefault="00FC67C8" w:rsidP="0046230D">
          <w:pPr>
            <w:pStyle w:val="LLPykalanOtsikko"/>
          </w:pPr>
          <w:r>
            <w:t>Brottspåföljdscentraler</w:t>
          </w:r>
        </w:p>
        <w:p w:rsidR="00FC67C8" w:rsidRDefault="00FC67C8" w:rsidP="0046230D">
          <w:pPr>
            <w:pStyle w:val="LLMomentinJohdantoKappale"/>
          </w:pPr>
          <w:r>
            <w:t>Brottspåföljdscentralerna är</w:t>
          </w:r>
        </w:p>
        <w:p w:rsidR="00FC67C8" w:rsidRDefault="00FC67C8" w:rsidP="0046230D">
          <w:pPr>
            <w:pStyle w:val="LLMomentinKohta"/>
          </w:pPr>
          <w:r>
            <w:t>1) Brottspåföljdscentralen i Helsingfors, vars verksamhetsområde omfattar Helsingfors,</w:t>
          </w:r>
        </w:p>
        <w:p w:rsidR="00FC67C8" w:rsidRDefault="00FC67C8" w:rsidP="0046230D">
          <w:pPr>
            <w:pStyle w:val="LLMomentinKohta"/>
          </w:pPr>
          <w:r>
            <w:t>2) Brottspåföljdscentralen i Nyland, vars verksamhetsområde omfattar landskapet Nyland med undantag för Helsingfors,</w:t>
          </w:r>
        </w:p>
        <w:p w:rsidR="00FC67C8" w:rsidRDefault="00FC67C8" w:rsidP="0046230D">
          <w:pPr>
            <w:pStyle w:val="LLMomentinKohta"/>
          </w:pPr>
          <w:r>
            <w:t>3) Brottspåföljdscentralen i sydvästra Finland, vars verksamhetsområde omfattar landskapen Egentliga Finland, Satakunta och Åland,</w:t>
          </w:r>
        </w:p>
        <w:p w:rsidR="00FC67C8" w:rsidRDefault="00FC67C8" w:rsidP="0046230D">
          <w:pPr>
            <w:pStyle w:val="LLMomentinKohta"/>
          </w:pPr>
          <w:r>
            <w:t>4) Brottspåföljdscentralen i Tavastehus, som koncentrerar sig på särskilda frågor som gäller kvinnor som dömts till straffpåföljder och kvinnor som avtjänar straffpåföljder, och vars verksamhetsområde omfattar hela landet,</w:t>
          </w:r>
        </w:p>
        <w:p w:rsidR="00FC67C8" w:rsidRDefault="00FC67C8" w:rsidP="0046230D">
          <w:pPr>
            <w:pStyle w:val="LLMomentinKohta"/>
          </w:pPr>
          <w:r>
            <w:t xml:space="preserve">5) Brottspåföljdscentralen i Tavastland och </w:t>
          </w:r>
          <w:proofErr w:type="spellStart"/>
          <w:r>
            <w:t>Birkaland</w:t>
          </w:r>
          <w:proofErr w:type="spellEnd"/>
          <w:r>
            <w:t xml:space="preserve">, vars verksamhetsområde omfattar landskapen Egentliga Tavastland, Päijänne-Tavastland och </w:t>
          </w:r>
          <w:proofErr w:type="spellStart"/>
          <w:r>
            <w:t>Birkaland</w:t>
          </w:r>
          <w:proofErr w:type="spellEnd"/>
          <w:r>
            <w:t>,</w:t>
          </w:r>
        </w:p>
        <w:p w:rsidR="00FC67C8" w:rsidRDefault="00FC67C8" w:rsidP="0046230D">
          <w:pPr>
            <w:pStyle w:val="LLMomentinKohta"/>
          </w:pPr>
          <w:r>
            <w:t>6) Brottspåföljdscentralen i sydöstra Finland, vars verksamhetsområde omfattar landskapen Södra Savolax, Södra Karelen och Kymmenedalen,</w:t>
          </w:r>
        </w:p>
        <w:p w:rsidR="00FC67C8" w:rsidRDefault="00FC67C8" w:rsidP="0046230D">
          <w:pPr>
            <w:pStyle w:val="LLMomentinKohta"/>
          </w:pPr>
          <w:r>
            <w:t>7) Brottspåföljdscentralen i Norra Savolax, vars verksamhetsområde omfattar landskapet Norra Savolax,</w:t>
          </w:r>
        </w:p>
        <w:p w:rsidR="00FC67C8" w:rsidRDefault="00FC67C8" w:rsidP="0046230D">
          <w:pPr>
            <w:pStyle w:val="LLMomentinKohta"/>
          </w:pPr>
          <w:r>
            <w:t>8) Brottspåföljdscentralen i Norra Karelen, vars verksamhetsområde omfattar landskapet Norra Karelen,</w:t>
          </w:r>
        </w:p>
        <w:p w:rsidR="00FC67C8" w:rsidRDefault="00FC67C8" w:rsidP="0046230D">
          <w:pPr>
            <w:pStyle w:val="LLMomentinKohta"/>
          </w:pPr>
          <w:r>
            <w:t>9) Brottspåföljdscentralen i Österbotten och Mellersta Finland, vars verksamhetsområde omfattar landskapen Södra Österbotten, Mellersta Österbotten, Mellersta Finland och Österbotten,</w:t>
          </w:r>
        </w:p>
        <w:p w:rsidR="00FC67C8" w:rsidRDefault="00FC67C8" w:rsidP="0046230D">
          <w:pPr>
            <w:pStyle w:val="LLMomentinKohta"/>
          </w:pPr>
          <w:r>
            <w:t>10) Brottspåföljdscentralen i Uleåborg, vars verksamhetsområde omfattar landskapen Norra Österbotten och Kajanaland,</w:t>
          </w:r>
        </w:p>
        <w:p w:rsidR="00FC67C8" w:rsidRDefault="00FC67C8" w:rsidP="0046230D">
          <w:pPr>
            <w:pStyle w:val="LLMomentinKohta"/>
          </w:pPr>
          <w:r>
            <w:t>11) Brottspåföljdscentralen i Lappland, vars verksamhetsområde omfattar landskapet Lappland.</w:t>
          </w:r>
        </w:p>
        <w:p w:rsidR="00FC67C8" w:rsidRDefault="00FC67C8" w:rsidP="00FC67C8">
          <w:pPr>
            <w:pStyle w:val="LLKappalejako"/>
          </w:pPr>
        </w:p>
        <w:p w:rsidR="0046230D" w:rsidRDefault="0046230D" w:rsidP="0046230D">
          <w:pPr>
            <w:pStyle w:val="LLPykala"/>
          </w:pPr>
          <w:r>
            <w:t>3 §</w:t>
          </w:r>
        </w:p>
        <w:p w:rsidR="00FC67C8" w:rsidRDefault="00FC67C8" w:rsidP="0046230D">
          <w:pPr>
            <w:pStyle w:val="LLPykalanOtsikko"/>
          </w:pPr>
          <w:r>
            <w:t>Avgörande av ärenden på föredragning</w:t>
          </w:r>
        </w:p>
        <w:p w:rsidR="00FC67C8" w:rsidRDefault="00FC67C8" w:rsidP="00FC67C8">
          <w:pPr>
            <w:pStyle w:val="LLKappalejako"/>
          </w:pPr>
          <w:r>
            <w:t>De ärenden som ska beslutas vid Brottspåföljdsmyndigheten avgörs på föredragning, om inte något annat bestäms i Brottspåföljdsmyndighetens arbetsordning.</w:t>
          </w:r>
        </w:p>
        <w:p w:rsidR="00FC67C8" w:rsidRDefault="00FC67C8" w:rsidP="00FC67C8">
          <w:pPr>
            <w:pStyle w:val="LLKappalejako"/>
          </w:pPr>
        </w:p>
        <w:p w:rsidR="0046230D" w:rsidRDefault="0046230D" w:rsidP="0046230D">
          <w:pPr>
            <w:pStyle w:val="LLPykala"/>
          </w:pPr>
          <w:r>
            <w:t>4 §</w:t>
          </w:r>
        </w:p>
        <w:p w:rsidR="00FC67C8" w:rsidRDefault="00FC67C8" w:rsidP="0046230D">
          <w:pPr>
            <w:pStyle w:val="LLPykalanOtsikko"/>
          </w:pPr>
          <w:r>
            <w:t>Företrädande vid ämbetsverk</w:t>
          </w:r>
        </w:p>
        <w:p w:rsidR="00FC67C8" w:rsidRDefault="00FC67C8" w:rsidP="00FC67C8">
          <w:pPr>
            <w:pStyle w:val="LLKappalejako"/>
          </w:pPr>
          <w:r>
            <w:t>Generaldirektören företräder myndigheten vid domstolar och andra ämbetsverk. En brottspåföljdscentral företräds dock av direktören för brottspåföljdscentralen, och en byrå för samhällspåföljder, ett fängelse och en annan enhet vid en brottspåföljdscentral företräds av enhetschefen. Ovannämnda tjänstemän kan befullmäktiga en annan person att fungera som en här avsedd företrädare.</w:t>
          </w:r>
        </w:p>
        <w:p w:rsidR="00FC67C8" w:rsidRDefault="00FC67C8" w:rsidP="00FC67C8">
          <w:pPr>
            <w:pStyle w:val="LLKappalejako"/>
          </w:pPr>
        </w:p>
        <w:p w:rsidR="0046230D" w:rsidRDefault="0046230D" w:rsidP="0046230D">
          <w:pPr>
            <w:pStyle w:val="LLPykala"/>
          </w:pPr>
          <w:r>
            <w:t>5 §</w:t>
          </w:r>
        </w:p>
        <w:p w:rsidR="00FC67C8" w:rsidRDefault="00FC67C8" w:rsidP="0046230D">
          <w:pPr>
            <w:pStyle w:val="LLPykalanOtsikko"/>
          </w:pPr>
          <w:r>
            <w:t>Personal</w:t>
          </w:r>
        </w:p>
        <w:p w:rsidR="00FC67C8" w:rsidRDefault="00FC67C8" w:rsidP="00FC67C8">
          <w:pPr>
            <w:pStyle w:val="LLKappalejako"/>
          </w:pPr>
          <w:r>
            <w:lastRenderedPageBreak/>
            <w:t>Vid Brottspåföljdsmyndigheten finns en generaldirektörstjänst samt tjänster som direktör för ett ansvarsområde och som enhetschef. Beslut om inrättande, överföring, indragning och ändring av tjänster som direktör för ett ansvarsområde fattas av generaldirektören. Beslut om inrättande, överföring, indragning och ändring av tjänster som enhetschef inom ett ansvarsområde fattas av direktören för ansvarsområdet. Inom ansvarsområdena finns dessutom andra tjänster och personal i arbetsavtalsförhållande för ledningen, styrningen och utvecklingen av myndigheten och för verksamheten i övrigt. Beslut om inrättande, överföring, indragning och ändring av dessa tjänster fattas av direktören för ansvarsområdet eller av en annan i Brottspåföljdsmyndighetens arbetsordning angiven tjänsteman inom ansvarsområdet.</w:t>
          </w:r>
        </w:p>
        <w:p w:rsidR="00FC67C8" w:rsidRDefault="00FC67C8" w:rsidP="00FC67C8">
          <w:pPr>
            <w:pStyle w:val="LLKappalejako"/>
          </w:pPr>
          <w:r>
            <w:t xml:space="preserve">Vid en brottspåföljdscentral finns en </w:t>
          </w:r>
          <w:proofErr w:type="spellStart"/>
          <w:r>
            <w:t>direktörstjänst</w:t>
          </w:r>
          <w:proofErr w:type="spellEnd"/>
          <w:r>
            <w:t>, tjänster som enhetschef för en byrå för samhällspåföljder, för ett fängelse eller för en annan enhet samt andra tjänster och personal i arbetsavtalsförhållande. Beslut om inrättande, överföring, indragning och ändring av tjänster som direktör för en brottspåföljdscentral fattas av generaldirektören. Beslut om inrättande, överföring, indragning och ändring av tjänster som enhetschef vid en brottspåföljdscentral fattas av generaldirektören eller, med stöd av Brottspåföljdsmyndighetens arbetsordning, av direktören för ansvarsområdet för operativ verksamhet. Beslut om inrättande, överföring, indragning och ändring av andra tjänster vid en brottspåföljdscentral fattas av direktör</w:t>
          </w:r>
          <w:r w:rsidR="0046230D">
            <w:t>en för brottspåföljdscentralen.</w:t>
          </w:r>
        </w:p>
        <w:p w:rsidR="00FC67C8" w:rsidRDefault="00FC67C8" w:rsidP="00FC67C8">
          <w:pPr>
            <w:pStyle w:val="LLKappalejako"/>
          </w:pPr>
          <w:r>
            <w:t>Beslut om ändring av tjänster och om överföring av dem mellan brottspåföljdscentralerna fattas av direktören för ansvarsområdet för operativ verksamhet eller av en annan i Brottspåföljdsmyndighetens arbetsordning angiven tjänsteman inom ansvarsområdet.</w:t>
          </w:r>
        </w:p>
        <w:p w:rsidR="00FC67C8" w:rsidRDefault="00FC67C8" w:rsidP="00FC67C8">
          <w:pPr>
            <w:pStyle w:val="LLKappalejako"/>
          </w:pPr>
        </w:p>
        <w:p w:rsidR="0046230D" w:rsidRDefault="0046230D" w:rsidP="0046230D">
          <w:pPr>
            <w:pStyle w:val="LLPykala"/>
          </w:pPr>
          <w:r>
            <w:t>6 §</w:t>
          </w:r>
        </w:p>
        <w:p w:rsidR="00FC67C8" w:rsidRDefault="00FC67C8" w:rsidP="0046230D">
          <w:pPr>
            <w:pStyle w:val="LLPykalanOtsikko"/>
          </w:pPr>
          <w:r>
            <w:t>Tjänstemän som utövar beslutanderätt enligt 1 kap. 8 § i fängelselagen</w:t>
          </w:r>
        </w:p>
        <w:p w:rsidR="00FC67C8" w:rsidRDefault="00FC67C8" w:rsidP="00D61FB2">
          <w:pPr>
            <w:pStyle w:val="LLMomentinJohdantoKappale"/>
          </w:pPr>
          <w:r>
            <w:t>Tjänstemän som avses i 1 kap. 8 § 1 mom. 7–10 punkten och 3 mom. i fängelselagen (767/2005) är</w:t>
          </w:r>
        </w:p>
        <w:p w:rsidR="00FC67C8" w:rsidRDefault="00FC67C8" w:rsidP="00D61FB2">
          <w:pPr>
            <w:pStyle w:val="LLMomentinKohta"/>
          </w:pPr>
          <w:r>
            <w:t>1) enhetschefen för verkställighetsenheten eller en annan i Brottspåföljdsmyndighetens arbetsordning angiven tjänsteman vid verkställighetsenheten i egenskap av verkställighetsansvarig,</w:t>
          </w:r>
        </w:p>
        <w:p w:rsidR="00FC67C8" w:rsidRDefault="00FC67C8" w:rsidP="00D61FB2">
          <w:pPr>
            <w:pStyle w:val="LLMomentinKohta"/>
          </w:pPr>
          <w:r>
            <w:t>2) biträdande direktören eller den tjänsteman som enligt brottspåföljdscentralens arbetsordning är enhetschefens ställföreträdare i egenskap av sysselsättningsansvarig,</w:t>
          </w:r>
        </w:p>
        <w:p w:rsidR="00FC67C8" w:rsidRDefault="00FC67C8" w:rsidP="00D61FB2">
          <w:pPr>
            <w:pStyle w:val="LLMomentinKohta"/>
          </w:pPr>
          <w:r>
            <w:t>3) biträdande direktören eller den tjänsteman som enligt brottspåföljdscentralens arbetsordning är enhetschefens ställföreträdare i egenskap av säkerhetsansvarig,</w:t>
          </w:r>
        </w:p>
        <w:p w:rsidR="00FC67C8" w:rsidRDefault="00FC67C8" w:rsidP="00D61FB2">
          <w:pPr>
            <w:pStyle w:val="LLMomentinKohta"/>
          </w:pPr>
          <w:r>
            <w:t>4) brottspåföljdschefen i egenskap av tjänsteman i chefsuppgifter inom styrning eller övervakning,</w:t>
          </w:r>
        </w:p>
        <w:p w:rsidR="00FC67C8" w:rsidRDefault="00FC67C8" w:rsidP="00D61FB2">
          <w:pPr>
            <w:pStyle w:val="LLMomentinKohta"/>
          </w:pPr>
          <w:r>
            <w:t>5) specialhandledare, handledare, brottspåföljdsanställda, arbetsledare och väktare i egenskap av tjänstemän som utför styrnings- eller övervakningsuppgifter.</w:t>
          </w:r>
        </w:p>
        <w:p w:rsidR="00FC67C8" w:rsidRDefault="00FC67C8" w:rsidP="00FC67C8">
          <w:pPr>
            <w:pStyle w:val="LLKappalejako"/>
          </w:pPr>
        </w:p>
        <w:p w:rsidR="00D61FB2" w:rsidRDefault="00D61FB2" w:rsidP="00D61FB2">
          <w:pPr>
            <w:pStyle w:val="LLPykala"/>
          </w:pPr>
          <w:r>
            <w:t>7 §</w:t>
          </w:r>
        </w:p>
        <w:p w:rsidR="00FC67C8" w:rsidRDefault="00FC67C8" w:rsidP="00D61FB2">
          <w:pPr>
            <w:pStyle w:val="LLPykalanOtsikko"/>
          </w:pPr>
          <w:r>
            <w:t>Särskilda behörighetsvillkor för tjänstemännen</w:t>
          </w:r>
        </w:p>
        <w:p w:rsidR="00FC67C8" w:rsidRDefault="00FC67C8" w:rsidP="00D61FB2">
          <w:pPr>
            <w:pStyle w:val="LLMomentinJohdantoKappale"/>
          </w:pPr>
          <w:r>
            <w:t>Utöver vad som föreskrivs i 8 § i statstjänstemannalagen (750/1994) är behörighetsvillkoren för</w:t>
          </w:r>
        </w:p>
        <w:p w:rsidR="00FC67C8" w:rsidRDefault="00FC67C8" w:rsidP="00D61FB2">
          <w:pPr>
            <w:pStyle w:val="LLMomentinKohta"/>
          </w:pPr>
          <w:r>
            <w:t>1) en direktör för och en enhetschef inom ett ansvarsområde högre högskoleexamen, i praktiken visad ledarförmåga och erfarenhet av ledarskap,</w:t>
          </w:r>
        </w:p>
        <w:p w:rsidR="00FC67C8" w:rsidRDefault="00FC67C8" w:rsidP="00D61FB2">
          <w:pPr>
            <w:pStyle w:val="LLMomentinKohta"/>
          </w:pPr>
          <w:r>
            <w:t>2) en direktör för och en enhetschef vid en brottspåföljdscentral högre högskoleexamen, i praktiken visad ledarförmåga och erfarenhet av ledarskap,</w:t>
          </w:r>
        </w:p>
        <w:p w:rsidR="00FC67C8" w:rsidRDefault="00FC67C8" w:rsidP="00D61FB2">
          <w:pPr>
            <w:pStyle w:val="LLMomentinKohta"/>
          </w:pPr>
          <w:r>
            <w:t>3) en biträdande direktör högskoleexamen,</w:t>
          </w:r>
        </w:p>
        <w:p w:rsidR="00FC67C8" w:rsidRDefault="00FC67C8" w:rsidP="00D61FB2">
          <w:pPr>
            <w:pStyle w:val="LLMomentinKohta"/>
          </w:pPr>
          <w:r>
            <w:t>4) en studiehandledare högre högskoleexamen,</w:t>
          </w:r>
        </w:p>
        <w:p w:rsidR="00FC67C8" w:rsidRDefault="00FC67C8" w:rsidP="00D61FB2">
          <w:pPr>
            <w:pStyle w:val="LLMomentinKohta"/>
          </w:pPr>
          <w:r>
            <w:lastRenderedPageBreak/>
            <w:t>5) en brottspåföljdschef, en specialplanerare, en specialhandledare och en brottspåföljdsanställd högskoleexamen,</w:t>
          </w:r>
        </w:p>
        <w:p w:rsidR="00FC67C8" w:rsidRDefault="00FC67C8" w:rsidP="00D61FB2">
          <w:pPr>
            <w:pStyle w:val="LLMomentinKohta"/>
          </w:pPr>
          <w:r>
            <w:t>6) en väktare yrkesexamen för fångvårdsbranschen eller lämplig högskoleexamen.</w:t>
          </w:r>
        </w:p>
        <w:p w:rsidR="00FC67C8" w:rsidRDefault="00FC67C8" w:rsidP="00FC67C8">
          <w:pPr>
            <w:pStyle w:val="LLKappalejako"/>
          </w:pPr>
          <w:r>
            <w:t>Avvikelser från behörighetsvillkoren för väktare enligt 1 mom. 6 punkten kan i fråga om tidsbestämda, sammanlagt högst två år långa tjänsteförhållanden göras för att säkerställa systemet med arbetspraktik, trygga tillgången på säsongsarbetskraft eller av någon annan motsvarande orsak. Av en väktare krävs också i dessa fall att han eller hon har sådan skicklighet och förmåga som förutsätts för att uppgiften ska kunna skötas med framgång. I den tid om två år som nämns ovan beaktas inte sådan inlärning i arbetet och arbetspraktik i anslutning till en examen inom brottspåföljdsområdet som avläggs inom ramen för ett tjänsteförhållande för viss tid som väktare.</w:t>
          </w:r>
        </w:p>
        <w:p w:rsidR="00FC67C8" w:rsidRDefault="00FC67C8" w:rsidP="00FC67C8">
          <w:pPr>
            <w:pStyle w:val="LLKappalejako"/>
          </w:pPr>
        </w:p>
        <w:p w:rsidR="00D61FB2" w:rsidRDefault="00D61FB2" w:rsidP="00D61FB2">
          <w:pPr>
            <w:pStyle w:val="LLPykala"/>
          </w:pPr>
          <w:r>
            <w:t>8 §</w:t>
          </w:r>
        </w:p>
        <w:p w:rsidR="00FC67C8" w:rsidRDefault="00FC67C8" w:rsidP="00D61FB2">
          <w:pPr>
            <w:pStyle w:val="LLPykalanOtsikko"/>
          </w:pPr>
          <w:r>
            <w:t>Behörighetsvillkor som gäller språkkunskaper</w:t>
          </w:r>
        </w:p>
        <w:p w:rsidR="00FC67C8" w:rsidRDefault="00FC67C8" w:rsidP="00FC67C8">
          <w:pPr>
            <w:pStyle w:val="LLKappalejako"/>
          </w:pPr>
          <w:r>
            <w:t>Bestämmelser om behörighetsvillkor som gäller språkkunskaper för tjänster som kräver högskoleexamen finns i 6 § i lagen om de språkkunskaper som krävs av offentligt anställda (424/2003).</w:t>
          </w:r>
        </w:p>
        <w:p w:rsidR="00FC67C8" w:rsidRDefault="00FC67C8" w:rsidP="00D61FB2">
          <w:pPr>
            <w:pStyle w:val="LLMomentinJohdantoKappale"/>
          </w:pPr>
          <w:r>
            <w:t>Behörighetsvillkor som gäller språkkunskaper är för</w:t>
          </w:r>
        </w:p>
        <w:p w:rsidR="00FC67C8" w:rsidRDefault="00FC67C8" w:rsidP="00D61FB2">
          <w:pPr>
            <w:pStyle w:val="LLMomentinKohta"/>
          </w:pPr>
          <w:r>
            <w:t>1) specialplanerare, specialsakkunniga, jurister och överinspektörer goda muntliga och skriftliga kunskaper i finska samt nöjaktiga muntliga och skriftliga kunskaper i svenska,</w:t>
          </w:r>
        </w:p>
        <w:p w:rsidR="00FC67C8" w:rsidRDefault="00FC67C8" w:rsidP="00D61FB2">
          <w:pPr>
            <w:pStyle w:val="LLMomentinKohta"/>
          </w:pPr>
          <w:r>
            <w:t>2) informatörer och redaktörer utmärkta muntliga och skriftliga kunskaper i finska samt nöjaktiga muntliga och skriftliga kunskaper i svenska,</w:t>
          </w:r>
        </w:p>
        <w:p w:rsidR="00FC67C8" w:rsidRDefault="00FC67C8" w:rsidP="00D61FB2">
          <w:pPr>
            <w:pStyle w:val="LLMomentinKohta"/>
          </w:pPr>
          <w:r>
            <w:t>3) tjänstemän som enligt lag, förordning eller arbetsordning har till uppgift att föredra eller fatta beslut som gäller individens rättigheter eller skyldigheter eller som har rätt att på grundval av självständig prövning använda maktmedel goda muntliga och skriftliga kunskaper i finska eller svenska.</w:t>
          </w:r>
        </w:p>
        <w:p w:rsidR="00FC67C8" w:rsidRDefault="00FC67C8" w:rsidP="00FC67C8">
          <w:pPr>
            <w:pStyle w:val="LLKappalejako"/>
          </w:pPr>
          <w:r>
            <w:t>För tjänstemän som arbetar vid en tvåspråkig enhet inom myndigheten är behörighetsvillkor som gäller språkkunskaper goda muntliga och skriftliga kunskaper i finska eller svenska.</w:t>
          </w:r>
        </w:p>
        <w:p w:rsidR="00FC67C8" w:rsidRDefault="00FC67C8" w:rsidP="00FC67C8">
          <w:pPr>
            <w:pStyle w:val="LLKappalejako"/>
          </w:pPr>
        </w:p>
        <w:p w:rsidR="00C73021" w:rsidRDefault="00C73021" w:rsidP="00C73021">
          <w:pPr>
            <w:pStyle w:val="LLPykala"/>
          </w:pPr>
          <w:r>
            <w:t>9 §</w:t>
          </w:r>
        </w:p>
        <w:p w:rsidR="00FC67C8" w:rsidRDefault="00FC67C8" w:rsidP="00C73021">
          <w:pPr>
            <w:pStyle w:val="LLPykalanOtsikko"/>
          </w:pPr>
          <w:r>
            <w:t>Utnämningsbehörighet</w:t>
          </w:r>
        </w:p>
        <w:p w:rsidR="00FC67C8" w:rsidRDefault="00FC67C8" w:rsidP="00FC67C8">
          <w:pPr>
            <w:pStyle w:val="LLKappalejako"/>
          </w:pPr>
          <w:r>
            <w:t>Statsrådet utnämner generaldirektören.</w:t>
          </w:r>
        </w:p>
        <w:p w:rsidR="00FC67C8" w:rsidRDefault="00FC67C8" w:rsidP="00FC67C8">
          <w:pPr>
            <w:pStyle w:val="LLKappalejako"/>
          </w:pPr>
          <w:r>
            <w:t>Generaldirektören utnämner direktörerna för ansvarsområdena och direktörerna för brottspåföljdscentralerna. Utnämning till en tjänst som direktör för ett ansvarsområde sker för en tid av fem år, om det inte av särskilda skäl finns grund för att utnämna för kortare tid. Generaldirektören eller en i Brottspåföljdsmyndighetens arbetsordning angiven tjänsteman inom ansvarsområdet för förvaltnings- och stödtjänster utnämner de anställda som inte hör till ansvarsområden.</w:t>
          </w:r>
        </w:p>
        <w:p w:rsidR="00FC67C8" w:rsidRDefault="00FC67C8" w:rsidP="00FC67C8">
          <w:pPr>
            <w:pStyle w:val="LLKappalejako"/>
          </w:pPr>
          <w:r>
            <w:t>Direktören för ett ansvarsområde utnämner tjänstemännen inom ansvarsområdet samt anställer personal i arbetsavtalsförhållande, med undantag för personalen vid brottspåföljdscentralerna. Direktören för en brottspåföljdscentral utnämner enhetscheferna vid brottspåföljdscentralen. En enhetschef vid en brottspåföljdscentral utnämner tjänstemännen vid enheten och anställer personal i arbetsavtalsförhållande.</w:t>
          </w:r>
        </w:p>
        <w:p w:rsidR="00FC67C8" w:rsidRDefault="00FC67C8" w:rsidP="00FC67C8">
          <w:pPr>
            <w:pStyle w:val="LLKappalejako"/>
          </w:pPr>
        </w:p>
        <w:p w:rsidR="00C73021" w:rsidRDefault="00C73021" w:rsidP="00C73021">
          <w:pPr>
            <w:pStyle w:val="LLPykala"/>
          </w:pPr>
          <w:r>
            <w:t>10 §</w:t>
          </w:r>
        </w:p>
        <w:p w:rsidR="00FC67C8" w:rsidRDefault="00FC67C8" w:rsidP="00C73021">
          <w:pPr>
            <w:pStyle w:val="LLPykalanOtsikko"/>
          </w:pPr>
          <w:r>
            <w:t>Utnämnande till ett tjänsteförhållande för viss tid</w:t>
          </w:r>
        </w:p>
        <w:p w:rsidR="00FC67C8" w:rsidRDefault="00FC67C8" w:rsidP="00FC67C8">
          <w:pPr>
            <w:pStyle w:val="LLKappalejako"/>
          </w:pPr>
          <w:r>
            <w:lastRenderedPageBreak/>
            <w:t>Beslut om utnämnande till ett tjänsteförhållande för viss tid på högst ett år fattas av den myndighet som är behörig att bevilja tjänstledighet, och beslut om utnämnande till ett tjänsteförhållande för viss tid på över ett år fattas av den myndighet som är behörig att utnämna tjänstemannen till tjänsten i fråga.</w:t>
          </w:r>
        </w:p>
        <w:p w:rsidR="00FC67C8" w:rsidRDefault="00FC67C8" w:rsidP="00FC67C8">
          <w:pPr>
            <w:pStyle w:val="LLKappalejako"/>
          </w:pPr>
        </w:p>
        <w:p w:rsidR="00C73021" w:rsidRDefault="00C73021" w:rsidP="00C73021">
          <w:pPr>
            <w:pStyle w:val="LLPykala"/>
          </w:pPr>
          <w:r>
            <w:t>11 §</w:t>
          </w:r>
        </w:p>
        <w:p w:rsidR="00FC67C8" w:rsidRDefault="00FC67C8" w:rsidP="00C73021">
          <w:pPr>
            <w:pStyle w:val="LLPykalanOtsikko"/>
          </w:pPr>
          <w:r>
            <w:t>Utnämning av en pastor</w:t>
          </w:r>
        </w:p>
        <w:p w:rsidR="00FC67C8" w:rsidRDefault="00FC67C8" w:rsidP="00FC67C8">
          <w:pPr>
            <w:pStyle w:val="LLKappalejako"/>
          </w:pPr>
          <w:r>
            <w:t>Bestämmelser om utnämning av en pastor som hör till den evangelisk-lutherska kyrkan till tjänster vid myndigheten finns i kyrkolagen (1054/1993). När myndighetens gemensamma pastorstjänst eller ett tjänsteförhållande för viss tid tillsätts, ger direktören för ansvarsområdet för operativ verksamhet ett utlåtande om sökandena till den utnämnande myndigheten.</w:t>
          </w:r>
        </w:p>
        <w:p w:rsidR="00FC67C8" w:rsidRDefault="00FC67C8" w:rsidP="00FC67C8">
          <w:pPr>
            <w:pStyle w:val="LLKappalejako"/>
          </w:pPr>
          <w:r>
            <w:t>Direktören för ansvarsområdet för operativ verksamhet beslutar om tillsättande av myndighetens gemensamma pastorstjänst som är en pastorstjänst inom den ortodoxa kyrkan. Pastorn utses av biskopen i stiftet sedan biskopen inhämtat utlåtande om sökandena av ansvarsområdet för operativ verksamhet. En pastor inom den ortodoxa kyrkan utnämns för viss tid av biskopen inom stiftet i fråga.</w:t>
          </w:r>
        </w:p>
        <w:p w:rsidR="00FC67C8" w:rsidRDefault="00FC67C8" w:rsidP="00FC67C8">
          <w:pPr>
            <w:pStyle w:val="LLKappalejako"/>
          </w:pPr>
          <w:r>
            <w:t>Vid inrättande, överföring, indragning eller ändring av en pastorstjänst ska direktören för ansvarsområdet för operativ verksamhet inhämta det behöriga domkapitlets utlåtande.</w:t>
          </w:r>
        </w:p>
        <w:p w:rsidR="00FC67C8" w:rsidRDefault="00FC67C8" w:rsidP="00FC67C8">
          <w:pPr>
            <w:pStyle w:val="LLKappalejako"/>
          </w:pPr>
        </w:p>
        <w:p w:rsidR="00C73021" w:rsidRDefault="00C73021" w:rsidP="00C73021">
          <w:pPr>
            <w:pStyle w:val="LLPykala"/>
          </w:pPr>
          <w:r>
            <w:t>12 §</w:t>
          </w:r>
        </w:p>
        <w:p w:rsidR="00FC67C8" w:rsidRDefault="00FC67C8" w:rsidP="00C73021">
          <w:pPr>
            <w:pStyle w:val="LLPykalanOtsikko"/>
          </w:pPr>
          <w:r>
            <w:t>Beviljande av tjänstledighet</w:t>
          </w:r>
        </w:p>
        <w:p w:rsidR="00FC67C8" w:rsidRDefault="00FC67C8" w:rsidP="00FC67C8">
          <w:pPr>
            <w:pStyle w:val="LLKappalejako"/>
          </w:pPr>
          <w:r>
            <w:t>Generaldirektören beviljar direktörer för ansvarsområden tjänstledighet. Direktören för ett ansvarsområde eller en annan i Brottspåföljdsmyndighetens arbetsordning angiven tjänsteman beviljar tjänstemän inom ansvarsområdet tjänstledighet.</w:t>
          </w:r>
        </w:p>
        <w:p w:rsidR="00FC67C8" w:rsidRDefault="00FC67C8" w:rsidP="00FC67C8">
          <w:pPr>
            <w:pStyle w:val="LLKappalejako"/>
          </w:pPr>
          <w:r>
            <w:t>Direktören för en brottspåföljdscentral beviljar enhetschefer vid brottspåföljdscentralen tjänstledighet. En enhetschef vid en brottspåföljdscentral beviljar tjänstemän som är underställda enhetschefen tjänstledighet.</w:t>
          </w:r>
        </w:p>
        <w:p w:rsidR="00FC67C8" w:rsidRDefault="00FC67C8" w:rsidP="00FC67C8">
          <w:pPr>
            <w:pStyle w:val="LLKappalejako"/>
          </w:pPr>
        </w:p>
        <w:p w:rsidR="00C73021" w:rsidRDefault="00C73021" w:rsidP="00C73021">
          <w:pPr>
            <w:pStyle w:val="LLPykala"/>
          </w:pPr>
          <w:r>
            <w:t>13 §</w:t>
          </w:r>
        </w:p>
        <w:p w:rsidR="00FC67C8" w:rsidRDefault="00FC67C8" w:rsidP="00C73021">
          <w:pPr>
            <w:pStyle w:val="LLPykalanOtsikko"/>
          </w:pPr>
          <w:r>
            <w:t>Skötseln av uppgifter vid andra verksamhetsenheter</w:t>
          </w:r>
        </w:p>
        <w:p w:rsidR="00FC67C8" w:rsidRDefault="00FC67C8" w:rsidP="00FC67C8">
          <w:pPr>
            <w:pStyle w:val="LLKappalejako"/>
          </w:pPr>
          <w:r>
            <w:t>Generaldirektören eller en i Brottspåföljdsmyndighetens arbetsordning angiven direktör för eller enhetschef inom ett ansvarsområde kan bestämma att ett ansvarsområde ska sköta uppgifter som hör till ett annat ansvarsområde. Direktören för ansvarsområdet för operativ verksamhet eller en i Brottspåföljdsmyndighetens arbetsordning angiven enhetschef inom ansvarsområdet kan bestämma att en brottspåföljdscentral också ska sköta uppgifter som hör till en annan brottspåföljdscentral.</w:t>
          </w:r>
        </w:p>
        <w:p w:rsidR="00FC67C8" w:rsidRDefault="00FC67C8" w:rsidP="00FC67C8">
          <w:pPr>
            <w:pStyle w:val="LLKappalejako"/>
          </w:pPr>
          <w:r>
            <w:t>Direktören för ett ansvarsområde kan bestämma att en tjänsteman som är underställd honom eller henne ska sköta sådana uppgifter som hör till ett annat ansvarsområde. Direktören för en brottspåföljdscentral kan bestämma att en tjänsteman som är underställd honom eller henne ska sköta sådana uppgifter som hör till en annan brottspåföljdscentral.</w:t>
          </w:r>
        </w:p>
        <w:p w:rsidR="00FC67C8" w:rsidRDefault="00FC67C8" w:rsidP="00FC67C8">
          <w:pPr>
            <w:pStyle w:val="LLKappalejako"/>
          </w:pPr>
        </w:p>
        <w:p w:rsidR="00C73021" w:rsidRDefault="00C73021" w:rsidP="00C73021">
          <w:pPr>
            <w:pStyle w:val="LLPykala"/>
          </w:pPr>
          <w:r>
            <w:t>14 §</w:t>
          </w:r>
        </w:p>
        <w:p w:rsidR="00FC67C8" w:rsidRDefault="00FC67C8" w:rsidP="00C73021">
          <w:pPr>
            <w:pStyle w:val="LLPykalanOtsikko"/>
          </w:pPr>
          <w:r>
            <w:t>Identitetskort</w:t>
          </w:r>
        </w:p>
        <w:p w:rsidR="00FC67C8" w:rsidRDefault="00FC67C8" w:rsidP="00FC67C8">
          <w:pPr>
            <w:pStyle w:val="LLKappalejako"/>
          </w:pPr>
          <w:r>
            <w:lastRenderedPageBreak/>
            <w:t>Den som hör till myndighetens personal ska ha ett identitetskort utfärdat av myndigheten. Närmare föreskrifter om identitetskortet och dess användning meddelas av Brottspåföljdsmyndighetens ansvarsområde för förvaltnings- och stödtjänster.</w:t>
          </w:r>
        </w:p>
        <w:p w:rsidR="00FC67C8" w:rsidRDefault="00FC67C8" w:rsidP="00FC67C8">
          <w:pPr>
            <w:pStyle w:val="LLKappalejako"/>
          </w:pPr>
        </w:p>
        <w:p w:rsidR="00C73021" w:rsidRDefault="00C73021" w:rsidP="00C73021">
          <w:pPr>
            <w:pStyle w:val="LLVoimaantuloPykala"/>
          </w:pPr>
          <w:r>
            <w:t>15 §</w:t>
          </w:r>
        </w:p>
        <w:p w:rsidR="00FC67C8" w:rsidRDefault="00FC67C8" w:rsidP="00C73021">
          <w:pPr>
            <w:pStyle w:val="LLPykalanOtsikko"/>
          </w:pPr>
          <w:r>
            <w:t>Ikraftträdande</w:t>
          </w:r>
        </w:p>
        <w:p w:rsidR="001D5B51" w:rsidRDefault="00FC67C8" w:rsidP="00FC67C8">
          <w:pPr>
            <w:pStyle w:val="LLKappalejako"/>
          </w:pPr>
          <w:r>
            <w:t>Denna förordning träder i kraft den   20  .</w:t>
          </w:r>
          <w:bookmarkStart w:id="0" w:name="_GoBack"/>
          <w:bookmarkEnd w:id="0"/>
        </w:p>
        <w:p w:rsidR="001D5B51" w:rsidRDefault="00B15EE2" w:rsidP="001D5B51">
          <w:pPr>
            <w:pStyle w:val="LLNormaali"/>
          </w:pPr>
        </w:p>
      </w:sdtContent>
    </w:sdt>
    <w:p w:rsidR="001D5B51" w:rsidRDefault="001D5B51" w:rsidP="004F334C"/>
    <w:sdt>
      <w:sdtPr>
        <w:alias w:val="Päiväys"/>
        <w:tag w:val="CCPaivays"/>
        <w:id w:val="1988824703"/>
        <w:placeholder>
          <w:docPart w:val="F41AC766B826482A83F1706C804098C5"/>
        </w:placeholder>
        <w15:color w:val="33CCCC"/>
        <w:text/>
      </w:sdtPr>
      <w:sdtEndPr/>
      <w:sdtContent>
        <w:p w:rsidR="001D5B51" w:rsidRDefault="001D5B51" w:rsidP="001D5B51">
          <w:pPr>
            <w:pStyle w:val="LLPaivays"/>
            <w:rPr>
              <w:rFonts w:eastAsia="Calibri"/>
              <w:szCs w:val="22"/>
              <w:lang w:eastAsia="en-US"/>
            </w:rPr>
          </w:pPr>
          <w:r>
            <w:t>Helsingfors den   20xx</w:t>
          </w:r>
        </w:p>
      </w:sdtContent>
    </w:sdt>
    <w:p w:rsidR="00956245" w:rsidRDefault="00956245">
      <w:pPr>
        <w:pStyle w:val="LLNormaali"/>
      </w:pPr>
    </w:p>
    <w:p w:rsidR="00956245" w:rsidRDefault="00956245">
      <w:pPr>
        <w:pStyle w:val="LLNormaali"/>
      </w:pPr>
    </w:p>
    <w:p w:rsidR="00956245" w:rsidRDefault="00956245">
      <w:pPr>
        <w:pStyle w:val="LLNormaali"/>
      </w:pPr>
    </w:p>
    <w:p w:rsidR="00956245" w:rsidRDefault="00956245">
      <w:pPr>
        <w:pStyle w:val="LLNormaali"/>
      </w:pPr>
    </w:p>
    <w:sdt>
      <w:sdtPr>
        <w:alias w:val="Allekirjoittajan asema"/>
        <w:tag w:val="CCAllekirjoitus"/>
        <w:id w:val="2141755932"/>
        <w:placeholder>
          <w:docPart w:val="8EBC7C1A80A542D6A4AD4821D83FD87F"/>
        </w:placeholder>
        <w15:color w:val="00FFFF"/>
      </w:sdtPr>
      <w:sdtEndPr/>
      <w:sdtContent>
        <w:p w:rsidR="001D5B51" w:rsidRDefault="00C73021" w:rsidP="001D5B51">
          <w:pPr>
            <w:pStyle w:val="LLAllekirjoitus"/>
            <w:rPr>
              <w:rFonts w:eastAsia="Calibri"/>
              <w:b w:val="0"/>
              <w:sz w:val="22"/>
              <w:szCs w:val="22"/>
              <w:lang w:eastAsia="en-US"/>
            </w:rPr>
          </w:pPr>
          <w:r w:rsidRPr="00C73021">
            <w:rPr>
              <w:b w:val="0"/>
              <w:sz w:val="22"/>
            </w:rPr>
            <w:t>Justitieminister Anna-Maja Henriksson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C75CCE" w:rsidP="001D5B51">
      <w:pPr>
        <w:pStyle w:val="LLVarmennus"/>
      </w:pPr>
      <w:r>
        <w:t>R</w:t>
      </w:r>
      <w:r w:rsidRPr="00C75CCE">
        <w:t>egeringsråd</w:t>
      </w:r>
      <w:r>
        <w:t xml:space="preserve"> Anne </w:t>
      </w:r>
      <w:proofErr w:type="spellStart"/>
      <w:r>
        <w:t>Hartoneva</w:t>
      </w:r>
      <w:proofErr w:type="spellEnd"/>
    </w:p>
    <w:p w:rsidR="00B42E95" w:rsidRDefault="00B42E95">
      <w:pPr>
        <w:pStyle w:val="LLNormaali"/>
      </w:pPr>
    </w:p>
    <w:sectPr w:rsidR="00B42E9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8A" w:rsidRDefault="00220B8A">
      <w:r>
        <w:separator/>
      </w:r>
    </w:p>
  </w:endnote>
  <w:endnote w:type="continuationSeparator" w:id="0">
    <w:p w:rsidR="00220B8A" w:rsidRDefault="0022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15EE2">
            <w:rPr>
              <w:rStyle w:val="Sivunumero"/>
              <w:noProof/>
              <w:sz w:val="22"/>
            </w:rPr>
            <w:t>6</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8A" w:rsidRDefault="00220B8A">
      <w:r>
        <w:separator/>
      </w:r>
    </w:p>
  </w:footnote>
  <w:footnote w:type="continuationSeparator" w:id="0">
    <w:p w:rsidR="00220B8A" w:rsidRDefault="00220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DF7517E"/>
    <w:multiLevelType w:val="multilevel"/>
    <w:tmpl w:val="B7AA9AE8"/>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1"/>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1"/>
  </w:num>
  <w:num w:numId="2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B8A"/>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B8A"/>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230D"/>
    <w:rsid w:val="00463249"/>
    <w:rsid w:val="00463FD2"/>
    <w:rsid w:val="00465AAE"/>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245"/>
    <w:rsid w:val="00956EB7"/>
    <w:rsid w:val="009577A3"/>
    <w:rsid w:val="00957B58"/>
    <w:rsid w:val="00957F10"/>
    <w:rsid w:val="00960AD0"/>
    <w:rsid w:val="0096101E"/>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A49E9"/>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294B"/>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9607C"/>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5EE2"/>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2E95"/>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C7D3E"/>
    <w:rsid w:val="00BD18B1"/>
    <w:rsid w:val="00BD39D7"/>
    <w:rsid w:val="00BD465D"/>
    <w:rsid w:val="00BD55AF"/>
    <w:rsid w:val="00BE009D"/>
    <w:rsid w:val="00BE014A"/>
    <w:rsid w:val="00BE03B1"/>
    <w:rsid w:val="00BE0BC3"/>
    <w:rsid w:val="00BE0FDC"/>
    <w:rsid w:val="00BE3F31"/>
    <w:rsid w:val="00BE415C"/>
    <w:rsid w:val="00BE5522"/>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021"/>
    <w:rsid w:val="00C73D6A"/>
    <w:rsid w:val="00C74E0A"/>
    <w:rsid w:val="00C752A5"/>
    <w:rsid w:val="00C75CCE"/>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171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1FB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7C8"/>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5B77F5"/>
  <w15:docId w15:val="{5717D0F4-D231-4549-ADBE-94CED8FA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A9607C"/>
    <w:rPr>
      <w:rFonts w:eastAsia="Times New Roman"/>
      <w:szCs w:val="24"/>
    </w:rPr>
  </w:style>
  <w:style w:type="paragraph" w:customStyle="1" w:styleId="LL1Otsikkotaso">
    <w:name w:val="LL1Otsikkotaso"/>
    <w:next w:val="LLPerustelujenkappalejako"/>
    <w:rsid w:val="00A9607C"/>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A9607C"/>
    <w:pPr>
      <w:numPr>
        <w:ilvl w:val="1"/>
        <w:numId w:val="24"/>
      </w:numPr>
      <w:spacing w:after="220" w:line="220" w:lineRule="exact"/>
      <w:outlineLvl w:val="2"/>
    </w:pPr>
    <w:rPr>
      <w:b/>
      <w:sz w:val="21"/>
      <w:szCs w:val="24"/>
    </w:rPr>
  </w:style>
  <w:style w:type="paragraph" w:customStyle="1" w:styleId="LLPotsikko">
    <w:name w:val="LLPääotsikko"/>
    <w:next w:val="LLPerustelujenkappalejako"/>
    <w:rsid w:val="00A9607C"/>
    <w:pPr>
      <w:spacing w:after="220" w:line="220" w:lineRule="exact"/>
      <w:outlineLvl w:val="0"/>
    </w:pPr>
    <w:rPr>
      <w:b/>
      <w:caps/>
      <w:sz w:val="21"/>
      <w:szCs w:val="24"/>
    </w:rPr>
  </w:style>
  <w:style w:type="paragraph" w:customStyle="1" w:styleId="LL3Otsikkotaso">
    <w:name w:val="LL3Otsikkotaso"/>
    <w:next w:val="LLPerustelujenkappalejako"/>
    <w:rsid w:val="00D01716"/>
    <w:pPr>
      <w:numPr>
        <w:ilvl w:val="2"/>
        <w:numId w:val="24"/>
      </w:numPr>
      <w:spacing w:before="220" w:after="220" w:line="220" w:lineRule="exact"/>
      <w:ind w:firstLine="0"/>
      <w:outlineLvl w:val="3"/>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2123\AppData\Roaming\Microsoft\Mallit\VN_aset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7AFE8FAD054654BB2982CA0E395526"/>
        <w:category>
          <w:name w:val="Yleiset"/>
          <w:gallery w:val="placeholder"/>
        </w:category>
        <w:types>
          <w:type w:val="bbPlcHdr"/>
        </w:types>
        <w:behaviors>
          <w:behavior w:val="content"/>
        </w:behaviors>
        <w:guid w:val="{976F5EE5-150C-4A0F-BF87-113E612BE543}"/>
      </w:docPartPr>
      <w:docPartBody>
        <w:p w:rsidR="00C30E73" w:rsidRDefault="00C30E73">
          <w:pPr>
            <w:pStyle w:val="867AFE8FAD054654BB2982CA0E395526"/>
          </w:pPr>
          <w:r w:rsidRPr="005D3E42">
            <w:rPr>
              <w:rStyle w:val="Paikkamerkkiteksti"/>
            </w:rPr>
            <w:t>Click or tap here to enter text.</w:t>
          </w:r>
        </w:p>
      </w:docPartBody>
    </w:docPart>
    <w:docPart>
      <w:docPartPr>
        <w:name w:val="F41AC766B826482A83F1706C804098C5"/>
        <w:category>
          <w:name w:val="Yleiset"/>
          <w:gallery w:val="placeholder"/>
        </w:category>
        <w:types>
          <w:type w:val="bbPlcHdr"/>
        </w:types>
        <w:behaviors>
          <w:behavior w:val="content"/>
        </w:behaviors>
        <w:guid w:val="{C45CDCA1-EBA5-47D3-A914-A4A647455AA6}"/>
      </w:docPartPr>
      <w:docPartBody>
        <w:p w:rsidR="00C30E73" w:rsidRDefault="00C30E73">
          <w:pPr>
            <w:pStyle w:val="F41AC766B826482A83F1706C804098C5"/>
          </w:pPr>
          <w:r w:rsidRPr="005D3E42">
            <w:rPr>
              <w:rStyle w:val="Paikkamerkkiteksti"/>
            </w:rPr>
            <w:t>Click or tap here to enter text.</w:t>
          </w:r>
        </w:p>
      </w:docPartBody>
    </w:docPart>
    <w:docPart>
      <w:docPartPr>
        <w:name w:val="8EBC7C1A80A542D6A4AD4821D83FD87F"/>
        <w:category>
          <w:name w:val="Yleiset"/>
          <w:gallery w:val="placeholder"/>
        </w:category>
        <w:types>
          <w:type w:val="bbPlcHdr"/>
        </w:types>
        <w:behaviors>
          <w:behavior w:val="content"/>
        </w:behaviors>
        <w:guid w:val="{44BCB4CB-A1D4-4781-9227-05F8C495C99D}"/>
      </w:docPartPr>
      <w:docPartBody>
        <w:p w:rsidR="00C30E73" w:rsidRDefault="00C30E73">
          <w:pPr>
            <w:pStyle w:val="8EBC7C1A80A542D6A4AD4821D83FD87F"/>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E73"/>
    <w:rsid w:val="00C30E7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67AFE8FAD054654BB2982CA0E395526">
    <w:name w:val="867AFE8FAD054654BB2982CA0E395526"/>
  </w:style>
  <w:style w:type="paragraph" w:customStyle="1" w:styleId="F41AC766B826482A83F1706C804098C5">
    <w:name w:val="F41AC766B826482A83F1706C804098C5"/>
  </w:style>
  <w:style w:type="paragraph" w:customStyle="1" w:styleId="8EBC7C1A80A542D6A4AD4821D83FD87F">
    <w:name w:val="8EBC7C1A80A542D6A4AD4821D83FD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CE5C7-0C7F-45C9-ABFD-AC0E1BC3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VN_asetus_sv.dotx</Template>
  <TotalTime>24</TotalTime>
  <Pages>6</Pages>
  <Words>1540</Words>
  <Characters>12481</Characters>
  <Application>Microsoft Office Word</Application>
  <DocSecurity>0</DocSecurity>
  <Lines>104</Lines>
  <Paragraphs>27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Statsrådets förordning om Brottspåföljdsmyndigheten</dc:title>
  <dc:subject/>
  <dc:creator>Sirpa Halmela</dc:creator>
  <cp:keywords/>
  <dc:description/>
  <cp:lastModifiedBy>Halmela Sirpa</cp:lastModifiedBy>
  <cp:revision>7</cp:revision>
  <cp:lastPrinted>2017-12-04T10:02:00Z</cp:lastPrinted>
  <dcterms:created xsi:type="dcterms:W3CDTF">2021-05-31T10:18:00Z</dcterms:created>
  <dcterms:modified xsi:type="dcterms:W3CDTF">2021-06-03T07:57:00Z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VN_asetus_sv</vt:lpwstr>
  </property>
</Properties>
</file>