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73652" w14:textId="77777777" w:rsidR="009B230C" w:rsidRPr="003515AD" w:rsidRDefault="00596AA5" w:rsidP="00446E3A">
      <w:pPr>
        <w:rPr>
          <w:b/>
          <w:szCs w:val="24"/>
        </w:rPr>
      </w:pPr>
      <w:r w:rsidRPr="003515AD">
        <w:rPr>
          <w:b/>
          <w:szCs w:val="24"/>
        </w:rPr>
        <w:t>Valtioneuvoston asetus ionisoivasta säteilystä annetun valtioneuvoston asetuksen muuttamisesta</w:t>
      </w:r>
    </w:p>
    <w:p w14:paraId="568BAC92" w14:textId="77777777" w:rsidR="00596AA5" w:rsidRPr="003515AD" w:rsidRDefault="00596AA5" w:rsidP="00446E3A">
      <w:pPr>
        <w:rPr>
          <w:szCs w:val="24"/>
        </w:rPr>
      </w:pPr>
    </w:p>
    <w:p w14:paraId="47685380" w14:textId="77777777" w:rsidR="00596AA5" w:rsidRPr="003515AD" w:rsidRDefault="00596AA5" w:rsidP="00446E3A">
      <w:pPr>
        <w:rPr>
          <w:szCs w:val="24"/>
        </w:rPr>
      </w:pPr>
      <w:r w:rsidRPr="003515AD">
        <w:rPr>
          <w:szCs w:val="24"/>
        </w:rPr>
        <w:t>Valtioneuvoston päätöksen mukaisesti</w:t>
      </w:r>
    </w:p>
    <w:p w14:paraId="08583603" w14:textId="0158F0DC" w:rsidR="00596AA5" w:rsidRPr="003515AD" w:rsidRDefault="00596AA5" w:rsidP="00596AA5">
      <w:pPr>
        <w:pStyle w:val="NormaaliWWW"/>
        <w:spacing w:before="0" w:beforeAutospacing="0" w:after="0" w:afterAutospacing="0"/>
      </w:pPr>
      <w:r w:rsidRPr="003515AD">
        <w:rPr>
          <w:i/>
        </w:rPr>
        <w:t xml:space="preserve">muutetaan </w:t>
      </w:r>
      <w:r w:rsidR="00167A06" w:rsidRPr="003515AD">
        <w:t xml:space="preserve">ionisoivasta säteilystä annetun valtioneuvoston asetuksen (1034/2018) 25 §:n 1 momentin </w:t>
      </w:r>
      <w:r w:rsidR="005B0414">
        <w:t xml:space="preserve">3, </w:t>
      </w:r>
      <w:bookmarkStart w:id="0" w:name="_GoBack"/>
      <w:bookmarkEnd w:id="0"/>
      <w:r w:rsidR="00167A06" w:rsidRPr="003515AD">
        <w:t xml:space="preserve">6 ja 8 kohta, </w:t>
      </w:r>
      <w:r w:rsidR="006B1ABC" w:rsidRPr="003515AD">
        <w:t>26 §:n 1 moment</w:t>
      </w:r>
      <w:r w:rsidR="0092594B">
        <w:t>ti</w:t>
      </w:r>
      <w:r w:rsidR="006B1ABC" w:rsidRPr="003515AD">
        <w:t>, 27 §:n 1 momentin 3</w:t>
      </w:r>
      <w:r w:rsidR="00A575C3" w:rsidRPr="003515AD">
        <w:t xml:space="preserve"> ja 4</w:t>
      </w:r>
      <w:r w:rsidR="006B1ABC" w:rsidRPr="003515AD">
        <w:t xml:space="preserve"> kohta, 28 §</w:t>
      </w:r>
      <w:r w:rsidR="00B2218B" w:rsidRPr="003515AD">
        <w:t xml:space="preserve">:n 1 </w:t>
      </w:r>
      <w:r w:rsidR="00A768E2">
        <w:t xml:space="preserve">ja 2 </w:t>
      </w:r>
      <w:r w:rsidR="00B2218B" w:rsidRPr="003515AD">
        <w:t>momentti</w:t>
      </w:r>
      <w:r w:rsidR="006B1ABC" w:rsidRPr="003515AD">
        <w:t xml:space="preserve">, </w:t>
      </w:r>
      <w:r w:rsidR="00B2218B" w:rsidRPr="003515AD">
        <w:t xml:space="preserve">30 §, </w:t>
      </w:r>
      <w:r w:rsidR="001D04D6">
        <w:t>50 §:n 1 momentin 15 kohta,</w:t>
      </w:r>
      <w:r w:rsidR="00AA3667">
        <w:t xml:space="preserve"> 53 §:n 1 momentin 2 kohta sekä liitteen 5 kohdan 2 alakohta 2.3 ja 2.7, </w:t>
      </w:r>
    </w:p>
    <w:p w14:paraId="3B1CC2C5" w14:textId="27CF2CED" w:rsidR="00596AA5" w:rsidRPr="003515AD" w:rsidRDefault="00596AA5" w:rsidP="00596AA5">
      <w:pPr>
        <w:pStyle w:val="NormaaliWWW"/>
        <w:spacing w:before="0" w:beforeAutospacing="0" w:after="0" w:afterAutospacing="0"/>
      </w:pPr>
      <w:r w:rsidRPr="003515AD">
        <w:rPr>
          <w:i/>
        </w:rPr>
        <w:t xml:space="preserve">lisätään </w:t>
      </w:r>
      <w:r w:rsidRPr="003515AD">
        <w:t>asetukseen uusi 3 a §</w:t>
      </w:r>
      <w:r w:rsidR="00B2218B" w:rsidRPr="003515AD">
        <w:t xml:space="preserve"> </w:t>
      </w:r>
      <w:r w:rsidR="00A575C3" w:rsidRPr="003515AD">
        <w:t>sekä 27 §:ään</w:t>
      </w:r>
      <w:r w:rsidR="003515AD">
        <w:t xml:space="preserve"> </w:t>
      </w:r>
      <w:r w:rsidR="003515AD" w:rsidRPr="003515AD">
        <w:t>5 kohta</w:t>
      </w:r>
      <w:r w:rsidR="001D04D6">
        <w:t xml:space="preserve"> ja 52 §:n 1 momenttiin 16 kohta</w:t>
      </w:r>
      <w:r w:rsidR="00AA3667">
        <w:t xml:space="preserve"> ja uusi 64 a §</w:t>
      </w:r>
      <w:r w:rsidR="001D04D6">
        <w:t xml:space="preserve"> </w:t>
      </w:r>
      <w:r w:rsidR="00AA3667">
        <w:t xml:space="preserve">sekä liitteen 5 kohtaan 2 alakohta 2.8 </w:t>
      </w:r>
      <w:r w:rsidRPr="003515AD">
        <w:t>seuraavasti:</w:t>
      </w:r>
    </w:p>
    <w:p w14:paraId="5968C373" w14:textId="77777777" w:rsidR="00167A06" w:rsidRPr="003515AD" w:rsidRDefault="00167A06" w:rsidP="00596AA5">
      <w:pPr>
        <w:pStyle w:val="NormaaliWWW"/>
        <w:spacing w:before="0" w:beforeAutospacing="0" w:after="0" w:afterAutospacing="0"/>
      </w:pPr>
    </w:p>
    <w:p w14:paraId="231F0259" w14:textId="77777777" w:rsidR="00167A06" w:rsidRPr="003515AD" w:rsidRDefault="00596AA5" w:rsidP="00167A06">
      <w:pPr>
        <w:pStyle w:val="NormaaliWWW"/>
        <w:spacing w:before="0" w:beforeAutospacing="0" w:after="0" w:afterAutospacing="0"/>
        <w:jc w:val="center"/>
        <w:rPr>
          <w:b/>
        </w:rPr>
      </w:pPr>
      <w:r w:rsidRPr="003515AD">
        <w:rPr>
          <w:b/>
        </w:rPr>
        <w:t xml:space="preserve">3 a § </w:t>
      </w:r>
    </w:p>
    <w:p w14:paraId="77A9D590" w14:textId="77777777" w:rsidR="00596AA5" w:rsidRPr="003515AD" w:rsidRDefault="00596AA5" w:rsidP="00167A06">
      <w:pPr>
        <w:pStyle w:val="NormaaliWWW"/>
        <w:spacing w:before="0" w:beforeAutospacing="0" w:after="0" w:afterAutospacing="0"/>
        <w:jc w:val="center"/>
        <w:rPr>
          <w:b/>
        </w:rPr>
      </w:pPr>
      <w:r w:rsidRPr="003515AD">
        <w:rPr>
          <w:b/>
        </w:rPr>
        <w:t>Oikeutusarviointi</w:t>
      </w:r>
    </w:p>
    <w:p w14:paraId="4972EF38" w14:textId="77777777" w:rsidR="00596AA5" w:rsidRPr="003515AD" w:rsidRDefault="00596AA5" w:rsidP="00596AA5">
      <w:pPr>
        <w:pStyle w:val="NormaaliWWW"/>
        <w:spacing w:before="0" w:beforeAutospacing="0" w:after="0" w:afterAutospacing="0"/>
      </w:pPr>
      <w:r w:rsidRPr="003515AD">
        <w:t xml:space="preserve">Säteilytoiminnan 3 §:ssä tarkoitetun kokonaishyödyn ja haittojen arvioimiseksi on tarkasteltava säteilytoiminnan: </w:t>
      </w:r>
    </w:p>
    <w:p w14:paraId="59502590" w14:textId="77777777" w:rsidR="00596AA5" w:rsidRPr="003515AD" w:rsidRDefault="00596AA5" w:rsidP="00596AA5">
      <w:pPr>
        <w:pStyle w:val="NormaaliWWW"/>
        <w:spacing w:before="0" w:beforeAutospacing="0" w:after="0" w:afterAutospacing="0"/>
      </w:pPr>
      <w:r w:rsidRPr="003515AD">
        <w:t xml:space="preserve">1) vaikuttavuutta ja säteilyturvallisuutta; </w:t>
      </w:r>
    </w:p>
    <w:p w14:paraId="72BDE691" w14:textId="77777777" w:rsidR="00596AA5" w:rsidRPr="003515AD" w:rsidRDefault="00596AA5" w:rsidP="00596AA5">
      <w:pPr>
        <w:pStyle w:val="NormaaliWWW"/>
        <w:spacing w:before="0" w:beforeAutospacing="0" w:after="0" w:afterAutospacing="0"/>
      </w:pPr>
      <w:r w:rsidRPr="003515AD">
        <w:t>2) taloudellisia näkökohtia;</w:t>
      </w:r>
    </w:p>
    <w:p w14:paraId="7A434009" w14:textId="77777777" w:rsidR="00596AA5" w:rsidRPr="003515AD" w:rsidRDefault="00596AA5" w:rsidP="00596AA5">
      <w:pPr>
        <w:pStyle w:val="NormaaliWWW"/>
        <w:spacing w:before="0" w:beforeAutospacing="0" w:after="0" w:afterAutospacing="0"/>
      </w:pPr>
      <w:r w:rsidRPr="003515AD">
        <w:t xml:space="preserve"> 3) eettisiä näkökohtia, jos säteilyä kohdistetaan tarkoituksellisesti henkilöön; </w:t>
      </w:r>
    </w:p>
    <w:p w14:paraId="00FC80C0" w14:textId="77777777" w:rsidR="00596AA5" w:rsidRPr="003515AD" w:rsidRDefault="00596AA5" w:rsidP="00596AA5">
      <w:pPr>
        <w:pStyle w:val="NormaaliWWW"/>
        <w:spacing w:before="0" w:beforeAutospacing="0" w:after="0" w:afterAutospacing="0"/>
      </w:pPr>
      <w:r w:rsidRPr="003515AD">
        <w:t xml:space="preserve">4) säteilylainsäädännön soveltamiseen liittyviä näkökohtia. </w:t>
      </w:r>
    </w:p>
    <w:p w14:paraId="71E3F361" w14:textId="77777777" w:rsidR="00596AA5" w:rsidRPr="003515AD" w:rsidRDefault="00596AA5" w:rsidP="00596AA5">
      <w:pPr>
        <w:pStyle w:val="NormaaliWWW"/>
      </w:pPr>
      <w:r w:rsidRPr="003515AD">
        <w:t xml:space="preserve">Lisäksi henkilön kuvantamisessa on tarkasteltava säteilyaltistuksen kohteena olevan henkilön näkökulmaa. </w:t>
      </w:r>
    </w:p>
    <w:p w14:paraId="50FCC1D4" w14:textId="77777777" w:rsidR="00596AA5" w:rsidRPr="003515AD" w:rsidRDefault="00596AA5" w:rsidP="00167A06">
      <w:pPr>
        <w:pStyle w:val="NormaaliWWW"/>
        <w:rPr>
          <w:b/>
        </w:rPr>
      </w:pPr>
      <w:r w:rsidRPr="003515AD">
        <w:t xml:space="preserve">Tätä pykälää ei sovelleta lääketieteellisen altistuksen oikeutusarviointiin, josta säädetään tämän asetuksen 4 §:ssä, eikä myöskään kulutustavaroiden valmistuksen, tuonnin ja siirron oikeutusarviointia, josta säädetään 6 §:ssä. </w:t>
      </w:r>
    </w:p>
    <w:p w14:paraId="0BA4D57C" w14:textId="77777777" w:rsidR="00167A06" w:rsidRPr="003515AD" w:rsidRDefault="00596AA5" w:rsidP="00167A06">
      <w:pPr>
        <w:pStyle w:val="NormaaliWWW"/>
        <w:spacing w:before="0" w:beforeAutospacing="0" w:after="0" w:afterAutospacing="0"/>
        <w:jc w:val="center"/>
        <w:rPr>
          <w:b/>
        </w:rPr>
      </w:pPr>
      <w:r w:rsidRPr="003515AD">
        <w:rPr>
          <w:b/>
        </w:rPr>
        <w:t>25 §</w:t>
      </w:r>
    </w:p>
    <w:p w14:paraId="4D9EA600" w14:textId="77777777" w:rsidR="00596AA5" w:rsidRPr="003515AD" w:rsidRDefault="00596AA5" w:rsidP="00167A06">
      <w:pPr>
        <w:pStyle w:val="NormaaliWWW"/>
        <w:spacing w:before="0" w:beforeAutospacing="0" w:after="0" w:afterAutospacing="0"/>
        <w:jc w:val="center"/>
        <w:rPr>
          <w:b/>
        </w:rPr>
      </w:pPr>
      <w:r w:rsidRPr="003515AD">
        <w:rPr>
          <w:b/>
        </w:rPr>
        <w:t>Turvallisuusluvan muuttaminen</w:t>
      </w:r>
    </w:p>
    <w:p w14:paraId="5A53316E" w14:textId="77777777" w:rsidR="00596AA5" w:rsidRPr="003515AD" w:rsidRDefault="00596AA5" w:rsidP="00596AA5">
      <w:pPr>
        <w:autoSpaceDE w:val="0"/>
        <w:autoSpaceDN w:val="0"/>
        <w:adjustRightInd w:val="0"/>
        <w:rPr>
          <w:szCs w:val="24"/>
        </w:rPr>
      </w:pPr>
    </w:p>
    <w:p w14:paraId="29919504" w14:textId="7ED1D28D" w:rsidR="00F412B6" w:rsidRDefault="00596AA5" w:rsidP="0092594B">
      <w:pPr>
        <w:spacing w:before="100" w:beforeAutospacing="1" w:after="100" w:afterAutospacing="1"/>
        <w:rPr>
          <w:szCs w:val="24"/>
        </w:rPr>
      </w:pPr>
      <w:r w:rsidRPr="003515AD">
        <w:rPr>
          <w:szCs w:val="24"/>
        </w:rPr>
        <w:t>Toiminnan olennaisia muutoksia, jotka edellyttävät turvallisuusluvan muuttamista etukäteen ovat:</w:t>
      </w:r>
    </w:p>
    <w:p w14:paraId="5F998A09" w14:textId="77777777" w:rsidR="006C3467" w:rsidRPr="003515AD" w:rsidRDefault="006C3467" w:rsidP="006C3467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−−−−−−−−−−−−−−−−−−</w:t>
      </w:r>
    </w:p>
    <w:p w14:paraId="15C35247" w14:textId="553C63D0" w:rsidR="006C3467" w:rsidRPr="006C3467" w:rsidRDefault="006C3467" w:rsidP="006C3467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3467">
        <w:rPr>
          <w:rFonts w:ascii="Times New Roman" w:hAnsi="Times New Roman" w:cs="Times New Roman"/>
          <w:sz w:val="24"/>
          <w:szCs w:val="24"/>
        </w:rPr>
        <w:t>3) merkittävä muutos johtamisjärjeste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C3467">
        <w:rPr>
          <w:rFonts w:ascii="Times New Roman" w:hAnsi="Times New Roman" w:cs="Times New Roman"/>
          <w:sz w:val="24"/>
          <w:szCs w:val="24"/>
        </w:rPr>
        <w:t>mässä;</w:t>
      </w:r>
    </w:p>
    <w:p w14:paraId="352681B0" w14:textId="23EFEB4F" w:rsidR="00167A06" w:rsidRPr="003515AD" w:rsidRDefault="00167A06" w:rsidP="00167A06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−−−−−−−−−−−−−−−−−−</w:t>
      </w:r>
    </w:p>
    <w:p w14:paraId="214A14C1" w14:textId="0184EBE6" w:rsidR="00596AA5" w:rsidRPr="003515AD" w:rsidRDefault="00596AA5" w:rsidP="00596AA5">
      <w:pPr>
        <w:pStyle w:val="Luettelokappale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säteilyn käytön muuttaminen koskemaan muuta kuin 4 tai 5 kohdassa tarkoitettua säteilylähdettä, jos lähde on säteily- ja säteilyturvallisuusominaisuuksiltaan erilainen kuin turvallisuusluvan mukaisessa toiminnassa on jo käytössä tai jos sen käytönaikainen säteilyturvallisuus edellyttää muutoksia rakenteellisiin suojauksiin tai käyttöpaikkaan liittyviin järjestelyihin;</w:t>
      </w:r>
    </w:p>
    <w:p w14:paraId="320B0575" w14:textId="231ACA55" w:rsidR="00596AA5" w:rsidRPr="003515AD" w:rsidRDefault="00167A06" w:rsidP="00167A06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−−−−−−−−−−−−−−−−−−</w:t>
      </w:r>
    </w:p>
    <w:p w14:paraId="6BDD2F12" w14:textId="7401F925" w:rsidR="00596AA5" w:rsidRPr="003515AD" w:rsidRDefault="00596AA5" w:rsidP="00596AA5">
      <w:pPr>
        <w:pStyle w:val="Luettelokappale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toiminnan harjoittamispaikan muuttaminen, kun harjoittamispaikkaan kohdistuu erityisiä säteilyturvallisuutta tai turvajärjestelyitä koskevia vaatimuksia</w:t>
      </w:r>
      <w:r w:rsidR="00167A06" w:rsidRPr="003515AD">
        <w:rPr>
          <w:rFonts w:ascii="Times New Roman" w:hAnsi="Times New Roman" w:cs="Times New Roman"/>
          <w:sz w:val="24"/>
          <w:szCs w:val="24"/>
        </w:rPr>
        <w:t>;</w:t>
      </w:r>
    </w:p>
    <w:p w14:paraId="1F63B004" w14:textId="2CECE39E" w:rsidR="00167A06" w:rsidRPr="003515AD" w:rsidRDefault="00167A06" w:rsidP="00167A06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−−−−−−−−−−−−−−−−−−</w:t>
      </w:r>
    </w:p>
    <w:p w14:paraId="4E644146" w14:textId="77777777" w:rsidR="00167A06" w:rsidRPr="003515AD" w:rsidRDefault="00167A06" w:rsidP="00167A06">
      <w:pPr>
        <w:pStyle w:val="Luettelokappale"/>
        <w:autoSpaceDE w:val="0"/>
        <w:autoSpaceDN w:val="0"/>
        <w:adjustRightInd w:val="0"/>
        <w:ind w:left="644"/>
        <w:rPr>
          <w:rFonts w:ascii="Times New Roman" w:hAnsi="Times New Roman" w:cs="Times New Roman"/>
          <w:sz w:val="24"/>
          <w:szCs w:val="24"/>
        </w:rPr>
      </w:pPr>
    </w:p>
    <w:p w14:paraId="772900A1" w14:textId="77777777" w:rsidR="006B1ABC" w:rsidRPr="003515AD" w:rsidRDefault="006B1ABC" w:rsidP="00167A06">
      <w:pPr>
        <w:pStyle w:val="Luettelokappale"/>
        <w:autoSpaceDE w:val="0"/>
        <w:autoSpaceDN w:val="0"/>
        <w:adjustRightInd w:val="0"/>
        <w:ind w:left="644"/>
        <w:rPr>
          <w:rFonts w:ascii="Times New Roman" w:hAnsi="Times New Roman" w:cs="Times New Roman"/>
          <w:sz w:val="24"/>
          <w:szCs w:val="24"/>
        </w:rPr>
      </w:pPr>
    </w:p>
    <w:p w14:paraId="7B0A1765" w14:textId="77777777" w:rsidR="006B1ABC" w:rsidRPr="003515AD" w:rsidRDefault="006B1ABC" w:rsidP="006B1ABC">
      <w:pPr>
        <w:autoSpaceDE w:val="0"/>
        <w:autoSpaceDN w:val="0"/>
        <w:adjustRightInd w:val="0"/>
        <w:jc w:val="center"/>
        <w:rPr>
          <w:b/>
          <w:szCs w:val="24"/>
        </w:rPr>
      </w:pPr>
      <w:r w:rsidRPr="003515AD">
        <w:rPr>
          <w:b/>
          <w:szCs w:val="24"/>
        </w:rPr>
        <w:t>26 §</w:t>
      </w:r>
    </w:p>
    <w:p w14:paraId="4D308815" w14:textId="77777777" w:rsidR="006B1ABC" w:rsidRPr="003515AD" w:rsidRDefault="006B1ABC" w:rsidP="006B1ABC">
      <w:pPr>
        <w:autoSpaceDE w:val="0"/>
        <w:autoSpaceDN w:val="0"/>
        <w:adjustRightInd w:val="0"/>
        <w:jc w:val="center"/>
        <w:rPr>
          <w:b/>
          <w:iCs/>
          <w:szCs w:val="24"/>
        </w:rPr>
      </w:pPr>
      <w:r w:rsidRPr="003515AD">
        <w:rPr>
          <w:b/>
          <w:iCs/>
          <w:szCs w:val="24"/>
        </w:rPr>
        <w:t>Turvallisuuslupaa edellyttävän toiminnan muutoksista ilmoittaminen</w:t>
      </w:r>
    </w:p>
    <w:p w14:paraId="59E17A59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</w:p>
    <w:p w14:paraId="3A1F97AD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Turvallisuuslupaa edellyttävän toiminnan muutoksia, joista on ilmoitettava Säteilyturvakeskukselle</w:t>
      </w:r>
    </w:p>
    <w:p w14:paraId="690A9E8A" w14:textId="048BEAD9" w:rsidR="006B1ABC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kahden viikon kuluessa muutoksesta, ovat:</w:t>
      </w:r>
    </w:p>
    <w:p w14:paraId="06BD2961" w14:textId="77777777" w:rsidR="0092594B" w:rsidRPr="003515AD" w:rsidRDefault="0092594B" w:rsidP="006B1ABC">
      <w:pPr>
        <w:autoSpaceDE w:val="0"/>
        <w:autoSpaceDN w:val="0"/>
        <w:adjustRightInd w:val="0"/>
        <w:rPr>
          <w:szCs w:val="24"/>
        </w:rPr>
      </w:pPr>
    </w:p>
    <w:p w14:paraId="76D7160B" w14:textId="1FFD08D8" w:rsidR="0092594B" w:rsidRDefault="0092594B" w:rsidP="0092594B">
      <w:pPr>
        <w:pStyle w:val="py"/>
        <w:spacing w:before="0" w:beforeAutospacing="0" w:after="0" w:afterAutospacing="0"/>
      </w:pPr>
      <w:r>
        <w:t>1)</w:t>
      </w:r>
      <w:r>
        <w:t> </w:t>
      </w:r>
      <w:r>
        <w:t>turvallisuusluvanhaltijan yhteystietojen muutos;</w:t>
      </w:r>
    </w:p>
    <w:p w14:paraId="34758913" w14:textId="77777777" w:rsidR="0092594B" w:rsidRDefault="0092594B" w:rsidP="0092594B">
      <w:pPr>
        <w:pStyle w:val="py"/>
        <w:spacing w:before="0" w:beforeAutospacing="0" w:after="0" w:afterAutospacing="0"/>
      </w:pPr>
      <w:r>
        <w:t>2)</w:t>
      </w:r>
      <w:r>
        <w:t> </w:t>
      </w:r>
      <w:r>
        <w:t>muutos, jonka seurauksena säteilyaltistuksen tai säteilylähteen luokka muuttuu luokkaan 3 luokasta 2 tai 1, tai luokkaan 2 luokasta 1;</w:t>
      </w:r>
    </w:p>
    <w:p w14:paraId="1C187918" w14:textId="77777777" w:rsidR="0092594B" w:rsidRDefault="0092594B" w:rsidP="0092594B">
      <w:pPr>
        <w:pStyle w:val="py"/>
        <w:spacing w:before="0" w:beforeAutospacing="0" w:after="0" w:afterAutospacing="0"/>
      </w:pPr>
      <w:r>
        <w:t>3)</w:t>
      </w:r>
      <w:r>
        <w:t> </w:t>
      </w:r>
      <w:r>
        <w:t xml:space="preserve">säteilyturvallisuusvastaavan vaihtuminen; </w:t>
      </w:r>
    </w:p>
    <w:p w14:paraId="71EA435D" w14:textId="77777777" w:rsidR="0092594B" w:rsidRDefault="0092594B" w:rsidP="0092594B">
      <w:pPr>
        <w:pStyle w:val="py"/>
        <w:spacing w:before="0" w:beforeAutospacing="0" w:after="0" w:afterAutospacing="0"/>
      </w:pPr>
      <w:r>
        <w:t>4) muun kuin 25 §:n 4–6 kohdassa tarkoitetun säteilylähteen käyttöön ottaminen;</w:t>
      </w:r>
    </w:p>
    <w:p w14:paraId="43274916" w14:textId="77777777" w:rsidR="0092594B" w:rsidRDefault="0092594B" w:rsidP="0092594B">
      <w:pPr>
        <w:pStyle w:val="py"/>
        <w:spacing w:before="0" w:beforeAutospacing="0" w:after="0" w:afterAutospacing="0"/>
      </w:pPr>
      <w:r>
        <w:t>5)</w:t>
      </w:r>
      <w:r>
        <w:t> </w:t>
      </w:r>
      <w:r>
        <w:t>sädehoidon laadunvarmistusohjelman merkittävä muutos;</w:t>
      </w:r>
    </w:p>
    <w:p w14:paraId="552BA609" w14:textId="77777777" w:rsidR="0092594B" w:rsidRDefault="0092594B" w:rsidP="0092594B">
      <w:pPr>
        <w:pStyle w:val="py"/>
        <w:spacing w:before="0" w:beforeAutospacing="0" w:after="0" w:afterAutospacing="0"/>
      </w:pPr>
      <w:r>
        <w:t>6)</w:t>
      </w:r>
      <w:r>
        <w:t> </w:t>
      </w:r>
      <w:r>
        <w:t>säteilylähteen poistaminen käytöstä;</w:t>
      </w:r>
    </w:p>
    <w:p w14:paraId="068D8755" w14:textId="4E7314F6" w:rsidR="0092594B" w:rsidRDefault="0092594B" w:rsidP="0092594B">
      <w:pPr>
        <w:pStyle w:val="py"/>
        <w:spacing w:before="0" w:beforeAutospacing="0" w:after="0" w:afterAutospacing="0"/>
      </w:pPr>
      <w:r>
        <w:t>7)</w:t>
      </w:r>
      <w:r>
        <w:t> </w:t>
      </w:r>
      <w:r>
        <w:t>säteilytoiminnan lopettaminen osittain tai kokonaan;</w:t>
      </w:r>
    </w:p>
    <w:p w14:paraId="2B3EBB86" w14:textId="21F3992B" w:rsidR="006B1ABC" w:rsidRDefault="0092594B" w:rsidP="0092594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8</w:t>
      </w:r>
      <w:r w:rsidR="00A575C3" w:rsidRPr="003515AD">
        <w:rPr>
          <w:szCs w:val="24"/>
        </w:rPr>
        <w:t xml:space="preserve">) </w:t>
      </w:r>
      <w:r w:rsidR="006B1ABC" w:rsidRPr="003515AD">
        <w:rPr>
          <w:szCs w:val="24"/>
        </w:rPr>
        <w:t>toiminnan harjoittamispaikan muuttaminen lukuun ottamatta 25 §:n 1 momentin 8 kohdassa tarkoitettua muuttamista.</w:t>
      </w:r>
    </w:p>
    <w:p w14:paraId="1A6BFB05" w14:textId="77777777" w:rsidR="0092594B" w:rsidRPr="003515AD" w:rsidRDefault="0092594B" w:rsidP="0092594B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−−−−−−−−−−−−−−−−−−</w:t>
      </w:r>
    </w:p>
    <w:p w14:paraId="7702B8DB" w14:textId="77777777" w:rsidR="0092594B" w:rsidRDefault="0092594B" w:rsidP="0092594B">
      <w:pPr>
        <w:autoSpaceDE w:val="0"/>
        <w:autoSpaceDN w:val="0"/>
        <w:adjustRightInd w:val="0"/>
        <w:rPr>
          <w:szCs w:val="24"/>
        </w:rPr>
      </w:pPr>
    </w:p>
    <w:p w14:paraId="4EEB47A8" w14:textId="77777777" w:rsidR="0092594B" w:rsidRPr="003515AD" w:rsidRDefault="0092594B" w:rsidP="00A575C3">
      <w:pPr>
        <w:autoSpaceDE w:val="0"/>
        <w:autoSpaceDN w:val="0"/>
        <w:adjustRightInd w:val="0"/>
        <w:rPr>
          <w:szCs w:val="24"/>
        </w:rPr>
      </w:pPr>
    </w:p>
    <w:p w14:paraId="20ACC9E4" w14:textId="77777777" w:rsidR="00A575C3" w:rsidRPr="003515AD" w:rsidRDefault="00A575C3" w:rsidP="00A575C3">
      <w:pPr>
        <w:pStyle w:val="Luettelokappale"/>
        <w:ind w:left="644"/>
        <w:rPr>
          <w:rFonts w:ascii="Times New Roman" w:hAnsi="Times New Roman" w:cs="Times New Roman"/>
          <w:sz w:val="24"/>
          <w:szCs w:val="24"/>
          <w:u w:val="single"/>
        </w:rPr>
      </w:pPr>
    </w:p>
    <w:p w14:paraId="1FC9EAE0" w14:textId="77777777" w:rsidR="006B1ABC" w:rsidRPr="003515AD" w:rsidRDefault="006B1ABC" w:rsidP="00A575C3">
      <w:pPr>
        <w:autoSpaceDE w:val="0"/>
        <w:autoSpaceDN w:val="0"/>
        <w:adjustRightInd w:val="0"/>
        <w:jc w:val="center"/>
        <w:rPr>
          <w:b/>
          <w:szCs w:val="24"/>
        </w:rPr>
      </w:pPr>
      <w:r w:rsidRPr="003515AD">
        <w:rPr>
          <w:b/>
          <w:szCs w:val="24"/>
        </w:rPr>
        <w:t>27 §</w:t>
      </w:r>
    </w:p>
    <w:p w14:paraId="20444BF3" w14:textId="77777777" w:rsidR="006B1ABC" w:rsidRPr="003515AD" w:rsidRDefault="006B1ABC" w:rsidP="00A575C3">
      <w:pPr>
        <w:autoSpaceDE w:val="0"/>
        <w:autoSpaceDN w:val="0"/>
        <w:adjustRightInd w:val="0"/>
        <w:jc w:val="center"/>
        <w:rPr>
          <w:b/>
          <w:iCs/>
          <w:szCs w:val="24"/>
        </w:rPr>
      </w:pPr>
      <w:r w:rsidRPr="003515AD">
        <w:rPr>
          <w:b/>
          <w:iCs/>
          <w:szCs w:val="24"/>
        </w:rPr>
        <w:t>Turvallisuusluvasta vapautettu toiminta</w:t>
      </w:r>
    </w:p>
    <w:p w14:paraId="77226212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</w:p>
    <w:p w14:paraId="7D194099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Turvallisuuslupaa ei säteilylain 49 §:n 1 momentin 9 kohdan nojalla tarvita:</w:t>
      </w:r>
    </w:p>
    <w:p w14:paraId="4CD03BB8" w14:textId="77777777" w:rsidR="00A575C3" w:rsidRPr="003515AD" w:rsidRDefault="00A575C3" w:rsidP="00A575C3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−−−−−−−−−−−−−−−−−−</w:t>
      </w:r>
    </w:p>
    <w:p w14:paraId="6B8FF1B6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  <w:bookmarkStart w:id="1" w:name="_Hlk43372047"/>
      <w:r w:rsidRPr="003515AD">
        <w:rPr>
          <w:szCs w:val="24"/>
        </w:rPr>
        <w:t>3) radioaktiivista amerikium-241-, strontium- 90- tai cesium-137-isotooppia enintään 40 kilobecquereliä sisältävä säteilyturvallisuusominaisuuksiltaan</w:t>
      </w:r>
    </w:p>
    <w:p w14:paraId="0C38B43A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opetuskäyttöön tarkoitetun umpilähteen käyttöön opetusvälineenä kouluissa, ammatillisissa oppilaitoksissa ja niihin rinnastettavissa laitoksissa edellyttäen, että oppilaitos on nimennyt säteilyturvallisuudesta huolehtivan vastuuhenkilön;</w:t>
      </w:r>
      <w:bookmarkEnd w:id="1"/>
    </w:p>
    <w:p w14:paraId="7666D821" w14:textId="77777777" w:rsidR="006B1ABC" w:rsidRPr="003515AD" w:rsidRDefault="006B1ABC" w:rsidP="006B1ABC">
      <w:pPr>
        <w:autoSpaceDE w:val="0"/>
        <w:autoSpaceDN w:val="0"/>
        <w:adjustRightInd w:val="0"/>
        <w:rPr>
          <w:strike/>
          <w:szCs w:val="24"/>
        </w:rPr>
      </w:pPr>
      <w:r w:rsidRPr="003515AD">
        <w:rPr>
          <w:szCs w:val="24"/>
        </w:rPr>
        <w:t>4) radioaktiivista ainetta enintään vapaarajan suuruisen määrän sisältävien lamppujen ja sytyttimien käyttöön siinä tarkoituksessa, mihin ne on suunniteltu, jälleenmyyntiin sekä käyttöön ja jälleenmyyntiin liittyvään hallussapitoon, säilyttämiseen, varastointiin, asennukseen, huoltoon ja korjaukseen</w:t>
      </w:r>
      <w:r w:rsidR="00A575C3" w:rsidRPr="003515AD">
        <w:rPr>
          <w:szCs w:val="24"/>
        </w:rPr>
        <w:t>;</w:t>
      </w:r>
    </w:p>
    <w:p w14:paraId="627E59A1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5) elektronimikroskooppien käyttöön</w:t>
      </w:r>
      <w:r w:rsidR="00A575C3" w:rsidRPr="003515AD">
        <w:rPr>
          <w:szCs w:val="24"/>
        </w:rPr>
        <w:t>.</w:t>
      </w:r>
    </w:p>
    <w:p w14:paraId="24416835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</w:p>
    <w:p w14:paraId="7C47703F" w14:textId="77777777" w:rsidR="006B1ABC" w:rsidRPr="003515AD" w:rsidRDefault="006B1ABC" w:rsidP="00A575C3">
      <w:pPr>
        <w:autoSpaceDE w:val="0"/>
        <w:autoSpaceDN w:val="0"/>
        <w:jc w:val="center"/>
        <w:rPr>
          <w:b/>
          <w:szCs w:val="24"/>
        </w:rPr>
      </w:pPr>
      <w:r w:rsidRPr="003515AD">
        <w:rPr>
          <w:b/>
          <w:szCs w:val="24"/>
        </w:rPr>
        <w:t>28 §</w:t>
      </w:r>
    </w:p>
    <w:p w14:paraId="5BAA2D87" w14:textId="77777777" w:rsidR="006B1ABC" w:rsidRPr="003515AD" w:rsidRDefault="006B1ABC" w:rsidP="00A575C3">
      <w:pPr>
        <w:autoSpaceDE w:val="0"/>
        <w:autoSpaceDN w:val="0"/>
        <w:jc w:val="center"/>
        <w:rPr>
          <w:b/>
          <w:iCs/>
          <w:szCs w:val="24"/>
        </w:rPr>
      </w:pPr>
      <w:r w:rsidRPr="003515AD">
        <w:rPr>
          <w:b/>
          <w:iCs/>
          <w:szCs w:val="24"/>
        </w:rPr>
        <w:t>Turvallisuusluvasta vapauttamisen edellytykset</w:t>
      </w:r>
    </w:p>
    <w:p w14:paraId="2AA16BA3" w14:textId="77777777" w:rsidR="006B1ABC" w:rsidRPr="003515AD" w:rsidRDefault="006B1ABC" w:rsidP="006B1ABC">
      <w:pPr>
        <w:autoSpaceDE w:val="0"/>
        <w:autoSpaceDN w:val="0"/>
        <w:rPr>
          <w:szCs w:val="24"/>
        </w:rPr>
      </w:pPr>
    </w:p>
    <w:p w14:paraId="0DAB0CA8" w14:textId="5E335085" w:rsidR="00A575C3" w:rsidRPr="003515AD" w:rsidRDefault="006B1ABC" w:rsidP="006B1ABC">
      <w:pPr>
        <w:autoSpaceDE w:val="0"/>
        <w:autoSpaceDN w:val="0"/>
        <w:rPr>
          <w:szCs w:val="24"/>
        </w:rPr>
      </w:pPr>
      <w:r w:rsidRPr="003515AD">
        <w:rPr>
          <w:szCs w:val="24"/>
        </w:rPr>
        <w:t xml:space="preserve">Säteilyaltistus </w:t>
      </w:r>
      <w:r w:rsidR="00A768E2">
        <w:rPr>
          <w:szCs w:val="24"/>
        </w:rPr>
        <w:t>ei</w:t>
      </w:r>
      <w:r w:rsidRPr="003515AD">
        <w:rPr>
          <w:szCs w:val="24"/>
        </w:rPr>
        <w:t xml:space="preserve"> säteilylain 50 §:n 1 momentin 1 kohdassa tarkoitetulla tavalla </w:t>
      </w:r>
      <w:r w:rsidR="00A768E2">
        <w:rPr>
          <w:szCs w:val="24"/>
        </w:rPr>
        <w:t>aiheuta terveyshaittaa</w:t>
      </w:r>
      <w:r w:rsidRPr="003515AD">
        <w:rPr>
          <w:szCs w:val="24"/>
        </w:rPr>
        <w:t>, jos väestön yksilölle aiheutuva efektiivinen annos on epätodennäköisiä säteilyturvallisuuspoikkeamia lukuun ottamatta enintään suuruusluokkaa:</w:t>
      </w:r>
    </w:p>
    <w:p w14:paraId="76114499" w14:textId="77777777" w:rsidR="006B1ABC" w:rsidRPr="003515AD" w:rsidRDefault="006B1ABC" w:rsidP="006B1ABC">
      <w:pPr>
        <w:autoSpaceDE w:val="0"/>
        <w:autoSpaceDN w:val="0"/>
        <w:rPr>
          <w:szCs w:val="24"/>
        </w:rPr>
      </w:pPr>
      <w:r w:rsidRPr="003515AD">
        <w:rPr>
          <w:szCs w:val="24"/>
        </w:rPr>
        <w:t>1) 10 mikrosievertiä vuodessa säteilylähteistä;</w:t>
      </w:r>
    </w:p>
    <w:p w14:paraId="0F818AEF" w14:textId="77777777" w:rsidR="006B1ABC" w:rsidRPr="003515AD" w:rsidRDefault="006B1ABC" w:rsidP="006B1ABC">
      <w:pPr>
        <w:autoSpaceDE w:val="0"/>
        <w:autoSpaceDN w:val="0"/>
        <w:rPr>
          <w:szCs w:val="24"/>
        </w:rPr>
      </w:pPr>
      <w:r w:rsidRPr="003515AD">
        <w:rPr>
          <w:szCs w:val="24"/>
        </w:rPr>
        <w:t xml:space="preserve">2) säteilylain 144 §:ssä tarkoitetun viitearvon suuruinen luonnonsäteilystä. </w:t>
      </w:r>
    </w:p>
    <w:p w14:paraId="77BBB548" w14:textId="77777777" w:rsidR="006B1ABC" w:rsidRPr="003515AD" w:rsidRDefault="006B1ABC" w:rsidP="006B1ABC">
      <w:pPr>
        <w:autoSpaceDE w:val="0"/>
        <w:autoSpaceDN w:val="0"/>
        <w:rPr>
          <w:szCs w:val="24"/>
        </w:rPr>
      </w:pPr>
    </w:p>
    <w:p w14:paraId="77268FC7" w14:textId="77777777" w:rsidR="006B1ABC" w:rsidRPr="003515AD" w:rsidRDefault="006B1ABC" w:rsidP="006B1ABC">
      <w:pPr>
        <w:autoSpaceDE w:val="0"/>
        <w:autoSpaceDN w:val="0"/>
        <w:rPr>
          <w:szCs w:val="24"/>
        </w:rPr>
      </w:pPr>
      <w:r w:rsidRPr="003515AD">
        <w:rPr>
          <w:szCs w:val="24"/>
        </w:rPr>
        <w:t>Toiminta on säteilylain 50 §:n 1 momentin 3 kohdassa tarkoitetulla tavalla lähtökohtaisesti</w:t>
      </w:r>
    </w:p>
    <w:p w14:paraId="1D66B29E" w14:textId="77777777" w:rsidR="006B1ABC" w:rsidRPr="003515AD" w:rsidRDefault="006B1ABC" w:rsidP="006B1ABC">
      <w:pPr>
        <w:autoSpaceDE w:val="0"/>
        <w:autoSpaceDN w:val="0"/>
        <w:rPr>
          <w:szCs w:val="24"/>
        </w:rPr>
      </w:pPr>
      <w:r w:rsidRPr="003515AD">
        <w:rPr>
          <w:szCs w:val="24"/>
        </w:rPr>
        <w:t>turvallista, jos:</w:t>
      </w:r>
    </w:p>
    <w:p w14:paraId="07DF0B7A" w14:textId="77777777" w:rsidR="006B1ABC" w:rsidRPr="003515AD" w:rsidRDefault="006B1ABC" w:rsidP="00A575C3">
      <w:pPr>
        <w:pStyle w:val="Luettelokappale"/>
        <w:numPr>
          <w:ilvl w:val="0"/>
          <w:numId w:val="12"/>
        </w:numPr>
        <w:autoSpaceDE w:val="0"/>
        <w:autoSpaceDN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15AD">
        <w:rPr>
          <w:rFonts w:ascii="Times New Roman" w:eastAsia="Times New Roman" w:hAnsi="Times New Roman" w:cs="Times New Roman"/>
          <w:sz w:val="24"/>
          <w:szCs w:val="24"/>
        </w:rPr>
        <w:t>työntekijöitä ei tarvitse luokitella säteilytyöntekijöiksi; ja</w:t>
      </w:r>
    </w:p>
    <w:p w14:paraId="12C80404" w14:textId="77777777" w:rsidR="006B1ABC" w:rsidRPr="003515AD" w:rsidRDefault="006B1ABC" w:rsidP="00A575C3">
      <w:pPr>
        <w:pStyle w:val="Luettelokappale"/>
        <w:numPr>
          <w:ilvl w:val="0"/>
          <w:numId w:val="12"/>
        </w:numPr>
        <w:autoSpaceDE w:val="0"/>
        <w:autoSpaceDN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515AD">
        <w:rPr>
          <w:rFonts w:ascii="Times New Roman" w:eastAsia="Times New Roman" w:hAnsi="Times New Roman" w:cs="Times New Roman"/>
          <w:sz w:val="24"/>
          <w:szCs w:val="24"/>
        </w:rPr>
        <w:t>epätodennäköisissä säteilyturvallisuuspoikkeamissa väestön yksilölle aiheutuva efektiivinen annos on enintään 1 millisievert vuodessa.</w:t>
      </w:r>
    </w:p>
    <w:p w14:paraId="1E4EC5E0" w14:textId="77777777" w:rsidR="003515AD" w:rsidRPr="003515AD" w:rsidRDefault="003515AD" w:rsidP="003515AD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−−−−−−−−−−−−−−−−−−</w:t>
      </w:r>
    </w:p>
    <w:p w14:paraId="4F09F399" w14:textId="77777777" w:rsidR="006B1ABC" w:rsidRPr="003515AD" w:rsidRDefault="006B1ABC" w:rsidP="006B1ABC">
      <w:pPr>
        <w:autoSpaceDE w:val="0"/>
        <w:autoSpaceDN w:val="0"/>
        <w:adjustRightInd w:val="0"/>
        <w:jc w:val="center"/>
        <w:rPr>
          <w:b/>
          <w:szCs w:val="24"/>
        </w:rPr>
      </w:pPr>
      <w:r w:rsidRPr="003515AD">
        <w:rPr>
          <w:b/>
          <w:szCs w:val="24"/>
        </w:rPr>
        <w:t>30 §</w:t>
      </w:r>
    </w:p>
    <w:p w14:paraId="4BD30A86" w14:textId="77777777" w:rsidR="006B1ABC" w:rsidRPr="003515AD" w:rsidRDefault="006B1ABC" w:rsidP="006B1ABC">
      <w:pPr>
        <w:autoSpaceDE w:val="0"/>
        <w:autoSpaceDN w:val="0"/>
        <w:adjustRightInd w:val="0"/>
        <w:jc w:val="center"/>
        <w:rPr>
          <w:b/>
          <w:iCs/>
          <w:szCs w:val="24"/>
        </w:rPr>
      </w:pPr>
      <w:r w:rsidRPr="003515AD">
        <w:rPr>
          <w:b/>
          <w:iCs/>
          <w:szCs w:val="24"/>
        </w:rPr>
        <w:t>Radioaktiivinen jäte</w:t>
      </w:r>
    </w:p>
    <w:p w14:paraId="7A479DA1" w14:textId="77777777" w:rsidR="006B1ABC" w:rsidRPr="003515AD" w:rsidRDefault="006B1ABC" w:rsidP="006B1ABC">
      <w:pPr>
        <w:autoSpaceDE w:val="0"/>
        <w:autoSpaceDN w:val="0"/>
        <w:adjustRightInd w:val="0"/>
        <w:rPr>
          <w:strike/>
          <w:szCs w:val="24"/>
        </w:rPr>
      </w:pPr>
      <w:r w:rsidRPr="003515AD">
        <w:rPr>
          <w:szCs w:val="24"/>
        </w:rPr>
        <w:t xml:space="preserve"> </w:t>
      </w:r>
    </w:p>
    <w:p w14:paraId="2877195C" w14:textId="77777777" w:rsidR="006B1ABC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Säteilylähde, jolle ei ole käyttöä tai jolle ei löydy omistajaa, ei ole radioaktiivista jätettä, jos sen aktiivisuus tai aktiivisuuspitoisuus on pienempi kuin säteilylain 49 §:ssä tarkoitetun vapaarajan arvo. Jos lähteessä on eri radionuklideja tai kerrallaan käsitellään useampia lähteitä, radioaktiivista jätettä ei ole säteilylähde tai säteilylähde-erä, jossa nuklidikohtainen aktiivisuus tai aktiivisuuspitoisuus jaettuna vastaavalla vapaarajan arvolla kaikkien nuklidien osalta yhteenlaskettuna on pienempi kuin yksi.</w:t>
      </w:r>
    </w:p>
    <w:p w14:paraId="7C14993D" w14:textId="77777777" w:rsidR="003515AD" w:rsidRPr="003515AD" w:rsidRDefault="003515AD" w:rsidP="006B1ABC">
      <w:pPr>
        <w:autoSpaceDE w:val="0"/>
        <w:autoSpaceDN w:val="0"/>
        <w:adjustRightInd w:val="0"/>
        <w:rPr>
          <w:szCs w:val="24"/>
          <w:u w:val="single"/>
        </w:rPr>
      </w:pPr>
    </w:p>
    <w:p w14:paraId="3D47A98E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Säteilylain 84 §:n nojalla uudelleenkäytettävä, kierrätettävä, hyödynnettävä ja loppukäsiteltävä</w:t>
      </w:r>
    </w:p>
    <w:p w14:paraId="014071C0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jäte tai materiaali sekä säteilylain 127 §:n nojalla ympäristöön tai viemäriverkostoon päästetyt radioaktiiviset aineet eivät ole radioaktiivista jätettä.</w:t>
      </w:r>
    </w:p>
    <w:p w14:paraId="205878F7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</w:p>
    <w:p w14:paraId="7D2567A1" w14:textId="77777777" w:rsidR="001D04D6" w:rsidRPr="001D04D6" w:rsidRDefault="006B1ABC" w:rsidP="001D04D6">
      <w:pPr>
        <w:autoSpaceDE w:val="0"/>
        <w:autoSpaceDN w:val="0"/>
        <w:adjustRightInd w:val="0"/>
        <w:jc w:val="center"/>
        <w:rPr>
          <w:b/>
          <w:szCs w:val="24"/>
        </w:rPr>
      </w:pPr>
      <w:r w:rsidRPr="003515AD">
        <w:rPr>
          <w:b/>
          <w:szCs w:val="24"/>
        </w:rPr>
        <w:t xml:space="preserve">52 § </w:t>
      </w:r>
    </w:p>
    <w:p w14:paraId="1F059745" w14:textId="77777777" w:rsidR="006B1ABC" w:rsidRDefault="006B1ABC" w:rsidP="001D04D6">
      <w:pPr>
        <w:autoSpaceDE w:val="0"/>
        <w:autoSpaceDN w:val="0"/>
        <w:adjustRightInd w:val="0"/>
        <w:jc w:val="center"/>
        <w:rPr>
          <w:b/>
          <w:szCs w:val="24"/>
        </w:rPr>
      </w:pPr>
      <w:r w:rsidRPr="003515AD">
        <w:rPr>
          <w:b/>
          <w:szCs w:val="24"/>
        </w:rPr>
        <w:t>Säteilyaltistuksen selvittämistä edellyttävät maa-, kivi- tai muihin aineksiin liittyvät toiminnat</w:t>
      </w:r>
    </w:p>
    <w:p w14:paraId="3488F308" w14:textId="77777777" w:rsidR="001D04D6" w:rsidRPr="003515AD" w:rsidRDefault="001D04D6" w:rsidP="001D04D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04E03FE5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Säteilylain 151 §:ssä tarkoitettuja toimintoja, joissa luonnonsäteilystä aiheutuva säteilyaltistus voi olla viitearvoa suurempi, ovat ainakin:</w:t>
      </w:r>
    </w:p>
    <w:p w14:paraId="29FFDA55" w14:textId="77777777" w:rsidR="006B1ABC" w:rsidRPr="003515AD" w:rsidRDefault="003515AD" w:rsidP="001D04D6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−−−−−−−−−−−−−−−−−−</w:t>
      </w:r>
    </w:p>
    <w:p w14:paraId="5767B3D0" w14:textId="77777777" w:rsidR="006B1ABC" w:rsidRPr="003515AD" w:rsidRDefault="006B1ABC" w:rsidP="006B1ABC">
      <w:pPr>
        <w:autoSpaceDE w:val="0"/>
        <w:autoSpaceDN w:val="0"/>
        <w:adjustRightInd w:val="0"/>
        <w:jc w:val="both"/>
        <w:rPr>
          <w:szCs w:val="24"/>
          <w:u w:val="single"/>
        </w:rPr>
      </w:pPr>
      <w:r w:rsidRPr="003515AD">
        <w:rPr>
          <w:szCs w:val="24"/>
        </w:rPr>
        <w:t>15) muiden malmien kuin uraanimalmin louhinta ja rikastus;</w:t>
      </w:r>
    </w:p>
    <w:p w14:paraId="406A1099" w14:textId="77777777" w:rsidR="006B1ABC" w:rsidRPr="003515AD" w:rsidRDefault="006B1ABC" w:rsidP="006B1ABC">
      <w:pPr>
        <w:autoSpaceDE w:val="0"/>
        <w:autoSpaceDN w:val="0"/>
        <w:adjustRightInd w:val="0"/>
        <w:jc w:val="both"/>
        <w:rPr>
          <w:szCs w:val="24"/>
        </w:rPr>
      </w:pPr>
      <w:r w:rsidRPr="003515AD">
        <w:rPr>
          <w:szCs w:val="24"/>
        </w:rPr>
        <w:t>16) raudan alkutuotanto.</w:t>
      </w:r>
    </w:p>
    <w:p w14:paraId="400B95D9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  <w:u w:val="single"/>
        </w:rPr>
      </w:pPr>
    </w:p>
    <w:p w14:paraId="17807EA0" w14:textId="77777777" w:rsidR="006B1ABC" w:rsidRPr="003515AD" w:rsidRDefault="006B1ABC" w:rsidP="006B1ABC">
      <w:pPr>
        <w:rPr>
          <w:szCs w:val="24"/>
        </w:rPr>
      </w:pPr>
    </w:p>
    <w:p w14:paraId="37867CF8" w14:textId="77777777" w:rsidR="006B1ABC" w:rsidRPr="001D04D6" w:rsidRDefault="006B1ABC" w:rsidP="006B1ABC">
      <w:pPr>
        <w:autoSpaceDE w:val="0"/>
        <w:autoSpaceDN w:val="0"/>
        <w:adjustRightInd w:val="0"/>
        <w:jc w:val="center"/>
        <w:rPr>
          <w:b/>
          <w:szCs w:val="24"/>
        </w:rPr>
      </w:pPr>
      <w:r w:rsidRPr="001D04D6">
        <w:rPr>
          <w:b/>
          <w:szCs w:val="24"/>
        </w:rPr>
        <w:t>53 §</w:t>
      </w:r>
    </w:p>
    <w:p w14:paraId="3D74FC74" w14:textId="77777777" w:rsidR="006B1ABC" w:rsidRPr="001D04D6" w:rsidRDefault="006B1ABC" w:rsidP="006B1ABC">
      <w:pPr>
        <w:autoSpaceDE w:val="0"/>
        <w:autoSpaceDN w:val="0"/>
        <w:adjustRightInd w:val="0"/>
        <w:jc w:val="center"/>
        <w:rPr>
          <w:b/>
          <w:iCs/>
          <w:szCs w:val="24"/>
        </w:rPr>
      </w:pPr>
      <w:r w:rsidRPr="001D04D6">
        <w:rPr>
          <w:b/>
          <w:iCs/>
          <w:szCs w:val="24"/>
        </w:rPr>
        <w:t>Säteilyaltistuksen selvittämistä edellyttävät rakennustuotteet</w:t>
      </w:r>
    </w:p>
    <w:p w14:paraId="4C05B71F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</w:p>
    <w:p w14:paraId="124EF6F5" w14:textId="77777777" w:rsidR="006B1ABC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Säteilylain 153 §:ssä tarkoitettuja rakennustuotteita, joissa luonnonsäteilystä aiheutuva säteilyaltistus voi olla viitearvoa suurempi, ovat ainakin:</w:t>
      </w:r>
    </w:p>
    <w:p w14:paraId="7A64CE8C" w14:textId="77777777" w:rsidR="001D04D6" w:rsidRPr="003515AD" w:rsidRDefault="001D04D6" w:rsidP="001D04D6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−−−−−−−−−−−−−−−−−−</w:t>
      </w:r>
    </w:p>
    <w:p w14:paraId="0854BDE2" w14:textId="77777777" w:rsidR="006B1ABC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 xml:space="preserve">2) </w:t>
      </w:r>
      <w:r w:rsidRPr="001D04D6">
        <w:rPr>
          <w:szCs w:val="24"/>
        </w:rPr>
        <w:t>talonrakentamiseen käytettävät</w:t>
      </w:r>
      <w:r w:rsidRPr="003515AD">
        <w:rPr>
          <w:szCs w:val="24"/>
        </w:rPr>
        <w:t xml:space="preserve"> rakennustuotteet, joiden pääasiallisena raaka-aineena on käytetty graniittia tai muita granitoideja kuten granodioriittia, tonaliittia tai gneissiä sisältävää kalliomursketta, soraa tai hiekkaa;</w:t>
      </w:r>
    </w:p>
    <w:p w14:paraId="360545AB" w14:textId="77777777" w:rsidR="001D04D6" w:rsidRPr="003515AD" w:rsidRDefault="001D04D6" w:rsidP="001D04D6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−−−−−−−−−−−−−−−−−−</w:t>
      </w:r>
    </w:p>
    <w:p w14:paraId="034E7E4D" w14:textId="77777777" w:rsidR="006B1ABC" w:rsidRPr="001D04D6" w:rsidRDefault="006B1ABC" w:rsidP="001D04D6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755006E4" w14:textId="77777777" w:rsidR="006B1ABC" w:rsidRPr="001D04D6" w:rsidRDefault="006B1ABC" w:rsidP="001D04D6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1D04D6">
        <w:rPr>
          <w:b/>
          <w:szCs w:val="24"/>
        </w:rPr>
        <w:t>64 a §</w:t>
      </w:r>
    </w:p>
    <w:p w14:paraId="1A255E81" w14:textId="77777777" w:rsidR="006B1ABC" w:rsidRPr="001D04D6" w:rsidRDefault="006B1ABC" w:rsidP="001D04D6">
      <w:pPr>
        <w:autoSpaceDE w:val="0"/>
        <w:autoSpaceDN w:val="0"/>
        <w:adjustRightInd w:val="0"/>
        <w:jc w:val="center"/>
        <w:rPr>
          <w:b/>
          <w:iCs/>
          <w:szCs w:val="24"/>
        </w:rPr>
      </w:pPr>
      <w:r w:rsidRPr="001D04D6">
        <w:rPr>
          <w:b/>
          <w:iCs/>
          <w:szCs w:val="24"/>
        </w:rPr>
        <w:t>Palkkiot</w:t>
      </w:r>
    </w:p>
    <w:p w14:paraId="26A74738" w14:textId="77777777" w:rsidR="006B1ABC" w:rsidRPr="003515AD" w:rsidRDefault="006B1ABC" w:rsidP="006B1ABC">
      <w:pPr>
        <w:spacing w:before="100" w:beforeAutospacing="1" w:after="100" w:afterAutospacing="1"/>
        <w:rPr>
          <w:szCs w:val="24"/>
          <w:lang w:eastAsia="fi-FI"/>
        </w:rPr>
      </w:pPr>
      <w:r w:rsidRPr="003515AD">
        <w:rPr>
          <w:szCs w:val="24"/>
          <w:lang w:eastAsia="fi-FI"/>
        </w:rPr>
        <w:t xml:space="preserve">Säteilyturvallisuusneuvottelukunnan kokouksista maksetaan palkkio valtiovarainministeriön kulloinkin voimassa olevan suosituksen mukaisesti. </w:t>
      </w:r>
    </w:p>
    <w:p w14:paraId="7A63E656" w14:textId="77777777" w:rsidR="006B1ABC" w:rsidRPr="003515AD" w:rsidRDefault="006B1ABC" w:rsidP="006B1ABC">
      <w:pPr>
        <w:spacing w:before="100" w:beforeAutospacing="1" w:after="100" w:afterAutospacing="1"/>
        <w:rPr>
          <w:szCs w:val="24"/>
          <w:lang w:eastAsia="fi-FI"/>
        </w:rPr>
      </w:pPr>
      <w:r w:rsidRPr="003515AD">
        <w:rPr>
          <w:szCs w:val="24"/>
          <w:lang w:eastAsia="fi-FI"/>
        </w:rPr>
        <w:t>Säteilyturvallisuusneuvottelukunnan jäsenille, jaostojen pysyville asiantuntijoille ja asiantuntijoille maksetaan lisäksi kokouksissa käsiteltävien asioiden valmistelua koskeva palkkio, jonka perusteet vahvistaa sosiaali- ja terveysministeriö.</w:t>
      </w:r>
    </w:p>
    <w:p w14:paraId="65887DE1" w14:textId="77777777" w:rsidR="006B1ABC" w:rsidRDefault="006B1ABC" w:rsidP="006B1ABC">
      <w:pPr>
        <w:rPr>
          <w:szCs w:val="24"/>
          <w:lang w:eastAsia="fi-FI"/>
        </w:rPr>
      </w:pPr>
      <w:r w:rsidRPr="003515AD">
        <w:rPr>
          <w:szCs w:val="24"/>
          <w:lang w:eastAsia="fi-FI"/>
        </w:rPr>
        <w:t>Matkakustannusten korvaamiseen sovelletaan valtion virka- ja työehtosopimusta matkakustannusten korvaamisesta.</w:t>
      </w:r>
    </w:p>
    <w:p w14:paraId="40521EB1" w14:textId="77777777" w:rsidR="00AA3667" w:rsidRDefault="00AA3667" w:rsidP="006B1ABC">
      <w:pPr>
        <w:rPr>
          <w:szCs w:val="24"/>
          <w:lang w:eastAsia="fi-FI"/>
        </w:rPr>
      </w:pPr>
    </w:p>
    <w:p w14:paraId="2970531B" w14:textId="77777777" w:rsidR="00AA3667" w:rsidRPr="003515AD" w:rsidRDefault="00AA3667" w:rsidP="006B1ABC">
      <w:pPr>
        <w:rPr>
          <w:szCs w:val="24"/>
          <w:lang w:eastAsia="fi-FI"/>
        </w:rPr>
      </w:pPr>
      <w:r>
        <w:rPr>
          <w:szCs w:val="24"/>
          <w:lang w:eastAsia="fi-FI"/>
        </w:rPr>
        <w:t xml:space="preserve">Päiväys ja allekirjoitukset. </w:t>
      </w:r>
    </w:p>
    <w:p w14:paraId="5530EE60" w14:textId="77777777" w:rsidR="006B1ABC" w:rsidRDefault="006B1ABC" w:rsidP="006B1ABC">
      <w:pPr>
        <w:rPr>
          <w:szCs w:val="24"/>
          <w:lang w:eastAsia="fi-FI"/>
        </w:rPr>
      </w:pPr>
    </w:p>
    <w:p w14:paraId="5135C239" w14:textId="77777777" w:rsidR="001D04D6" w:rsidRPr="003515AD" w:rsidRDefault="001D04D6" w:rsidP="006B1ABC">
      <w:pPr>
        <w:rPr>
          <w:szCs w:val="24"/>
          <w:lang w:eastAsia="fi-FI"/>
        </w:rPr>
      </w:pPr>
    </w:p>
    <w:p w14:paraId="1668ED62" w14:textId="77777777" w:rsidR="006B1ABC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LIITE 5</w:t>
      </w:r>
    </w:p>
    <w:p w14:paraId="526798ED" w14:textId="77777777" w:rsidR="001D04D6" w:rsidRDefault="001D04D6" w:rsidP="006B1ABC">
      <w:pPr>
        <w:autoSpaceDE w:val="0"/>
        <w:autoSpaceDN w:val="0"/>
        <w:adjustRightInd w:val="0"/>
        <w:rPr>
          <w:szCs w:val="24"/>
        </w:rPr>
      </w:pPr>
    </w:p>
    <w:p w14:paraId="6B628B25" w14:textId="77777777" w:rsidR="001D04D6" w:rsidRDefault="001D04D6" w:rsidP="006B1AB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Turvallisuuslupahakemuksessa esitettävä tiedot</w:t>
      </w:r>
    </w:p>
    <w:p w14:paraId="3E80FC7C" w14:textId="77777777" w:rsidR="001D04D6" w:rsidRPr="001D04D6" w:rsidRDefault="001D04D6" w:rsidP="001D04D6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−−−−−−−−−−−−−−−−−−</w:t>
      </w:r>
    </w:p>
    <w:p w14:paraId="7562E634" w14:textId="77777777" w:rsidR="001D04D6" w:rsidRPr="003515AD" w:rsidRDefault="001D04D6" w:rsidP="006B1ABC">
      <w:pPr>
        <w:autoSpaceDE w:val="0"/>
        <w:autoSpaceDN w:val="0"/>
        <w:adjustRightInd w:val="0"/>
        <w:rPr>
          <w:szCs w:val="24"/>
        </w:rPr>
      </w:pPr>
    </w:p>
    <w:p w14:paraId="6E264BD4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>2. Säteilylähteistä ja niihin liittyvistä laitteista ja varusteista on esitettävä tekniset tiedot, jotka osoittavat niiden täyttävän Säteilyturvakeskuksen määräykset käytönaikaisesta säteilyturvallisuudesta. Lisäksi säteilylähteistä on esitettävä:</w:t>
      </w:r>
    </w:p>
    <w:p w14:paraId="4E37F66E" w14:textId="77777777" w:rsidR="001D04D6" w:rsidRPr="001D04D6" w:rsidRDefault="001D04D6" w:rsidP="001D04D6">
      <w:pPr>
        <w:pStyle w:val="Luettelokappale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</w:rPr>
      </w:pPr>
      <w:r w:rsidRPr="003515AD">
        <w:rPr>
          <w:rFonts w:ascii="Times New Roman" w:hAnsi="Times New Roman" w:cs="Times New Roman"/>
          <w:sz w:val="24"/>
          <w:szCs w:val="24"/>
        </w:rPr>
        <w:t>−−−−−−−−−−−−−−−−−−</w:t>
      </w:r>
    </w:p>
    <w:p w14:paraId="53F5C1E3" w14:textId="77777777" w:rsidR="006B1ABC" w:rsidRPr="003515AD" w:rsidRDefault="006B1ABC" w:rsidP="006B1ABC">
      <w:pPr>
        <w:autoSpaceDE w:val="0"/>
        <w:autoSpaceDN w:val="0"/>
        <w:adjustRightInd w:val="0"/>
        <w:rPr>
          <w:szCs w:val="24"/>
        </w:rPr>
      </w:pPr>
      <w:r w:rsidRPr="003515AD">
        <w:rPr>
          <w:szCs w:val="24"/>
        </w:rPr>
        <w:t xml:space="preserve">2.3. sähköisesti säteilyä tuottavasta laitteesta: säteilylaji ja säteilytuottoon vaikuttavien keskeisten parametrien arvot </w:t>
      </w:r>
      <w:r w:rsidRPr="0092594B">
        <w:rPr>
          <w:szCs w:val="24"/>
        </w:rPr>
        <w:t>sekä laitteen yksilöivä tunnus</w:t>
      </w:r>
      <w:r w:rsidRPr="003515AD">
        <w:rPr>
          <w:szCs w:val="24"/>
        </w:rPr>
        <w:t>;</w:t>
      </w:r>
    </w:p>
    <w:p w14:paraId="258D4DC5" w14:textId="77777777" w:rsidR="001C156D" w:rsidRDefault="00AA3667" w:rsidP="006B1ABC">
      <w:pPr>
        <w:rPr>
          <w:szCs w:val="24"/>
        </w:rPr>
      </w:pPr>
      <w:r w:rsidRPr="003515AD">
        <w:rPr>
          <w:szCs w:val="24"/>
        </w:rPr>
        <w:t>−−−−−−−−−−−−−−−−−−</w:t>
      </w:r>
    </w:p>
    <w:p w14:paraId="4A25D546" w14:textId="039FD3CF" w:rsidR="001D04D6" w:rsidRPr="003515AD" w:rsidRDefault="001D04D6" w:rsidP="006B1ABC">
      <w:pPr>
        <w:rPr>
          <w:szCs w:val="24"/>
        </w:rPr>
      </w:pPr>
      <w:r>
        <w:rPr>
          <w:szCs w:val="24"/>
        </w:rPr>
        <w:t>2.7 korkea-aktiivisten umpilähteiden vientiä, tuontia tai siirtoa koskeva e</w:t>
      </w:r>
      <w:r w:rsidR="00AA3667">
        <w:rPr>
          <w:szCs w:val="24"/>
        </w:rPr>
        <w:t>rittely jokaisesta vietävästä, t</w:t>
      </w:r>
      <w:r>
        <w:rPr>
          <w:szCs w:val="24"/>
        </w:rPr>
        <w:t>uotavasta tai siirrettävästä umpilähde-erästä erikseen;</w:t>
      </w:r>
    </w:p>
    <w:p w14:paraId="2873CCBA" w14:textId="77777777" w:rsidR="006B1ABC" w:rsidRPr="00AA3667" w:rsidRDefault="006B1ABC" w:rsidP="006B1ABC">
      <w:pPr>
        <w:autoSpaceDE w:val="0"/>
        <w:autoSpaceDN w:val="0"/>
        <w:adjustRightInd w:val="0"/>
        <w:rPr>
          <w:szCs w:val="24"/>
        </w:rPr>
      </w:pPr>
      <w:r w:rsidRPr="00AA3667">
        <w:rPr>
          <w:szCs w:val="24"/>
        </w:rPr>
        <w:t>2.8 kulutustavarasta: annosnopeus 0,1 metrin etäisyydellä kulutustavaran pinnalta ja sen käytössä kyseeseen tulevilla etäisyyksillä sekä tiedot tavasta, jolla radioaktiivinen aine on kiinnitetty.</w:t>
      </w:r>
    </w:p>
    <w:p w14:paraId="7D81BD6E" w14:textId="77777777" w:rsidR="006B1ABC" w:rsidRPr="003515AD" w:rsidRDefault="006B1ABC" w:rsidP="006B1ABC">
      <w:pPr>
        <w:rPr>
          <w:szCs w:val="24"/>
        </w:rPr>
      </w:pPr>
    </w:p>
    <w:p w14:paraId="754D1833" w14:textId="77777777" w:rsidR="006B1ABC" w:rsidRPr="003515AD" w:rsidRDefault="006B1ABC" w:rsidP="00167A06">
      <w:pPr>
        <w:pStyle w:val="Luettelokappale"/>
        <w:autoSpaceDE w:val="0"/>
        <w:autoSpaceDN w:val="0"/>
        <w:adjustRightInd w:val="0"/>
        <w:ind w:left="644"/>
        <w:rPr>
          <w:rFonts w:ascii="Times New Roman" w:hAnsi="Times New Roman" w:cs="Times New Roman"/>
          <w:sz w:val="24"/>
          <w:szCs w:val="24"/>
        </w:rPr>
      </w:pPr>
    </w:p>
    <w:p w14:paraId="29A64474" w14:textId="77777777" w:rsidR="00596AA5" w:rsidRPr="003515AD" w:rsidRDefault="00596AA5" w:rsidP="00596AA5">
      <w:pPr>
        <w:pStyle w:val="NormaaliWWW"/>
      </w:pPr>
    </w:p>
    <w:p w14:paraId="6A9CED94" w14:textId="77777777" w:rsidR="00596AA5" w:rsidRPr="003515AD" w:rsidRDefault="00596AA5" w:rsidP="00446E3A">
      <w:pPr>
        <w:rPr>
          <w:szCs w:val="24"/>
        </w:rPr>
      </w:pPr>
    </w:p>
    <w:sectPr w:rsidR="00596AA5" w:rsidRPr="003515AD" w:rsidSect="00562E6B">
      <w:headerReference w:type="default" r:id="rId11"/>
      <w:footerReference w:type="default" r:id="rId12"/>
      <w:headerReference w:type="first" r:id="rId13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E9056" w14:textId="77777777" w:rsidR="00451734" w:rsidRDefault="00451734" w:rsidP="008E0F4A">
      <w:r>
        <w:separator/>
      </w:r>
    </w:p>
  </w:endnote>
  <w:endnote w:type="continuationSeparator" w:id="0">
    <w:p w14:paraId="5D5244A9" w14:textId="77777777" w:rsidR="00451734" w:rsidRDefault="00451734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4438A" w14:textId="77777777" w:rsidR="006C3467" w:rsidRDefault="006C3467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C84FA" w14:textId="77777777" w:rsidR="00451734" w:rsidRDefault="00451734" w:rsidP="008E0F4A">
      <w:r>
        <w:separator/>
      </w:r>
    </w:p>
  </w:footnote>
  <w:footnote w:type="continuationSeparator" w:id="0">
    <w:p w14:paraId="1B3C4A03" w14:textId="77777777" w:rsidR="00451734" w:rsidRDefault="00451734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2EABABFD" w14:textId="3EEC403F" w:rsidR="006C3467" w:rsidRDefault="006C3467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414">
          <w:rPr>
            <w:noProof/>
          </w:rPr>
          <w:t>4</w:t>
        </w:r>
        <w:r>
          <w:rPr>
            <w:noProof/>
          </w:rPr>
          <w:fldChar w:fldCharType="end"/>
        </w:r>
        <w:r>
          <w:t>(</w:t>
        </w:r>
        <w:r w:rsidR="00451734">
          <w:fldChar w:fldCharType="begin"/>
        </w:r>
        <w:r w:rsidR="00451734">
          <w:instrText xml:space="preserve"> NUMPAGES   \* MERGEFORMAT </w:instrText>
        </w:r>
        <w:r w:rsidR="00451734">
          <w:fldChar w:fldCharType="separate"/>
        </w:r>
        <w:r w:rsidR="005B0414">
          <w:rPr>
            <w:noProof/>
          </w:rPr>
          <w:t>4</w:t>
        </w:r>
        <w:r w:rsidR="00451734">
          <w:rPr>
            <w:noProof/>
          </w:rPr>
          <w:fldChar w:fldCharType="end"/>
        </w:r>
        <w:r>
          <w:t>)</w:t>
        </w:r>
      </w:p>
      <w:p w14:paraId="0AF1D69D" w14:textId="77777777" w:rsidR="006C3467" w:rsidRDefault="006C3467" w:rsidP="00562E6B">
        <w:pPr>
          <w:tabs>
            <w:tab w:val="left" w:pos="5245"/>
          </w:tabs>
        </w:pPr>
        <w:r>
          <w:tab/>
        </w:r>
      </w:p>
      <w:p w14:paraId="7AC3065F" w14:textId="77777777" w:rsidR="006C3467" w:rsidRDefault="006C3467" w:rsidP="00562E6B"/>
      <w:p w14:paraId="26D85357" w14:textId="77777777" w:rsidR="006C3467" w:rsidRDefault="00451734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14:paraId="3398E42D" w14:textId="76A2B0D8" w:rsidR="006C3467" w:rsidRDefault="006C3467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734">
          <w:rPr>
            <w:noProof/>
          </w:rPr>
          <w:t>1</w:t>
        </w:r>
        <w:r>
          <w:rPr>
            <w:noProof/>
          </w:rPr>
          <w:fldChar w:fldCharType="end"/>
        </w:r>
        <w:r>
          <w:t>(</w:t>
        </w:r>
        <w:r w:rsidR="00451734">
          <w:fldChar w:fldCharType="begin"/>
        </w:r>
        <w:r w:rsidR="00451734">
          <w:instrText xml:space="preserve"> NUMPAGES   \* MERGEFORMAT </w:instrText>
        </w:r>
        <w:r w:rsidR="00451734">
          <w:fldChar w:fldCharType="separate"/>
        </w:r>
        <w:r w:rsidR="00451734">
          <w:rPr>
            <w:noProof/>
          </w:rPr>
          <w:t>1</w:t>
        </w:r>
        <w:r w:rsidR="00451734">
          <w:rPr>
            <w:noProof/>
          </w:rPr>
          <w:fldChar w:fldCharType="end"/>
        </w:r>
        <w:r>
          <w:t>)</w:t>
        </w:r>
      </w:p>
      <w:p w14:paraId="0B7670FC" w14:textId="77777777" w:rsidR="006C3467" w:rsidRDefault="00451734" w:rsidP="00CB4C78">
        <w:pPr>
          <w:ind w:left="5245"/>
        </w:pPr>
      </w:p>
    </w:sdtContent>
  </w:sdt>
  <w:p w14:paraId="59D936D5" w14:textId="77777777" w:rsidR="006C3467" w:rsidRDefault="006C3467" w:rsidP="00CB4C78"/>
  <w:p w14:paraId="7D19678F" w14:textId="77777777" w:rsidR="006C3467" w:rsidRDefault="006C3467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3E853DBA"/>
    <w:multiLevelType w:val="hybridMultilevel"/>
    <w:tmpl w:val="91169F6C"/>
    <w:lvl w:ilvl="0" w:tplc="F7CAAEB8">
      <w:start w:val="8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1184"/>
    <w:multiLevelType w:val="hybridMultilevel"/>
    <w:tmpl w:val="8188C49C"/>
    <w:lvl w:ilvl="0" w:tplc="351E143C">
      <w:start w:val="25"/>
      <w:numFmt w:val="bullet"/>
      <w:lvlText w:val="−"/>
      <w:lvlJc w:val="left"/>
      <w:pPr>
        <w:ind w:left="720" w:hanging="360"/>
      </w:pPr>
      <w:rPr>
        <w:rFonts w:ascii="Cambria" w:eastAsia="Times New Roman" w:hAnsi="Cambria" w:cs="TimesNewRomanPS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52E74"/>
    <w:multiLevelType w:val="hybridMultilevel"/>
    <w:tmpl w:val="E2DCAA2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0" w15:restartNumberingAfterBreak="0">
    <w:nsid w:val="7D9B6C00"/>
    <w:multiLevelType w:val="hybridMultilevel"/>
    <w:tmpl w:val="E9B0B282"/>
    <w:lvl w:ilvl="0" w:tplc="FCB0984A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A5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3450E"/>
    <w:rsid w:val="001431B7"/>
    <w:rsid w:val="00144D34"/>
    <w:rsid w:val="00147111"/>
    <w:rsid w:val="00155F3B"/>
    <w:rsid w:val="00167A06"/>
    <w:rsid w:val="001776E9"/>
    <w:rsid w:val="001B078B"/>
    <w:rsid w:val="001C156D"/>
    <w:rsid w:val="001D04D6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515AD"/>
    <w:rsid w:val="00367C90"/>
    <w:rsid w:val="00393411"/>
    <w:rsid w:val="003A2869"/>
    <w:rsid w:val="00414CD2"/>
    <w:rsid w:val="00446E3A"/>
    <w:rsid w:val="00451734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1E2C"/>
    <w:rsid w:val="005834E9"/>
    <w:rsid w:val="0059671F"/>
    <w:rsid w:val="00596AA5"/>
    <w:rsid w:val="005B0414"/>
    <w:rsid w:val="006131C2"/>
    <w:rsid w:val="006A4A91"/>
    <w:rsid w:val="006B1ABC"/>
    <w:rsid w:val="006C3467"/>
    <w:rsid w:val="006D40F8"/>
    <w:rsid w:val="006D6C2D"/>
    <w:rsid w:val="00722420"/>
    <w:rsid w:val="0076257D"/>
    <w:rsid w:val="007729CF"/>
    <w:rsid w:val="00783B52"/>
    <w:rsid w:val="00785D97"/>
    <w:rsid w:val="007A74D4"/>
    <w:rsid w:val="007B4560"/>
    <w:rsid w:val="007B4E42"/>
    <w:rsid w:val="007C2B22"/>
    <w:rsid w:val="007F4486"/>
    <w:rsid w:val="008107BE"/>
    <w:rsid w:val="00811D8D"/>
    <w:rsid w:val="008200A9"/>
    <w:rsid w:val="008559F2"/>
    <w:rsid w:val="00885EDF"/>
    <w:rsid w:val="008A0773"/>
    <w:rsid w:val="008A4280"/>
    <w:rsid w:val="008E0F4A"/>
    <w:rsid w:val="00906E49"/>
    <w:rsid w:val="0092594B"/>
    <w:rsid w:val="009714B6"/>
    <w:rsid w:val="009B230C"/>
    <w:rsid w:val="009B6311"/>
    <w:rsid w:val="009D222E"/>
    <w:rsid w:val="00A135F7"/>
    <w:rsid w:val="00A24604"/>
    <w:rsid w:val="00A575C3"/>
    <w:rsid w:val="00A612FC"/>
    <w:rsid w:val="00A64BD2"/>
    <w:rsid w:val="00A75231"/>
    <w:rsid w:val="00A768E2"/>
    <w:rsid w:val="00A90735"/>
    <w:rsid w:val="00A953D1"/>
    <w:rsid w:val="00AA3667"/>
    <w:rsid w:val="00AA5350"/>
    <w:rsid w:val="00AF2EBD"/>
    <w:rsid w:val="00AF3346"/>
    <w:rsid w:val="00B2218B"/>
    <w:rsid w:val="00B42986"/>
    <w:rsid w:val="00BE4CA3"/>
    <w:rsid w:val="00BF06A8"/>
    <w:rsid w:val="00C21181"/>
    <w:rsid w:val="00CB4C78"/>
    <w:rsid w:val="00CD4A95"/>
    <w:rsid w:val="00D05785"/>
    <w:rsid w:val="00D25AD2"/>
    <w:rsid w:val="00D35E49"/>
    <w:rsid w:val="00D35FF5"/>
    <w:rsid w:val="00D44B33"/>
    <w:rsid w:val="00D60C53"/>
    <w:rsid w:val="00D76D7A"/>
    <w:rsid w:val="00D87C57"/>
    <w:rsid w:val="00DC5F63"/>
    <w:rsid w:val="00DE107F"/>
    <w:rsid w:val="00DE217C"/>
    <w:rsid w:val="00E07440"/>
    <w:rsid w:val="00E2160A"/>
    <w:rsid w:val="00E330A7"/>
    <w:rsid w:val="00E44094"/>
    <w:rsid w:val="00F412B6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C536F"/>
  <w15:chartTrackingRefBased/>
  <w15:docId w15:val="{037B5A25-4AC2-4756-9F29-98AA0C56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9D222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5">
    <w:name w:val="heading 5"/>
    <w:basedOn w:val="Normaali"/>
    <w:link w:val="Otsikko5Char"/>
    <w:uiPriority w:val="9"/>
    <w:qFormat/>
    <w:rsid w:val="00F412B6"/>
    <w:pPr>
      <w:spacing w:before="100" w:beforeAutospacing="1" w:after="100" w:afterAutospacing="1"/>
      <w:outlineLvl w:val="4"/>
    </w:pPr>
    <w:rPr>
      <w:b/>
      <w:bCs/>
      <w:sz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NormaaliWWW">
    <w:name w:val="Normal (Web)"/>
    <w:basedOn w:val="Normaali"/>
    <w:uiPriority w:val="99"/>
    <w:unhideWhenUsed/>
    <w:rsid w:val="00596AA5"/>
    <w:pPr>
      <w:spacing w:before="100" w:beforeAutospacing="1" w:after="100" w:afterAutospacing="1"/>
    </w:pPr>
    <w:rPr>
      <w:szCs w:val="24"/>
      <w:lang w:eastAsia="fi-FI"/>
    </w:rPr>
  </w:style>
  <w:style w:type="table" w:styleId="Ruudukkotaulukko4-korostus2">
    <w:name w:val="Grid Table 4 Accent 2"/>
    <w:basedOn w:val="Normaalitaulukko"/>
    <w:uiPriority w:val="49"/>
    <w:rsid w:val="00596AA5"/>
    <w:rPr>
      <w:rFonts w:asciiTheme="minorHAnsi" w:eastAsiaTheme="minorHAnsi" w:hAnsiTheme="minorHAnsi" w:cstheme="minorHAns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uettelokappale">
    <w:name w:val="List Paragraph"/>
    <w:basedOn w:val="Normaali"/>
    <w:uiPriority w:val="34"/>
    <w:qFormat/>
    <w:rsid w:val="00596AA5"/>
    <w:pPr>
      <w:ind w:left="720"/>
      <w:contextualSpacing/>
    </w:pPr>
    <w:rPr>
      <w:rFonts w:asciiTheme="minorHAnsi" w:eastAsiaTheme="minorHAnsi" w:hAnsiTheme="minorHAnsi" w:cstheme="minorHAnsi"/>
      <w:sz w:val="22"/>
      <w:szCs w:val="22"/>
    </w:rPr>
  </w:style>
  <w:style w:type="character" w:styleId="Kommentinviite">
    <w:name w:val="annotation reference"/>
    <w:basedOn w:val="Kappaleenoletusfontti"/>
    <w:uiPriority w:val="99"/>
    <w:semiHidden/>
    <w:unhideWhenUsed/>
    <w:rsid w:val="006B1A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B1ABC"/>
    <w:rPr>
      <w:rFonts w:asciiTheme="minorHAnsi" w:eastAsiaTheme="minorHAnsi" w:hAnsiTheme="minorHAnsi" w:cstheme="minorHAnsi"/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B1ABC"/>
    <w:rPr>
      <w:rFonts w:asciiTheme="minorHAnsi" w:eastAsiaTheme="minorHAnsi" w:hAnsiTheme="minorHAnsi" w:cstheme="minorHAns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412B6"/>
    <w:rPr>
      <w:rFonts w:ascii="Times New Roman" w:eastAsia="Times New Roman" w:hAnsi="Times New Roman" w:cs="Times New Roman"/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412B6"/>
    <w:rPr>
      <w:rFonts w:asciiTheme="minorHAnsi" w:eastAsiaTheme="minorHAnsi" w:hAnsiTheme="minorHAnsi" w:cstheme="minorHAnsi"/>
      <w:b/>
      <w:bCs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F412B6"/>
    <w:rPr>
      <w:b/>
      <w:bCs/>
    </w:rPr>
  </w:style>
  <w:style w:type="paragraph" w:customStyle="1" w:styleId="py">
    <w:name w:val="py"/>
    <w:basedOn w:val="Normaali"/>
    <w:rsid w:val="00F412B6"/>
    <w:pPr>
      <w:spacing w:before="100" w:beforeAutospacing="1" w:after="100" w:afterAutospacing="1"/>
    </w:pPr>
    <w:rPr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9BA3397795A2F48867FF3F64B0035A7" ma:contentTypeVersion="" ma:contentTypeDescription="Luo uusi asiakirja." ma:contentTypeScope="" ma:versionID="fb7513fa99ad36830b2c9c08a5c06ecd">
  <xsd:schema xmlns:xsd="http://www.w3.org/2001/XMLSchema" xmlns:xs="http://www.w3.org/2001/XMLSchema" xmlns:p="http://schemas.microsoft.com/office/2006/metadata/properties" xmlns:ns2="d64730fd-6437-49c1-8c16-95a3c9d8b474" targetNamespace="http://schemas.microsoft.com/office/2006/metadata/properties" ma:root="true" ma:fieldsID="a84e9878e37df710daa06f52fec0108d" ns2:_="">
    <xsd:import namespace="d64730fd-6437-49c1-8c16-95a3c9d8b47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30fd-6437-49c1-8c16-95a3c9d8b4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BAE3-40B2-4137-8522-8A42CAB2C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24A7E-D0E2-4D7B-B892-B21141B69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730fd-6437-49c1-8c16-95a3c9d8b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9BEC2-AF1E-4F4C-8345-CF07E2891E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4DA2A0-5DF7-444A-A8FB-93ABF301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Korpinen Helena (STM)</dc:creator>
  <cp:keywords/>
  <dc:description/>
  <cp:lastModifiedBy>Korpinen Helena (STM)</cp:lastModifiedBy>
  <cp:revision>3</cp:revision>
  <dcterms:created xsi:type="dcterms:W3CDTF">2021-07-08T21:36:00Z</dcterms:created>
  <dcterms:modified xsi:type="dcterms:W3CDTF">2021-07-08T21:36:00Z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0x01010099BA3397795A2F48867FF3F64B0035A7</vt:lpwstr>
  </property>
</Properties>
</file>