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8F0" w:rsidRPr="00FA2CE4" w:rsidRDefault="009E08F0" w:rsidP="009E08F0">
      <w:pPr>
        <w:rPr>
          <w:b/>
        </w:rPr>
      </w:pPr>
      <w:r>
        <w:rPr>
          <w:b/>
        </w:rPr>
        <w:t>Utkast den 1 juli 2021</w:t>
      </w:r>
    </w:p>
    <w:p w:rsidR="009E08F0" w:rsidRPr="00A345C5" w:rsidRDefault="009E08F0" w:rsidP="009E08F0">
      <w:pPr>
        <w:rPr>
          <w:b/>
        </w:rPr>
      </w:pPr>
    </w:p>
    <w:p w:rsidR="009E08F0" w:rsidRPr="00A345C5" w:rsidRDefault="009E08F0" w:rsidP="009E08F0">
      <w:pPr>
        <w:rPr>
          <w:b/>
        </w:rPr>
      </w:pPr>
      <w:r>
        <w:rPr>
          <w:b/>
        </w:rPr>
        <w:t>Regeringens proposition till riksdagen med förslag till lag om Strålsäkerhetscentralen och till vissa lagar som har samband med den</w:t>
      </w:r>
    </w:p>
    <w:p w:rsidR="009E08F0" w:rsidRDefault="009E08F0" w:rsidP="009E08F0"/>
    <w:p w:rsidR="009E08F0" w:rsidRDefault="009E08F0" w:rsidP="009E08F0">
      <w:r>
        <w:t>PROPOSITIONENS HUVUDSAKLIGA INNEHÅLL</w:t>
      </w:r>
    </w:p>
    <w:p w:rsidR="009E08F0" w:rsidRDefault="009E08F0" w:rsidP="009E08F0"/>
    <w:p w:rsidR="009E08F0" w:rsidRDefault="009E08F0" w:rsidP="009E08F0">
      <w:r>
        <w:t xml:space="preserve">I denna proposition föreslås det att det stiftas en ny lag om Strålsäkerhetscentralen. En del av de bestämmelser om Strålsäkerhetscentralens uppgifter som för närvarande ingår i förordning ska införas i lagen. Lagen ska innehålla bestämmelser om Strålsäkerhetscentralens ställning och verksamhetsområde och om de avtal och experter som har anknytning till dem. Syftet med propositionen är att den lag som härrör från 1983 ska revideras så att den motsvarar den förändrade verksamhetsomgivningen. Till verksamheten vid den tillsynsmyndighet som ansvarar för strålnings- och kärnsäkerheten hänför sig särskilda krav på oberoende på grund av områdets natur. Genom lagen genomförs samtidigt artikel 76 i EU:s direktiv om strålsäkerhet och artikel 5 i direktivet om kärnsäkerhet till de delar dessa gäller oberoende i tillsynsmyndighetens beslutsprocess. </w:t>
      </w:r>
    </w:p>
    <w:p w:rsidR="009E08F0" w:rsidRDefault="009E08F0" w:rsidP="009E08F0"/>
    <w:p w:rsidR="009E08F0" w:rsidRDefault="009E08F0" w:rsidP="009E08F0">
      <w:r>
        <w:t>Det föreslås dessutom att det ska stiftas en lag om aktiebolaget STUK International Oy. De bestämmelser som gäller bolaget ingår för närvarande i lagen om strålsäkerhetscentralen (4 a §). Den nya lagen föreslås innehålla bestämmelser om bolagets ställning och uppgifter.</w:t>
      </w:r>
    </w:p>
    <w:p w:rsidR="009E08F0" w:rsidRDefault="009E08F0" w:rsidP="009E08F0"/>
    <w:p w:rsidR="009E08F0" w:rsidRDefault="009E08F0" w:rsidP="009E08F0">
      <w:r>
        <w:t>Det föreslås vidare i propositionen att det görs vissa preciseringar av övervägande teknisk natur i strålsäkerhetslagen.</w:t>
      </w:r>
      <w:r w:rsidR="00A369E2">
        <w:t xml:space="preserve"> </w:t>
      </w:r>
      <w:r w:rsidR="00A369E2" w:rsidRPr="00A369E2">
        <w:t>I bilagan till strålsäkerhetslagen föreslås det att de tillsynsavgifter av skattenatur som tas ut hos verksamhetsutövarna uppdateras så att de i euro motsvarar den förväntade kostnadsutvecklingen för Strålsäkerhetscentralens verksamhet.</w:t>
      </w:r>
    </w:p>
    <w:p w:rsidR="00A369E2" w:rsidRDefault="00A369E2" w:rsidP="009E08F0"/>
    <w:p w:rsidR="009E08F0" w:rsidRDefault="009E08F0" w:rsidP="009E08F0">
      <w:r>
        <w:t>Genom propositionen upphävs den gällande lagen om strålsäkerhetscentralen.</w:t>
      </w:r>
    </w:p>
    <w:p w:rsidR="009E08F0" w:rsidRDefault="009E08F0" w:rsidP="009E08F0"/>
    <w:p w:rsidR="009E08F0" w:rsidRDefault="009E08F0" w:rsidP="009E08F0">
      <w:r>
        <w:t>De föreslagna lagarna avses träda i kraft den 1 januari 2022.</w:t>
      </w:r>
    </w:p>
    <w:p w:rsidR="009E08F0" w:rsidRDefault="009E08F0" w:rsidP="009E08F0">
      <w:r>
        <w:t>—————</w:t>
      </w:r>
      <w:r>
        <w:t> </w:t>
      </w:r>
    </w:p>
    <w:p w:rsidR="009E08F0" w:rsidRDefault="009E08F0" w:rsidP="009E08F0">
      <w:r>
        <w:t>INNEHÅLL</w:t>
      </w:r>
    </w:p>
    <w:p w:rsidR="009E08F0" w:rsidRDefault="009E08F0" w:rsidP="009E08F0">
      <w:r>
        <w:t>PROPOSITIONENS HUVUDSAKLIGA INNEHÅLL</w:t>
      </w:r>
      <w:r>
        <w:tab/>
      </w:r>
    </w:p>
    <w:p w:rsidR="009E08F0" w:rsidRDefault="009E08F0" w:rsidP="009E08F0">
      <w:r>
        <w:t>MOTIVERING</w:t>
      </w:r>
      <w:r>
        <w:tab/>
      </w:r>
    </w:p>
    <w:p w:rsidR="009E08F0" w:rsidRDefault="009E08F0" w:rsidP="009E08F0">
      <w:r>
        <w:t>1 Bakgrund och beredning</w:t>
      </w:r>
      <w:r>
        <w:tab/>
      </w:r>
    </w:p>
    <w:p w:rsidR="009E08F0" w:rsidRDefault="009E08F0" w:rsidP="009E08F0">
      <w:r>
        <w:t>1.1 Bakgrund</w:t>
      </w:r>
      <w:r>
        <w:tab/>
      </w:r>
    </w:p>
    <w:p w:rsidR="009E08F0" w:rsidRDefault="009E08F0" w:rsidP="009E08F0">
      <w:r>
        <w:t>1.2 Beredning</w:t>
      </w:r>
      <w:r>
        <w:tab/>
      </w:r>
    </w:p>
    <w:p w:rsidR="009E08F0" w:rsidRDefault="009E08F0" w:rsidP="009E08F0">
      <w:r>
        <w:t>2 Nuläge och bedömning av nuläget</w:t>
      </w:r>
      <w:r>
        <w:tab/>
      </w:r>
    </w:p>
    <w:p w:rsidR="009E08F0" w:rsidRDefault="009E08F0" w:rsidP="009E08F0">
      <w:r>
        <w:t>3 Målsättning</w:t>
      </w:r>
      <w:r>
        <w:tab/>
      </w:r>
    </w:p>
    <w:p w:rsidR="009E08F0" w:rsidRDefault="009E08F0" w:rsidP="009E08F0">
      <w:r>
        <w:t>4 Förslagen och deras konsekvenser</w:t>
      </w:r>
      <w:r>
        <w:tab/>
      </w:r>
    </w:p>
    <w:p w:rsidR="009E08F0" w:rsidRDefault="009E08F0" w:rsidP="009E08F0">
      <w:r>
        <w:t>4.1 De viktigaste förslagen</w:t>
      </w:r>
      <w:r>
        <w:tab/>
      </w:r>
    </w:p>
    <w:p w:rsidR="009E08F0" w:rsidRDefault="009E08F0" w:rsidP="009E08F0">
      <w:r>
        <w:t>4.2 De huvudsakliga konsekvenserna</w:t>
      </w:r>
      <w:r>
        <w:tab/>
      </w:r>
    </w:p>
    <w:p w:rsidR="009E08F0" w:rsidRDefault="009E08F0" w:rsidP="009E08F0">
      <w:r>
        <w:t>5 Alternativa handlingsvägar</w:t>
      </w:r>
      <w:r>
        <w:tab/>
      </w:r>
    </w:p>
    <w:p w:rsidR="009E08F0" w:rsidRDefault="009E08F0" w:rsidP="009E08F0">
      <w:r>
        <w:t>5.1 Handlingsalternativen och deras konsekvenser</w:t>
      </w:r>
      <w:r>
        <w:tab/>
      </w:r>
    </w:p>
    <w:p w:rsidR="009E08F0" w:rsidRDefault="009E08F0" w:rsidP="009E08F0">
      <w:r>
        <w:t>5.2 Lagstiftning och andra handlingsmodeller i utlandet</w:t>
      </w:r>
      <w:r>
        <w:tab/>
      </w:r>
    </w:p>
    <w:p w:rsidR="009E08F0" w:rsidRDefault="009E08F0" w:rsidP="009E08F0">
      <w:r>
        <w:t>6 Remissvar</w:t>
      </w:r>
      <w:r>
        <w:tab/>
      </w:r>
    </w:p>
    <w:p w:rsidR="009E08F0" w:rsidRPr="00A369E2" w:rsidRDefault="009E08F0" w:rsidP="009E08F0">
      <w:r w:rsidRPr="00A369E2">
        <w:rPr>
          <w:bCs/>
        </w:rPr>
        <w:t>7 Specialmotivering</w:t>
      </w:r>
      <w:r w:rsidRPr="00A369E2">
        <w:tab/>
      </w:r>
    </w:p>
    <w:p w:rsidR="009E08F0" w:rsidRDefault="009E08F0" w:rsidP="009E08F0">
      <w:r>
        <w:t>8 Bestämmelser på lägre nivå än lag</w:t>
      </w:r>
      <w:r>
        <w:tab/>
      </w:r>
    </w:p>
    <w:p w:rsidR="009E08F0" w:rsidRDefault="009E08F0" w:rsidP="009E08F0">
      <w:r>
        <w:t>9 Ikraftträdande</w:t>
      </w:r>
      <w:r>
        <w:tab/>
      </w:r>
    </w:p>
    <w:p w:rsidR="009E08F0" w:rsidRDefault="009E08F0" w:rsidP="009E08F0">
      <w:r>
        <w:t>10 Verkställighet och uppföljning</w:t>
      </w:r>
      <w:r>
        <w:tab/>
      </w:r>
    </w:p>
    <w:p w:rsidR="009E08F0" w:rsidRDefault="009E08F0" w:rsidP="009E08F0">
      <w:r>
        <w:t>11 Förhållande till andra propositioner</w:t>
      </w:r>
      <w:r>
        <w:tab/>
      </w:r>
    </w:p>
    <w:p w:rsidR="009E08F0" w:rsidRDefault="009E08F0" w:rsidP="009E08F0">
      <w:r>
        <w:t>11.1 Samband med andra propositioner</w:t>
      </w:r>
      <w:r>
        <w:tab/>
      </w:r>
    </w:p>
    <w:p w:rsidR="009E08F0" w:rsidRDefault="009E08F0" w:rsidP="009E08F0">
      <w:r>
        <w:t>12 Förhållande till grundlagen samt lagstiftningsordning</w:t>
      </w:r>
      <w:r>
        <w:tab/>
      </w:r>
    </w:p>
    <w:p w:rsidR="009E08F0" w:rsidRDefault="009E08F0" w:rsidP="009E08F0"/>
    <w:p w:rsidR="009E08F0" w:rsidRPr="00A345C5" w:rsidRDefault="009E08F0" w:rsidP="009E08F0">
      <w:pPr>
        <w:rPr>
          <w:b/>
        </w:rPr>
      </w:pPr>
      <w:r>
        <w:rPr>
          <w:b/>
        </w:rPr>
        <w:t> </w:t>
      </w:r>
    </w:p>
    <w:p w:rsidR="009E08F0" w:rsidRPr="00695638" w:rsidRDefault="009E08F0" w:rsidP="009E08F0">
      <w:pPr>
        <w:rPr>
          <w:b/>
        </w:rPr>
      </w:pPr>
      <w:r>
        <w:rPr>
          <w:b/>
        </w:rPr>
        <w:t>Lag om Strålsäkerhetscentralen</w:t>
      </w:r>
    </w:p>
    <w:p w:rsidR="009E08F0" w:rsidRDefault="009E08F0" w:rsidP="009E08F0"/>
    <w:p w:rsidR="009E08F0" w:rsidRDefault="009E08F0" w:rsidP="009E08F0">
      <w:r>
        <w:t>I enlighet med riksdagens beslut föreskrivs:</w:t>
      </w:r>
    </w:p>
    <w:p w:rsidR="009E08F0" w:rsidRDefault="009E08F0" w:rsidP="009E08F0"/>
    <w:p w:rsidR="009E08F0" w:rsidRDefault="009E08F0" w:rsidP="009E08F0"/>
    <w:p w:rsidR="009E08F0" w:rsidRPr="00214296" w:rsidRDefault="009E08F0" w:rsidP="009E08F0">
      <w:pPr>
        <w:rPr>
          <w:b/>
        </w:rPr>
      </w:pPr>
      <w:r>
        <w:rPr>
          <w:b/>
        </w:rPr>
        <w:t xml:space="preserve">1 § </w:t>
      </w:r>
    </w:p>
    <w:p w:rsidR="009E08F0" w:rsidRPr="00214296" w:rsidRDefault="009E08F0" w:rsidP="009E08F0">
      <w:pPr>
        <w:rPr>
          <w:b/>
        </w:rPr>
      </w:pPr>
      <w:r>
        <w:rPr>
          <w:b/>
        </w:rPr>
        <w:t>Verksamhetsområde och ställning</w:t>
      </w:r>
    </w:p>
    <w:p w:rsidR="009E08F0" w:rsidRDefault="009E08F0" w:rsidP="009E08F0"/>
    <w:p w:rsidR="009E08F0" w:rsidRDefault="009E08F0" w:rsidP="009E08F0">
      <w:r>
        <w:t>Strålsäkerhetscentralen är en statlig förvaltningsmyndighet inom social- och hälsovårdsministeriets förvaltningsområde som främjar och utövar tillsyn över strålsäkerheten och säkerheten vid användningen av kärnenergi.</w:t>
      </w:r>
    </w:p>
    <w:p w:rsidR="009E08F0" w:rsidRDefault="009E08F0" w:rsidP="009E08F0"/>
    <w:p w:rsidR="009E08F0" w:rsidRDefault="009E08F0" w:rsidP="009E08F0">
      <w:r>
        <w:t xml:space="preserve">Strålsäkerhetscentralen har en oberoende ställning i sina ställningstaganden och i sin tillsynsverksamhet. </w:t>
      </w:r>
    </w:p>
    <w:p w:rsidR="009E08F0" w:rsidRPr="00214296" w:rsidRDefault="009E08F0" w:rsidP="009E08F0">
      <w:pPr>
        <w:rPr>
          <w:b/>
        </w:rPr>
      </w:pPr>
    </w:p>
    <w:p w:rsidR="009E08F0" w:rsidRPr="00214296" w:rsidRDefault="009E08F0" w:rsidP="009E08F0">
      <w:pPr>
        <w:rPr>
          <w:b/>
        </w:rPr>
      </w:pPr>
      <w:r>
        <w:rPr>
          <w:b/>
        </w:rPr>
        <w:t xml:space="preserve">2 § </w:t>
      </w:r>
    </w:p>
    <w:p w:rsidR="009E08F0" w:rsidRPr="00214296" w:rsidRDefault="009E08F0" w:rsidP="009E08F0">
      <w:pPr>
        <w:rPr>
          <w:b/>
        </w:rPr>
      </w:pPr>
      <w:r>
        <w:rPr>
          <w:b/>
        </w:rPr>
        <w:t>Uppgifter</w:t>
      </w:r>
    </w:p>
    <w:p w:rsidR="009E08F0" w:rsidRDefault="009E08F0" w:rsidP="009E08F0"/>
    <w:p w:rsidR="009E08F0" w:rsidRDefault="009E08F0" w:rsidP="009E08F0">
      <w:r>
        <w:t xml:space="preserve">Till Strålsäkerhetscentralen hör </w:t>
      </w:r>
    </w:p>
    <w:p w:rsidR="009E08F0" w:rsidRDefault="009E08F0" w:rsidP="009E08F0"/>
    <w:p w:rsidR="009E08F0" w:rsidRDefault="009E08F0" w:rsidP="009E08F0">
      <w:r>
        <w:t>1) uppgifter enligt kärnenergilagen (990/1987),</w:t>
      </w:r>
    </w:p>
    <w:p w:rsidR="009E08F0" w:rsidRDefault="009E08F0" w:rsidP="009E08F0">
      <w:r>
        <w:t>2) uppgifter enligt strålsäkerhetslagen (859/2018),</w:t>
      </w:r>
    </w:p>
    <w:p w:rsidR="009E08F0" w:rsidRDefault="009E08F0" w:rsidP="009E08F0">
      <w:r>
        <w:t>3) uppgifter enligt lagen om transport av farliga ämnen (719/1994),</w:t>
      </w:r>
    </w:p>
    <w:p w:rsidR="009E08F0" w:rsidRDefault="009E08F0" w:rsidP="009E08F0">
      <w:r>
        <w:t xml:space="preserve">4) uppgifter enligt räddningslagen (379/2011), </w:t>
      </w:r>
    </w:p>
    <w:p w:rsidR="009E08F0" w:rsidRDefault="009E08F0" w:rsidP="009E08F0">
      <w:r>
        <w:t>5) beredskaps- och expertuppgifter i nödsituationer med strålrisk,</w:t>
      </w:r>
    </w:p>
    <w:p w:rsidR="009E08F0" w:rsidRDefault="009E08F0" w:rsidP="009E08F0">
      <w:r>
        <w:t>6) uppgifter i anslutning till insamlandet av information om strålningssituationer och upprätthållandet av en lägesbild över dem,</w:t>
      </w:r>
    </w:p>
    <w:p w:rsidR="009E08F0" w:rsidRDefault="009E08F0" w:rsidP="009E08F0">
      <w:r>
        <w:t>7) uppgifter i anslutning till upprätthållandet av nationella mätnormaler inom verksamhetsområdet,</w:t>
      </w:r>
    </w:p>
    <w:p w:rsidR="009E08F0" w:rsidRDefault="009E08F0" w:rsidP="009E08F0">
      <w:r>
        <w:t>8) forsknings-, utvecklings- och utredningsverksamhet inom verksamhetsområdet,</w:t>
      </w:r>
    </w:p>
    <w:p w:rsidR="009E08F0" w:rsidRDefault="009E08F0" w:rsidP="009E08F0">
      <w:r>
        <w:t>9) uppgifter i anslutning till information och utbildning inom verksamhetsområdet,</w:t>
      </w:r>
    </w:p>
    <w:p w:rsidR="009E08F0" w:rsidRDefault="009E08F0" w:rsidP="009E08F0">
      <w:r>
        <w:t>10) produktion av sakkunnig- och mättjänster inom verksamhetsområdet,</w:t>
      </w:r>
    </w:p>
    <w:p w:rsidR="009E08F0" w:rsidRDefault="009E08F0" w:rsidP="009E08F0">
      <w:pPr>
        <w:ind w:left="1300" w:hanging="1300"/>
      </w:pPr>
      <w:r>
        <w:t>11) deltagande i nationellt och internationellt samarbete samt påverkan inom verksamhetsområdet,</w:t>
      </w:r>
    </w:p>
    <w:p w:rsidR="009E08F0" w:rsidRDefault="009E08F0" w:rsidP="009E08F0">
      <w:pPr>
        <w:ind w:left="1300" w:hanging="1300"/>
      </w:pPr>
      <w:r>
        <w:t>12) framläggande av förslag till utveckling av lagstiftningen inom verksamhetsområdet och utfärdande av rättsregler inom ramen för särskilt föreskriven behörighet.</w:t>
      </w:r>
    </w:p>
    <w:p w:rsidR="009E08F0" w:rsidRDefault="009E08F0" w:rsidP="009E08F0"/>
    <w:p w:rsidR="009E08F0" w:rsidRDefault="009E08F0" w:rsidP="009E08F0">
      <w:r>
        <w:t>Strålsäkerhetscentralen sköter dessutom andra sådana särskilt föreskrivna uppgifter som hör till verksamhetsområdet eller som social- och hälsovårdsministeriet bestämmer med stöd av lagstiftning eller internationella avtal.</w:t>
      </w:r>
    </w:p>
    <w:p w:rsidR="009E08F0" w:rsidRDefault="009E08F0" w:rsidP="009E08F0"/>
    <w:p w:rsidR="009E08F0" w:rsidRDefault="009E08F0" w:rsidP="009E08F0"/>
    <w:p w:rsidR="009E08F0" w:rsidRPr="00214296" w:rsidRDefault="009E08F0" w:rsidP="009E08F0">
      <w:pPr>
        <w:rPr>
          <w:b/>
        </w:rPr>
      </w:pPr>
      <w:r>
        <w:rPr>
          <w:b/>
        </w:rPr>
        <w:t xml:space="preserve">3 § </w:t>
      </w:r>
    </w:p>
    <w:p w:rsidR="009E08F0" w:rsidRPr="00214296" w:rsidRDefault="009E08F0" w:rsidP="009E08F0">
      <w:pPr>
        <w:rPr>
          <w:b/>
        </w:rPr>
      </w:pPr>
      <w:r>
        <w:rPr>
          <w:b/>
        </w:rPr>
        <w:t>Avtal och sakkunniga</w:t>
      </w:r>
    </w:p>
    <w:p w:rsidR="009E08F0" w:rsidRDefault="009E08F0" w:rsidP="009E08F0"/>
    <w:p w:rsidR="009E08F0" w:rsidRDefault="009E08F0" w:rsidP="009E08F0">
      <w:r>
        <w:t>Strålsäkerhetscentralen kan inom ramen för sin budget använda utomstående experter och ingå avtal med myndigheter, sammanslutningar och privatpersoner för att utföra undersökningar, utredningar och andra uppgifter som hör till centralens verksamhetsområde. På tystnadsplikten för den som utför sådana uppgifter tillämpas lagen om offentlighet i myndigheternas verksamhet (621/1999).</w:t>
      </w:r>
    </w:p>
    <w:p w:rsidR="009E08F0" w:rsidRDefault="009E08F0" w:rsidP="009E08F0"/>
    <w:p w:rsidR="009E08F0" w:rsidRDefault="009E08F0" w:rsidP="009E08F0">
      <w:r>
        <w:t xml:space="preserve">Närmare bestämmelser om Strålsäkerhetscentralens permanenta experter utfärdas genom förordning av statsrådet. </w:t>
      </w:r>
    </w:p>
    <w:p w:rsidR="009E08F0" w:rsidRDefault="009E08F0" w:rsidP="009E08F0"/>
    <w:p w:rsidR="009E08F0" w:rsidRPr="00214296" w:rsidRDefault="009E08F0" w:rsidP="009E08F0">
      <w:pPr>
        <w:rPr>
          <w:b/>
        </w:rPr>
      </w:pPr>
      <w:r>
        <w:rPr>
          <w:b/>
        </w:rPr>
        <w:t xml:space="preserve">4 §  </w:t>
      </w:r>
    </w:p>
    <w:p w:rsidR="009E08F0" w:rsidRPr="00214296" w:rsidRDefault="009E08F0" w:rsidP="009E08F0">
      <w:pPr>
        <w:rPr>
          <w:b/>
        </w:rPr>
      </w:pPr>
      <w:r>
        <w:rPr>
          <w:b/>
        </w:rPr>
        <w:t>Ikraftträdande</w:t>
      </w:r>
    </w:p>
    <w:p w:rsidR="009E08F0" w:rsidRDefault="009E08F0" w:rsidP="009E08F0"/>
    <w:p w:rsidR="009E08F0" w:rsidRDefault="009E08F0" w:rsidP="009E08F0">
      <w:r>
        <w:t>Denna lag träder i kraft den 1 xx 2021.</w:t>
      </w:r>
    </w:p>
    <w:p w:rsidR="009E08F0" w:rsidRDefault="009E08F0" w:rsidP="009E08F0"/>
    <w:p w:rsidR="009E08F0" w:rsidRDefault="009E08F0" w:rsidP="009E08F0">
      <w:r>
        <w:t>Avtal och åtaganden som har ingåtts före ikraftträdandet av denna lag förblir i kraft, om inte något annat föreskrivs särskilt.</w:t>
      </w:r>
    </w:p>
    <w:p w:rsidR="009E08F0" w:rsidRDefault="009E08F0" w:rsidP="009E08F0"/>
    <w:p w:rsidR="009E08F0" w:rsidRDefault="009E08F0" w:rsidP="009E08F0">
      <w:r>
        <w:t>Genom denna lag upphävs lagen om strålsäkerhetscentralen (1069/1983).</w:t>
      </w:r>
    </w:p>
    <w:p w:rsidR="009E08F0" w:rsidRDefault="009E08F0" w:rsidP="009E08F0"/>
    <w:p w:rsidR="009E08F0" w:rsidRDefault="009E08F0" w:rsidP="009E08F0"/>
    <w:p w:rsidR="009E08F0" w:rsidRDefault="009E08F0" w:rsidP="009E08F0"/>
    <w:p w:rsidR="009E08F0" w:rsidRPr="00695638" w:rsidRDefault="009E08F0" w:rsidP="009E08F0">
      <w:r>
        <w:t>Datum och underskrifter</w:t>
      </w:r>
    </w:p>
    <w:p w:rsidR="009E08F0" w:rsidRDefault="009E08F0" w:rsidP="009E08F0"/>
    <w:p w:rsidR="009E08F0" w:rsidRDefault="009E08F0" w:rsidP="009E08F0"/>
    <w:p w:rsidR="009E08F0" w:rsidRDefault="009E08F0" w:rsidP="009E08F0"/>
    <w:p w:rsidR="009E08F0" w:rsidRDefault="009E08F0" w:rsidP="009E08F0"/>
    <w:p w:rsidR="009E08F0" w:rsidRPr="0011082A" w:rsidRDefault="009E08F0" w:rsidP="009E08F0">
      <w:pPr>
        <w:rPr>
          <w:b/>
        </w:rPr>
      </w:pPr>
      <w:r>
        <w:rPr>
          <w:b/>
          <w:bCs/>
        </w:rPr>
        <w:t>Lag</w:t>
      </w:r>
    </w:p>
    <w:p w:rsidR="009E08F0" w:rsidRPr="0011082A" w:rsidRDefault="009E08F0" w:rsidP="009E08F0">
      <w:pPr>
        <w:rPr>
          <w:b/>
        </w:rPr>
      </w:pPr>
      <w:r>
        <w:rPr>
          <w:b/>
        </w:rPr>
        <w:t xml:space="preserve">om STUK International Oy </w:t>
      </w:r>
    </w:p>
    <w:p w:rsidR="009E08F0" w:rsidRDefault="009E08F0" w:rsidP="009E08F0"/>
    <w:p w:rsidR="009E08F0" w:rsidRDefault="009E08F0" w:rsidP="009E08F0">
      <w:r>
        <w:t>I enlighet med riksdagens beslut föreskrivs:</w:t>
      </w:r>
    </w:p>
    <w:p w:rsidR="009E08F0" w:rsidRDefault="009E08F0" w:rsidP="009E08F0"/>
    <w:p w:rsidR="009E08F0" w:rsidRPr="0011082A" w:rsidRDefault="009E08F0" w:rsidP="009E08F0">
      <w:pPr>
        <w:rPr>
          <w:b/>
        </w:rPr>
      </w:pPr>
    </w:p>
    <w:p w:rsidR="009E08F0" w:rsidRPr="0011082A" w:rsidRDefault="009E08F0" w:rsidP="009E08F0">
      <w:pPr>
        <w:rPr>
          <w:b/>
        </w:rPr>
      </w:pPr>
      <w:r>
        <w:rPr>
          <w:b/>
        </w:rPr>
        <w:t>1 § Bolagets ställning</w:t>
      </w:r>
    </w:p>
    <w:p w:rsidR="009E08F0" w:rsidRDefault="009E08F0" w:rsidP="009E08F0"/>
    <w:p w:rsidR="009E08F0" w:rsidRDefault="009E08F0" w:rsidP="009E08F0">
      <w:r>
        <w:t xml:space="preserve">Stuk International Oy är ett aktiebolag som ägs av staten och är i statens besittning. </w:t>
      </w:r>
    </w:p>
    <w:p w:rsidR="009E08F0" w:rsidRDefault="009E08F0" w:rsidP="009E08F0">
      <w:r>
        <w:t>Ägarstyrningen av aktiebolaget och förvaltningen av dess aktier sköts av social- och hälsovårdsministeriet.</w:t>
      </w:r>
    </w:p>
    <w:p w:rsidR="009E08F0" w:rsidRDefault="009E08F0" w:rsidP="009E08F0"/>
    <w:p w:rsidR="009E08F0" w:rsidRDefault="009E08F0" w:rsidP="009E08F0">
      <w:r>
        <w:t>På beslutsfattandet om bolagets innehav och ägarstyrning tillämpas lagen om statens bolagsinnehav och ägarstyrning (1368/2007).</w:t>
      </w:r>
    </w:p>
    <w:p w:rsidR="009E08F0" w:rsidRPr="0011082A" w:rsidRDefault="009E08F0" w:rsidP="009E08F0">
      <w:pPr>
        <w:rPr>
          <w:b/>
        </w:rPr>
      </w:pPr>
    </w:p>
    <w:p w:rsidR="009E08F0" w:rsidRPr="0011082A" w:rsidRDefault="009E08F0" w:rsidP="009E08F0">
      <w:pPr>
        <w:rPr>
          <w:b/>
        </w:rPr>
      </w:pPr>
      <w:r>
        <w:rPr>
          <w:b/>
        </w:rPr>
        <w:t>2 § Uppgifter</w:t>
      </w:r>
    </w:p>
    <w:p w:rsidR="009E08F0" w:rsidRDefault="009E08F0" w:rsidP="009E08F0"/>
    <w:p w:rsidR="009E08F0" w:rsidRDefault="009E08F0" w:rsidP="009E08F0">
      <w:r>
        <w:t>Bolaget har till uppgift att producera internationella experttjänster som främjar säkerheten vid användningen av kärnenergi och strålsäkerheten. Närmare bestämmelser om bolagets verksamhetsområde finns i bolagsordningen.</w:t>
      </w:r>
    </w:p>
    <w:p w:rsidR="009E08F0" w:rsidRPr="0011082A" w:rsidRDefault="009E08F0" w:rsidP="009E08F0">
      <w:pPr>
        <w:rPr>
          <w:b/>
        </w:rPr>
      </w:pPr>
    </w:p>
    <w:p w:rsidR="009E08F0" w:rsidRPr="0011082A" w:rsidRDefault="009E08F0" w:rsidP="009E08F0">
      <w:pPr>
        <w:rPr>
          <w:b/>
        </w:rPr>
      </w:pPr>
      <w:r>
        <w:rPr>
          <w:b/>
        </w:rPr>
        <w:t>3 § Ikraftträdande och övergångsbestämmelser</w:t>
      </w:r>
    </w:p>
    <w:p w:rsidR="009E08F0" w:rsidRDefault="009E08F0" w:rsidP="009E08F0"/>
    <w:p w:rsidR="009E08F0" w:rsidRDefault="009E08F0" w:rsidP="009E08F0">
      <w:r>
        <w:t>Denna lag träder i kraft den  20 .</w:t>
      </w:r>
    </w:p>
    <w:p w:rsidR="009E08F0" w:rsidRDefault="009E08F0" w:rsidP="009E08F0"/>
    <w:p w:rsidR="009E08F0" w:rsidRDefault="009E08F0" w:rsidP="009E08F0"/>
    <w:p w:rsidR="009E08F0" w:rsidRPr="00695638" w:rsidRDefault="009E08F0" w:rsidP="009E08F0">
      <w:r>
        <w:t>Datum och underskrifter</w:t>
      </w:r>
    </w:p>
    <w:p w:rsidR="009E08F0" w:rsidRPr="00695638" w:rsidRDefault="009E08F0" w:rsidP="009E08F0"/>
    <w:p w:rsidR="009E08F0" w:rsidRPr="0011082A" w:rsidRDefault="009E08F0" w:rsidP="009E08F0">
      <w:pPr>
        <w:rPr>
          <w:b/>
        </w:rPr>
      </w:pPr>
    </w:p>
    <w:p w:rsidR="009E08F0" w:rsidRPr="0011082A" w:rsidRDefault="009E08F0" w:rsidP="009E08F0">
      <w:pPr>
        <w:rPr>
          <w:b/>
        </w:rPr>
      </w:pPr>
    </w:p>
    <w:p w:rsidR="009E08F0" w:rsidRPr="0011082A" w:rsidRDefault="009E08F0" w:rsidP="009E08F0">
      <w:pPr>
        <w:rPr>
          <w:b/>
        </w:rPr>
      </w:pPr>
      <w:r>
        <w:rPr>
          <w:b/>
        </w:rPr>
        <w:t>Strålsäkerhetslag</w:t>
      </w:r>
    </w:p>
    <w:p w:rsidR="009E08F0" w:rsidRDefault="009E08F0" w:rsidP="009E08F0"/>
    <w:p w:rsidR="009E08F0" w:rsidRDefault="009E08F0" w:rsidP="009E08F0">
      <w:r>
        <w:t>I enlighet med riksdagens beslut</w:t>
      </w:r>
    </w:p>
    <w:p w:rsidR="009E08F0" w:rsidRDefault="009E08F0" w:rsidP="009E08F0">
      <w:r>
        <w:rPr>
          <w:i/>
          <w:iCs/>
        </w:rPr>
        <w:t>upphävs</w:t>
      </w:r>
      <w:r>
        <w:t xml:space="preserve"> i strålsäkerhetslagen (859/2018) 155 § 4 mom.,</w:t>
      </w:r>
    </w:p>
    <w:p w:rsidR="009E08F0" w:rsidRDefault="009E08F0" w:rsidP="009E08F0">
      <w:r>
        <w:rPr>
          <w:i/>
          <w:iCs/>
        </w:rPr>
        <w:t>ändras</w:t>
      </w:r>
      <w:r>
        <w:t xml:space="preserve"> 51 § 1 mom. 3 punkten, 54 § 1 mom. 1 punkten, 58 § 3 mom., 64 § 1 mom., 71 § 1, 2 och 4 mom., 84 § 1 mom., 127 § 3 mom., 129 § 1 mom., 147 § 1 mom., 149 § 2 mom. och 155 § 1 mom. 4 punkten., 189 § 2 och 4 mom., 190 § 2 mom. och 193 § 2 och 3 mom. samt </w:t>
      </w:r>
    </w:p>
    <w:p w:rsidR="009E08F0" w:rsidRDefault="009E08F0" w:rsidP="009E08F0">
      <w:r>
        <w:rPr>
          <w:i/>
          <w:iCs/>
        </w:rPr>
        <w:t>fogas</w:t>
      </w:r>
      <w:r>
        <w:t xml:space="preserve"> till 56 § nya 2 och 3 mom., till lagen en ny 70 a §, till 129 § ett nytt 2 mom., till 130 § ett nytt 6 mom., varvid det nuvarande 6 mom. blir 7 mom., till 133 § ett nytt 2 mom. varvid det nuvarande 2 mom. blir 3 mom., till 137 § ett nytt 2 mom. och till 147 § nya 2 och 3 mom., som följer:</w:t>
      </w:r>
    </w:p>
    <w:p w:rsidR="009E08F0" w:rsidRPr="00214296" w:rsidRDefault="009E08F0" w:rsidP="009E08F0">
      <w:pPr>
        <w:rPr>
          <w:b/>
        </w:rPr>
      </w:pPr>
    </w:p>
    <w:p w:rsidR="009E08F0" w:rsidRPr="00214296" w:rsidRDefault="009E08F0" w:rsidP="009E08F0">
      <w:pPr>
        <w:rPr>
          <w:b/>
        </w:rPr>
      </w:pPr>
      <w:r>
        <w:rPr>
          <w:b/>
        </w:rPr>
        <w:t>51 §</w:t>
      </w:r>
    </w:p>
    <w:p w:rsidR="009E08F0" w:rsidRPr="00214296" w:rsidRDefault="009E08F0" w:rsidP="009E08F0">
      <w:pPr>
        <w:rPr>
          <w:b/>
        </w:rPr>
      </w:pPr>
      <w:r>
        <w:rPr>
          <w:b/>
        </w:rPr>
        <w:t>Ansökan om säkerhetstillstånd</w:t>
      </w:r>
    </w:p>
    <w:p w:rsidR="009E08F0" w:rsidRDefault="009E08F0" w:rsidP="009E08F0"/>
    <w:p w:rsidR="009E08F0" w:rsidRDefault="009E08F0" w:rsidP="009E08F0">
      <w:r>
        <w:t>Ansökan om säkerhetstillstånd ska innehålla följande information:</w:t>
      </w:r>
    </w:p>
    <w:p w:rsidR="009E08F0" w:rsidRDefault="009E08F0" w:rsidP="009E08F0">
      <w:r>
        <w:t>−−−−−−−−−−−−−−−−−−−−−−−−−−−−−−−−−−−−−−−−−−−−−−−−−−−−−−−−−−−−−−−−−−</w:t>
      </w:r>
    </w:p>
    <w:p w:rsidR="009E08F0" w:rsidRDefault="009E08F0" w:rsidP="009E08F0">
      <w:r>
        <w:t>3) de uppgifter om ledningssystemet för strålningsverksamheten som avses i 29 § 2 mom.,</w:t>
      </w:r>
    </w:p>
    <w:p w:rsidR="009E08F0" w:rsidRDefault="009E08F0" w:rsidP="009E08F0">
      <w:r>
        <w:t>−−−−−−−−−−−−−−−−−−−−−−−−−−−−−−−−−−−−−−−−−−−−−−−−−−−−−−−−−−−−−−−−−−</w:t>
      </w:r>
    </w:p>
    <w:p w:rsidR="009E08F0" w:rsidRPr="005766B4" w:rsidRDefault="009E08F0" w:rsidP="009E08F0">
      <w:pPr>
        <w:rPr>
          <w:b/>
        </w:rPr>
      </w:pPr>
    </w:p>
    <w:p w:rsidR="009E08F0" w:rsidRPr="005766B4" w:rsidRDefault="009E08F0" w:rsidP="009E08F0">
      <w:pPr>
        <w:rPr>
          <w:b/>
        </w:rPr>
      </w:pPr>
      <w:r>
        <w:rPr>
          <w:b/>
        </w:rPr>
        <w:t>54 §</w:t>
      </w:r>
    </w:p>
    <w:p w:rsidR="009E08F0" w:rsidRPr="005766B4" w:rsidRDefault="009E08F0" w:rsidP="009E08F0">
      <w:pPr>
        <w:rPr>
          <w:b/>
        </w:rPr>
      </w:pPr>
      <w:r>
        <w:rPr>
          <w:b/>
        </w:rPr>
        <w:t>Ställande av säkerhet</w:t>
      </w:r>
    </w:p>
    <w:p w:rsidR="009E08F0" w:rsidRDefault="009E08F0" w:rsidP="009E08F0"/>
    <w:p w:rsidR="009E08F0" w:rsidRDefault="009E08F0" w:rsidP="009E08F0">
      <w:r>
        <w:t>Verksamhetsutövaren ska hos Strålsäkerhetscentralen ställa säkerhet för kostnaderna för oskadliggörande av radioaktivt avfall och för eventuell rengöring av miljön, om tillståndet beviljas för</w:t>
      </w:r>
    </w:p>
    <w:p w:rsidR="009E08F0" w:rsidRDefault="009E08F0" w:rsidP="009E08F0">
      <w:r>
        <w:t>1) användning, tillverkning, innehav, förvaring eller upplagring av en sluten strålkälla med hög aktivitet,</w:t>
      </w:r>
    </w:p>
    <w:p w:rsidR="009E08F0" w:rsidRDefault="009E08F0" w:rsidP="009E08F0">
      <w:r>
        <w:t>−−−−−−−−−−−−−−−−−−−−−−−−−−−−−−−−−−−−−−−−−−−−−−−−−−−−−−−−−−−−−</w:t>
      </w:r>
    </w:p>
    <w:p w:rsidR="009E08F0" w:rsidRDefault="009E08F0" w:rsidP="009E08F0"/>
    <w:p w:rsidR="009E08F0" w:rsidRPr="005766B4" w:rsidRDefault="009E08F0" w:rsidP="009E08F0">
      <w:pPr>
        <w:rPr>
          <w:b/>
        </w:rPr>
      </w:pPr>
    </w:p>
    <w:p w:rsidR="009E08F0" w:rsidRPr="005766B4" w:rsidRDefault="009E08F0" w:rsidP="009E08F0">
      <w:pPr>
        <w:rPr>
          <w:b/>
        </w:rPr>
      </w:pPr>
      <w:r>
        <w:rPr>
          <w:b/>
        </w:rPr>
        <w:t>56 §</w:t>
      </w:r>
    </w:p>
    <w:p w:rsidR="009E08F0" w:rsidRPr="005766B4" w:rsidRDefault="009E08F0" w:rsidP="009E08F0">
      <w:pPr>
        <w:rPr>
          <w:b/>
        </w:rPr>
      </w:pPr>
      <w:r>
        <w:rPr>
          <w:b/>
        </w:rPr>
        <w:t>Bevisande av en produkts strålsäkerhet</w:t>
      </w:r>
    </w:p>
    <w:p w:rsidR="009E08F0" w:rsidRDefault="009E08F0" w:rsidP="009E08F0">
      <w:r>
        <w:t>−−−−−−−−−−−−−−−−−−−−−−−−−−−−−−−−−−−−−−−−−−−−−−−−−−−−−−−−−−−−−</w:t>
      </w:r>
    </w:p>
    <w:p w:rsidR="009E08F0" w:rsidRDefault="009E08F0" w:rsidP="009E08F0">
      <w:r>
        <w:t>Strålsäkerheten för andra strålningsalstrande anordningar som kräver säkerhetstillstånd än sådana produkter för hälso- och sjukvård som avses i lagen om produkter och utrustning för hälso- och sjukvård (629/2010) kan bevisas genom att tillämpliga standarder iakttas.</w:t>
      </w:r>
    </w:p>
    <w:p w:rsidR="009E08F0" w:rsidRDefault="009E08F0" w:rsidP="009E08F0"/>
    <w:p w:rsidR="009E08F0" w:rsidRDefault="009E08F0" w:rsidP="009E08F0">
      <w:r>
        <w:t xml:space="preserve">Strålsäkerhetscentralen meddelar föreskrifter om de tillämpliga standarder som avses i 2 mom.  </w:t>
      </w:r>
    </w:p>
    <w:p w:rsidR="009E08F0" w:rsidRDefault="009E08F0" w:rsidP="009E08F0">
      <w:r>
        <w:t>−−−−−−−−−−−−−−−−−−−−−−−−−−−−−−−−−−−−−−−−−−−−−−−−−−−−−−−−−−−−−</w:t>
      </w:r>
    </w:p>
    <w:p w:rsidR="009E08F0" w:rsidRDefault="009E08F0" w:rsidP="009E08F0"/>
    <w:p w:rsidR="009E08F0" w:rsidRPr="005766B4" w:rsidRDefault="009E08F0" w:rsidP="009E08F0">
      <w:pPr>
        <w:rPr>
          <w:b/>
        </w:rPr>
      </w:pPr>
      <w:r>
        <w:rPr>
          <w:b/>
        </w:rPr>
        <w:t>58 § Bedömning av produkters strålsäkerhet</w:t>
      </w:r>
    </w:p>
    <w:p w:rsidR="009E08F0" w:rsidRDefault="009E08F0" w:rsidP="009E08F0">
      <w:r>
        <w:t>−−−−−−−−−−−−−−−−−−−−−−−−−−−−−−−−−−−−−−−−−−−−−−−−−−−−−−−−−−−−−</w:t>
      </w:r>
    </w:p>
    <w:p w:rsidR="009E08F0" w:rsidRDefault="009E08F0" w:rsidP="009E08F0">
      <w:r>
        <w:t>Om det inte går att bedöma en produkt på det sätt som avses i 1 mom. kan tillsynsmyndigheten bedöma produktens strålsäkerhet i enlighet med 2 mom. Även om en produkt stämmer överens med de bedömningsgrunder som anges i 1 och 2 mom. eller 56 § 2 mom. får tillsynsmyndigheten inleda tillsynsåtgärder som avses i 3 kap. i lagen om marknadskontrollen av vissa produkter om produkten trots detta utgör en hälsorisk.</w:t>
      </w:r>
    </w:p>
    <w:p w:rsidR="009E08F0" w:rsidRDefault="009E08F0" w:rsidP="009E08F0">
      <w:r>
        <w:t>−−−−−−−−−−−−−−−−−−−−−−−−−−−−−−−−−−−−−−−−−−−−−−−−−−−−−−−−−−−−−</w:t>
      </w:r>
    </w:p>
    <w:p w:rsidR="009E08F0" w:rsidRDefault="009E08F0" w:rsidP="009E08F0"/>
    <w:p w:rsidR="009E08F0" w:rsidRPr="005766B4" w:rsidRDefault="009E08F0" w:rsidP="009E08F0">
      <w:pPr>
        <w:rPr>
          <w:b/>
        </w:rPr>
      </w:pPr>
      <w:r>
        <w:rPr>
          <w:b/>
        </w:rPr>
        <w:t>64 § Godkännande av strålningsmätningar</w:t>
      </w:r>
    </w:p>
    <w:p w:rsidR="009E08F0" w:rsidRDefault="009E08F0" w:rsidP="009E08F0"/>
    <w:p w:rsidR="009E08F0" w:rsidRDefault="009E08F0" w:rsidP="009E08F0">
      <w:r>
        <w:t>Sådana mätningar av joniserande strålning som utförs för att bedöma yrkesmässig eller medicinsk exponering eller exponering av allmänheten, eller för att trygga säkerheten i strålningsverksamhet eller i en befintlig exponeringssituation, kräver godkännande av Strålsäkerhetscentralen. Något separat godkännande behövs emellertid inte för strålningsmätningar som Strålsäkerhetscentralen övervakar som en del av en dosimetritjänsts verksamhet eller en verksamhet baserad på ett säkerhetstillstånd. Det krävs inte heller något godkännande för strålningsmätningar som används för utredning av den exponering av allmänheten som orsakas av byggprodukter, hushållsvatten eller material som avses i 151 §.</w:t>
      </w:r>
    </w:p>
    <w:p w:rsidR="009E08F0" w:rsidRDefault="009E08F0" w:rsidP="009E08F0">
      <w:r>
        <w:t>−−−−−−−−−−−−−−−−−−−−−−−−−−−−−−−−−−−−−−−−−−−−−−−−−−−−−−−−−−−−−</w:t>
      </w:r>
    </w:p>
    <w:p w:rsidR="009E08F0" w:rsidRDefault="009E08F0" w:rsidP="009E08F0"/>
    <w:p w:rsidR="009E08F0" w:rsidRPr="005766B4" w:rsidRDefault="009E08F0" w:rsidP="009E08F0">
      <w:pPr>
        <w:rPr>
          <w:b/>
        </w:rPr>
      </w:pPr>
      <w:r>
        <w:rPr>
          <w:b/>
        </w:rPr>
        <w:t>70 a §</w:t>
      </w:r>
    </w:p>
    <w:p w:rsidR="009E08F0" w:rsidRPr="005766B4" w:rsidRDefault="009E08F0" w:rsidP="009E08F0">
      <w:pPr>
        <w:rPr>
          <w:b/>
        </w:rPr>
      </w:pPr>
      <w:r>
        <w:rPr>
          <w:b/>
        </w:rPr>
        <w:t>Identifiering av anordningar som alstrar strålning elektroniskt</w:t>
      </w:r>
    </w:p>
    <w:p w:rsidR="009E08F0" w:rsidRDefault="009E08F0" w:rsidP="009E08F0"/>
    <w:p w:rsidR="009E08F0" w:rsidRDefault="009E08F0" w:rsidP="009E08F0">
      <w:r>
        <w:t xml:space="preserve">Verksamhetsutövaren ska se till att en anordning som alstrar strålning elektroniskt och vars användning kräver säkerhetstillstånd är försedd med identifiering. </w:t>
      </w:r>
    </w:p>
    <w:p w:rsidR="009E08F0" w:rsidRDefault="009E08F0" w:rsidP="009E08F0"/>
    <w:p w:rsidR="009E08F0" w:rsidRDefault="009E08F0" w:rsidP="009E08F0">
      <w:r>
        <w:t xml:space="preserve">En identifierande märkning på anordningen ska göras på ett så beständigt sätt som möjligt. </w:t>
      </w:r>
    </w:p>
    <w:p w:rsidR="009E08F0" w:rsidRDefault="009E08F0" w:rsidP="009E08F0"/>
    <w:p w:rsidR="009E08F0" w:rsidRPr="005766B4" w:rsidRDefault="009E08F0" w:rsidP="009E08F0">
      <w:pPr>
        <w:rPr>
          <w:b/>
        </w:rPr>
      </w:pPr>
      <w:r>
        <w:rPr>
          <w:b/>
        </w:rPr>
        <w:t>71 §</w:t>
      </w:r>
    </w:p>
    <w:p w:rsidR="009E08F0" w:rsidRPr="005766B4" w:rsidRDefault="009E08F0" w:rsidP="009E08F0">
      <w:pPr>
        <w:rPr>
          <w:b/>
        </w:rPr>
      </w:pPr>
      <w:r>
        <w:rPr>
          <w:b/>
        </w:rPr>
        <w:t>Skyldighet att föra bok och lämna uppgifter</w:t>
      </w:r>
    </w:p>
    <w:p w:rsidR="009E08F0" w:rsidRDefault="009E08F0" w:rsidP="009E08F0"/>
    <w:p w:rsidR="009E08F0" w:rsidRDefault="009E08F0" w:rsidP="009E08F0">
      <w:r>
        <w:t>I verksamhet som kräver säkerhetstillstånd ska verksamhetsutövaren föra bok över de strålkällor som säkerhetstillståndet avser.</w:t>
      </w:r>
    </w:p>
    <w:p w:rsidR="009E08F0" w:rsidRDefault="009E08F0" w:rsidP="009E08F0">
      <w:r>
        <w:t xml:space="preserve"> Av bokföringen ska det framgå vilka strålkällor som innehas samt när de mottagits, överlåtits och strukits från tillståndet. En strålkälla kan avskrivas ur bokföringen när det har gått fem år sedan den överlåtits eller oskadliggjorts. Bokföringen ska hållas uppdaterad.</w:t>
      </w:r>
    </w:p>
    <w:p w:rsidR="009E08F0" w:rsidRDefault="009E08F0" w:rsidP="009E08F0"/>
    <w:p w:rsidR="009E08F0" w:rsidRDefault="009E08F0" w:rsidP="009E08F0">
      <w:r>
        <w:t>En innehavare av säkerhetstillstånd för tillverkning, förvaring, handel med, export eller import av strålkällor ska årligen lämna uppgifter till Strålsäkerhetscentralen om de strålkällor den har mottagit, överlåtit eller har i sin besittning under kalenderåret. Uppgifterna behöver dock inte lämnas om sådana strålkällor som innehavaren har mottagit eller har i sin besittning och som ansluter sig till handel eller tillverkning.</w:t>
      </w:r>
    </w:p>
    <w:p w:rsidR="009E08F0" w:rsidRDefault="009E08F0" w:rsidP="009E08F0">
      <w:r>
        <w:t>−−−−−−−−−−−−−−−−−−−−−−−−−−−−−−−−−−−−−−−−−−−−−−−−−−−−−−−−−−−−−</w:t>
      </w:r>
    </w:p>
    <w:p w:rsidR="009E08F0" w:rsidRDefault="009E08F0" w:rsidP="009E08F0">
      <w:r>
        <w:t>Strålsäkerhetscentralen meddelar närmare föreskrifter om bokföring som avses i 1 mom. samt om de uppgifter som avses 2 och 3 mom. och hur de ska lämnas.</w:t>
      </w:r>
    </w:p>
    <w:p w:rsidR="009E08F0" w:rsidRPr="005766B4" w:rsidRDefault="009E08F0" w:rsidP="009E08F0">
      <w:pPr>
        <w:rPr>
          <w:b/>
        </w:rPr>
      </w:pPr>
    </w:p>
    <w:p w:rsidR="009E08F0" w:rsidRPr="005766B4" w:rsidRDefault="009E08F0" w:rsidP="009E08F0">
      <w:pPr>
        <w:rPr>
          <w:b/>
        </w:rPr>
      </w:pPr>
      <w:r>
        <w:rPr>
          <w:b/>
        </w:rPr>
        <w:t>84 §</w:t>
      </w:r>
    </w:p>
    <w:p w:rsidR="009E08F0" w:rsidRPr="005766B4" w:rsidRDefault="009E08F0" w:rsidP="009E08F0">
      <w:pPr>
        <w:rPr>
          <w:b/>
        </w:rPr>
      </w:pPr>
      <w:r>
        <w:rPr>
          <w:b/>
        </w:rPr>
        <w:t>Förutsättningar för återanvändning, materialåtervinning, återvinning och bortskaffande</w:t>
      </w:r>
    </w:p>
    <w:p w:rsidR="009E08F0" w:rsidRDefault="009E08F0" w:rsidP="009E08F0"/>
    <w:p w:rsidR="009E08F0" w:rsidRDefault="009E08F0" w:rsidP="009E08F0">
      <w:r>
        <w:t>Avfall och annat material som härstammar från strålningsverksamhet och avfall som avses i 78 § 3 mom. får trots sin radioaktivitet återanvändas, återvinnas som material, återvinnas på annat sätt och bortskaffas med iakttagande av avfallslagen, förutsatt att mängden radioaktivt ämne inte är högre än friklassningsnivån enligt 85 § 2 mom.</w:t>
      </w:r>
    </w:p>
    <w:p w:rsidR="009E08F0" w:rsidRPr="005766B4" w:rsidRDefault="009E08F0" w:rsidP="009E08F0">
      <w:r>
        <w:t>−−−−−−−−−−−−−−−−−−−−−−−−−−−−−−−−−−−−−−−−−−−−−−−−−−−−−−−−−−−−−</w:t>
      </w:r>
    </w:p>
    <w:p w:rsidR="009E08F0" w:rsidRPr="005766B4" w:rsidRDefault="009E08F0" w:rsidP="009E08F0">
      <w:pPr>
        <w:rPr>
          <w:b/>
        </w:rPr>
      </w:pPr>
    </w:p>
    <w:p w:rsidR="009E08F0" w:rsidRPr="005766B4" w:rsidRDefault="009E08F0" w:rsidP="009E08F0">
      <w:pPr>
        <w:rPr>
          <w:b/>
        </w:rPr>
      </w:pPr>
      <w:r>
        <w:rPr>
          <w:b/>
        </w:rPr>
        <w:t>127 § Utsläpp och gränsvärden för dessa</w:t>
      </w:r>
    </w:p>
    <w:p w:rsidR="009E08F0" w:rsidRDefault="009E08F0" w:rsidP="009E08F0"/>
    <w:p w:rsidR="009E08F0" w:rsidRDefault="009E08F0" w:rsidP="009E08F0">
      <w:r>
        <w:t>−−−−−−−−−−−−−−−−−−−−−−−−−−−−−−−−−−−−−−−−−−−−−−−−−−−−−−−−−−−−−</w:t>
      </w:r>
    </w:p>
    <w:p w:rsidR="009E08F0" w:rsidRDefault="009E08F0" w:rsidP="009E08F0">
      <w:r>
        <w:t>Strålsäkerhetscentralen ska bevilja tillstånd för utsläpp som avses i 2 mom. om exponeringen av allmänheten, med hänsyn till verksamhetens karaktär och omfattning samt de tillgängliga metoderna för begränsning av utsläpp, blir så låg som möjligt och den exponering utsläppen förutspås orsaka är lägre än dosrestriktionen.</w:t>
      </w:r>
    </w:p>
    <w:p w:rsidR="009E08F0" w:rsidRDefault="009E08F0" w:rsidP="009E08F0">
      <w:r>
        <w:t>−−−−−−−−−−−−−−−−−−−−−−−−−−−−−−−−−−−−−−−−−−−−−−−−−−−−−−−−−−−−−</w:t>
      </w:r>
    </w:p>
    <w:p w:rsidR="009E08F0" w:rsidRDefault="009E08F0" w:rsidP="009E08F0"/>
    <w:p w:rsidR="009E08F0" w:rsidRPr="005766B4" w:rsidRDefault="009E08F0" w:rsidP="009E08F0">
      <w:pPr>
        <w:rPr>
          <w:b/>
        </w:rPr>
      </w:pPr>
      <w:r>
        <w:rPr>
          <w:b/>
        </w:rPr>
        <w:t>129 §</w:t>
      </w:r>
    </w:p>
    <w:p w:rsidR="009E08F0" w:rsidRPr="005766B4" w:rsidRDefault="009E08F0" w:rsidP="009E08F0">
      <w:pPr>
        <w:rPr>
          <w:b/>
        </w:rPr>
      </w:pPr>
      <w:r>
        <w:rPr>
          <w:b/>
        </w:rPr>
        <w:t>Beredskap inför strålsäkerhetsincidenter</w:t>
      </w:r>
    </w:p>
    <w:p w:rsidR="009E08F0" w:rsidRDefault="009E08F0" w:rsidP="009E08F0"/>
    <w:p w:rsidR="009E08F0" w:rsidRDefault="009E08F0" w:rsidP="009E08F0">
      <w:r>
        <w:t xml:space="preserve">I verksamhet som kräver säkerhetstillstånd ska verksamhetsutövaren ha beredskap för strålsäkerhetsincidenter. Verksamhetsutövare ska ha en uppdaterad handlingsplan för incidenter. Åtgärder enligt handlingsplanen ska övas utifrån riskerna inom verksamheten. </w:t>
      </w:r>
    </w:p>
    <w:p w:rsidR="009E08F0" w:rsidRDefault="009E08F0" w:rsidP="009E08F0"/>
    <w:p w:rsidR="009E08F0" w:rsidRPr="00762A55" w:rsidRDefault="009E08F0" w:rsidP="009E08F0">
      <w:r>
        <w:t>Strålsäkerhetscentralen meddelar närmare föreskrifter om den i 1 mom. avsedda planen för strålsäkerhetsincidenter och om övningar av de åtgärder som ska vidtas på grund av dessa i enlighet med de risker som sammanhänger med verksamheten.</w:t>
      </w:r>
    </w:p>
    <w:p w:rsidR="009E08F0" w:rsidRPr="00762A55" w:rsidRDefault="009E08F0" w:rsidP="009E08F0"/>
    <w:p w:rsidR="009E08F0" w:rsidRDefault="009E08F0" w:rsidP="009E08F0"/>
    <w:p w:rsidR="009E08F0" w:rsidRDefault="009E08F0" w:rsidP="009E08F0"/>
    <w:p w:rsidR="009E08F0" w:rsidRPr="005766B4" w:rsidRDefault="009E08F0" w:rsidP="009E08F0">
      <w:pPr>
        <w:rPr>
          <w:b/>
        </w:rPr>
      </w:pPr>
      <w:r>
        <w:rPr>
          <w:b/>
        </w:rPr>
        <w:t>130 §</w:t>
      </w:r>
    </w:p>
    <w:p w:rsidR="009E08F0" w:rsidRPr="005766B4" w:rsidRDefault="009E08F0" w:rsidP="009E08F0">
      <w:pPr>
        <w:rPr>
          <w:b/>
        </w:rPr>
      </w:pPr>
      <w:r>
        <w:rPr>
          <w:b/>
        </w:rPr>
        <w:t>Omedelbara åtgärder vid strålsäkerhetsincidenter</w:t>
      </w:r>
    </w:p>
    <w:p w:rsidR="009E08F0" w:rsidRDefault="009E08F0" w:rsidP="009E08F0"/>
    <w:p w:rsidR="009E08F0" w:rsidRDefault="009E08F0" w:rsidP="009E08F0">
      <w:r>
        <w:t>−−−−−−−−−−−−−−−−−−−−−−−−−−−−−−−−−−−−−−−−−−−−−−−−−−−−−−−−−−−−−</w:t>
      </w:r>
    </w:p>
    <w:p w:rsidR="009E08F0" w:rsidRDefault="009E08F0" w:rsidP="009E08F0"/>
    <w:p w:rsidR="009E08F0" w:rsidRDefault="009E08F0" w:rsidP="009E08F0">
      <w:r>
        <w:t>Om en strålkälla som försvunnit har kunnat föras ut ur eller in i landet, svarar Strålsäkerhetscentralen för det behövliga internationella informationsutbytet.</w:t>
      </w:r>
    </w:p>
    <w:p w:rsidR="009E08F0" w:rsidRDefault="009E08F0" w:rsidP="009E08F0">
      <w:r>
        <w:t>−−−−−−−−−−−−−−−−−−−−−−−−−−−−−−−−−−−−−−−−−−−−−−−−−−−−−−−−−−−−−</w:t>
      </w:r>
    </w:p>
    <w:p w:rsidR="009E08F0" w:rsidRDefault="009E08F0" w:rsidP="009E08F0"/>
    <w:p w:rsidR="009E08F0" w:rsidRPr="005766B4" w:rsidRDefault="009E08F0" w:rsidP="009E08F0">
      <w:pPr>
        <w:rPr>
          <w:b/>
        </w:rPr>
      </w:pPr>
      <w:r>
        <w:rPr>
          <w:b/>
        </w:rPr>
        <w:t>133 §</w:t>
      </w:r>
    </w:p>
    <w:p w:rsidR="009E08F0" w:rsidRPr="005766B4" w:rsidRDefault="009E08F0" w:rsidP="009E08F0">
      <w:pPr>
        <w:rPr>
          <w:b/>
        </w:rPr>
      </w:pPr>
      <w:r>
        <w:rPr>
          <w:b/>
        </w:rPr>
        <w:t>Informationsplikt i nödsituationer med strålrisk</w:t>
      </w:r>
    </w:p>
    <w:p w:rsidR="009E08F0" w:rsidRDefault="009E08F0" w:rsidP="009E08F0"/>
    <w:p w:rsidR="009E08F0" w:rsidRDefault="009E08F0" w:rsidP="009E08F0">
      <w:r>
        <w:t>−−−−−−−−−−−−−−−−−−−−−−−−−−−−−−−−−−−−−−−−−−−−−−−−−−−−−−−−−−−−−</w:t>
      </w:r>
    </w:p>
    <w:p w:rsidR="009E08F0" w:rsidRDefault="009E08F0" w:rsidP="009E08F0"/>
    <w:p w:rsidR="009E08F0" w:rsidRDefault="009E08F0" w:rsidP="009E08F0">
      <w:r>
        <w:t>Strålsäkerhetscentralen informerar om nödsituationer med strålrisk och hot om sådana med hjälp av internationella system för informationsutbyte och till de stater som kan påverkas av situationerna.</w:t>
      </w:r>
    </w:p>
    <w:p w:rsidR="009E08F0" w:rsidRDefault="009E08F0" w:rsidP="009E08F0"/>
    <w:p w:rsidR="009E08F0" w:rsidRDefault="009E08F0" w:rsidP="009E08F0">
      <w:r>
        <w:t>−−−−−−−−−−−−−−−−−−−−−−−−−−−−−−−−−−−−−−−−−−−−−−−−−−−−−−−−−−−−−</w:t>
      </w:r>
    </w:p>
    <w:p w:rsidR="009E08F0" w:rsidRPr="005766B4" w:rsidRDefault="009E08F0" w:rsidP="009E08F0">
      <w:pPr>
        <w:rPr>
          <w:b/>
        </w:rPr>
      </w:pPr>
    </w:p>
    <w:p w:rsidR="009E08F0" w:rsidRPr="005766B4" w:rsidRDefault="009E08F0" w:rsidP="009E08F0">
      <w:pPr>
        <w:rPr>
          <w:b/>
        </w:rPr>
      </w:pPr>
      <w:r>
        <w:rPr>
          <w:b/>
        </w:rPr>
        <w:t>137 §</w:t>
      </w:r>
    </w:p>
    <w:p w:rsidR="009E08F0" w:rsidRPr="005766B4" w:rsidRDefault="009E08F0" w:rsidP="009E08F0">
      <w:pPr>
        <w:rPr>
          <w:b/>
        </w:rPr>
      </w:pPr>
      <w:r>
        <w:rPr>
          <w:b/>
        </w:rPr>
        <w:t>Befintlig exponeringssituation efter nödsituation med strålrisk</w:t>
      </w:r>
    </w:p>
    <w:p w:rsidR="009E08F0" w:rsidRDefault="009E08F0" w:rsidP="009E08F0"/>
    <w:p w:rsidR="009E08F0" w:rsidRDefault="009E08F0" w:rsidP="009E08F0">
      <w:r>
        <w:t>−−−−−−−−−−−−−−−−−−−−−−−−−−−−−−−−−−−−−−−−−−−−−−−−−−−−−−−−−−−−−</w:t>
      </w:r>
    </w:p>
    <w:p w:rsidR="009E08F0" w:rsidRDefault="009E08F0" w:rsidP="009E08F0">
      <w:r>
        <w:t>Om exponeringssituationen påverkar flera stater, ska övergången till befintlig exponeringssituation ske i samarbete med dessa stater.</w:t>
      </w:r>
    </w:p>
    <w:p w:rsidR="009E08F0" w:rsidRDefault="009E08F0" w:rsidP="009E08F0"/>
    <w:p w:rsidR="009E08F0" w:rsidRDefault="009E08F0" w:rsidP="009E08F0">
      <w:r>
        <w:t>−−−−−−−−−−−−−−−−−−−−−−−−−−−−−−−−−−−−−−−−−−−−−−−−−−−−−−−−−−−−−</w:t>
      </w:r>
    </w:p>
    <w:p w:rsidR="009E08F0" w:rsidRPr="005766B4" w:rsidRDefault="009E08F0" w:rsidP="009E08F0">
      <w:pPr>
        <w:rPr>
          <w:b/>
        </w:rPr>
      </w:pPr>
    </w:p>
    <w:p w:rsidR="009E08F0" w:rsidRPr="005766B4" w:rsidRDefault="009E08F0" w:rsidP="009E08F0">
      <w:pPr>
        <w:rPr>
          <w:b/>
        </w:rPr>
      </w:pPr>
      <w:r>
        <w:rPr>
          <w:b/>
        </w:rPr>
        <w:t>147 §</w:t>
      </w:r>
    </w:p>
    <w:p w:rsidR="009E08F0" w:rsidRPr="005766B4" w:rsidRDefault="009E08F0" w:rsidP="009E08F0">
      <w:pPr>
        <w:rPr>
          <w:b/>
        </w:rPr>
      </w:pPr>
      <w:r>
        <w:rPr>
          <w:b/>
        </w:rPr>
        <w:t>Begränsning av strålningsexponering</w:t>
      </w:r>
    </w:p>
    <w:p w:rsidR="009E08F0" w:rsidRDefault="009E08F0" w:rsidP="009E08F0"/>
    <w:p w:rsidR="009E08F0" w:rsidRDefault="009E08F0" w:rsidP="009E08F0">
      <w:r>
        <w:t>Om den yrkesmässiga exponeringen eller exponeringen av allmänheten eller om radonhalten på arbetsplatsen eller i hushållsvatten är högre än referensvärdet, ska den som är utredningsskyldig enligt 146 § utan obefogat dröjsmål vidta åtgärder i syfte att begränsa exponeringen för naturlig strålning.</w:t>
      </w:r>
    </w:p>
    <w:p w:rsidR="009E08F0" w:rsidRDefault="009E08F0" w:rsidP="009E08F0"/>
    <w:p w:rsidR="009E08F0" w:rsidRPr="00544FDB" w:rsidRDefault="009E08F0" w:rsidP="009E08F0">
      <w:r>
        <w:t xml:space="preserve">Åtgärdernas tillräcklighet ska konstateras med hjälp av motsvarande mätningar eller beräkningar som vid utredning av den strålningsexponering som avses i 146 §. Resultatet av en utredning av åtgärdernas tillräcklighet ska genast meddelas till Strålsäkerhetscentralen. </w:t>
      </w:r>
    </w:p>
    <w:p w:rsidR="009E08F0" w:rsidRPr="00544FDB" w:rsidRDefault="009E08F0" w:rsidP="009E08F0"/>
    <w:p w:rsidR="009E08F0" w:rsidRDefault="009E08F0" w:rsidP="009E08F0">
      <w:r>
        <w:t>Om en i 146 § 1 mom. avsedd utredningsskyldighet inte längre tillämpas på verksamheten till följd av en åtgärd som avses i 1 mom., ska Strålsäkerhetscentralen utan dröjsmål meddela att utredningsskyldigheten upphör och skälen för detta.</w:t>
      </w:r>
    </w:p>
    <w:p w:rsidR="009E08F0" w:rsidRPr="005766B4" w:rsidRDefault="009E08F0" w:rsidP="009E08F0">
      <w:pPr>
        <w:rPr>
          <w:b/>
        </w:rPr>
      </w:pPr>
    </w:p>
    <w:p w:rsidR="009E08F0" w:rsidRPr="005766B4" w:rsidRDefault="009E08F0" w:rsidP="009E08F0">
      <w:pPr>
        <w:rPr>
          <w:b/>
        </w:rPr>
      </w:pPr>
      <w:r>
        <w:rPr>
          <w:b/>
        </w:rPr>
        <w:t>149 §</w:t>
      </w:r>
    </w:p>
    <w:p w:rsidR="009E08F0" w:rsidRPr="005766B4" w:rsidRDefault="009E08F0" w:rsidP="009E08F0">
      <w:pPr>
        <w:rPr>
          <w:b/>
        </w:rPr>
      </w:pPr>
      <w:r>
        <w:rPr>
          <w:b/>
        </w:rPr>
        <w:t>Exponering för naturlig strålning på arbetsplatsen</w:t>
      </w:r>
    </w:p>
    <w:p w:rsidR="009E08F0" w:rsidRDefault="009E08F0" w:rsidP="009E08F0"/>
    <w:p w:rsidR="009E08F0" w:rsidRDefault="009E08F0" w:rsidP="009E08F0">
      <w:r>
        <w:t>−−−−−−−−−−−−−−−−−−−−−−−−−−−−−−−−−−−−−−−−−−−−−−−−−−−−−−−−−−−−−</w:t>
      </w:r>
    </w:p>
    <w:p w:rsidR="009E08F0" w:rsidRDefault="009E08F0" w:rsidP="009E08F0">
      <w:r>
        <w:t>Bestämmelserna i 35 och 90 §, 92 § 2 mom. 1 och 3 punkten och 3 mom. samt 95 § tillämpas inte, om endast radonhalten på arbetsplatsen eller den yrkesmässiga exponeringen för radon eller kosmisk strålning är högre än referensvärdet. Dessutom tillämpas inte 89 § 2 mom. och 91 § om endast den yrkesmässiga exponeringen för kosmisk strålning är högre än referensvärdet.</w:t>
      </w:r>
    </w:p>
    <w:p w:rsidR="009E08F0" w:rsidRDefault="009E08F0" w:rsidP="009E08F0">
      <w:r>
        <w:t>−−−−−−−−−−−−−−−−−−−−−−−−−−−−−−−−−−−−−−−−−−−−−−−−−−−−−−−−−−−−−</w:t>
      </w:r>
    </w:p>
    <w:p w:rsidR="009E08F0" w:rsidRDefault="009E08F0" w:rsidP="009E08F0"/>
    <w:p w:rsidR="009E08F0" w:rsidRPr="005766B4" w:rsidRDefault="009E08F0" w:rsidP="009E08F0">
      <w:pPr>
        <w:rPr>
          <w:b/>
        </w:rPr>
      </w:pPr>
      <w:r>
        <w:rPr>
          <w:b/>
        </w:rPr>
        <w:t>155 §</w:t>
      </w:r>
    </w:p>
    <w:p w:rsidR="009E08F0" w:rsidRPr="005766B4" w:rsidRDefault="009E08F0" w:rsidP="009E08F0">
      <w:pPr>
        <w:rPr>
          <w:b/>
        </w:rPr>
      </w:pPr>
      <w:r>
        <w:rPr>
          <w:b/>
        </w:rPr>
        <w:t>Utredning av radonhalten på arbetsplatser</w:t>
      </w:r>
    </w:p>
    <w:p w:rsidR="009E08F0" w:rsidRDefault="009E08F0" w:rsidP="009E08F0"/>
    <w:p w:rsidR="009E08F0" w:rsidRDefault="009E08F0" w:rsidP="009E08F0">
      <w:r>
        <w:t>Arbetsgivare ska utreda radonhalten i arbetslokaler och på andra arbetsställen, om lokalerna är belägna</w:t>
      </w:r>
    </w:p>
    <w:p w:rsidR="009E08F0" w:rsidRDefault="009E08F0" w:rsidP="009E08F0">
      <w:r>
        <w:t>−−−−−−−−−−−−−−−−−−−−−−−−−−−−−−−−−−−−−−−−−−−−−−−−−−−−−−−−−−−−−</w:t>
      </w:r>
    </w:p>
    <w:p w:rsidR="009E08F0" w:rsidRDefault="009E08F0" w:rsidP="009E08F0">
      <w:r>
        <w:t>4) i en anläggning som levererar hushållsvatten där det vatten som används inte enbart härstammar från en ytvattenförekomst och där vattnet kommer i kontakt med  inomhusluften.</w:t>
      </w:r>
    </w:p>
    <w:p w:rsidR="009E08F0" w:rsidRDefault="009E08F0" w:rsidP="009E08F0"/>
    <w:p w:rsidR="009E08F0" w:rsidRDefault="009E08F0" w:rsidP="009E08F0">
      <w:r>
        <w:t>−−−−−−−−−−−−−−−−−−−−−−−−−−−−−−−−−−−−−−−−−−−−−−−−−−−−−−−−−−−−−</w:t>
      </w:r>
    </w:p>
    <w:p w:rsidR="009E08F0" w:rsidRPr="005766B4" w:rsidRDefault="009E08F0" w:rsidP="009E08F0">
      <w:pPr>
        <w:rPr>
          <w:b/>
        </w:rPr>
      </w:pPr>
    </w:p>
    <w:p w:rsidR="009E08F0" w:rsidRPr="005766B4" w:rsidRDefault="009E08F0" w:rsidP="009E08F0">
      <w:pPr>
        <w:rPr>
          <w:b/>
        </w:rPr>
      </w:pPr>
      <w:r>
        <w:rPr>
          <w:b/>
        </w:rPr>
        <w:t xml:space="preserve">189 § </w:t>
      </w:r>
    </w:p>
    <w:p w:rsidR="009E08F0" w:rsidRPr="005766B4" w:rsidRDefault="009E08F0" w:rsidP="009E08F0">
      <w:pPr>
        <w:rPr>
          <w:b/>
        </w:rPr>
      </w:pPr>
      <w:r>
        <w:rPr>
          <w:b/>
        </w:rPr>
        <w:t>Tillsynsavgift och grunder för den</w:t>
      </w:r>
    </w:p>
    <w:p w:rsidR="009E08F0" w:rsidRDefault="009E08F0" w:rsidP="009E08F0">
      <w:r>
        <w:t>−−−−−−−−−−−−−−−−−−−−−−−−−−−−−−−−−−−−−−−−−−−−−−−−−−−−−−−−−−−−−</w:t>
      </w:r>
    </w:p>
    <w:p w:rsidR="009E08F0" w:rsidRDefault="009E08F0" w:rsidP="009E08F0">
      <w:r>
        <w:t xml:space="preserve">Tillsynsavgiften består av en grundavgift på basis av verksamhetstyp och en tilläggsavgift på basis av strålkälla och grundar sig på de uppgifter som finns i Strålsäkerhetscentralens register den 1 januari ifrågavarande år. </w:t>
      </w:r>
    </w:p>
    <w:p w:rsidR="009E08F0" w:rsidRDefault="009E08F0" w:rsidP="009E08F0"/>
    <w:p w:rsidR="009E08F0" w:rsidRDefault="009E08F0" w:rsidP="009E08F0">
      <w:r>
        <w:t>−−−−−−−−−−−−−−−−−−−−−−−−−−−−−−−−−−−−−−−−−−−−−−−−−−−−−−−−−−−−−</w:t>
      </w:r>
    </w:p>
    <w:p w:rsidR="009E08F0" w:rsidRPr="00132817" w:rsidRDefault="009E08F0" w:rsidP="009E08F0">
      <w:pPr>
        <w:rPr>
          <w:rFonts w:ascii="Cambria" w:hAnsi="Cambria"/>
        </w:rPr>
      </w:pPr>
      <w:r>
        <w:t>Debiteringen verkställs utan att verksamhetsutövaren ges tillfälle att bli hörd. Beslutet kan delges genom vanlig delgivning enligt 59 § i förvaltningslagen.</w:t>
      </w:r>
    </w:p>
    <w:p w:rsidR="009E08F0" w:rsidRDefault="009E08F0" w:rsidP="009E08F0"/>
    <w:p w:rsidR="009E08F0" w:rsidRDefault="009E08F0" w:rsidP="009E08F0"/>
    <w:p w:rsidR="009E08F0" w:rsidRPr="005766B4" w:rsidRDefault="009E08F0" w:rsidP="009E08F0">
      <w:pPr>
        <w:rPr>
          <w:b/>
        </w:rPr>
      </w:pPr>
      <w:r>
        <w:rPr>
          <w:b/>
        </w:rPr>
        <w:t xml:space="preserve">190 § </w:t>
      </w:r>
    </w:p>
    <w:p w:rsidR="009E08F0" w:rsidRPr="005766B4" w:rsidRDefault="009E08F0" w:rsidP="009E08F0">
      <w:pPr>
        <w:rPr>
          <w:b/>
        </w:rPr>
      </w:pPr>
      <w:r>
        <w:rPr>
          <w:b/>
        </w:rPr>
        <w:t>Betalningsskyldighetens giltighetstid och betalningens förfallotid</w:t>
      </w:r>
    </w:p>
    <w:p w:rsidR="009E08F0" w:rsidRDefault="009E08F0" w:rsidP="009E08F0">
      <w:r>
        <w:t>−−−−−−−−−−−−−−−−−−−−−−−−−−−−−−−−−−−−−−−−−−−−−−−−−−−−−−−−−−−−−</w:t>
      </w:r>
    </w:p>
    <w:p w:rsidR="009E08F0" w:rsidRDefault="009E08F0" w:rsidP="009E08F0">
      <w:r>
        <w:t>Tillsynsavgiften fastställs för varje kalenderår och förfaller årligen till betalning vid en tidpunkt som fastställs av Strålsäkerhetscentralen. Strålsäkerhetscentralen ska sända avgiftsbeslutet om tillsynsavgiften till den avgiftsskyldige senast 21 dagar före förfallodagen.</w:t>
      </w:r>
    </w:p>
    <w:p w:rsidR="009E08F0" w:rsidRDefault="009E08F0" w:rsidP="009E08F0">
      <w:r>
        <w:t>−−−−−−−−−−−−−−−−−−−−−−−−−−−−−−−−−−−−−−−−−−−−−−−−−−−−−−−−−−−−−</w:t>
      </w:r>
    </w:p>
    <w:p w:rsidR="009E08F0" w:rsidRPr="005766B4" w:rsidRDefault="009E08F0" w:rsidP="009E08F0">
      <w:pPr>
        <w:rPr>
          <w:b/>
        </w:rPr>
      </w:pPr>
    </w:p>
    <w:p w:rsidR="009E08F0" w:rsidRPr="005766B4" w:rsidRDefault="009E08F0" w:rsidP="009E08F0">
      <w:pPr>
        <w:rPr>
          <w:b/>
        </w:rPr>
      </w:pPr>
      <w:r>
        <w:rPr>
          <w:b/>
        </w:rPr>
        <w:t xml:space="preserve">193 § </w:t>
      </w:r>
    </w:p>
    <w:p w:rsidR="009E08F0" w:rsidRPr="005766B4" w:rsidRDefault="009E08F0" w:rsidP="009E08F0">
      <w:pPr>
        <w:rPr>
          <w:b/>
        </w:rPr>
      </w:pPr>
      <w:r>
        <w:rPr>
          <w:b/>
        </w:rPr>
        <w:t>Indrivning av avgifter och ränta</w:t>
      </w:r>
    </w:p>
    <w:p w:rsidR="009E08F0" w:rsidRDefault="009E08F0" w:rsidP="009E08F0"/>
    <w:p w:rsidR="009E08F0" w:rsidRDefault="009E08F0" w:rsidP="009E08F0">
      <w:r>
        <w:t>−−−−−−−−−−−−−−−−−−−−−−−−−−−−−−−−−−−−−−−−−−−−−−−−−−−−−−−−−−−−−</w:t>
      </w:r>
    </w:p>
    <w:p w:rsidR="009E08F0" w:rsidRDefault="009E08F0" w:rsidP="009E08F0">
      <w:r>
        <w:t>Om betalningen av en avgift fördröjs, ska det betalas en dröjsmålsränta enligt 4 § i räntelagen (633/1982) på avgiften. Strålsäkerhetscentralen kan i stället för dröjsmålsränta ta ut en förseningsavgift på tio euro, om beloppet av dröjsmålsräntan blir lägre än så.</w:t>
      </w:r>
    </w:p>
    <w:p w:rsidR="009E08F0" w:rsidRDefault="009E08F0" w:rsidP="009E08F0"/>
    <w:p w:rsidR="009E08F0" w:rsidRDefault="009E08F0" w:rsidP="009E08F0">
      <w:r>
        <w:t>Om en tillsynsavgift återbärs till följd av rättelse eller ändringssökande betalas återbäringsränta enligt 38 § i lagen om skatteuppbörd (11/2018) på det belopp som återbärs från och med dagen efter betalningsdagen till den dag då återbäringsbeloppet debiteras från Strålsäkerhetscentralens konto. Återbäringsräntan beräknas på basis av det faktiska antalet kalenderdagar räntan gäller.</w:t>
      </w:r>
    </w:p>
    <w:p w:rsidR="009E08F0" w:rsidRDefault="009E08F0" w:rsidP="009E08F0">
      <w:r>
        <w:t>−−−−−−−−−−−−−−−−−−−−−−−−−−−−−−−−−−−−−−−−−−−−−−−−−−−−−−−−−−−−−</w:t>
      </w:r>
    </w:p>
    <w:p w:rsidR="009E08F0" w:rsidRDefault="009E08F0" w:rsidP="009E08F0"/>
    <w:p w:rsidR="009E08F0" w:rsidRDefault="009E08F0" w:rsidP="009E08F0">
      <w:r>
        <w:t>Denna lag träder i kraft den      20 .</w:t>
      </w:r>
    </w:p>
    <w:p w:rsidR="009E08F0" w:rsidRDefault="009E08F0" w:rsidP="009E08F0">
      <w:r>
        <w:t xml:space="preserve">Datum och underskrifter </w:t>
      </w:r>
    </w:p>
    <w:p w:rsidR="00A34BD2" w:rsidRDefault="00A34BD2">
      <w:pPr>
        <w:spacing w:after="160" w:line="259" w:lineRule="auto"/>
      </w:pPr>
      <w:r>
        <w:br w:type="page"/>
      </w:r>
    </w:p>
    <w:p w:rsidR="009E08F0" w:rsidRDefault="009E08F0" w:rsidP="009E08F0"/>
    <w:p w:rsidR="009E08F0" w:rsidRPr="00562E6B" w:rsidRDefault="009E08F0" w:rsidP="009E08F0"/>
    <w:p w:rsidR="00A34BD2" w:rsidRPr="00F80ED9" w:rsidRDefault="00A34BD2" w:rsidP="00A34BD2">
      <w:pPr>
        <w:rPr>
          <w:sz w:val="20"/>
        </w:rPr>
      </w:pPr>
      <w:r>
        <w:rPr>
          <w:b/>
          <w:bCs/>
          <w:sz w:val="20"/>
          <w:lang w:val="sv"/>
        </w:rPr>
        <w:t>Tillsynsavgifter</w:t>
      </w:r>
      <w:r>
        <w:rPr>
          <w:sz w:val="20"/>
          <w:lang w:val="sv"/>
        </w:rPr>
        <w:t xml:space="preserve"> </w:t>
      </w:r>
    </w:p>
    <w:p w:rsidR="00A34BD2" w:rsidRPr="00F80ED9" w:rsidRDefault="00A34BD2" w:rsidP="00A34BD2">
      <w:pPr>
        <w:rPr>
          <w:b/>
          <w:bCs/>
          <w:sz w:val="20"/>
        </w:rPr>
      </w:pPr>
    </w:p>
    <w:p w:rsidR="00A34BD2" w:rsidRPr="00F80ED9" w:rsidRDefault="00A34BD2" w:rsidP="00A34BD2">
      <w:pPr>
        <w:rPr>
          <w:sz w:val="20"/>
        </w:rPr>
      </w:pPr>
      <w:r>
        <w:rPr>
          <w:b/>
          <w:bCs/>
          <w:sz w:val="20"/>
          <w:lang w:val="sv"/>
        </w:rPr>
        <w:t>1. Avgiftsklasser och avgifter</w:t>
      </w:r>
      <w:r>
        <w:rPr>
          <w:sz w:val="20"/>
          <w:lang w:val="sv"/>
        </w:rPr>
        <w:t xml:space="preserve"> </w:t>
      </w:r>
    </w:p>
    <w:p w:rsidR="00A34BD2" w:rsidRPr="00F80ED9" w:rsidRDefault="00A34BD2" w:rsidP="00A34BD2">
      <w:pPr>
        <w:rPr>
          <w:sz w:val="20"/>
        </w:rPr>
      </w:pPr>
      <w:r>
        <w:rPr>
          <w:sz w:val="20"/>
          <w:lang w:val="sv"/>
        </w:rPr>
        <w:t>Avgiftsklasserna indelas i avgiftsklasser för verksamhet och avgiftsklasser för strålkälla.</w:t>
      </w:r>
    </w:p>
    <w:p w:rsidR="00A34BD2" w:rsidRPr="00F80ED9" w:rsidRDefault="00A34BD2" w:rsidP="00A34BD2">
      <w:pPr>
        <w:rPr>
          <w:sz w:val="20"/>
        </w:rPr>
      </w:pPr>
      <w:r>
        <w:rPr>
          <w:sz w:val="20"/>
          <w:lang w:val="sv"/>
        </w:rPr>
        <w:t>Grundavgifterna på basis av verksamhetstyp är:</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3994"/>
        <w:gridCol w:w="5644"/>
      </w:tblGrid>
      <w:tr w:rsidR="00A34BD2" w:rsidRPr="00634C9F" w:rsidTr="00E249B3">
        <w:trPr>
          <w:tblCellSpacing w:w="15" w:type="dxa"/>
        </w:trPr>
        <w:tc>
          <w:tcPr>
            <w:tcW w:w="2049" w:type="pct"/>
            <w:hideMark/>
          </w:tcPr>
          <w:p w:rsidR="00A34BD2" w:rsidRPr="008E0F4A" w:rsidRDefault="00A34BD2" w:rsidP="00E249B3">
            <w:pPr>
              <w:rPr>
                <w:sz w:val="20"/>
              </w:rPr>
            </w:pPr>
            <w:r>
              <w:rPr>
                <w:b/>
                <w:bCs/>
                <w:sz w:val="20"/>
                <w:lang w:val="sv"/>
              </w:rPr>
              <w:t>Avgiftsklass för verksamhet</w:t>
            </w:r>
            <w:r>
              <w:rPr>
                <w:sz w:val="20"/>
                <w:lang w:val="sv"/>
              </w:rPr>
              <w:t xml:space="preserve"> </w:t>
            </w:r>
          </w:p>
        </w:tc>
        <w:tc>
          <w:tcPr>
            <w:tcW w:w="2905" w:type="pct"/>
            <w:hideMark/>
          </w:tcPr>
          <w:p w:rsidR="00A34BD2" w:rsidRPr="00F80ED9" w:rsidRDefault="00A34BD2" w:rsidP="00E249B3">
            <w:pPr>
              <w:rPr>
                <w:sz w:val="20"/>
              </w:rPr>
            </w:pPr>
            <w:r>
              <w:rPr>
                <w:b/>
                <w:bCs/>
                <w:sz w:val="20"/>
                <w:lang w:val="sv"/>
              </w:rPr>
              <w:t>Grundavgift på basis av verksamhetstyp</w:t>
            </w:r>
            <w:r>
              <w:rPr>
                <w:sz w:val="20"/>
                <w:lang w:val="sv"/>
              </w:rPr>
              <w:t xml:space="preserve"> </w:t>
            </w:r>
          </w:p>
        </w:tc>
      </w:tr>
      <w:tr w:rsidR="00A34BD2" w:rsidRPr="008E0F4A" w:rsidTr="00E249B3">
        <w:trPr>
          <w:tblCellSpacing w:w="15" w:type="dxa"/>
        </w:trPr>
        <w:tc>
          <w:tcPr>
            <w:tcW w:w="2049" w:type="pct"/>
            <w:tcBorders>
              <w:top w:val="single" w:sz="4" w:space="0" w:color="auto"/>
              <w:left w:val="single" w:sz="4" w:space="0" w:color="auto"/>
              <w:bottom w:val="single" w:sz="4" w:space="0" w:color="auto"/>
              <w:right w:val="single" w:sz="4" w:space="0" w:color="auto"/>
            </w:tcBorders>
            <w:hideMark/>
          </w:tcPr>
          <w:p w:rsidR="00A34BD2" w:rsidRPr="008E0F4A" w:rsidRDefault="00A34BD2" w:rsidP="00E249B3">
            <w:pPr>
              <w:rPr>
                <w:sz w:val="20"/>
              </w:rPr>
            </w:pPr>
            <w:r>
              <w:rPr>
                <w:sz w:val="20"/>
                <w:lang w:val="sv"/>
              </w:rPr>
              <w:t>A</w:t>
            </w:r>
          </w:p>
        </w:tc>
        <w:tc>
          <w:tcPr>
            <w:tcW w:w="2905" w:type="pct"/>
            <w:tcBorders>
              <w:top w:val="single" w:sz="4" w:space="0" w:color="auto"/>
              <w:left w:val="single" w:sz="4" w:space="0" w:color="auto"/>
              <w:bottom w:val="single" w:sz="4" w:space="0" w:color="auto"/>
              <w:right w:val="single" w:sz="4" w:space="0" w:color="auto"/>
            </w:tcBorders>
          </w:tcPr>
          <w:p w:rsidR="00A34BD2" w:rsidRPr="008E0F4A" w:rsidRDefault="004F6EC8" w:rsidP="00E249B3">
            <w:pPr>
              <w:rPr>
                <w:sz w:val="20"/>
              </w:rPr>
            </w:pPr>
            <w:r>
              <w:rPr>
                <w:sz w:val="20"/>
              </w:rPr>
              <w:t>180</w:t>
            </w:r>
            <w:r w:rsidR="00A34BD2">
              <w:rPr>
                <w:sz w:val="20"/>
              </w:rPr>
              <w:t xml:space="preserve"> € </w:t>
            </w:r>
          </w:p>
        </w:tc>
      </w:tr>
      <w:tr w:rsidR="00A34BD2" w:rsidRPr="008E0F4A" w:rsidTr="00E249B3">
        <w:trPr>
          <w:tblCellSpacing w:w="15" w:type="dxa"/>
        </w:trPr>
        <w:tc>
          <w:tcPr>
            <w:tcW w:w="2049" w:type="pct"/>
            <w:tcBorders>
              <w:top w:val="single" w:sz="4" w:space="0" w:color="auto"/>
              <w:left w:val="single" w:sz="4" w:space="0" w:color="auto"/>
              <w:bottom w:val="single" w:sz="4" w:space="0" w:color="auto"/>
              <w:right w:val="single" w:sz="4" w:space="0" w:color="auto"/>
            </w:tcBorders>
            <w:hideMark/>
          </w:tcPr>
          <w:p w:rsidR="00A34BD2" w:rsidRPr="008E0F4A" w:rsidRDefault="00A34BD2" w:rsidP="00E249B3">
            <w:pPr>
              <w:rPr>
                <w:sz w:val="20"/>
              </w:rPr>
            </w:pPr>
            <w:r>
              <w:rPr>
                <w:sz w:val="20"/>
                <w:lang w:val="sv"/>
              </w:rPr>
              <w:t>B</w:t>
            </w:r>
          </w:p>
        </w:tc>
        <w:tc>
          <w:tcPr>
            <w:tcW w:w="2905" w:type="pct"/>
            <w:tcBorders>
              <w:top w:val="single" w:sz="4" w:space="0" w:color="auto"/>
              <w:left w:val="single" w:sz="4" w:space="0" w:color="auto"/>
              <w:bottom w:val="single" w:sz="4" w:space="0" w:color="auto"/>
              <w:right w:val="single" w:sz="4" w:space="0" w:color="auto"/>
            </w:tcBorders>
          </w:tcPr>
          <w:p w:rsidR="00A34BD2" w:rsidRPr="008E0F4A" w:rsidRDefault="004F6EC8" w:rsidP="00E249B3">
            <w:pPr>
              <w:rPr>
                <w:sz w:val="20"/>
              </w:rPr>
            </w:pPr>
            <w:r>
              <w:rPr>
                <w:sz w:val="20"/>
              </w:rPr>
              <w:t>620</w:t>
            </w:r>
            <w:r w:rsidR="00A34BD2">
              <w:rPr>
                <w:sz w:val="20"/>
              </w:rPr>
              <w:t xml:space="preserve"> € </w:t>
            </w:r>
          </w:p>
        </w:tc>
      </w:tr>
      <w:tr w:rsidR="00A34BD2" w:rsidRPr="008E0F4A" w:rsidTr="00E249B3">
        <w:trPr>
          <w:tblCellSpacing w:w="15" w:type="dxa"/>
        </w:trPr>
        <w:tc>
          <w:tcPr>
            <w:tcW w:w="2049" w:type="pct"/>
            <w:tcBorders>
              <w:top w:val="single" w:sz="4" w:space="0" w:color="auto"/>
              <w:left w:val="single" w:sz="4" w:space="0" w:color="auto"/>
              <w:bottom w:val="single" w:sz="4" w:space="0" w:color="auto"/>
              <w:right w:val="single" w:sz="4" w:space="0" w:color="auto"/>
            </w:tcBorders>
            <w:hideMark/>
          </w:tcPr>
          <w:p w:rsidR="00A34BD2" w:rsidRPr="008E0F4A" w:rsidRDefault="00A34BD2" w:rsidP="00E249B3">
            <w:pPr>
              <w:rPr>
                <w:sz w:val="20"/>
              </w:rPr>
            </w:pPr>
            <w:r>
              <w:rPr>
                <w:sz w:val="20"/>
                <w:lang w:val="sv"/>
              </w:rPr>
              <w:t>C</w:t>
            </w:r>
          </w:p>
        </w:tc>
        <w:tc>
          <w:tcPr>
            <w:tcW w:w="2905" w:type="pct"/>
            <w:tcBorders>
              <w:top w:val="single" w:sz="4" w:space="0" w:color="auto"/>
              <w:left w:val="single" w:sz="4" w:space="0" w:color="auto"/>
              <w:bottom w:val="single" w:sz="4" w:space="0" w:color="auto"/>
              <w:right w:val="single" w:sz="4" w:space="0" w:color="auto"/>
            </w:tcBorders>
          </w:tcPr>
          <w:p w:rsidR="00A34BD2" w:rsidRPr="008E0F4A" w:rsidRDefault="00A34BD2" w:rsidP="00E249B3">
            <w:pPr>
              <w:rPr>
                <w:sz w:val="20"/>
              </w:rPr>
            </w:pPr>
            <w:r>
              <w:rPr>
                <w:sz w:val="20"/>
              </w:rPr>
              <w:t xml:space="preserve">1 </w:t>
            </w:r>
            <w:r w:rsidR="004F6EC8">
              <w:rPr>
                <w:sz w:val="20"/>
              </w:rPr>
              <w:t>680</w:t>
            </w:r>
            <w:r>
              <w:rPr>
                <w:sz w:val="20"/>
              </w:rPr>
              <w:t xml:space="preserve"> € </w:t>
            </w:r>
          </w:p>
        </w:tc>
      </w:tr>
      <w:tr w:rsidR="00A34BD2" w:rsidRPr="008E0F4A" w:rsidTr="00E249B3">
        <w:trPr>
          <w:tblCellSpacing w:w="15" w:type="dxa"/>
        </w:trPr>
        <w:tc>
          <w:tcPr>
            <w:tcW w:w="2049" w:type="pct"/>
            <w:tcBorders>
              <w:top w:val="single" w:sz="4" w:space="0" w:color="auto"/>
              <w:left w:val="single" w:sz="4" w:space="0" w:color="auto"/>
              <w:bottom w:val="single" w:sz="4" w:space="0" w:color="auto"/>
              <w:right w:val="single" w:sz="4" w:space="0" w:color="auto"/>
            </w:tcBorders>
            <w:hideMark/>
          </w:tcPr>
          <w:p w:rsidR="00A34BD2" w:rsidRPr="008E0F4A" w:rsidRDefault="00A34BD2" w:rsidP="00E249B3">
            <w:pPr>
              <w:rPr>
                <w:sz w:val="20"/>
              </w:rPr>
            </w:pPr>
            <w:r>
              <w:rPr>
                <w:sz w:val="20"/>
                <w:lang w:val="sv"/>
              </w:rPr>
              <w:t>D</w:t>
            </w:r>
          </w:p>
        </w:tc>
        <w:tc>
          <w:tcPr>
            <w:tcW w:w="2905" w:type="pct"/>
            <w:tcBorders>
              <w:top w:val="single" w:sz="4" w:space="0" w:color="auto"/>
              <w:left w:val="single" w:sz="4" w:space="0" w:color="auto"/>
              <w:bottom w:val="single" w:sz="4" w:space="0" w:color="auto"/>
              <w:right w:val="single" w:sz="4" w:space="0" w:color="auto"/>
            </w:tcBorders>
          </w:tcPr>
          <w:p w:rsidR="00A34BD2" w:rsidRPr="008E0F4A" w:rsidRDefault="00A34BD2" w:rsidP="00E249B3">
            <w:pPr>
              <w:rPr>
                <w:sz w:val="20"/>
              </w:rPr>
            </w:pPr>
            <w:r>
              <w:rPr>
                <w:sz w:val="20"/>
              </w:rPr>
              <w:t xml:space="preserve">1 </w:t>
            </w:r>
            <w:r w:rsidR="004F6EC8">
              <w:rPr>
                <w:sz w:val="20"/>
              </w:rPr>
              <w:t>680</w:t>
            </w:r>
            <w:r>
              <w:rPr>
                <w:sz w:val="20"/>
              </w:rPr>
              <w:t xml:space="preserve"> € </w:t>
            </w:r>
          </w:p>
        </w:tc>
      </w:tr>
      <w:tr w:rsidR="00A34BD2" w:rsidRPr="008E0F4A" w:rsidTr="00E249B3">
        <w:trPr>
          <w:tblCellSpacing w:w="15" w:type="dxa"/>
        </w:trPr>
        <w:tc>
          <w:tcPr>
            <w:tcW w:w="2049" w:type="pct"/>
            <w:tcBorders>
              <w:top w:val="single" w:sz="4" w:space="0" w:color="auto"/>
              <w:left w:val="single" w:sz="4" w:space="0" w:color="auto"/>
              <w:bottom w:val="single" w:sz="4" w:space="0" w:color="auto"/>
              <w:right w:val="single" w:sz="4" w:space="0" w:color="auto"/>
            </w:tcBorders>
            <w:hideMark/>
          </w:tcPr>
          <w:p w:rsidR="00A34BD2" w:rsidRPr="008E0F4A" w:rsidRDefault="00A34BD2" w:rsidP="00E249B3">
            <w:pPr>
              <w:rPr>
                <w:sz w:val="20"/>
              </w:rPr>
            </w:pPr>
            <w:r>
              <w:rPr>
                <w:sz w:val="20"/>
                <w:lang w:val="sv"/>
              </w:rPr>
              <w:t>E</w:t>
            </w:r>
          </w:p>
        </w:tc>
        <w:tc>
          <w:tcPr>
            <w:tcW w:w="2905" w:type="pct"/>
            <w:tcBorders>
              <w:top w:val="single" w:sz="4" w:space="0" w:color="auto"/>
              <w:left w:val="single" w:sz="4" w:space="0" w:color="auto"/>
              <w:bottom w:val="single" w:sz="4" w:space="0" w:color="auto"/>
              <w:right w:val="single" w:sz="4" w:space="0" w:color="auto"/>
            </w:tcBorders>
          </w:tcPr>
          <w:p w:rsidR="00A34BD2" w:rsidRPr="006F28AA" w:rsidRDefault="004F6EC8" w:rsidP="00E249B3">
            <w:pPr>
              <w:rPr>
                <w:sz w:val="20"/>
              </w:rPr>
            </w:pPr>
            <w:r>
              <w:rPr>
                <w:sz w:val="20"/>
              </w:rPr>
              <w:t>4 130</w:t>
            </w:r>
            <w:r w:rsidR="00A34BD2" w:rsidRPr="006F28AA">
              <w:rPr>
                <w:sz w:val="20"/>
              </w:rPr>
              <w:t xml:space="preserve"> €  </w:t>
            </w:r>
          </w:p>
        </w:tc>
      </w:tr>
      <w:tr w:rsidR="00A34BD2" w:rsidRPr="008E0F4A" w:rsidTr="00E249B3">
        <w:trPr>
          <w:tblCellSpacing w:w="15" w:type="dxa"/>
        </w:trPr>
        <w:tc>
          <w:tcPr>
            <w:tcW w:w="2049" w:type="pct"/>
            <w:tcBorders>
              <w:top w:val="single" w:sz="4" w:space="0" w:color="auto"/>
              <w:left w:val="single" w:sz="4" w:space="0" w:color="auto"/>
              <w:bottom w:val="single" w:sz="4" w:space="0" w:color="auto"/>
              <w:right w:val="single" w:sz="4" w:space="0" w:color="auto"/>
            </w:tcBorders>
            <w:hideMark/>
          </w:tcPr>
          <w:p w:rsidR="00A34BD2" w:rsidRPr="008E0F4A" w:rsidRDefault="00A34BD2" w:rsidP="00E249B3">
            <w:pPr>
              <w:rPr>
                <w:sz w:val="20"/>
              </w:rPr>
            </w:pPr>
            <w:r>
              <w:rPr>
                <w:sz w:val="20"/>
                <w:lang w:val="sv"/>
              </w:rPr>
              <w:t>F</w:t>
            </w:r>
          </w:p>
        </w:tc>
        <w:tc>
          <w:tcPr>
            <w:tcW w:w="2905" w:type="pct"/>
            <w:tcBorders>
              <w:top w:val="single" w:sz="4" w:space="0" w:color="auto"/>
              <w:left w:val="single" w:sz="4" w:space="0" w:color="auto"/>
              <w:bottom w:val="single" w:sz="4" w:space="0" w:color="auto"/>
              <w:right w:val="single" w:sz="4" w:space="0" w:color="auto"/>
            </w:tcBorders>
          </w:tcPr>
          <w:p w:rsidR="00A34BD2" w:rsidRPr="008E0F4A" w:rsidRDefault="004F6EC8" w:rsidP="00E249B3">
            <w:pPr>
              <w:rPr>
                <w:sz w:val="20"/>
              </w:rPr>
            </w:pPr>
            <w:r>
              <w:rPr>
                <w:sz w:val="20"/>
              </w:rPr>
              <w:t>10 040</w:t>
            </w:r>
            <w:r w:rsidR="00A34BD2">
              <w:rPr>
                <w:sz w:val="20"/>
              </w:rPr>
              <w:t xml:space="preserve"> € </w:t>
            </w:r>
          </w:p>
        </w:tc>
      </w:tr>
      <w:tr w:rsidR="00A34BD2" w:rsidRPr="008E0F4A" w:rsidTr="00E249B3">
        <w:trPr>
          <w:trHeight w:val="510"/>
          <w:tblCellSpacing w:w="15" w:type="dxa"/>
        </w:trPr>
        <w:tc>
          <w:tcPr>
            <w:tcW w:w="2049" w:type="pct"/>
            <w:tcBorders>
              <w:top w:val="single" w:sz="4" w:space="0" w:color="auto"/>
              <w:left w:val="single" w:sz="4" w:space="0" w:color="auto"/>
              <w:bottom w:val="single" w:sz="4" w:space="0" w:color="auto"/>
              <w:right w:val="single" w:sz="4" w:space="0" w:color="auto"/>
            </w:tcBorders>
            <w:hideMark/>
          </w:tcPr>
          <w:p w:rsidR="00A34BD2" w:rsidRDefault="00A34BD2" w:rsidP="00E249B3">
            <w:pPr>
              <w:rPr>
                <w:sz w:val="20"/>
                <w:lang w:val="sv"/>
              </w:rPr>
            </w:pPr>
            <w:r>
              <w:rPr>
                <w:sz w:val="20"/>
                <w:lang w:val="sv"/>
              </w:rPr>
              <w:t>G</w:t>
            </w:r>
          </w:p>
          <w:p w:rsidR="00A34BD2" w:rsidRPr="008E0F4A" w:rsidRDefault="00A34BD2" w:rsidP="00E249B3">
            <w:pPr>
              <w:rPr>
                <w:sz w:val="20"/>
              </w:rPr>
            </w:pPr>
          </w:p>
        </w:tc>
        <w:tc>
          <w:tcPr>
            <w:tcW w:w="2905" w:type="pct"/>
            <w:tcBorders>
              <w:top w:val="single" w:sz="4" w:space="0" w:color="auto"/>
              <w:left w:val="single" w:sz="4" w:space="0" w:color="auto"/>
              <w:bottom w:val="single" w:sz="4" w:space="0" w:color="auto"/>
              <w:right w:val="single" w:sz="4" w:space="0" w:color="auto"/>
            </w:tcBorders>
          </w:tcPr>
          <w:p w:rsidR="00A34BD2" w:rsidRDefault="00A34BD2" w:rsidP="00E249B3">
            <w:pPr>
              <w:rPr>
                <w:sz w:val="20"/>
              </w:rPr>
            </w:pPr>
            <w:r>
              <w:rPr>
                <w:sz w:val="20"/>
              </w:rPr>
              <w:t xml:space="preserve">22 300 € </w:t>
            </w:r>
          </w:p>
          <w:p w:rsidR="00A34BD2" w:rsidRPr="008E0F4A" w:rsidRDefault="00A34BD2" w:rsidP="00E249B3">
            <w:pPr>
              <w:rPr>
                <w:sz w:val="20"/>
              </w:rPr>
            </w:pPr>
          </w:p>
        </w:tc>
      </w:tr>
      <w:tr w:rsidR="00E249B3" w:rsidRPr="008E0F4A" w:rsidTr="00E249B3">
        <w:trPr>
          <w:trHeight w:val="560"/>
          <w:tblCellSpacing w:w="15" w:type="dxa"/>
        </w:trPr>
        <w:tc>
          <w:tcPr>
            <w:tcW w:w="2049" w:type="pct"/>
            <w:tcBorders>
              <w:top w:val="single" w:sz="4" w:space="0" w:color="auto"/>
              <w:left w:val="single" w:sz="4" w:space="0" w:color="auto"/>
              <w:bottom w:val="single" w:sz="4" w:space="0" w:color="auto"/>
              <w:right w:val="single" w:sz="4" w:space="0" w:color="auto"/>
            </w:tcBorders>
          </w:tcPr>
          <w:p w:rsidR="00E249B3" w:rsidRDefault="00E249B3" w:rsidP="00E249B3">
            <w:pPr>
              <w:rPr>
                <w:sz w:val="20"/>
                <w:lang w:val="sv"/>
              </w:rPr>
            </w:pPr>
            <w:r>
              <w:rPr>
                <w:sz w:val="20"/>
                <w:lang w:val="sv"/>
              </w:rPr>
              <w:t>H</w:t>
            </w:r>
          </w:p>
          <w:p w:rsidR="00E249B3" w:rsidRDefault="00E249B3" w:rsidP="00E249B3">
            <w:pPr>
              <w:rPr>
                <w:sz w:val="20"/>
                <w:lang w:val="sv"/>
              </w:rPr>
            </w:pPr>
          </w:p>
        </w:tc>
        <w:tc>
          <w:tcPr>
            <w:tcW w:w="2905" w:type="pct"/>
            <w:tcBorders>
              <w:top w:val="single" w:sz="4" w:space="0" w:color="auto"/>
              <w:left w:val="single" w:sz="4" w:space="0" w:color="auto"/>
              <w:bottom w:val="single" w:sz="4" w:space="0" w:color="auto"/>
              <w:right w:val="single" w:sz="4" w:space="0" w:color="auto"/>
            </w:tcBorders>
          </w:tcPr>
          <w:p w:rsidR="00E249B3" w:rsidRDefault="004F6EC8" w:rsidP="00E249B3">
            <w:pPr>
              <w:rPr>
                <w:sz w:val="20"/>
              </w:rPr>
            </w:pPr>
            <w:r>
              <w:rPr>
                <w:sz w:val="20"/>
              </w:rPr>
              <w:t>450</w:t>
            </w:r>
            <w:r w:rsidR="00E249B3">
              <w:rPr>
                <w:sz w:val="20"/>
              </w:rPr>
              <w:t xml:space="preserve"> €</w:t>
            </w:r>
          </w:p>
          <w:p w:rsidR="00E249B3" w:rsidRDefault="00E249B3" w:rsidP="00E249B3">
            <w:pPr>
              <w:rPr>
                <w:sz w:val="20"/>
              </w:rPr>
            </w:pPr>
          </w:p>
        </w:tc>
      </w:tr>
      <w:tr w:rsidR="00A34BD2" w:rsidRPr="008E0F4A" w:rsidTr="00E249B3">
        <w:trPr>
          <w:trHeight w:val="380"/>
          <w:tblCellSpacing w:w="15" w:type="dxa"/>
        </w:trPr>
        <w:tc>
          <w:tcPr>
            <w:tcW w:w="2049" w:type="pct"/>
            <w:tcBorders>
              <w:top w:val="single" w:sz="4" w:space="0" w:color="auto"/>
              <w:left w:val="single" w:sz="4" w:space="0" w:color="auto"/>
              <w:bottom w:val="single" w:sz="4" w:space="0" w:color="auto"/>
              <w:right w:val="single" w:sz="4" w:space="0" w:color="auto"/>
            </w:tcBorders>
          </w:tcPr>
          <w:p w:rsidR="00A34BD2" w:rsidRDefault="00A34BD2" w:rsidP="00E249B3">
            <w:pPr>
              <w:rPr>
                <w:sz w:val="20"/>
                <w:lang w:val="sv"/>
              </w:rPr>
            </w:pPr>
            <w:r>
              <w:rPr>
                <w:sz w:val="20"/>
                <w:lang w:val="sv"/>
              </w:rPr>
              <w:t>I</w:t>
            </w:r>
          </w:p>
        </w:tc>
        <w:tc>
          <w:tcPr>
            <w:tcW w:w="2905" w:type="pct"/>
            <w:tcBorders>
              <w:top w:val="single" w:sz="4" w:space="0" w:color="auto"/>
              <w:left w:val="single" w:sz="4" w:space="0" w:color="auto"/>
              <w:bottom w:val="single" w:sz="4" w:space="0" w:color="auto"/>
              <w:right w:val="single" w:sz="4" w:space="0" w:color="auto"/>
            </w:tcBorders>
          </w:tcPr>
          <w:p w:rsidR="00A34BD2" w:rsidRDefault="004F6EC8" w:rsidP="00E249B3">
            <w:pPr>
              <w:rPr>
                <w:sz w:val="20"/>
              </w:rPr>
            </w:pPr>
            <w:r>
              <w:rPr>
                <w:sz w:val="20"/>
              </w:rPr>
              <w:t>1 120</w:t>
            </w:r>
            <w:r w:rsidR="00A34BD2">
              <w:rPr>
                <w:sz w:val="20"/>
              </w:rPr>
              <w:t xml:space="preserve"> €</w:t>
            </w:r>
          </w:p>
        </w:tc>
      </w:tr>
      <w:tr w:rsidR="00E249B3" w:rsidTr="00E249B3">
        <w:tblPrEx>
          <w:tblCellSpacing w:w="0" w:type="nil"/>
          <w:tblBorders>
            <w:top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905" w:type="pct"/>
          <w:trHeight w:val="100"/>
        </w:trPr>
        <w:tc>
          <w:tcPr>
            <w:tcW w:w="2049" w:type="pct"/>
          </w:tcPr>
          <w:p w:rsidR="00E249B3" w:rsidRDefault="00E249B3" w:rsidP="00E249B3">
            <w:pPr>
              <w:rPr>
                <w:sz w:val="20"/>
                <w:lang w:val="sv"/>
              </w:rPr>
            </w:pPr>
          </w:p>
        </w:tc>
      </w:tr>
    </w:tbl>
    <w:p w:rsidR="00A34BD2" w:rsidRPr="00F80ED9" w:rsidRDefault="00A34BD2" w:rsidP="00A34BD2">
      <w:pPr>
        <w:rPr>
          <w:sz w:val="20"/>
        </w:rPr>
      </w:pPr>
      <w:r>
        <w:rPr>
          <w:sz w:val="20"/>
          <w:lang w:val="sv"/>
        </w:rPr>
        <w:t>Tilläggsavgifterna på basis av strålkälla är:</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4116"/>
        <w:gridCol w:w="5522"/>
      </w:tblGrid>
      <w:tr w:rsidR="00A34BD2" w:rsidRPr="00634C9F" w:rsidTr="00A60961">
        <w:trPr>
          <w:tblCellSpacing w:w="15" w:type="dxa"/>
        </w:trPr>
        <w:tc>
          <w:tcPr>
            <w:tcW w:w="0" w:type="auto"/>
            <w:hideMark/>
          </w:tcPr>
          <w:p w:rsidR="00A34BD2" w:rsidRPr="008E0F4A" w:rsidRDefault="00A34BD2" w:rsidP="00A60961">
            <w:pPr>
              <w:rPr>
                <w:sz w:val="20"/>
              </w:rPr>
            </w:pPr>
            <w:bookmarkStart w:id="0" w:name="_GoBack"/>
            <w:r>
              <w:rPr>
                <w:b/>
                <w:bCs/>
                <w:sz w:val="20"/>
                <w:lang w:val="sv"/>
              </w:rPr>
              <w:t>Avgiftsklass för strålkälla</w:t>
            </w:r>
            <w:r>
              <w:rPr>
                <w:sz w:val="20"/>
                <w:lang w:val="sv"/>
              </w:rPr>
              <w:t xml:space="preserve"> </w:t>
            </w:r>
          </w:p>
        </w:tc>
        <w:tc>
          <w:tcPr>
            <w:tcW w:w="0" w:type="auto"/>
            <w:hideMark/>
          </w:tcPr>
          <w:p w:rsidR="00A34BD2" w:rsidRPr="00F80ED9" w:rsidRDefault="00A34BD2" w:rsidP="00A60961">
            <w:pPr>
              <w:rPr>
                <w:sz w:val="20"/>
              </w:rPr>
            </w:pPr>
            <w:r>
              <w:rPr>
                <w:b/>
                <w:bCs/>
                <w:sz w:val="20"/>
                <w:lang w:val="sv"/>
              </w:rPr>
              <w:t>Tilläggsavgift på basis av strålkälla</w:t>
            </w:r>
            <w:r>
              <w:rPr>
                <w:sz w:val="20"/>
                <w:lang w:val="sv"/>
              </w:rPr>
              <w:t xml:space="preserve"> </w:t>
            </w:r>
          </w:p>
        </w:tc>
      </w:tr>
      <w:tr w:rsidR="00A34BD2" w:rsidRPr="008E0F4A" w:rsidTr="00A60961">
        <w:trPr>
          <w:tblCellSpacing w:w="15" w:type="dxa"/>
        </w:trPr>
        <w:tc>
          <w:tcPr>
            <w:tcW w:w="0" w:type="auto"/>
            <w:hideMark/>
          </w:tcPr>
          <w:p w:rsidR="00A34BD2" w:rsidRPr="008E0F4A" w:rsidRDefault="00A34BD2" w:rsidP="00A60961">
            <w:pPr>
              <w:rPr>
                <w:sz w:val="20"/>
              </w:rPr>
            </w:pPr>
            <w:r>
              <w:rPr>
                <w:sz w:val="20"/>
                <w:lang w:val="sv"/>
              </w:rPr>
              <w:t>A</w:t>
            </w:r>
          </w:p>
        </w:tc>
        <w:tc>
          <w:tcPr>
            <w:tcW w:w="0" w:type="auto"/>
          </w:tcPr>
          <w:p w:rsidR="00A34BD2" w:rsidRPr="008E0F4A" w:rsidRDefault="004F6EC8" w:rsidP="00A60961">
            <w:pPr>
              <w:rPr>
                <w:sz w:val="20"/>
              </w:rPr>
            </w:pPr>
            <w:r>
              <w:rPr>
                <w:sz w:val="20"/>
              </w:rPr>
              <w:t>40</w:t>
            </w:r>
            <w:r w:rsidR="00A34BD2">
              <w:rPr>
                <w:sz w:val="20"/>
              </w:rPr>
              <w:t xml:space="preserve"> €</w:t>
            </w:r>
          </w:p>
        </w:tc>
      </w:tr>
      <w:tr w:rsidR="00A34BD2" w:rsidRPr="008E0F4A" w:rsidTr="00A60961">
        <w:trPr>
          <w:tblCellSpacing w:w="15" w:type="dxa"/>
        </w:trPr>
        <w:tc>
          <w:tcPr>
            <w:tcW w:w="0" w:type="auto"/>
            <w:hideMark/>
          </w:tcPr>
          <w:p w:rsidR="00A34BD2" w:rsidRPr="008E0F4A" w:rsidRDefault="00A34BD2" w:rsidP="00A60961">
            <w:pPr>
              <w:rPr>
                <w:sz w:val="20"/>
              </w:rPr>
            </w:pPr>
            <w:r>
              <w:rPr>
                <w:sz w:val="20"/>
                <w:lang w:val="sv"/>
              </w:rPr>
              <w:t>B</w:t>
            </w:r>
          </w:p>
        </w:tc>
        <w:tc>
          <w:tcPr>
            <w:tcW w:w="0" w:type="auto"/>
          </w:tcPr>
          <w:p w:rsidR="00A34BD2" w:rsidRPr="008E0F4A" w:rsidRDefault="004F6EC8" w:rsidP="00A60961">
            <w:pPr>
              <w:rPr>
                <w:sz w:val="20"/>
              </w:rPr>
            </w:pPr>
            <w:r>
              <w:rPr>
                <w:sz w:val="20"/>
              </w:rPr>
              <w:t>80</w:t>
            </w:r>
            <w:r w:rsidR="00A34BD2">
              <w:rPr>
                <w:sz w:val="20"/>
              </w:rPr>
              <w:t xml:space="preserve"> €</w:t>
            </w:r>
          </w:p>
        </w:tc>
      </w:tr>
      <w:tr w:rsidR="00A34BD2" w:rsidRPr="008E0F4A" w:rsidTr="00A60961">
        <w:trPr>
          <w:tblCellSpacing w:w="15" w:type="dxa"/>
        </w:trPr>
        <w:tc>
          <w:tcPr>
            <w:tcW w:w="0" w:type="auto"/>
            <w:hideMark/>
          </w:tcPr>
          <w:p w:rsidR="00A34BD2" w:rsidRPr="008E0F4A" w:rsidRDefault="00A34BD2" w:rsidP="00A60961">
            <w:pPr>
              <w:rPr>
                <w:sz w:val="20"/>
              </w:rPr>
            </w:pPr>
            <w:r>
              <w:rPr>
                <w:sz w:val="20"/>
                <w:lang w:val="sv"/>
              </w:rPr>
              <w:t>C</w:t>
            </w:r>
          </w:p>
        </w:tc>
        <w:tc>
          <w:tcPr>
            <w:tcW w:w="0" w:type="auto"/>
          </w:tcPr>
          <w:p w:rsidR="00A34BD2" w:rsidRPr="008E0F4A" w:rsidRDefault="004F6EC8" w:rsidP="00A60961">
            <w:pPr>
              <w:rPr>
                <w:sz w:val="20"/>
              </w:rPr>
            </w:pPr>
            <w:r>
              <w:rPr>
                <w:sz w:val="20"/>
              </w:rPr>
              <w:t>140</w:t>
            </w:r>
            <w:r w:rsidR="00A34BD2">
              <w:rPr>
                <w:sz w:val="20"/>
              </w:rPr>
              <w:t xml:space="preserve"> €</w:t>
            </w:r>
          </w:p>
        </w:tc>
      </w:tr>
      <w:tr w:rsidR="00A34BD2" w:rsidRPr="008E0F4A" w:rsidTr="00A60961">
        <w:trPr>
          <w:tblCellSpacing w:w="15" w:type="dxa"/>
        </w:trPr>
        <w:tc>
          <w:tcPr>
            <w:tcW w:w="0" w:type="auto"/>
            <w:hideMark/>
          </w:tcPr>
          <w:p w:rsidR="00A34BD2" w:rsidRPr="008E0F4A" w:rsidRDefault="00A34BD2" w:rsidP="00A60961">
            <w:pPr>
              <w:rPr>
                <w:sz w:val="20"/>
              </w:rPr>
            </w:pPr>
            <w:r>
              <w:rPr>
                <w:sz w:val="20"/>
                <w:lang w:val="sv"/>
              </w:rPr>
              <w:t>D</w:t>
            </w:r>
          </w:p>
        </w:tc>
        <w:tc>
          <w:tcPr>
            <w:tcW w:w="0" w:type="auto"/>
          </w:tcPr>
          <w:p w:rsidR="00A34BD2" w:rsidRPr="008E0F4A" w:rsidRDefault="00A34BD2" w:rsidP="00A60961">
            <w:pPr>
              <w:rPr>
                <w:sz w:val="20"/>
              </w:rPr>
            </w:pPr>
            <w:r>
              <w:rPr>
                <w:sz w:val="20"/>
              </w:rPr>
              <w:t>390 €</w:t>
            </w:r>
          </w:p>
        </w:tc>
      </w:tr>
      <w:tr w:rsidR="00A34BD2" w:rsidRPr="008E0F4A" w:rsidTr="00A60961">
        <w:trPr>
          <w:tblCellSpacing w:w="15" w:type="dxa"/>
        </w:trPr>
        <w:tc>
          <w:tcPr>
            <w:tcW w:w="0" w:type="auto"/>
            <w:hideMark/>
          </w:tcPr>
          <w:p w:rsidR="00A34BD2" w:rsidRPr="008E0F4A" w:rsidRDefault="00A34BD2" w:rsidP="00A60961">
            <w:pPr>
              <w:rPr>
                <w:sz w:val="20"/>
              </w:rPr>
            </w:pPr>
            <w:r>
              <w:rPr>
                <w:sz w:val="20"/>
                <w:lang w:val="sv"/>
              </w:rPr>
              <w:t>E</w:t>
            </w:r>
          </w:p>
        </w:tc>
        <w:tc>
          <w:tcPr>
            <w:tcW w:w="0" w:type="auto"/>
          </w:tcPr>
          <w:p w:rsidR="00A34BD2" w:rsidRPr="008E0F4A" w:rsidRDefault="004F6EC8" w:rsidP="00A60961">
            <w:pPr>
              <w:rPr>
                <w:sz w:val="20"/>
              </w:rPr>
            </w:pPr>
            <w:r>
              <w:rPr>
                <w:sz w:val="20"/>
              </w:rPr>
              <w:t>560</w:t>
            </w:r>
            <w:r w:rsidR="00A34BD2">
              <w:rPr>
                <w:sz w:val="20"/>
              </w:rPr>
              <w:t xml:space="preserve"> € </w:t>
            </w:r>
          </w:p>
        </w:tc>
      </w:tr>
      <w:tr w:rsidR="00A34BD2" w:rsidRPr="008E0F4A" w:rsidTr="00A60961">
        <w:trPr>
          <w:tblCellSpacing w:w="15" w:type="dxa"/>
        </w:trPr>
        <w:tc>
          <w:tcPr>
            <w:tcW w:w="0" w:type="auto"/>
            <w:hideMark/>
          </w:tcPr>
          <w:p w:rsidR="00A34BD2" w:rsidRPr="008E0F4A" w:rsidRDefault="00A34BD2" w:rsidP="00A60961">
            <w:pPr>
              <w:rPr>
                <w:sz w:val="20"/>
              </w:rPr>
            </w:pPr>
            <w:r>
              <w:rPr>
                <w:sz w:val="20"/>
                <w:lang w:val="sv"/>
              </w:rPr>
              <w:t>F</w:t>
            </w:r>
          </w:p>
        </w:tc>
        <w:tc>
          <w:tcPr>
            <w:tcW w:w="0" w:type="auto"/>
          </w:tcPr>
          <w:p w:rsidR="00A34BD2" w:rsidRPr="008E0F4A" w:rsidRDefault="004F6EC8" w:rsidP="00A60961">
            <w:pPr>
              <w:rPr>
                <w:sz w:val="20"/>
              </w:rPr>
            </w:pPr>
            <w:r>
              <w:rPr>
                <w:sz w:val="20"/>
              </w:rPr>
              <w:t>840</w:t>
            </w:r>
            <w:r w:rsidR="00A34BD2">
              <w:rPr>
                <w:sz w:val="20"/>
              </w:rPr>
              <w:t xml:space="preserve"> € </w:t>
            </w:r>
          </w:p>
        </w:tc>
      </w:tr>
      <w:tr w:rsidR="00A34BD2" w:rsidRPr="008E0F4A" w:rsidTr="00A60961">
        <w:trPr>
          <w:tblCellSpacing w:w="15" w:type="dxa"/>
        </w:trPr>
        <w:tc>
          <w:tcPr>
            <w:tcW w:w="0" w:type="auto"/>
            <w:hideMark/>
          </w:tcPr>
          <w:p w:rsidR="00A34BD2" w:rsidRPr="008E0F4A" w:rsidRDefault="00A34BD2" w:rsidP="00A60961">
            <w:pPr>
              <w:rPr>
                <w:sz w:val="20"/>
              </w:rPr>
            </w:pPr>
            <w:r>
              <w:rPr>
                <w:sz w:val="20"/>
                <w:lang w:val="sv"/>
              </w:rPr>
              <w:t>G</w:t>
            </w:r>
          </w:p>
        </w:tc>
        <w:tc>
          <w:tcPr>
            <w:tcW w:w="0" w:type="auto"/>
          </w:tcPr>
          <w:p w:rsidR="00A34BD2" w:rsidRPr="008E0F4A" w:rsidRDefault="004F6EC8" w:rsidP="00A60961">
            <w:pPr>
              <w:rPr>
                <w:sz w:val="20"/>
              </w:rPr>
            </w:pPr>
            <w:r>
              <w:rPr>
                <w:sz w:val="20"/>
              </w:rPr>
              <w:t>1 120</w:t>
            </w:r>
            <w:r w:rsidR="00A34BD2">
              <w:rPr>
                <w:sz w:val="20"/>
              </w:rPr>
              <w:t xml:space="preserve"> € </w:t>
            </w:r>
          </w:p>
        </w:tc>
      </w:tr>
      <w:tr w:rsidR="00A34BD2" w:rsidRPr="008E0F4A" w:rsidTr="00A60961">
        <w:trPr>
          <w:tblCellSpacing w:w="15" w:type="dxa"/>
        </w:trPr>
        <w:tc>
          <w:tcPr>
            <w:tcW w:w="0" w:type="auto"/>
            <w:hideMark/>
          </w:tcPr>
          <w:p w:rsidR="00A34BD2" w:rsidRPr="008E0F4A" w:rsidRDefault="00A34BD2" w:rsidP="00A60961">
            <w:pPr>
              <w:rPr>
                <w:sz w:val="20"/>
              </w:rPr>
            </w:pPr>
            <w:r>
              <w:rPr>
                <w:sz w:val="20"/>
                <w:lang w:val="sv"/>
              </w:rPr>
              <w:t>H</w:t>
            </w:r>
          </w:p>
        </w:tc>
        <w:tc>
          <w:tcPr>
            <w:tcW w:w="0" w:type="auto"/>
          </w:tcPr>
          <w:p w:rsidR="00A34BD2" w:rsidRPr="008E0F4A" w:rsidRDefault="004F6EC8" w:rsidP="00A60961">
            <w:pPr>
              <w:rPr>
                <w:sz w:val="20"/>
              </w:rPr>
            </w:pPr>
            <w:r>
              <w:rPr>
                <w:sz w:val="20"/>
              </w:rPr>
              <w:t>3 350</w:t>
            </w:r>
            <w:r w:rsidR="00A34BD2">
              <w:rPr>
                <w:sz w:val="20"/>
              </w:rPr>
              <w:t xml:space="preserve"> € </w:t>
            </w:r>
          </w:p>
        </w:tc>
      </w:tr>
      <w:tr w:rsidR="00A34BD2" w:rsidRPr="008E0F4A" w:rsidTr="00A60961">
        <w:trPr>
          <w:tblCellSpacing w:w="15" w:type="dxa"/>
        </w:trPr>
        <w:tc>
          <w:tcPr>
            <w:tcW w:w="0" w:type="auto"/>
            <w:hideMark/>
          </w:tcPr>
          <w:p w:rsidR="00A34BD2" w:rsidRPr="008E0F4A" w:rsidRDefault="00A34BD2" w:rsidP="00A60961">
            <w:pPr>
              <w:rPr>
                <w:sz w:val="20"/>
              </w:rPr>
            </w:pPr>
            <w:r>
              <w:rPr>
                <w:sz w:val="20"/>
                <w:lang w:val="sv"/>
              </w:rPr>
              <w:t>I</w:t>
            </w:r>
          </w:p>
        </w:tc>
        <w:tc>
          <w:tcPr>
            <w:tcW w:w="0" w:type="auto"/>
          </w:tcPr>
          <w:p w:rsidR="00A34BD2" w:rsidRPr="008E0F4A" w:rsidRDefault="003C7D72" w:rsidP="00A60961">
            <w:pPr>
              <w:rPr>
                <w:sz w:val="20"/>
              </w:rPr>
            </w:pPr>
            <w:r>
              <w:rPr>
                <w:sz w:val="20"/>
              </w:rPr>
              <w:t>6 030</w:t>
            </w:r>
            <w:r w:rsidR="00A34BD2">
              <w:rPr>
                <w:sz w:val="20"/>
              </w:rPr>
              <w:t xml:space="preserve"> € </w:t>
            </w:r>
          </w:p>
        </w:tc>
      </w:tr>
      <w:bookmarkEnd w:id="0"/>
    </w:tbl>
    <w:p w:rsidR="00A34BD2" w:rsidRPr="008E0F4A" w:rsidRDefault="00A34BD2" w:rsidP="00A34BD2">
      <w:pPr>
        <w:rPr>
          <w:b/>
          <w:bCs/>
          <w:sz w:val="20"/>
        </w:rPr>
      </w:pPr>
    </w:p>
    <w:p w:rsidR="00A34BD2" w:rsidRPr="008E0F4A" w:rsidRDefault="00A34BD2" w:rsidP="00A34BD2">
      <w:pPr>
        <w:rPr>
          <w:b/>
          <w:bCs/>
          <w:sz w:val="20"/>
        </w:rPr>
      </w:pPr>
    </w:p>
    <w:p w:rsidR="00A34BD2" w:rsidRPr="00F80ED9" w:rsidRDefault="00A34BD2" w:rsidP="00A34BD2">
      <w:pPr>
        <w:rPr>
          <w:sz w:val="20"/>
        </w:rPr>
      </w:pPr>
      <w:r>
        <w:rPr>
          <w:b/>
          <w:bCs/>
          <w:sz w:val="20"/>
          <w:lang w:val="sv"/>
        </w:rPr>
        <w:t>2. Tillsynsavgift för användning av joniserande strålning</w:t>
      </w:r>
      <w:r>
        <w:rPr>
          <w:sz w:val="20"/>
          <w:lang w:val="sv"/>
        </w:rPr>
        <w:t xml:space="preserve"> </w:t>
      </w:r>
    </w:p>
    <w:p w:rsidR="00A34BD2" w:rsidRPr="00F80ED9" w:rsidRDefault="00A34BD2" w:rsidP="00A34BD2">
      <w:pPr>
        <w:rPr>
          <w:sz w:val="20"/>
        </w:rPr>
      </w:pPr>
      <w:r>
        <w:rPr>
          <w:sz w:val="20"/>
          <w:lang w:val="sv"/>
        </w:rPr>
        <w:t>Tillsynsavgiften för användning av joniserande strålning som kräver säkerhetstillstånd består av en grundavgift på basis av verksamhetstyp och en tilläggsavgift på basis av strålkälla. Om säkerhetstillståndet gäller fler än en verksamhet eller strålkälla, fastställs tillsynsavgiften genom att räkna samman alla grundavgifter på basis av verksamhetstyp och alla tilläggsavgifter på basis av strålkälla i anslutning till tillståndet.</w:t>
      </w:r>
    </w:p>
    <w:p w:rsidR="00A34BD2" w:rsidRPr="00F80ED9" w:rsidRDefault="00A34BD2" w:rsidP="00A34BD2">
      <w:pPr>
        <w:rPr>
          <w:sz w:val="20"/>
        </w:rPr>
      </w:pPr>
      <w:r>
        <w:rPr>
          <w:sz w:val="20"/>
          <w:lang w:val="sv"/>
        </w:rPr>
        <w:t>Avgiftsklassen för verksamhet bestäms utifrån verksamheten på följande sätt:</w:t>
      </w:r>
    </w:p>
    <w:p w:rsidR="00A34BD2" w:rsidRPr="00F80ED9" w:rsidRDefault="00A34BD2" w:rsidP="00A34BD2">
      <w:pPr>
        <w:rPr>
          <w:sz w:val="20"/>
        </w:rPr>
      </w:pP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1547"/>
        <w:gridCol w:w="8091"/>
      </w:tblGrid>
      <w:tr w:rsidR="00A34BD2" w:rsidRPr="008E0F4A" w:rsidTr="00A60961">
        <w:trPr>
          <w:tblCellSpacing w:w="15" w:type="dxa"/>
        </w:trPr>
        <w:tc>
          <w:tcPr>
            <w:tcW w:w="0" w:type="auto"/>
            <w:hideMark/>
          </w:tcPr>
          <w:p w:rsidR="00A34BD2" w:rsidRPr="008E0F4A" w:rsidRDefault="00A34BD2" w:rsidP="00A60961">
            <w:pPr>
              <w:rPr>
                <w:sz w:val="20"/>
              </w:rPr>
            </w:pPr>
            <w:r>
              <w:rPr>
                <w:b/>
                <w:bCs/>
                <w:sz w:val="20"/>
                <w:lang w:val="sv"/>
              </w:rPr>
              <w:t>Avgiftsklass för verksamhet</w:t>
            </w:r>
            <w:r>
              <w:rPr>
                <w:sz w:val="20"/>
                <w:lang w:val="sv"/>
              </w:rPr>
              <w:t xml:space="preserve"> </w:t>
            </w:r>
          </w:p>
        </w:tc>
        <w:tc>
          <w:tcPr>
            <w:tcW w:w="0" w:type="auto"/>
            <w:hideMark/>
          </w:tcPr>
          <w:p w:rsidR="00A34BD2" w:rsidRPr="008E0F4A" w:rsidRDefault="00A34BD2" w:rsidP="00A60961">
            <w:pPr>
              <w:rPr>
                <w:sz w:val="20"/>
              </w:rPr>
            </w:pPr>
            <w:r>
              <w:rPr>
                <w:b/>
                <w:bCs/>
                <w:sz w:val="20"/>
                <w:lang w:val="sv"/>
              </w:rPr>
              <w:t>Verksamhet</w:t>
            </w:r>
            <w:r>
              <w:rPr>
                <w:sz w:val="20"/>
                <w:lang w:val="sv"/>
              </w:rPr>
              <w:t xml:space="preserve"> </w:t>
            </w:r>
          </w:p>
        </w:tc>
      </w:tr>
      <w:tr w:rsidR="00A34BD2" w:rsidRPr="008E0F4A" w:rsidTr="00A60961">
        <w:trPr>
          <w:tblCellSpacing w:w="15" w:type="dxa"/>
        </w:trPr>
        <w:tc>
          <w:tcPr>
            <w:tcW w:w="0" w:type="auto"/>
            <w:hideMark/>
          </w:tcPr>
          <w:p w:rsidR="00A34BD2" w:rsidRPr="00CC1668" w:rsidRDefault="00A34BD2" w:rsidP="00A60961">
            <w:pPr>
              <w:rPr>
                <w:b/>
                <w:sz w:val="20"/>
              </w:rPr>
            </w:pPr>
            <w:r>
              <w:rPr>
                <w:b/>
                <w:bCs/>
                <w:sz w:val="20"/>
                <w:lang w:val="sv"/>
              </w:rPr>
              <w:t>A</w:t>
            </w:r>
          </w:p>
        </w:tc>
        <w:tc>
          <w:tcPr>
            <w:tcW w:w="0" w:type="auto"/>
            <w:hideMark/>
          </w:tcPr>
          <w:p w:rsidR="00A34BD2" w:rsidRPr="008E0F4A" w:rsidRDefault="00A34BD2" w:rsidP="00A60961">
            <w:pPr>
              <w:rPr>
                <w:sz w:val="20"/>
              </w:rPr>
            </w:pPr>
            <w:r>
              <w:rPr>
                <w:sz w:val="20"/>
                <w:lang w:val="sv"/>
              </w:rPr>
              <w:t>Användning av slutna strålkällor</w:t>
            </w:r>
          </w:p>
        </w:tc>
      </w:tr>
      <w:tr w:rsidR="00A34BD2" w:rsidRPr="00634C9F" w:rsidTr="00A60961">
        <w:trPr>
          <w:tblCellSpacing w:w="15" w:type="dxa"/>
        </w:trPr>
        <w:tc>
          <w:tcPr>
            <w:tcW w:w="0" w:type="auto"/>
            <w:hideMark/>
          </w:tcPr>
          <w:p w:rsidR="00A34BD2" w:rsidRPr="008E0F4A"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Användning av röntgenanordningar (gäller inte strålbehandling, nukleärmedicin eller odontologisk röntgenverksamhet, där man använder panoramatomografiapparater eller tandröntgenapparater med vilka bilden tas på en intraoral bildreceptor, avbildning av person med annan anordning än en hälso- och sjukvårdsanordning)</w:t>
            </w:r>
          </w:p>
        </w:tc>
      </w:tr>
      <w:tr w:rsidR="00A34BD2" w:rsidRPr="008E0F4A" w:rsidTr="00A60961">
        <w:trPr>
          <w:tblCellSpacing w:w="15" w:type="dxa"/>
        </w:trPr>
        <w:tc>
          <w:tcPr>
            <w:tcW w:w="0" w:type="auto"/>
            <w:hideMark/>
          </w:tcPr>
          <w:p w:rsidR="00A34BD2" w:rsidRPr="00CC1668" w:rsidRDefault="00A34BD2" w:rsidP="00A60961">
            <w:pPr>
              <w:rPr>
                <w:b/>
                <w:sz w:val="20"/>
              </w:rPr>
            </w:pPr>
            <w:r>
              <w:rPr>
                <w:b/>
                <w:bCs/>
                <w:sz w:val="20"/>
                <w:lang w:val="sv"/>
              </w:rPr>
              <w:t>B</w:t>
            </w:r>
          </w:p>
        </w:tc>
        <w:tc>
          <w:tcPr>
            <w:tcW w:w="0" w:type="auto"/>
            <w:hideMark/>
          </w:tcPr>
          <w:p w:rsidR="00A34BD2" w:rsidRPr="008E0F4A" w:rsidRDefault="00A34BD2" w:rsidP="00A60961">
            <w:pPr>
              <w:rPr>
                <w:sz w:val="20"/>
              </w:rPr>
            </w:pPr>
            <w:r>
              <w:rPr>
                <w:sz w:val="20"/>
                <w:lang w:val="sv"/>
              </w:rPr>
              <w:t>Handel med strålkällor</w:t>
            </w:r>
          </w:p>
        </w:tc>
      </w:tr>
      <w:tr w:rsidR="00A34BD2" w:rsidRPr="00634C9F" w:rsidTr="00A60961">
        <w:trPr>
          <w:tblCellSpacing w:w="15" w:type="dxa"/>
        </w:trPr>
        <w:tc>
          <w:tcPr>
            <w:tcW w:w="0" w:type="auto"/>
            <w:hideMark/>
          </w:tcPr>
          <w:p w:rsidR="00A34BD2" w:rsidRPr="008E0F4A" w:rsidRDefault="00A34BD2" w:rsidP="00A60961">
            <w:pPr>
              <w:rPr>
                <w:sz w:val="20"/>
              </w:rPr>
            </w:pPr>
          </w:p>
        </w:tc>
        <w:tc>
          <w:tcPr>
            <w:tcW w:w="0" w:type="auto"/>
            <w:hideMark/>
          </w:tcPr>
          <w:p w:rsidR="00A34BD2" w:rsidRPr="00F80ED9" w:rsidRDefault="00A34BD2" w:rsidP="00A60961">
            <w:pPr>
              <w:rPr>
                <w:sz w:val="20"/>
              </w:rPr>
            </w:pPr>
            <w:r>
              <w:rPr>
                <w:sz w:val="20"/>
                <w:lang w:val="sv"/>
              </w:rPr>
              <w:t>Verksamhet som inkluderar installation, underhåll och reparation av strålkällor samt tillverkning av strålningsalstrande anordningar</w:t>
            </w:r>
          </w:p>
        </w:tc>
      </w:tr>
      <w:tr w:rsidR="00A34BD2" w:rsidRPr="008E0F4A"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8E0F4A" w:rsidRDefault="00A34BD2" w:rsidP="00A60961">
            <w:pPr>
              <w:rPr>
                <w:sz w:val="20"/>
              </w:rPr>
            </w:pPr>
            <w:r>
              <w:rPr>
                <w:sz w:val="20"/>
                <w:lang w:val="sv"/>
              </w:rPr>
              <w:t>Transport av radioaktiva ämnen</w:t>
            </w:r>
          </w:p>
        </w:tc>
      </w:tr>
      <w:tr w:rsidR="00A34BD2" w:rsidRPr="00634C9F" w:rsidTr="00A60961">
        <w:trPr>
          <w:tblCellSpacing w:w="15" w:type="dxa"/>
        </w:trPr>
        <w:tc>
          <w:tcPr>
            <w:tcW w:w="0" w:type="auto"/>
            <w:hideMark/>
          </w:tcPr>
          <w:p w:rsidR="00A34BD2" w:rsidRPr="008E0F4A"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Verksamhet i vilken man upprepat hanterar eller upplagrar herrelösa strålkällor</w:t>
            </w:r>
          </w:p>
        </w:tc>
      </w:tr>
      <w:tr w:rsidR="00A34BD2" w:rsidRPr="00634C9F"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Avbildning av person med annan anordning än en hälso- och sjukvårdsanordning</w:t>
            </w:r>
          </w:p>
        </w:tc>
      </w:tr>
      <w:tr w:rsidR="00A34BD2" w:rsidRPr="00634C9F"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Användning av öppna strålkällor (gäller inte hälso- och sjukvård eller veterinärmedicin)</w:t>
            </w:r>
          </w:p>
        </w:tc>
      </w:tr>
      <w:tr w:rsidR="00A34BD2" w:rsidRPr="00634C9F"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Användning av partikelacceleratorer inom industrin och för genomlysning (gäller inte produktion av radionuklider)</w:t>
            </w:r>
          </w:p>
        </w:tc>
      </w:tr>
      <w:tr w:rsidR="00A34BD2" w:rsidRPr="00634C9F" w:rsidTr="00A60961">
        <w:trPr>
          <w:tblCellSpacing w:w="15" w:type="dxa"/>
        </w:trPr>
        <w:tc>
          <w:tcPr>
            <w:tcW w:w="0" w:type="auto"/>
            <w:hideMark/>
          </w:tcPr>
          <w:p w:rsidR="00A34BD2" w:rsidRPr="00CC1668" w:rsidRDefault="00A34BD2" w:rsidP="00A60961">
            <w:pPr>
              <w:rPr>
                <w:b/>
                <w:sz w:val="20"/>
              </w:rPr>
            </w:pPr>
            <w:r>
              <w:rPr>
                <w:b/>
                <w:bCs/>
                <w:sz w:val="20"/>
                <w:lang w:val="sv"/>
              </w:rPr>
              <w:t>C</w:t>
            </w:r>
          </w:p>
        </w:tc>
        <w:tc>
          <w:tcPr>
            <w:tcW w:w="0" w:type="auto"/>
            <w:hideMark/>
          </w:tcPr>
          <w:p w:rsidR="00A34BD2" w:rsidRPr="00F80ED9" w:rsidRDefault="00A34BD2" w:rsidP="00A60961">
            <w:pPr>
              <w:rPr>
                <w:sz w:val="20"/>
              </w:rPr>
            </w:pPr>
            <w:r>
              <w:rPr>
                <w:sz w:val="20"/>
                <w:lang w:val="sv"/>
              </w:rPr>
              <w:t>Användning av partikelacceleratorer inom forskning och produktion av radionuklider</w:t>
            </w:r>
          </w:p>
        </w:tc>
      </w:tr>
      <w:tr w:rsidR="00A34BD2" w:rsidRPr="00634C9F"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Mottagning, hantering och upplagring av radioaktivt avfall när detta inte ingår i den övriga verksamheten</w:t>
            </w:r>
          </w:p>
        </w:tc>
      </w:tr>
      <w:tr w:rsidR="00A34BD2" w:rsidRPr="00634C9F" w:rsidTr="00A60961">
        <w:trPr>
          <w:tblCellSpacing w:w="15" w:type="dxa"/>
        </w:trPr>
        <w:tc>
          <w:tcPr>
            <w:tcW w:w="0" w:type="auto"/>
            <w:hideMark/>
          </w:tcPr>
          <w:p w:rsidR="00A34BD2" w:rsidRPr="00CC1668" w:rsidRDefault="00A34BD2" w:rsidP="00A60961">
            <w:pPr>
              <w:rPr>
                <w:b/>
                <w:sz w:val="20"/>
              </w:rPr>
            </w:pPr>
            <w:r>
              <w:rPr>
                <w:b/>
                <w:bCs/>
                <w:sz w:val="20"/>
                <w:lang w:val="sv"/>
              </w:rPr>
              <w:t>D</w:t>
            </w:r>
          </w:p>
        </w:tc>
        <w:tc>
          <w:tcPr>
            <w:tcW w:w="0" w:type="auto"/>
            <w:hideMark/>
          </w:tcPr>
          <w:p w:rsidR="00A34BD2" w:rsidRPr="00F80ED9" w:rsidRDefault="00A34BD2" w:rsidP="00A60961">
            <w:pPr>
              <w:rPr>
                <w:sz w:val="20"/>
              </w:rPr>
            </w:pPr>
            <w:r>
              <w:rPr>
                <w:sz w:val="20"/>
                <w:lang w:val="sv"/>
              </w:rPr>
              <w:t>Användning av öppna strålkällor inom veterinärmedicinen</w:t>
            </w:r>
          </w:p>
        </w:tc>
      </w:tr>
      <w:tr w:rsidR="00A34BD2" w:rsidRPr="008E0F4A"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8E0F4A" w:rsidRDefault="00A34BD2" w:rsidP="00A60961">
            <w:pPr>
              <w:rPr>
                <w:sz w:val="20"/>
              </w:rPr>
            </w:pPr>
            <w:r>
              <w:rPr>
                <w:sz w:val="20"/>
                <w:lang w:val="sv"/>
              </w:rPr>
              <w:t>Strålbehandling inom veterinärmedicinen</w:t>
            </w:r>
          </w:p>
        </w:tc>
      </w:tr>
      <w:tr w:rsidR="00A34BD2" w:rsidRPr="008E0F4A" w:rsidTr="00A60961">
        <w:trPr>
          <w:tblCellSpacing w:w="15" w:type="dxa"/>
        </w:trPr>
        <w:tc>
          <w:tcPr>
            <w:tcW w:w="0" w:type="auto"/>
            <w:hideMark/>
          </w:tcPr>
          <w:p w:rsidR="00A34BD2" w:rsidRPr="00CC1668" w:rsidRDefault="00A34BD2" w:rsidP="00A60961">
            <w:pPr>
              <w:rPr>
                <w:b/>
                <w:sz w:val="20"/>
              </w:rPr>
            </w:pPr>
            <w:r>
              <w:rPr>
                <w:b/>
                <w:bCs/>
                <w:sz w:val="20"/>
                <w:lang w:val="sv"/>
              </w:rPr>
              <w:t>E</w:t>
            </w:r>
          </w:p>
        </w:tc>
        <w:tc>
          <w:tcPr>
            <w:tcW w:w="0" w:type="auto"/>
            <w:hideMark/>
          </w:tcPr>
          <w:p w:rsidR="00A34BD2" w:rsidRPr="008E0F4A" w:rsidRDefault="00A34BD2" w:rsidP="00A60961">
            <w:pPr>
              <w:rPr>
                <w:sz w:val="20"/>
              </w:rPr>
            </w:pPr>
            <w:r>
              <w:rPr>
                <w:sz w:val="20"/>
                <w:lang w:val="sv"/>
              </w:rPr>
              <w:t>Nukleärmedicin</w:t>
            </w:r>
          </w:p>
        </w:tc>
      </w:tr>
      <w:tr w:rsidR="00A34BD2" w:rsidRPr="008E0F4A" w:rsidTr="00A60961">
        <w:trPr>
          <w:tblCellSpacing w:w="15" w:type="dxa"/>
        </w:trPr>
        <w:tc>
          <w:tcPr>
            <w:tcW w:w="0" w:type="auto"/>
            <w:hideMark/>
          </w:tcPr>
          <w:p w:rsidR="00A34BD2" w:rsidRPr="00CC1668" w:rsidRDefault="00A34BD2" w:rsidP="00A60961">
            <w:pPr>
              <w:rPr>
                <w:b/>
                <w:sz w:val="20"/>
              </w:rPr>
            </w:pPr>
            <w:r>
              <w:rPr>
                <w:b/>
                <w:bCs/>
                <w:sz w:val="20"/>
                <w:lang w:val="sv"/>
              </w:rPr>
              <w:t>F</w:t>
            </w:r>
          </w:p>
        </w:tc>
        <w:tc>
          <w:tcPr>
            <w:tcW w:w="0" w:type="auto"/>
            <w:hideMark/>
          </w:tcPr>
          <w:p w:rsidR="00A34BD2" w:rsidRPr="008E0F4A" w:rsidRDefault="00A34BD2" w:rsidP="00A60961">
            <w:pPr>
              <w:rPr>
                <w:sz w:val="20"/>
              </w:rPr>
            </w:pPr>
            <w:r>
              <w:rPr>
                <w:sz w:val="20"/>
                <w:lang w:val="sv"/>
              </w:rPr>
              <w:t>Strålbehandling</w:t>
            </w:r>
          </w:p>
        </w:tc>
      </w:tr>
    </w:tbl>
    <w:p w:rsidR="00A34BD2" w:rsidRDefault="00A34BD2" w:rsidP="00A34BD2">
      <w:pPr>
        <w:rPr>
          <w:sz w:val="20"/>
        </w:rPr>
      </w:pPr>
    </w:p>
    <w:p w:rsidR="00A34BD2" w:rsidRPr="008E0F4A" w:rsidRDefault="00A34BD2" w:rsidP="00A34BD2">
      <w:pPr>
        <w:rPr>
          <w:sz w:val="20"/>
        </w:rPr>
      </w:pPr>
    </w:p>
    <w:p w:rsidR="00A34BD2" w:rsidRPr="00F80ED9" w:rsidRDefault="00A34BD2" w:rsidP="00A34BD2">
      <w:pPr>
        <w:rPr>
          <w:sz w:val="20"/>
        </w:rPr>
      </w:pPr>
      <w:r>
        <w:rPr>
          <w:sz w:val="20"/>
          <w:lang w:val="sv"/>
        </w:rPr>
        <w:t>Tilläggsavgiften på basis av strålkälla bestäms utifrån strålkällan och dess användning på följande sätt:</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1466"/>
        <w:gridCol w:w="30"/>
        <w:gridCol w:w="8142"/>
      </w:tblGrid>
      <w:tr w:rsidR="00A34BD2" w:rsidRPr="008E0F4A" w:rsidTr="00A60961">
        <w:trPr>
          <w:tblCellSpacing w:w="15" w:type="dxa"/>
        </w:trPr>
        <w:tc>
          <w:tcPr>
            <w:tcW w:w="0" w:type="auto"/>
            <w:gridSpan w:val="2"/>
            <w:hideMark/>
          </w:tcPr>
          <w:p w:rsidR="00A34BD2" w:rsidRPr="008E0F4A" w:rsidRDefault="00A34BD2" w:rsidP="00A60961">
            <w:pPr>
              <w:rPr>
                <w:sz w:val="20"/>
              </w:rPr>
            </w:pPr>
            <w:r>
              <w:rPr>
                <w:b/>
                <w:bCs/>
                <w:sz w:val="20"/>
                <w:lang w:val="sv"/>
              </w:rPr>
              <w:t>Avgiftsklass för strålkälla</w:t>
            </w:r>
            <w:r>
              <w:rPr>
                <w:sz w:val="20"/>
                <w:lang w:val="sv"/>
              </w:rPr>
              <w:t xml:space="preserve"> </w:t>
            </w:r>
          </w:p>
        </w:tc>
        <w:tc>
          <w:tcPr>
            <w:tcW w:w="0" w:type="auto"/>
            <w:hideMark/>
          </w:tcPr>
          <w:p w:rsidR="00A34BD2" w:rsidRPr="008E0F4A" w:rsidRDefault="00A34BD2" w:rsidP="00A60961">
            <w:pPr>
              <w:rPr>
                <w:sz w:val="20"/>
              </w:rPr>
            </w:pPr>
            <w:r>
              <w:rPr>
                <w:b/>
                <w:bCs/>
                <w:sz w:val="20"/>
                <w:lang w:val="sv"/>
              </w:rPr>
              <w:t>Strålkällor</w:t>
            </w:r>
            <w:r>
              <w:rPr>
                <w:sz w:val="20"/>
                <w:lang w:val="sv"/>
              </w:rPr>
              <w:t xml:space="preserve"> </w:t>
            </w:r>
          </w:p>
        </w:tc>
      </w:tr>
      <w:tr w:rsidR="00A34BD2" w:rsidRPr="00634C9F" w:rsidTr="00A60961">
        <w:trPr>
          <w:tblCellSpacing w:w="15" w:type="dxa"/>
        </w:trPr>
        <w:tc>
          <w:tcPr>
            <w:tcW w:w="0" w:type="auto"/>
            <w:gridSpan w:val="2"/>
            <w:hideMark/>
          </w:tcPr>
          <w:p w:rsidR="00A34BD2" w:rsidRPr="00CC1668" w:rsidRDefault="00A34BD2" w:rsidP="00A60961">
            <w:pPr>
              <w:rPr>
                <w:b/>
                <w:sz w:val="20"/>
              </w:rPr>
            </w:pPr>
            <w:r>
              <w:rPr>
                <w:b/>
                <w:bCs/>
                <w:sz w:val="20"/>
                <w:lang w:val="sv"/>
              </w:rPr>
              <w:t>A</w:t>
            </w:r>
          </w:p>
        </w:tc>
        <w:tc>
          <w:tcPr>
            <w:tcW w:w="0" w:type="auto"/>
            <w:hideMark/>
          </w:tcPr>
          <w:p w:rsidR="00A34BD2" w:rsidRPr="00F80ED9" w:rsidRDefault="00A34BD2" w:rsidP="00A60961">
            <w:pPr>
              <w:rPr>
                <w:sz w:val="20"/>
              </w:rPr>
            </w:pPr>
            <w:r>
              <w:rPr>
                <w:sz w:val="20"/>
                <w:lang w:val="sv"/>
              </w:rPr>
              <w:t>Tandröntgenapparat med vilken bilden tas på en intraoral bildreceptor</w:t>
            </w:r>
          </w:p>
        </w:tc>
      </w:tr>
      <w:tr w:rsidR="00A34BD2" w:rsidRPr="008E0F4A" w:rsidTr="00A60961">
        <w:trPr>
          <w:tblCellSpacing w:w="15" w:type="dxa"/>
        </w:trPr>
        <w:tc>
          <w:tcPr>
            <w:tcW w:w="0" w:type="auto"/>
            <w:gridSpan w:val="2"/>
            <w:hideMark/>
          </w:tcPr>
          <w:p w:rsidR="00A34BD2" w:rsidRPr="00F80ED9" w:rsidRDefault="00A34BD2" w:rsidP="00A60961">
            <w:pPr>
              <w:rPr>
                <w:sz w:val="20"/>
              </w:rPr>
            </w:pPr>
            <w:r>
              <w:rPr>
                <w:sz w:val="20"/>
                <w:lang w:val="sv"/>
              </w:rPr>
              <w:t> </w:t>
            </w:r>
          </w:p>
        </w:tc>
        <w:tc>
          <w:tcPr>
            <w:tcW w:w="0" w:type="auto"/>
            <w:hideMark/>
          </w:tcPr>
          <w:p w:rsidR="00A34BD2" w:rsidRPr="008E0F4A" w:rsidRDefault="00A34BD2" w:rsidP="00A60961">
            <w:pPr>
              <w:rPr>
                <w:sz w:val="20"/>
              </w:rPr>
            </w:pPr>
            <w:r>
              <w:rPr>
                <w:sz w:val="20"/>
                <w:lang w:val="sv"/>
              </w:rPr>
              <w:t>Tandröntgenavbildningsapparat inom veterinärmedicinen</w:t>
            </w:r>
          </w:p>
        </w:tc>
      </w:tr>
      <w:tr w:rsidR="00A34BD2" w:rsidRPr="008E0F4A" w:rsidTr="00A60961">
        <w:trPr>
          <w:tblCellSpacing w:w="15" w:type="dxa"/>
        </w:trPr>
        <w:tc>
          <w:tcPr>
            <w:tcW w:w="0" w:type="auto"/>
            <w:gridSpan w:val="2"/>
            <w:hideMark/>
          </w:tcPr>
          <w:p w:rsidR="00A34BD2" w:rsidRPr="00CC1668" w:rsidRDefault="00A34BD2" w:rsidP="00A60961">
            <w:pPr>
              <w:rPr>
                <w:b/>
                <w:sz w:val="20"/>
              </w:rPr>
            </w:pPr>
            <w:r>
              <w:rPr>
                <w:b/>
                <w:bCs/>
                <w:sz w:val="20"/>
                <w:lang w:val="sv"/>
              </w:rPr>
              <w:t>B</w:t>
            </w:r>
          </w:p>
        </w:tc>
        <w:tc>
          <w:tcPr>
            <w:tcW w:w="0" w:type="auto"/>
            <w:hideMark/>
          </w:tcPr>
          <w:p w:rsidR="00A34BD2" w:rsidRPr="008E0F4A" w:rsidRDefault="00A34BD2" w:rsidP="00A60961">
            <w:pPr>
              <w:rPr>
                <w:sz w:val="20"/>
              </w:rPr>
            </w:pPr>
            <w:r>
              <w:rPr>
                <w:sz w:val="20"/>
                <w:lang w:val="sv"/>
              </w:rPr>
              <w:t>Sluten strålkälla (annan än sluten strålkälla med hög aktivitet). Avgift tas ut för högst hundra källor</w:t>
            </w:r>
          </w:p>
        </w:tc>
      </w:tr>
      <w:tr w:rsidR="00A34BD2" w:rsidRPr="00634C9F" w:rsidTr="00A60961">
        <w:trPr>
          <w:tblCellSpacing w:w="15" w:type="dxa"/>
        </w:trPr>
        <w:tc>
          <w:tcPr>
            <w:tcW w:w="0" w:type="auto"/>
            <w:gridSpan w:val="2"/>
            <w:hideMark/>
          </w:tcPr>
          <w:p w:rsidR="00A34BD2" w:rsidRPr="008E0F4A"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Röntgenanordning (gäller inte röntgenanordning inom hälso- och sjukvården, veterinärmedicinen eller industrin eller röntgenanordning som kräver separata skyddskonstruktioner)</w:t>
            </w:r>
          </w:p>
        </w:tc>
      </w:tr>
      <w:tr w:rsidR="00A34BD2" w:rsidRPr="008E0F4A" w:rsidTr="00A60961">
        <w:trPr>
          <w:tblCellSpacing w:w="15" w:type="dxa"/>
        </w:trPr>
        <w:tc>
          <w:tcPr>
            <w:tcW w:w="0" w:type="auto"/>
            <w:gridSpan w:val="2"/>
            <w:hideMark/>
          </w:tcPr>
          <w:p w:rsidR="00A34BD2" w:rsidRPr="00F80ED9" w:rsidRDefault="00A34BD2" w:rsidP="00A60961">
            <w:pPr>
              <w:rPr>
                <w:sz w:val="20"/>
              </w:rPr>
            </w:pPr>
            <w:r>
              <w:rPr>
                <w:sz w:val="20"/>
                <w:lang w:val="sv"/>
              </w:rPr>
              <w:t> </w:t>
            </w:r>
          </w:p>
        </w:tc>
        <w:tc>
          <w:tcPr>
            <w:tcW w:w="0" w:type="auto"/>
            <w:hideMark/>
          </w:tcPr>
          <w:p w:rsidR="00A34BD2" w:rsidRPr="008E0F4A" w:rsidRDefault="00A34BD2" w:rsidP="00A60961">
            <w:pPr>
              <w:rPr>
                <w:sz w:val="20"/>
              </w:rPr>
            </w:pPr>
            <w:r>
              <w:rPr>
                <w:sz w:val="20"/>
                <w:lang w:val="sv"/>
              </w:rPr>
              <w:t>Panoramatomografiapparat inom odontologisk röntgenverksamhet</w:t>
            </w:r>
          </w:p>
        </w:tc>
      </w:tr>
      <w:tr w:rsidR="00A34BD2" w:rsidRPr="00634C9F" w:rsidTr="00A60961">
        <w:trPr>
          <w:tblCellSpacing w:w="15" w:type="dxa"/>
        </w:trPr>
        <w:tc>
          <w:tcPr>
            <w:tcW w:w="0" w:type="auto"/>
            <w:gridSpan w:val="2"/>
            <w:hideMark/>
          </w:tcPr>
          <w:p w:rsidR="00A34BD2" w:rsidRPr="00CC1668" w:rsidRDefault="00A34BD2" w:rsidP="00A60961">
            <w:pPr>
              <w:rPr>
                <w:b/>
                <w:sz w:val="20"/>
              </w:rPr>
            </w:pPr>
            <w:r>
              <w:rPr>
                <w:b/>
                <w:bCs/>
                <w:sz w:val="20"/>
                <w:lang w:val="sv"/>
              </w:rPr>
              <w:t>C</w:t>
            </w:r>
          </w:p>
        </w:tc>
        <w:tc>
          <w:tcPr>
            <w:tcW w:w="0" w:type="auto"/>
            <w:hideMark/>
          </w:tcPr>
          <w:p w:rsidR="00A34BD2" w:rsidRPr="00F80ED9" w:rsidRDefault="00A34BD2" w:rsidP="00A60961">
            <w:pPr>
              <w:rPr>
                <w:sz w:val="20"/>
              </w:rPr>
            </w:pPr>
            <w:r>
              <w:rPr>
                <w:sz w:val="20"/>
                <w:lang w:val="sv"/>
              </w:rPr>
              <w:t>Röntgenanordning inom industrin eller röntgenanordning som kräver separata skyddskonstruktioner (gäller inte röntgenanordning inom hälso- och sjukvården eller veterinärmedicinen)</w:t>
            </w:r>
          </w:p>
        </w:tc>
      </w:tr>
      <w:tr w:rsidR="00A34BD2" w:rsidRPr="00634C9F" w:rsidTr="00A60961">
        <w:trPr>
          <w:tblCellSpacing w:w="15" w:type="dxa"/>
        </w:trPr>
        <w:tc>
          <w:tcPr>
            <w:tcW w:w="0" w:type="auto"/>
            <w:gridSpan w:val="2"/>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Röntgenavbildningsanordning inom veterinärmedicinen (annan än tandröntgenavbildningsapparat)</w:t>
            </w:r>
          </w:p>
        </w:tc>
      </w:tr>
      <w:tr w:rsidR="00A34BD2" w:rsidRPr="00634C9F" w:rsidTr="00A60961">
        <w:trPr>
          <w:tblCellSpacing w:w="15" w:type="dxa"/>
        </w:trPr>
        <w:tc>
          <w:tcPr>
            <w:tcW w:w="0" w:type="auto"/>
            <w:gridSpan w:val="2"/>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Röntgenavbildningsanordning inom hälso- och sjukvården (annan än panoramatomografiapparat eller tandröntgenapparat med vilken bilden tas på en intraoral bildreceptor inom odontologisk röntgenverksamhet), som medför en effektiv dos för patienten som är lägre än eller lika med 0,1 mSv och ingen deterministisk skada </w:t>
            </w:r>
            <w:r>
              <w:rPr>
                <w:sz w:val="20"/>
                <w:vertAlign w:val="superscript"/>
                <w:lang w:val="sv"/>
              </w:rPr>
              <w:t>1)</w:t>
            </w:r>
            <w:r>
              <w:rPr>
                <w:sz w:val="20"/>
                <w:lang w:val="sv"/>
              </w:rPr>
              <w:t xml:space="preserve"> </w:t>
            </w:r>
          </w:p>
        </w:tc>
      </w:tr>
      <w:tr w:rsidR="00A34BD2" w:rsidRPr="00634C9F" w:rsidTr="00A60961">
        <w:trPr>
          <w:tblCellSpacing w:w="15" w:type="dxa"/>
        </w:trPr>
        <w:tc>
          <w:tcPr>
            <w:tcW w:w="0" w:type="auto"/>
            <w:gridSpan w:val="2"/>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Partikelaccelerator (gäller inte partikelacceleratorer inom hälso- och sjukvården eller veterinärmedicinen)</w:t>
            </w:r>
          </w:p>
        </w:tc>
      </w:tr>
      <w:tr w:rsidR="00A34BD2" w:rsidRPr="00634C9F"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gridSpan w:val="2"/>
            <w:hideMark/>
          </w:tcPr>
          <w:p w:rsidR="00A34BD2" w:rsidRPr="00F80ED9" w:rsidRDefault="00A34BD2" w:rsidP="00A60961">
            <w:pPr>
              <w:rPr>
                <w:sz w:val="20"/>
              </w:rPr>
            </w:pPr>
            <w:r>
              <w:rPr>
                <w:sz w:val="20"/>
                <w:lang w:val="sv"/>
              </w:rPr>
              <w:t>Öppna strålkällor i laboratorium, då mängden radioaktivt ämne som hanteras på en gång är mindre än k∙10 frigränsen</w:t>
            </w:r>
            <w:r>
              <w:rPr>
                <w:sz w:val="20"/>
                <w:vertAlign w:val="superscript"/>
                <w:lang w:val="sv"/>
              </w:rPr>
              <w:t> 2)</w:t>
            </w:r>
            <w:r>
              <w:rPr>
                <w:sz w:val="20"/>
                <w:lang w:val="sv"/>
              </w:rPr>
              <w:t xml:space="preserve"> </w:t>
            </w:r>
          </w:p>
        </w:tc>
      </w:tr>
    </w:tbl>
    <w:p w:rsidR="00A34BD2" w:rsidRPr="00F80ED9" w:rsidRDefault="00A34BD2" w:rsidP="00A34BD2"/>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351"/>
        <w:gridCol w:w="9287"/>
      </w:tblGrid>
      <w:tr w:rsidR="00A34BD2" w:rsidRPr="00634C9F" w:rsidTr="00A60961">
        <w:trPr>
          <w:tblCellSpacing w:w="15" w:type="dxa"/>
        </w:trPr>
        <w:tc>
          <w:tcPr>
            <w:tcW w:w="0" w:type="auto"/>
            <w:hideMark/>
          </w:tcPr>
          <w:p w:rsidR="00A34BD2" w:rsidRPr="00CC1668" w:rsidRDefault="00A34BD2" w:rsidP="00A60961">
            <w:pPr>
              <w:rPr>
                <w:b/>
                <w:sz w:val="20"/>
              </w:rPr>
            </w:pPr>
            <w:r>
              <w:rPr>
                <w:b/>
                <w:bCs/>
                <w:sz w:val="20"/>
                <w:lang w:val="sv"/>
              </w:rPr>
              <w:t>D</w:t>
            </w:r>
          </w:p>
        </w:tc>
        <w:tc>
          <w:tcPr>
            <w:tcW w:w="0" w:type="auto"/>
            <w:hideMark/>
          </w:tcPr>
          <w:p w:rsidR="00A34BD2" w:rsidRPr="00F80ED9" w:rsidRDefault="00A34BD2" w:rsidP="00A60961">
            <w:pPr>
              <w:ind w:left="1507"/>
              <w:rPr>
                <w:sz w:val="20"/>
              </w:rPr>
            </w:pPr>
            <w:r>
              <w:rPr>
                <w:sz w:val="20"/>
                <w:lang w:val="sv"/>
              </w:rPr>
              <w:t>Röntgenavbildningsanordning inom hälso- och sjukvården (annan än panoramatomografiapparat eller tandröntgenapparat med vilken bilden tas på en intraoral bildreceptor inom odontologisk röntgenverksamhet), som medför en effektiv dos för patienten som är högre än 0,1 mSv, men lägre än eller lika med 100 mSv och ingen deterministisk skada</w:t>
            </w:r>
            <w:r>
              <w:rPr>
                <w:sz w:val="20"/>
                <w:vertAlign w:val="superscript"/>
                <w:lang w:val="sv"/>
              </w:rPr>
              <w:t>1)</w:t>
            </w:r>
            <w:r>
              <w:rPr>
                <w:sz w:val="20"/>
                <w:lang w:val="sv"/>
              </w:rPr>
              <w:t> </w:t>
            </w:r>
          </w:p>
        </w:tc>
      </w:tr>
      <w:tr w:rsidR="00A34BD2" w:rsidRPr="00634C9F"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ind w:left="1507"/>
              <w:rPr>
                <w:sz w:val="20"/>
              </w:rPr>
            </w:pPr>
            <w:r>
              <w:rPr>
                <w:sz w:val="20"/>
                <w:lang w:val="sv"/>
              </w:rPr>
              <w:t>Öppna strålkällor i laboratorium, då mängden radioaktivt ämne som hanteras på en gång är större än eller lika med k∙10 frigränsen, men mindre än k∙10 000∙frigränsen </w:t>
            </w:r>
            <w:r>
              <w:rPr>
                <w:sz w:val="20"/>
                <w:vertAlign w:val="superscript"/>
                <w:lang w:val="sv"/>
              </w:rPr>
              <w:t>2)</w:t>
            </w:r>
            <w:r>
              <w:rPr>
                <w:sz w:val="20"/>
                <w:lang w:val="sv"/>
              </w:rPr>
              <w:t xml:space="preserve"> </w:t>
            </w:r>
          </w:p>
        </w:tc>
      </w:tr>
      <w:tr w:rsidR="00A34BD2" w:rsidRPr="00634C9F"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ind w:left="1507"/>
              <w:rPr>
                <w:sz w:val="20"/>
              </w:rPr>
            </w:pPr>
            <w:r>
              <w:rPr>
                <w:sz w:val="20"/>
                <w:lang w:val="sv"/>
              </w:rPr>
              <w:t>Öppna strålkällor för spårämnesundersökningar utanför laboratorium</w:t>
            </w:r>
          </w:p>
        </w:tc>
      </w:tr>
      <w:tr w:rsidR="00A34BD2" w:rsidRPr="00634C9F" w:rsidTr="00A60961">
        <w:trPr>
          <w:tblCellSpacing w:w="15" w:type="dxa"/>
        </w:trPr>
        <w:tc>
          <w:tcPr>
            <w:tcW w:w="0" w:type="auto"/>
            <w:hideMark/>
          </w:tcPr>
          <w:p w:rsidR="00A34BD2" w:rsidRPr="00CC1668" w:rsidRDefault="00A34BD2" w:rsidP="00A60961">
            <w:pPr>
              <w:rPr>
                <w:b/>
                <w:sz w:val="20"/>
              </w:rPr>
            </w:pPr>
            <w:r>
              <w:rPr>
                <w:b/>
                <w:bCs/>
                <w:sz w:val="20"/>
                <w:lang w:val="sv"/>
              </w:rPr>
              <w:t>E</w:t>
            </w:r>
          </w:p>
        </w:tc>
        <w:tc>
          <w:tcPr>
            <w:tcW w:w="0" w:type="auto"/>
            <w:hideMark/>
          </w:tcPr>
          <w:p w:rsidR="00A34BD2" w:rsidRPr="00F80ED9" w:rsidRDefault="00A34BD2" w:rsidP="00A60961">
            <w:pPr>
              <w:ind w:left="1507"/>
              <w:rPr>
                <w:sz w:val="20"/>
              </w:rPr>
            </w:pPr>
            <w:r>
              <w:rPr>
                <w:sz w:val="20"/>
                <w:lang w:val="sv"/>
              </w:rPr>
              <w:t>Sluten strålkälla med hög aktivitet</w:t>
            </w:r>
          </w:p>
        </w:tc>
      </w:tr>
      <w:tr w:rsidR="00A34BD2" w:rsidRPr="008E0F4A"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8E0F4A" w:rsidRDefault="00A34BD2" w:rsidP="00A60961">
            <w:pPr>
              <w:ind w:left="1507"/>
              <w:rPr>
                <w:sz w:val="20"/>
              </w:rPr>
            </w:pPr>
            <w:r>
              <w:rPr>
                <w:sz w:val="20"/>
                <w:lang w:val="sv"/>
              </w:rPr>
              <w:t>Strålbehandlingsanordning inom veterinärmedicinen</w:t>
            </w:r>
          </w:p>
        </w:tc>
      </w:tr>
      <w:tr w:rsidR="00A34BD2" w:rsidRPr="00634C9F" w:rsidTr="00A60961">
        <w:trPr>
          <w:tblCellSpacing w:w="15" w:type="dxa"/>
        </w:trPr>
        <w:tc>
          <w:tcPr>
            <w:tcW w:w="0" w:type="auto"/>
            <w:hideMark/>
          </w:tcPr>
          <w:p w:rsidR="00A34BD2" w:rsidRPr="00CC1668" w:rsidRDefault="00A34BD2" w:rsidP="00A60961">
            <w:pPr>
              <w:rPr>
                <w:b/>
                <w:sz w:val="20"/>
              </w:rPr>
            </w:pPr>
            <w:r>
              <w:rPr>
                <w:b/>
                <w:bCs/>
                <w:sz w:val="20"/>
                <w:lang w:val="sv"/>
              </w:rPr>
              <w:t>F</w:t>
            </w:r>
          </w:p>
        </w:tc>
        <w:tc>
          <w:tcPr>
            <w:tcW w:w="0" w:type="auto"/>
            <w:hideMark/>
          </w:tcPr>
          <w:p w:rsidR="00A34BD2" w:rsidRPr="00F80ED9" w:rsidRDefault="00A34BD2" w:rsidP="00A60961">
            <w:pPr>
              <w:ind w:left="1507"/>
              <w:rPr>
                <w:sz w:val="20"/>
              </w:rPr>
            </w:pPr>
            <w:r>
              <w:rPr>
                <w:sz w:val="20"/>
                <w:lang w:val="sv"/>
              </w:rPr>
              <w:t>Röntgenavbildningsanordning inom hälso- och sjukvården (annan än panoramatomografiapparat eller tandröntgenapparat med vilken bilden tas på en intraoral bildreceptor inom odontologisk röntgenverksamhet), som medför en effektiv dos för patienten som är högre än 100 mSv eller en lokal eller absorberad dos i ett organ som är högre än 10 Gy</w:t>
            </w:r>
            <w:r>
              <w:rPr>
                <w:sz w:val="20"/>
                <w:vertAlign w:val="superscript"/>
                <w:lang w:val="sv"/>
              </w:rPr>
              <w:t>1)</w:t>
            </w:r>
            <w:r>
              <w:rPr>
                <w:sz w:val="20"/>
                <w:lang w:val="sv"/>
              </w:rPr>
              <w:t> </w:t>
            </w:r>
          </w:p>
        </w:tc>
      </w:tr>
      <w:tr w:rsidR="00A34BD2" w:rsidRPr="00634C9F"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ind w:left="1507"/>
              <w:rPr>
                <w:sz w:val="20"/>
              </w:rPr>
            </w:pPr>
            <w:r>
              <w:rPr>
                <w:sz w:val="20"/>
                <w:lang w:val="sv"/>
              </w:rPr>
              <w:t>Öppna strålkällor i laboratorium, då mängden radioaktivt ämne som hanteras på en gång är större än eller lika med k∙10 000∙frigränsen </w:t>
            </w:r>
            <w:r>
              <w:rPr>
                <w:sz w:val="20"/>
                <w:vertAlign w:val="superscript"/>
                <w:lang w:val="sv"/>
              </w:rPr>
              <w:t>2)</w:t>
            </w:r>
            <w:r>
              <w:rPr>
                <w:sz w:val="20"/>
                <w:lang w:val="sv"/>
              </w:rPr>
              <w:t xml:space="preserve"> </w:t>
            </w:r>
          </w:p>
        </w:tc>
      </w:tr>
      <w:tr w:rsidR="00A34BD2" w:rsidRPr="00634C9F" w:rsidTr="00A60961">
        <w:trPr>
          <w:tblCellSpacing w:w="15" w:type="dxa"/>
        </w:trPr>
        <w:tc>
          <w:tcPr>
            <w:tcW w:w="0" w:type="auto"/>
            <w:hideMark/>
          </w:tcPr>
          <w:p w:rsidR="00A34BD2" w:rsidRPr="00CC1668" w:rsidRDefault="00A34BD2" w:rsidP="00A60961">
            <w:pPr>
              <w:rPr>
                <w:b/>
                <w:sz w:val="20"/>
              </w:rPr>
            </w:pPr>
            <w:r>
              <w:rPr>
                <w:b/>
                <w:bCs/>
                <w:sz w:val="20"/>
                <w:lang w:val="sv"/>
              </w:rPr>
              <w:t>G</w:t>
            </w:r>
          </w:p>
        </w:tc>
        <w:tc>
          <w:tcPr>
            <w:tcW w:w="0" w:type="auto"/>
            <w:hideMark/>
          </w:tcPr>
          <w:p w:rsidR="00A34BD2" w:rsidRPr="00F80ED9" w:rsidRDefault="00A34BD2" w:rsidP="00A60961">
            <w:pPr>
              <w:ind w:left="1507"/>
              <w:rPr>
                <w:sz w:val="20"/>
              </w:rPr>
            </w:pPr>
            <w:r>
              <w:rPr>
                <w:sz w:val="20"/>
                <w:lang w:val="sv"/>
              </w:rPr>
              <w:t>Röntgenanordning för ytterapi inom strålbehandling</w:t>
            </w:r>
          </w:p>
        </w:tc>
      </w:tr>
      <w:tr w:rsidR="00A34BD2" w:rsidRPr="00634C9F" w:rsidTr="00A60961">
        <w:trPr>
          <w:tblCellSpacing w:w="15" w:type="dxa"/>
        </w:trPr>
        <w:tc>
          <w:tcPr>
            <w:tcW w:w="0" w:type="auto"/>
            <w:hideMark/>
          </w:tcPr>
          <w:p w:rsidR="00A34BD2" w:rsidRPr="00CC1668" w:rsidRDefault="00A34BD2" w:rsidP="00A60961">
            <w:pPr>
              <w:rPr>
                <w:b/>
                <w:sz w:val="20"/>
              </w:rPr>
            </w:pPr>
            <w:r>
              <w:rPr>
                <w:b/>
                <w:bCs/>
                <w:sz w:val="20"/>
                <w:lang w:val="sv"/>
              </w:rPr>
              <w:t>H</w:t>
            </w:r>
          </w:p>
        </w:tc>
        <w:tc>
          <w:tcPr>
            <w:tcW w:w="0" w:type="auto"/>
            <w:hideMark/>
          </w:tcPr>
          <w:p w:rsidR="00A34BD2" w:rsidRPr="00F80ED9" w:rsidRDefault="00A34BD2" w:rsidP="00A60961">
            <w:pPr>
              <w:ind w:left="1507"/>
              <w:rPr>
                <w:sz w:val="20"/>
              </w:rPr>
            </w:pPr>
            <w:r>
              <w:rPr>
                <w:sz w:val="20"/>
                <w:lang w:val="sv"/>
              </w:rPr>
              <w:t>Accelerator med en energi inom strålbehandling, röntgenanordning för djupterapi eller efterladdningsterapianordning inom strålbehandling</w:t>
            </w:r>
          </w:p>
        </w:tc>
      </w:tr>
      <w:tr w:rsidR="00A34BD2" w:rsidRPr="00634C9F" w:rsidTr="00A60961">
        <w:trPr>
          <w:tblCellSpacing w:w="15" w:type="dxa"/>
        </w:trPr>
        <w:tc>
          <w:tcPr>
            <w:tcW w:w="0" w:type="auto"/>
            <w:hideMark/>
          </w:tcPr>
          <w:p w:rsidR="00A34BD2" w:rsidRPr="00CC1668" w:rsidRDefault="00A34BD2" w:rsidP="00A60961">
            <w:pPr>
              <w:rPr>
                <w:b/>
                <w:sz w:val="20"/>
              </w:rPr>
            </w:pPr>
            <w:r>
              <w:rPr>
                <w:b/>
                <w:bCs/>
                <w:sz w:val="20"/>
                <w:lang w:val="sv"/>
              </w:rPr>
              <w:t>I</w:t>
            </w:r>
          </w:p>
        </w:tc>
        <w:tc>
          <w:tcPr>
            <w:tcW w:w="0" w:type="auto"/>
            <w:hideMark/>
          </w:tcPr>
          <w:p w:rsidR="00A34BD2" w:rsidRPr="00F80ED9" w:rsidRDefault="00A34BD2" w:rsidP="00A60961">
            <w:pPr>
              <w:ind w:left="1507"/>
              <w:rPr>
                <w:sz w:val="20"/>
              </w:rPr>
            </w:pPr>
            <w:r>
              <w:rPr>
                <w:sz w:val="20"/>
                <w:lang w:val="sv"/>
              </w:rPr>
              <w:t>Acceleratorbehandlingsanordning med flera energier inom strålbehandling</w:t>
            </w:r>
          </w:p>
        </w:tc>
      </w:tr>
      <w:tr w:rsidR="00A34BD2" w:rsidRPr="00634C9F" w:rsidTr="00A60961">
        <w:trPr>
          <w:tblCellSpacing w:w="15" w:type="dxa"/>
        </w:trPr>
        <w:tc>
          <w:tcPr>
            <w:tcW w:w="0" w:type="auto"/>
          </w:tcPr>
          <w:p w:rsidR="00A34BD2" w:rsidRPr="00F80ED9" w:rsidRDefault="00A34BD2" w:rsidP="00A60961">
            <w:pPr>
              <w:rPr>
                <w:b/>
                <w:sz w:val="20"/>
              </w:rPr>
            </w:pPr>
          </w:p>
        </w:tc>
        <w:tc>
          <w:tcPr>
            <w:tcW w:w="0" w:type="auto"/>
          </w:tcPr>
          <w:p w:rsidR="00A34BD2" w:rsidRPr="00F80ED9" w:rsidRDefault="00A34BD2" w:rsidP="00A60961">
            <w:pPr>
              <w:ind w:left="1507"/>
              <w:rPr>
                <w:sz w:val="20"/>
              </w:rPr>
            </w:pPr>
          </w:p>
        </w:tc>
      </w:tr>
    </w:tbl>
    <w:p w:rsidR="00A34BD2" w:rsidRPr="00F80ED9" w:rsidRDefault="00A34BD2" w:rsidP="00A34BD2">
      <w:pPr>
        <w:rPr>
          <w:sz w:val="20"/>
        </w:rPr>
      </w:pPr>
      <w:r>
        <w:rPr>
          <w:sz w:val="20"/>
          <w:vertAlign w:val="superscript"/>
          <w:lang w:val="sv"/>
        </w:rPr>
        <w:t>1)</w:t>
      </w:r>
      <w:r>
        <w:rPr>
          <w:sz w:val="20"/>
          <w:lang w:val="sv"/>
        </w:rPr>
        <w:t> Den effektiva dosen för patienten på grund av en undersökning eller åtgärd, inklusive strålningsexponering på grund av en strålsäkerhetsincident.</w:t>
      </w:r>
    </w:p>
    <w:p w:rsidR="00A34BD2" w:rsidRPr="00F80ED9" w:rsidRDefault="00A34BD2" w:rsidP="00A34BD2">
      <w:pPr>
        <w:rPr>
          <w:sz w:val="20"/>
        </w:rPr>
      </w:pPr>
      <w:r>
        <w:rPr>
          <w:sz w:val="20"/>
          <w:vertAlign w:val="superscript"/>
          <w:lang w:val="sv"/>
        </w:rPr>
        <w:t>2)</w:t>
      </w:r>
      <w:r>
        <w:rPr>
          <w:sz w:val="20"/>
          <w:lang w:val="sv"/>
        </w:rPr>
        <w:t>Koefficienten k bestäms på basis av hur det radioaktiva ämnet hanteras, enligt följande: arbete med särskilt hög risk k = 0,1, hantering med normala kemiska metoder k = 1, enkel hantering k = 10 och upplagring k = 100. Om flera olika hanteringssätt förekommer på ett laboratorium bestäms avgiftsklassen för verksamheten på basis av det hanteringssätt som leder till den högsta avgiften.</w:t>
      </w:r>
    </w:p>
    <w:p w:rsidR="00A34BD2" w:rsidRPr="00F80ED9" w:rsidRDefault="00A34BD2" w:rsidP="00A34BD2">
      <w:pPr>
        <w:rPr>
          <w:b/>
          <w:bCs/>
          <w:sz w:val="20"/>
        </w:rPr>
      </w:pPr>
    </w:p>
    <w:p w:rsidR="00A34BD2" w:rsidRPr="00F80ED9" w:rsidRDefault="00A34BD2" w:rsidP="00A34BD2">
      <w:pPr>
        <w:spacing w:after="200" w:line="276" w:lineRule="auto"/>
        <w:rPr>
          <w:b/>
          <w:bCs/>
          <w:sz w:val="20"/>
        </w:rPr>
      </w:pPr>
      <w:r>
        <w:rPr>
          <w:b/>
          <w:bCs/>
          <w:sz w:val="20"/>
          <w:lang w:val="sv"/>
        </w:rPr>
        <w:br w:type="page"/>
      </w:r>
    </w:p>
    <w:p w:rsidR="00A34BD2" w:rsidRPr="00F80ED9" w:rsidRDefault="00A34BD2" w:rsidP="00A34BD2">
      <w:pPr>
        <w:rPr>
          <w:b/>
          <w:bCs/>
          <w:sz w:val="20"/>
        </w:rPr>
      </w:pPr>
    </w:p>
    <w:p w:rsidR="00A34BD2" w:rsidRPr="00F80ED9" w:rsidRDefault="00A34BD2" w:rsidP="00A34BD2">
      <w:pPr>
        <w:rPr>
          <w:sz w:val="20"/>
        </w:rPr>
      </w:pPr>
      <w:r>
        <w:rPr>
          <w:b/>
          <w:bCs/>
          <w:sz w:val="20"/>
          <w:lang w:val="sv"/>
        </w:rPr>
        <w:t>3. Tillsynsavgift för verksamhet som medför exponering för naturlig strålning</w:t>
      </w:r>
      <w:r>
        <w:rPr>
          <w:sz w:val="20"/>
          <w:lang w:val="sv"/>
        </w:rPr>
        <w:t xml:space="preserve"> </w:t>
      </w:r>
    </w:p>
    <w:p w:rsidR="00A34BD2" w:rsidRPr="00F80ED9" w:rsidRDefault="00A34BD2" w:rsidP="00A34BD2">
      <w:pPr>
        <w:rPr>
          <w:sz w:val="20"/>
        </w:rPr>
      </w:pPr>
      <w:r>
        <w:rPr>
          <w:sz w:val="20"/>
          <w:lang w:val="sv"/>
        </w:rPr>
        <w:t>Tillsynsavgift för verksamhet som medför exponering för naturlig strålning tas ut endast om verksamheten kräver säkerhetstillstånd enligt 148 §.</w:t>
      </w:r>
    </w:p>
    <w:p w:rsidR="00A34BD2" w:rsidRPr="00F80ED9" w:rsidRDefault="00A34BD2" w:rsidP="00A34BD2">
      <w:pPr>
        <w:rPr>
          <w:sz w:val="20"/>
        </w:rPr>
      </w:pPr>
      <w:r>
        <w:rPr>
          <w:sz w:val="20"/>
          <w:lang w:val="sv"/>
        </w:rPr>
        <w:t>Tillsynsavgiften utgörs av en grundavgift på basis av verksamhetstyp. Om säkerhetstillståndet gäller fler än en verksamhet, fastställs tillsynsavgiften genom att räkna samma alla grundavgifter i anslutning till tillståndet enligt avgiftsklasserna för verksamheten.</w:t>
      </w:r>
    </w:p>
    <w:p w:rsidR="00A34BD2" w:rsidRPr="00F80ED9" w:rsidRDefault="00A34BD2" w:rsidP="00A34BD2">
      <w:pPr>
        <w:rPr>
          <w:sz w:val="20"/>
        </w:rPr>
      </w:pPr>
      <w:r>
        <w:rPr>
          <w:sz w:val="20"/>
          <w:lang w:val="sv"/>
        </w:rPr>
        <w:t>Avgiftsklassen för verksamhet bestäms utifrån verksamheten på följande sätt:</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2364"/>
        <w:gridCol w:w="7274"/>
      </w:tblGrid>
      <w:tr w:rsidR="00A34BD2" w:rsidRPr="008E0F4A" w:rsidTr="00A60961">
        <w:trPr>
          <w:tblCellSpacing w:w="15" w:type="dxa"/>
        </w:trPr>
        <w:tc>
          <w:tcPr>
            <w:tcW w:w="0" w:type="auto"/>
            <w:hideMark/>
          </w:tcPr>
          <w:p w:rsidR="00A34BD2" w:rsidRPr="008E0F4A" w:rsidRDefault="00A34BD2" w:rsidP="00A60961">
            <w:pPr>
              <w:rPr>
                <w:sz w:val="20"/>
              </w:rPr>
            </w:pPr>
            <w:r>
              <w:rPr>
                <w:b/>
                <w:bCs/>
                <w:sz w:val="20"/>
                <w:lang w:val="sv"/>
              </w:rPr>
              <w:t>Avgiftsklass för verksamhet</w:t>
            </w:r>
            <w:r>
              <w:rPr>
                <w:sz w:val="20"/>
                <w:lang w:val="sv"/>
              </w:rPr>
              <w:t xml:space="preserve"> </w:t>
            </w:r>
          </w:p>
        </w:tc>
        <w:tc>
          <w:tcPr>
            <w:tcW w:w="0" w:type="auto"/>
            <w:hideMark/>
          </w:tcPr>
          <w:p w:rsidR="00A34BD2" w:rsidRPr="008E0F4A" w:rsidRDefault="00A34BD2" w:rsidP="00A60961">
            <w:pPr>
              <w:rPr>
                <w:sz w:val="20"/>
              </w:rPr>
            </w:pPr>
            <w:r>
              <w:rPr>
                <w:b/>
                <w:bCs/>
                <w:sz w:val="20"/>
                <w:lang w:val="sv"/>
              </w:rPr>
              <w:t>Verksamhet</w:t>
            </w:r>
            <w:r>
              <w:rPr>
                <w:sz w:val="20"/>
                <w:lang w:val="sv"/>
              </w:rPr>
              <w:t xml:space="preserve"> </w:t>
            </w:r>
          </w:p>
        </w:tc>
      </w:tr>
      <w:tr w:rsidR="00A34BD2" w:rsidRPr="008E0F4A" w:rsidTr="00A60961">
        <w:trPr>
          <w:tblCellSpacing w:w="15" w:type="dxa"/>
        </w:trPr>
        <w:tc>
          <w:tcPr>
            <w:tcW w:w="0" w:type="auto"/>
          </w:tcPr>
          <w:p w:rsidR="00A34BD2" w:rsidRPr="008E0F4A" w:rsidRDefault="00A34BD2" w:rsidP="00A60961">
            <w:pPr>
              <w:rPr>
                <w:sz w:val="20"/>
              </w:rPr>
            </w:pPr>
            <w:r>
              <w:rPr>
                <w:sz w:val="20"/>
              </w:rPr>
              <w:t xml:space="preserve">H </w:t>
            </w:r>
          </w:p>
        </w:tc>
        <w:tc>
          <w:tcPr>
            <w:tcW w:w="0" w:type="auto"/>
            <w:hideMark/>
          </w:tcPr>
          <w:p w:rsidR="00A34BD2" w:rsidRPr="008E0F4A" w:rsidRDefault="00A34BD2" w:rsidP="00A60961">
            <w:pPr>
              <w:rPr>
                <w:sz w:val="20"/>
              </w:rPr>
            </w:pPr>
            <w:r>
              <w:rPr>
                <w:sz w:val="20"/>
                <w:lang w:val="sv"/>
              </w:rPr>
              <w:t>Luftfart</w:t>
            </w:r>
          </w:p>
        </w:tc>
      </w:tr>
      <w:tr w:rsidR="00A34BD2" w:rsidRPr="00634C9F" w:rsidTr="00A60961">
        <w:trPr>
          <w:tblCellSpacing w:w="15" w:type="dxa"/>
        </w:trPr>
        <w:tc>
          <w:tcPr>
            <w:tcW w:w="0" w:type="auto"/>
          </w:tcPr>
          <w:p w:rsidR="00A34BD2" w:rsidRPr="008E0F4A" w:rsidRDefault="00A34BD2" w:rsidP="00A60961">
            <w:pPr>
              <w:rPr>
                <w:sz w:val="20"/>
              </w:rPr>
            </w:pPr>
            <w:r>
              <w:rPr>
                <w:sz w:val="20"/>
              </w:rPr>
              <w:t xml:space="preserve">I </w:t>
            </w:r>
          </w:p>
        </w:tc>
        <w:tc>
          <w:tcPr>
            <w:tcW w:w="0" w:type="auto"/>
            <w:hideMark/>
          </w:tcPr>
          <w:p w:rsidR="00A34BD2" w:rsidRPr="00F80ED9" w:rsidRDefault="00A34BD2" w:rsidP="00A60961">
            <w:pPr>
              <w:rPr>
                <w:sz w:val="20"/>
              </w:rPr>
            </w:pPr>
            <w:r>
              <w:rPr>
                <w:sz w:val="20"/>
                <w:lang w:val="sv"/>
              </w:rPr>
              <w:t>Verksamhet i vilken personalen exponeras för radon</w:t>
            </w:r>
          </w:p>
        </w:tc>
      </w:tr>
      <w:tr w:rsidR="00A34BD2" w:rsidRPr="00634C9F" w:rsidTr="00A60961">
        <w:trPr>
          <w:tblCellSpacing w:w="15" w:type="dxa"/>
        </w:trPr>
        <w:tc>
          <w:tcPr>
            <w:tcW w:w="0" w:type="auto"/>
            <w:hideMark/>
          </w:tcPr>
          <w:p w:rsidR="00A34BD2" w:rsidRPr="00F80ED9" w:rsidRDefault="00A34BD2" w:rsidP="00A60961">
            <w:pPr>
              <w:rPr>
                <w:sz w:val="20"/>
              </w:rPr>
            </w:pPr>
            <w:r>
              <w:rPr>
                <w:sz w:val="20"/>
                <w:lang w:val="sv"/>
              </w:rPr>
              <w:t> </w:t>
            </w:r>
          </w:p>
        </w:tc>
        <w:tc>
          <w:tcPr>
            <w:tcW w:w="0" w:type="auto"/>
            <w:hideMark/>
          </w:tcPr>
          <w:p w:rsidR="00A34BD2" w:rsidRPr="00F80ED9" w:rsidRDefault="00A34BD2" w:rsidP="00A60961">
            <w:pPr>
              <w:rPr>
                <w:sz w:val="20"/>
              </w:rPr>
            </w:pPr>
            <w:r>
              <w:rPr>
                <w:sz w:val="20"/>
                <w:lang w:val="sv"/>
              </w:rPr>
              <w:t>Verksamhet i vilken personalen exponeras för annan naturlig strålning än radon eller kosmisk strålning</w:t>
            </w:r>
          </w:p>
        </w:tc>
      </w:tr>
      <w:tr w:rsidR="00A34BD2" w:rsidRPr="00634C9F" w:rsidTr="00A60961">
        <w:trPr>
          <w:tblCellSpacing w:w="15" w:type="dxa"/>
        </w:trPr>
        <w:tc>
          <w:tcPr>
            <w:tcW w:w="0" w:type="auto"/>
            <w:hideMark/>
          </w:tcPr>
          <w:p w:rsidR="00A34BD2" w:rsidRPr="008E0F4A" w:rsidRDefault="00A34BD2" w:rsidP="00A60961">
            <w:pPr>
              <w:rPr>
                <w:sz w:val="20"/>
              </w:rPr>
            </w:pPr>
            <w:r>
              <w:rPr>
                <w:sz w:val="20"/>
                <w:lang w:val="sv"/>
              </w:rPr>
              <w:t>G</w:t>
            </w:r>
          </w:p>
        </w:tc>
        <w:tc>
          <w:tcPr>
            <w:tcW w:w="0" w:type="auto"/>
            <w:hideMark/>
          </w:tcPr>
          <w:p w:rsidR="00A34BD2" w:rsidRPr="00F80ED9" w:rsidRDefault="00A34BD2" w:rsidP="00A60961">
            <w:pPr>
              <w:rPr>
                <w:sz w:val="20"/>
              </w:rPr>
            </w:pPr>
            <w:r>
              <w:rPr>
                <w:sz w:val="20"/>
                <w:lang w:val="sv"/>
              </w:rPr>
              <w:t>Verksamhet som medför utsläpp av radioaktiva ämnen i miljön</w:t>
            </w:r>
          </w:p>
        </w:tc>
      </w:tr>
    </w:tbl>
    <w:p w:rsidR="00A34BD2" w:rsidRPr="00F80ED9" w:rsidRDefault="00A34BD2" w:rsidP="00A34BD2">
      <w:pPr>
        <w:rPr>
          <w:b/>
          <w:bCs/>
          <w:sz w:val="20"/>
        </w:rPr>
      </w:pPr>
    </w:p>
    <w:p w:rsidR="00A34BD2" w:rsidRPr="00F80ED9" w:rsidRDefault="00A34BD2" w:rsidP="00A34BD2">
      <w:pPr>
        <w:rPr>
          <w:b/>
          <w:bCs/>
          <w:sz w:val="20"/>
        </w:rPr>
      </w:pPr>
    </w:p>
    <w:p w:rsidR="00A34BD2" w:rsidRPr="00F80ED9" w:rsidRDefault="00A34BD2" w:rsidP="00A34BD2">
      <w:pPr>
        <w:rPr>
          <w:sz w:val="20"/>
        </w:rPr>
      </w:pPr>
      <w:r>
        <w:rPr>
          <w:b/>
          <w:bCs/>
          <w:sz w:val="20"/>
          <w:lang w:val="sv"/>
        </w:rPr>
        <w:t>4. Tillsynsavgift för användning av icke-joniserande strålning</w:t>
      </w:r>
      <w:r>
        <w:rPr>
          <w:sz w:val="20"/>
          <w:lang w:val="sv"/>
        </w:rPr>
        <w:t xml:space="preserve"> </w:t>
      </w:r>
    </w:p>
    <w:p w:rsidR="00A34BD2" w:rsidRPr="00F80ED9" w:rsidRDefault="00A34BD2" w:rsidP="00A34BD2">
      <w:pPr>
        <w:rPr>
          <w:sz w:val="20"/>
        </w:rPr>
      </w:pPr>
      <w:r>
        <w:rPr>
          <w:sz w:val="20"/>
          <w:lang w:val="sv"/>
        </w:rPr>
        <w:t>Tillsynsavgiften för användning av icke-joniserande strålning tas ut för användning av högeffektlaser i verksamhet som avses i 167 § i strålsäkerhetslagen.</w:t>
      </w:r>
    </w:p>
    <w:p w:rsidR="00A34BD2" w:rsidRPr="00F80ED9" w:rsidRDefault="00A34BD2" w:rsidP="00A34BD2">
      <w:pPr>
        <w:rPr>
          <w:sz w:val="20"/>
        </w:rPr>
      </w:pPr>
      <w:r>
        <w:rPr>
          <w:sz w:val="20"/>
          <w:lang w:val="sv"/>
        </w:rPr>
        <w:t>Tillsynsavgiften består av en grundavgift på basis av verksamhetstyp och en tilläggsavgift på basis av strålkälla.</w:t>
      </w:r>
    </w:p>
    <w:p w:rsidR="00A34BD2" w:rsidRPr="00F80ED9" w:rsidRDefault="00A34BD2" w:rsidP="00A34BD2">
      <w:pPr>
        <w:rPr>
          <w:sz w:val="20"/>
        </w:rPr>
      </w:pPr>
      <w:r>
        <w:rPr>
          <w:sz w:val="20"/>
          <w:lang w:val="sv"/>
        </w:rPr>
        <w:t>Grundavgiften på basis av verksamhetstyp bestäms på följande sätt:</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2349"/>
        <w:gridCol w:w="7289"/>
      </w:tblGrid>
      <w:tr w:rsidR="00A34BD2" w:rsidRPr="008E0F4A" w:rsidTr="00A60961">
        <w:trPr>
          <w:tblCellSpacing w:w="15" w:type="dxa"/>
        </w:trPr>
        <w:tc>
          <w:tcPr>
            <w:tcW w:w="0" w:type="auto"/>
            <w:hideMark/>
          </w:tcPr>
          <w:p w:rsidR="00A34BD2" w:rsidRPr="008E0F4A" w:rsidRDefault="00A34BD2" w:rsidP="00A60961">
            <w:pPr>
              <w:rPr>
                <w:sz w:val="20"/>
              </w:rPr>
            </w:pPr>
            <w:r>
              <w:rPr>
                <w:b/>
                <w:bCs/>
                <w:sz w:val="20"/>
                <w:lang w:val="sv"/>
              </w:rPr>
              <w:t>Avgiftsklass för verksamhet</w:t>
            </w:r>
            <w:r>
              <w:rPr>
                <w:sz w:val="20"/>
                <w:lang w:val="sv"/>
              </w:rPr>
              <w:t xml:space="preserve"> </w:t>
            </w:r>
          </w:p>
        </w:tc>
        <w:tc>
          <w:tcPr>
            <w:tcW w:w="0" w:type="auto"/>
            <w:hideMark/>
          </w:tcPr>
          <w:p w:rsidR="00A34BD2" w:rsidRPr="008E0F4A" w:rsidRDefault="00A34BD2" w:rsidP="00A60961">
            <w:pPr>
              <w:rPr>
                <w:sz w:val="20"/>
              </w:rPr>
            </w:pPr>
            <w:r>
              <w:rPr>
                <w:b/>
                <w:bCs/>
                <w:sz w:val="20"/>
                <w:lang w:val="sv"/>
              </w:rPr>
              <w:t>Verksamhet</w:t>
            </w:r>
            <w:r>
              <w:rPr>
                <w:sz w:val="20"/>
                <w:lang w:val="sv"/>
              </w:rPr>
              <w:t xml:space="preserve"> </w:t>
            </w:r>
          </w:p>
        </w:tc>
      </w:tr>
      <w:tr w:rsidR="00A34BD2" w:rsidRPr="00634C9F" w:rsidTr="00A60961">
        <w:trPr>
          <w:tblCellSpacing w:w="15" w:type="dxa"/>
        </w:trPr>
        <w:tc>
          <w:tcPr>
            <w:tcW w:w="0" w:type="auto"/>
            <w:hideMark/>
          </w:tcPr>
          <w:p w:rsidR="00A34BD2" w:rsidRPr="008E0F4A" w:rsidRDefault="00A34BD2" w:rsidP="00A60961">
            <w:pPr>
              <w:rPr>
                <w:sz w:val="20"/>
              </w:rPr>
            </w:pPr>
            <w:r>
              <w:rPr>
                <w:sz w:val="20"/>
                <w:lang w:val="sv"/>
              </w:rPr>
              <w:t>A</w:t>
            </w:r>
          </w:p>
        </w:tc>
        <w:tc>
          <w:tcPr>
            <w:tcW w:w="0" w:type="auto"/>
            <w:hideMark/>
          </w:tcPr>
          <w:p w:rsidR="00A34BD2" w:rsidRPr="00F80ED9" w:rsidRDefault="00A34BD2" w:rsidP="00A60961">
            <w:pPr>
              <w:rPr>
                <w:sz w:val="20"/>
              </w:rPr>
            </w:pPr>
            <w:r>
              <w:rPr>
                <w:sz w:val="20"/>
                <w:lang w:val="sv"/>
              </w:rPr>
              <w:t>Användning av högeffektlaser (inklusive användning av högeffektlaser som är fastmonterad på en plats)</w:t>
            </w:r>
          </w:p>
        </w:tc>
      </w:tr>
    </w:tbl>
    <w:p w:rsidR="00A34BD2" w:rsidRPr="00F80ED9" w:rsidRDefault="00A34BD2" w:rsidP="00A34BD2">
      <w:pPr>
        <w:rPr>
          <w:sz w:val="20"/>
        </w:rPr>
      </w:pPr>
      <w:r>
        <w:rPr>
          <w:sz w:val="20"/>
          <w:lang w:val="sv"/>
        </w:rPr>
        <w:t>Tilläggsavgiften på basis av strålkälla bestäms utifrån strålkällan och dess användning på följande sätt:</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2411"/>
        <w:gridCol w:w="7227"/>
      </w:tblGrid>
      <w:tr w:rsidR="00A34BD2" w:rsidRPr="008E0F4A" w:rsidTr="00A60961">
        <w:trPr>
          <w:tblCellSpacing w:w="15" w:type="dxa"/>
        </w:trPr>
        <w:tc>
          <w:tcPr>
            <w:tcW w:w="1228" w:type="pct"/>
            <w:hideMark/>
          </w:tcPr>
          <w:p w:rsidR="00A34BD2" w:rsidRPr="008E0F4A" w:rsidRDefault="00A34BD2" w:rsidP="00A60961">
            <w:pPr>
              <w:rPr>
                <w:sz w:val="20"/>
              </w:rPr>
            </w:pPr>
            <w:r>
              <w:rPr>
                <w:b/>
                <w:bCs/>
                <w:sz w:val="20"/>
                <w:lang w:val="sv"/>
              </w:rPr>
              <w:t>Avgiftsklass för strålkälla</w:t>
            </w:r>
            <w:r>
              <w:rPr>
                <w:sz w:val="20"/>
                <w:lang w:val="sv"/>
              </w:rPr>
              <w:t xml:space="preserve"> </w:t>
            </w:r>
          </w:p>
        </w:tc>
        <w:tc>
          <w:tcPr>
            <w:tcW w:w="3728" w:type="pct"/>
            <w:hideMark/>
          </w:tcPr>
          <w:p w:rsidR="00A34BD2" w:rsidRPr="008E0F4A" w:rsidRDefault="00A34BD2" w:rsidP="00A60961">
            <w:pPr>
              <w:rPr>
                <w:sz w:val="20"/>
              </w:rPr>
            </w:pPr>
            <w:r>
              <w:rPr>
                <w:b/>
                <w:bCs/>
                <w:sz w:val="20"/>
                <w:lang w:val="sv"/>
              </w:rPr>
              <w:t>Strålkälla</w:t>
            </w:r>
            <w:r>
              <w:rPr>
                <w:sz w:val="20"/>
                <w:lang w:val="sv"/>
              </w:rPr>
              <w:t xml:space="preserve"> </w:t>
            </w:r>
          </w:p>
        </w:tc>
      </w:tr>
      <w:tr w:rsidR="00A34BD2" w:rsidRPr="008E0F4A" w:rsidTr="00A60961">
        <w:trPr>
          <w:tblCellSpacing w:w="15" w:type="dxa"/>
        </w:trPr>
        <w:tc>
          <w:tcPr>
            <w:tcW w:w="1228" w:type="pct"/>
            <w:hideMark/>
          </w:tcPr>
          <w:p w:rsidR="00A34BD2" w:rsidRPr="008E0F4A" w:rsidRDefault="00A34BD2" w:rsidP="00A60961">
            <w:pPr>
              <w:rPr>
                <w:sz w:val="20"/>
              </w:rPr>
            </w:pPr>
            <w:r>
              <w:rPr>
                <w:sz w:val="20"/>
                <w:lang w:val="sv"/>
              </w:rPr>
              <w:t>E</w:t>
            </w:r>
          </w:p>
        </w:tc>
        <w:tc>
          <w:tcPr>
            <w:tcW w:w="3728" w:type="pct"/>
            <w:hideMark/>
          </w:tcPr>
          <w:p w:rsidR="00A34BD2" w:rsidRPr="008E0F4A" w:rsidRDefault="00A34BD2" w:rsidP="00A60961">
            <w:pPr>
              <w:rPr>
                <w:sz w:val="20"/>
              </w:rPr>
            </w:pPr>
            <w:r>
              <w:rPr>
                <w:sz w:val="20"/>
                <w:lang w:val="sv"/>
              </w:rPr>
              <w:t>Mobil högeffektlaser</w:t>
            </w:r>
          </w:p>
        </w:tc>
      </w:tr>
    </w:tbl>
    <w:p w:rsidR="00401D6C" w:rsidRDefault="00401D6C"/>
    <w:sectPr w:rsidR="00401D6C" w:rsidSect="00562E6B">
      <w:headerReference w:type="even" r:id="rId6"/>
      <w:headerReference w:type="default" r:id="rId7"/>
      <w:footerReference w:type="even" r:id="rId8"/>
      <w:footerReference w:type="default" r:id="rId9"/>
      <w:headerReference w:type="first" r:id="rId10"/>
      <w:foot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73" w:rsidRDefault="00120373" w:rsidP="00A964A4">
      <w:r>
        <w:separator/>
      </w:r>
    </w:p>
  </w:endnote>
  <w:endnote w:type="continuationSeparator" w:id="0">
    <w:p w:rsidR="00120373" w:rsidRDefault="00120373" w:rsidP="00A9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DE" w:rsidRDefault="0012037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27" w:rsidRDefault="00120373" w:rsidP="00FA6ACE">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DE" w:rsidRDefault="0012037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73" w:rsidRDefault="00120373" w:rsidP="00A964A4">
      <w:r>
        <w:separator/>
      </w:r>
    </w:p>
  </w:footnote>
  <w:footnote w:type="continuationSeparator" w:id="0">
    <w:p w:rsidR="00120373" w:rsidRDefault="00120373" w:rsidP="00A9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DE" w:rsidRDefault="0012037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27" w:rsidRPr="005E3CDE" w:rsidRDefault="00120373" w:rsidP="005E3CDE">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27" w:rsidRPr="005E3CDE" w:rsidRDefault="00120373" w:rsidP="005E3CDE">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F0"/>
    <w:rsid w:val="00120373"/>
    <w:rsid w:val="003C7D72"/>
    <w:rsid w:val="00401D6C"/>
    <w:rsid w:val="004F6EC8"/>
    <w:rsid w:val="005B0677"/>
    <w:rsid w:val="00705E04"/>
    <w:rsid w:val="009E08F0"/>
    <w:rsid w:val="00A34BD2"/>
    <w:rsid w:val="00A369E2"/>
    <w:rsid w:val="00A964A4"/>
    <w:rsid w:val="00E249B3"/>
    <w:rsid w:val="00FC50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D5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E08F0"/>
    <w:pPr>
      <w:spacing w:after="0" w:line="240" w:lineRule="auto"/>
    </w:pPr>
    <w:rPr>
      <w:rFonts w:ascii="Times New Roman" w:eastAsia="Times New Roman" w:hAnsi="Times New Roman" w:cs="Times New Roman"/>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9E08F0"/>
    <w:pPr>
      <w:tabs>
        <w:tab w:val="center" w:pos="4819"/>
        <w:tab w:val="right" w:pos="9638"/>
      </w:tabs>
    </w:pPr>
  </w:style>
  <w:style w:type="character" w:customStyle="1" w:styleId="AlatunnisteChar">
    <w:name w:val="Alatunniste Char"/>
    <w:basedOn w:val="Kappaleenoletusfontti"/>
    <w:link w:val="Alatunniste"/>
    <w:uiPriority w:val="99"/>
    <w:rsid w:val="009E08F0"/>
    <w:rPr>
      <w:rFonts w:ascii="Times New Roman" w:eastAsia="Times New Roman" w:hAnsi="Times New Roman" w:cs="Times New Roman"/>
      <w:sz w:val="24"/>
      <w:szCs w:val="20"/>
    </w:rPr>
  </w:style>
  <w:style w:type="paragraph" w:styleId="Yltunniste">
    <w:name w:val="header"/>
    <w:basedOn w:val="Normaali"/>
    <w:link w:val="YltunnisteChar"/>
    <w:uiPriority w:val="99"/>
    <w:unhideWhenUsed/>
    <w:rsid w:val="009E08F0"/>
    <w:pPr>
      <w:tabs>
        <w:tab w:val="center" w:pos="4819"/>
        <w:tab w:val="right" w:pos="9638"/>
      </w:tabs>
    </w:pPr>
  </w:style>
  <w:style w:type="character" w:customStyle="1" w:styleId="YltunnisteChar">
    <w:name w:val="Ylätunniste Char"/>
    <w:basedOn w:val="Kappaleenoletusfontti"/>
    <w:link w:val="Yltunniste"/>
    <w:uiPriority w:val="99"/>
    <w:rsid w:val="009E08F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2674</Words>
  <Characters>21661</Characters>
  <Application>Microsoft Office Word</Application>
  <DocSecurity>0</DocSecurity>
  <Lines>180</Lines>
  <Paragraphs>48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2021-07-07T17:57:00Z</dcterms:created>
  <dcterms:modified xsi:type="dcterms:W3CDTF">2021-07-07T17:57:00Z</dcterms:modified>
</cp:coreProperties>
</file>