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4F" w:rsidRPr="00293371" w:rsidRDefault="0019704F" w:rsidP="0019704F">
      <w:pPr>
        <w:shd w:val="clear" w:color="auto" w:fill="FFFFFF"/>
        <w:spacing w:after="120"/>
        <w:textAlignment w:val="baseline"/>
        <w:outlineLvl w:val="0"/>
        <w:rPr>
          <w:b/>
          <w:kern w:val="36"/>
          <w:szCs w:val="50"/>
          <w:lang w:eastAsia="fi-FI"/>
        </w:rPr>
      </w:pPr>
    </w:p>
    <w:p w:rsidR="0019704F" w:rsidRPr="00293371" w:rsidRDefault="0019704F" w:rsidP="0019704F">
      <w:pPr>
        <w:shd w:val="clear" w:color="auto" w:fill="FFFFFF"/>
        <w:spacing w:after="120"/>
        <w:textAlignment w:val="baseline"/>
        <w:outlineLvl w:val="0"/>
        <w:rPr>
          <w:b/>
          <w:kern w:val="36"/>
          <w:szCs w:val="50"/>
        </w:rPr>
      </w:pPr>
      <w:r>
        <w:rPr>
          <w:b/>
        </w:rPr>
        <w:t xml:space="preserve">Lag om Rättsregistercentralens register över bindningar och bisysslor </w:t>
      </w:r>
    </w:p>
    <w:p w:rsidR="0019704F" w:rsidRDefault="0019704F" w:rsidP="0019704F">
      <w:pPr>
        <w:shd w:val="clear" w:color="auto" w:fill="FFFFFF"/>
        <w:spacing w:after="120"/>
        <w:textAlignment w:val="baseline"/>
        <w:outlineLvl w:val="0"/>
        <w:rPr>
          <w:kern w:val="36"/>
          <w:szCs w:val="50"/>
          <w:lang w:eastAsia="fi-FI"/>
        </w:rPr>
      </w:pPr>
    </w:p>
    <w:p w:rsidR="0019704F" w:rsidRDefault="0019704F" w:rsidP="0019704F">
      <w:pPr>
        <w:shd w:val="clear" w:color="auto" w:fill="FFFFFF"/>
        <w:spacing w:after="120"/>
        <w:textAlignment w:val="baseline"/>
        <w:outlineLvl w:val="0"/>
      </w:pPr>
      <w:r>
        <w:t>I enlighet med riksdagens beslut föreskrivs:</w:t>
      </w:r>
    </w:p>
    <w:p w:rsidR="0019704F" w:rsidRPr="007329C7" w:rsidRDefault="0019704F" w:rsidP="0019704F">
      <w:pPr>
        <w:shd w:val="clear" w:color="auto" w:fill="FFFFFF"/>
        <w:spacing w:after="120"/>
        <w:textAlignment w:val="baseline"/>
        <w:outlineLvl w:val="0"/>
        <w:rPr>
          <w:kern w:val="36"/>
          <w:szCs w:val="50"/>
        </w:rPr>
      </w:pPr>
    </w:p>
    <w:p w:rsidR="0019704F" w:rsidRPr="007329C7" w:rsidRDefault="0019704F" w:rsidP="0019704F">
      <w:pPr>
        <w:shd w:val="clear" w:color="auto" w:fill="FFFFFF"/>
        <w:spacing w:after="120"/>
        <w:textAlignment w:val="baseline"/>
        <w:outlineLvl w:val="0"/>
        <w:rPr>
          <w:kern w:val="36"/>
          <w:szCs w:val="24"/>
          <w:lang w:eastAsia="fi-FI"/>
        </w:rPr>
      </w:pPr>
    </w:p>
    <w:p w:rsidR="0019704F" w:rsidRPr="00293371" w:rsidRDefault="0019704F" w:rsidP="0019704F">
      <w:pPr>
        <w:shd w:val="clear" w:color="auto" w:fill="FFFFFF"/>
        <w:spacing w:after="120"/>
        <w:textAlignment w:val="baseline"/>
        <w:outlineLvl w:val="0"/>
        <w:rPr>
          <w:kern w:val="36"/>
          <w:szCs w:val="24"/>
        </w:rPr>
      </w:pPr>
      <w:r>
        <w:t xml:space="preserve">1 § Den personuppgiftsansvarige och registrets ändamål </w:t>
      </w:r>
    </w:p>
    <w:p w:rsidR="0019704F" w:rsidRPr="00293371" w:rsidRDefault="0019704F" w:rsidP="0019704F">
      <w:r>
        <w:rPr>
          <w:shd w:val="clear" w:color="auto" w:fill="FFFFFF"/>
        </w:rPr>
        <w:br/>
      </w:r>
      <w:r>
        <w:t xml:space="preserve">Rättsregistercentralen är personuppgiftsansvarig för Rättsregistercentralens register över bindningar och bisysslor </w:t>
      </w:r>
      <w:r>
        <w:rPr>
          <w:i/>
        </w:rPr>
        <w:t>(registret över bindningar och bisysslor)</w:t>
      </w:r>
      <w:r>
        <w:t xml:space="preserve">, som är avsett för allmänt bruk. </w:t>
      </w:r>
      <w:r>
        <w:rPr>
          <w:shd w:val="clear" w:color="auto" w:fill="FFFFFF"/>
        </w:rPr>
        <w:t>Syftet med registerföringen är att tillgodose offentligheten för domarnas bindningar och bisysslor samt offentligheten för de bindningar som sakkunnigledamöterna vid domstolarna och tingsrätternas nämndemän samt de bisysslor som föredragandena vid domstolarna har.</w:t>
      </w:r>
      <w:r>
        <w:br/>
      </w:r>
    </w:p>
    <w:p w:rsidR="0019704F" w:rsidRDefault="0019704F" w:rsidP="0019704F">
      <w:pPr>
        <w:shd w:val="clear" w:color="auto" w:fill="FFFFFF"/>
        <w:spacing w:after="120"/>
        <w:textAlignment w:val="baseline"/>
        <w:outlineLvl w:val="0"/>
      </w:pPr>
      <w:r w:rsidRPr="00937978">
        <w:t xml:space="preserve">Syftet med registerföringen är </w:t>
      </w:r>
      <w:r>
        <w:t xml:space="preserve">också </w:t>
      </w:r>
      <w:r w:rsidRPr="00937978">
        <w:t>att tillgodose</w:t>
      </w:r>
      <w:r>
        <w:t xml:space="preserve"> offentligheten för de bindningar som medlemmarna i besvärsnämnden för social trygghet, besvärsnämnden för olycksfallsärenden och besvärsnämnden för arbetspensionsärenden (</w:t>
      </w:r>
      <w:r>
        <w:rPr>
          <w:i/>
        </w:rPr>
        <w:t>besvärsnämnderna</w:t>
      </w:r>
      <w:r>
        <w:t>) har.</w:t>
      </w:r>
      <w:r>
        <w:rPr>
          <w:shd w:val="clear" w:color="auto" w:fill="FFFFFF"/>
        </w:rPr>
        <w:t xml:space="preserve"> </w:t>
      </w:r>
      <w:r>
        <w:t>Vad som i denna lag föreskrivs om besvärsnämnder tillämpas också på trafik- och patientskadenämnden.</w:t>
      </w:r>
    </w:p>
    <w:p w:rsidR="0019704F" w:rsidRDefault="0019704F" w:rsidP="0019704F">
      <w:pPr>
        <w:rPr>
          <w:kern w:val="36"/>
          <w:szCs w:val="24"/>
        </w:rPr>
      </w:pPr>
    </w:p>
    <w:p w:rsidR="0019704F" w:rsidRDefault="0019704F" w:rsidP="0019704F">
      <w:pPr>
        <w:rPr>
          <w:kern w:val="36"/>
          <w:szCs w:val="24"/>
        </w:rPr>
      </w:pPr>
    </w:p>
    <w:p w:rsidR="0019704F" w:rsidRPr="00A3600D" w:rsidRDefault="0019704F" w:rsidP="0019704F">
      <w:pPr>
        <w:rPr>
          <w:kern w:val="36"/>
          <w:szCs w:val="24"/>
        </w:rPr>
      </w:pPr>
      <w:r>
        <w:t>2 § Anmälningsskyldighet</w:t>
      </w:r>
    </w:p>
    <w:p w:rsidR="0019704F" w:rsidRPr="00E460BE" w:rsidRDefault="0019704F" w:rsidP="0019704F">
      <w:pPr>
        <w:shd w:val="clear" w:color="auto" w:fill="FFFFFF"/>
        <w:spacing w:before="100" w:beforeAutospacing="1" w:after="100" w:afterAutospacing="1"/>
        <w:textAlignment w:val="baseline"/>
        <w:rPr>
          <w:shd w:val="clear" w:color="auto" w:fill="FFFFFF"/>
        </w:rPr>
      </w:pPr>
      <w:r>
        <w:rPr>
          <w:shd w:val="clear" w:color="auto" w:fill="FFFFFF"/>
        </w:rPr>
        <w:t>Skyldiga att anmäla uppgifter till registret är</w:t>
      </w:r>
    </w:p>
    <w:p w:rsidR="0019704F" w:rsidRPr="00E460BE" w:rsidRDefault="0019704F" w:rsidP="0019704F">
      <w:pPr>
        <w:shd w:val="clear" w:color="auto" w:fill="FFFFFF"/>
        <w:spacing w:beforeAutospacing="1" w:afterAutospacing="1"/>
        <w:textAlignment w:val="baseline"/>
        <w:rPr>
          <w:shd w:val="clear" w:color="auto" w:fill="FFFFFF"/>
        </w:rPr>
      </w:pPr>
      <w:r>
        <w:rPr>
          <w:shd w:val="clear" w:color="auto" w:fill="FFFFFF"/>
        </w:rPr>
        <w:t>1) de domare, sakkunnigledamöter vid domstolar och nämndemän vid tingsrätterna som är skyldiga att lämna i 11 kap. 12 § i domstolslagen (673/2016) avsedd redogörelse för bindningar,</w:t>
      </w:r>
    </w:p>
    <w:p w:rsidR="0019704F" w:rsidRPr="00E460BE" w:rsidRDefault="0019704F" w:rsidP="0019704F">
      <w:pPr>
        <w:shd w:val="clear" w:color="auto" w:fill="FFFFFF"/>
        <w:spacing w:before="100" w:beforeAutospacing="1" w:after="100" w:afterAutospacing="1"/>
        <w:textAlignment w:val="baseline"/>
        <w:rPr>
          <w:shd w:val="clear" w:color="auto" w:fill="FFFFFF"/>
        </w:rPr>
      </w:pPr>
      <w:r>
        <w:rPr>
          <w:shd w:val="clear" w:color="auto" w:fill="FFFFFF"/>
        </w:rPr>
        <w:t>2) de domstolar som har beviljat ett tillstånd för bisyssla enligt 9 kap. 5 § i domstolslagen,</w:t>
      </w:r>
    </w:p>
    <w:p w:rsidR="0019704F" w:rsidRPr="00E460BE" w:rsidRDefault="0019704F" w:rsidP="0019704F">
      <w:pPr>
        <w:shd w:val="clear" w:color="auto" w:fill="FFFFFF"/>
        <w:spacing w:before="100" w:beforeAutospacing="1" w:after="100" w:afterAutospacing="1"/>
        <w:textAlignment w:val="baseline"/>
        <w:rPr>
          <w:shd w:val="clear" w:color="auto" w:fill="FFFFFF"/>
        </w:rPr>
      </w:pPr>
      <w:r>
        <w:rPr>
          <w:shd w:val="clear" w:color="auto" w:fill="FFFFFF"/>
        </w:rPr>
        <w:t>3) domare och föredragande vid domstolar som har fått i 9 kap. 7 § i domstolslagen avsedd inkomst från bisyssla,</w:t>
      </w:r>
    </w:p>
    <w:p w:rsidR="0019704F" w:rsidRPr="003C4209" w:rsidRDefault="0019704F" w:rsidP="0019704F">
      <w:pPr>
        <w:shd w:val="clear" w:color="auto" w:fill="FFFFFF"/>
        <w:spacing w:before="100" w:beforeAutospacing="1" w:after="100" w:afterAutospacing="1"/>
        <w:textAlignment w:val="baseline"/>
        <w:rPr>
          <w:szCs w:val="35"/>
        </w:rPr>
      </w:pPr>
      <w:r>
        <w:t xml:space="preserve">4) de medlemmar i besvärsnämnder som är skyldiga att lämna i 8 a § 1 mom. i statstjänstemannalagen (750/1994) avsedd redogörelse för bindningar. </w:t>
      </w:r>
    </w:p>
    <w:p w:rsidR="0019704F" w:rsidRDefault="0019704F" w:rsidP="0019704F">
      <w:pPr>
        <w:shd w:val="clear" w:color="auto" w:fill="FFFFFF"/>
        <w:spacing w:before="100" w:beforeAutospacing="1" w:after="100" w:afterAutospacing="1"/>
        <w:textAlignment w:val="baseline"/>
        <w:rPr>
          <w:rFonts w:ascii="inherit" w:hAnsi="inherit"/>
        </w:rPr>
      </w:pPr>
      <w:r>
        <w:t>Uppgifterna lämnas till Rättsregistercentralen. Medlemmarna i besvärsnämnderna ska dock lämna uppgifterna till social- och hälsovårdsministeriet. Uppgifterna kan lämnas genom att föra in dem i registret över bindningar och bisysslor.</w:t>
      </w:r>
      <w:r>
        <w:rPr>
          <w:rFonts w:ascii="inherit" w:hAnsi="inherit"/>
        </w:rPr>
        <w:t xml:space="preserve"> </w:t>
      </w:r>
    </w:p>
    <w:p w:rsidR="0019704F" w:rsidRPr="00293371" w:rsidRDefault="0019704F" w:rsidP="0019704F">
      <w:pPr>
        <w:shd w:val="clear" w:color="auto" w:fill="FFFFFF"/>
        <w:spacing w:before="100" w:beforeAutospacing="1" w:after="100" w:afterAutospacing="1"/>
        <w:textAlignment w:val="baseline"/>
        <w:rPr>
          <w:rFonts w:ascii="inherit" w:hAnsi="inherit"/>
          <w:szCs w:val="24"/>
        </w:rPr>
      </w:pPr>
    </w:p>
    <w:p w:rsidR="0019704F" w:rsidRPr="00293371" w:rsidRDefault="0019704F" w:rsidP="0019704F"/>
    <w:p w:rsidR="0019704F" w:rsidRDefault="0019704F" w:rsidP="0019704F">
      <w:pPr>
        <w:pStyle w:val="Otsikko3"/>
        <w:shd w:val="clear" w:color="auto" w:fill="FFFFFF"/>
        <w:spacing w:before="0" w:beforeAutospacing="0" w:after="0" w:afterAutospacing="0"/>
        <w:textAlignment w:val="baseline"/>
        <w:rPr>
          <w:b w:val="0"/>
          <w:sz w:val="24"/>
        </w:rPr>
      </w:pPr>
    </w:p>
    <w:p w:rsidR="0019704F" w:rsidRDefault="0019704F" w:rsidP="0019704F">
      <w:pPr>
        <w:pStyle w:val="Otsikko3"/>
        <w:shd w:val="clear" w:color="auto" w:fill="FFFFFF"/>
        <w:spacing w:before="0" w:beforeAutospacing="0" w:after="0" w:afterAutospacing="0"/>
        <w:textAlignment w:val="baseline"/>
        <w:rPr>
          <w:b w:val="0"/>
          <w:sz w:val="24"/>
        </w:rPr>
      </w:pPr>
    </w:p>
    <w:p w:rsidR="0019704F" w:rsidRDefault="0019704F" w:rsidP="0019704F">
      <w:pPr>
        <w:rPr>
          <w:bCs/>
          <w:szCs w:val="27"/>
          <w:lang w:eastAsia="fi-FI"/>
        </w:rPr>
      </w:pPr>
      <w:r>
        <w:rPr>
          <w:b/>
        </w:rPr>
        <w:br w:type="page"/>
      </w:r>
    </w:p>
    <w:p w:rsidR="0019704F" w:rsidRPr="00293371" w:rsidRDefault="0019704F" w:rsidP="0019704F">
      <w:pPr>
        <w:pStyle w:val="Otsikko3"/>
        <w:shd w:val="clear" w:color="auto" w:fill="FFFFFF"/>
        <w:spacing w:before="0" w:beforeAutospacing="0" w:after="0" w:afterAutospacing="0"/>
        <w:textAlignment w:val="baseline"/>
        <w:rPr>
          <w:b w:val="0"/>
          <w:bCs w:val="0"/>
          <w:sz w:val="24"/>
          <w:szCs w:val="35"/>
        </w:rPr>
      </w:pPr>
      <w:r>
        <w:rPr>
          <w:b w:val="0"/>
          <w:sz w:val="24"/>
        </w:rPr>
        <w:lastRenderedPageBreak/>
        <w:t>3 § Uppgifter som ska föras in i registret</w:t>
      </w:r>
    </w:p>
    <w:p w:rsidR="0019704F" w:rsidRPr="00E460BE" w:rsidRDefault="0019704F" w:rsidP="0019704F">
      <w:pPr>
        <w:pStyle w:val="py"/>
        <w:shd w:val="clear" w:color="auto" w:fill="FFFFFF"/>
        <w:textAlignment w:val="baseline"/>
        <w:rPr>
          <w:szCs w:val="35"/>
        </w:rPr>
      </w:pPr>
      <w:r>
        <w:t>I registret antecknas uppgifter om bindningar för domarna, sakkunnigledamöterna vid domstolarna, nämndemännen vid tingsrätterna och medlemmarna i besvärsnämnderna samt uppgifter om de tillstånd för bisyssla som domarna och föredragandena vid domstolarna har beviljats och inkomsterna från dessa bisysslor.</w:t>
      </w:r>
    </w:p>
    <w:p w:rsidR="0019704F" w:rsidRDefault="0019704F" w:rsidP="0019704F">
      <w:pPr>
        <w:pStyle w:val="py"/>
        <w:shd w:val="clear" w:color="auto" w:fill="FFFFFF"/>
        <w:textAlignment w:val="baseline"/>
      </w:pPr>
      <w:r>
        <w:t>I registret antecknas den registrerades namn, tjänste- eller uppgiftsbenämning, uppgifter om den domstol eller besvärsnämnd där den registrerade arbetar samt datum när bisysslan inleddes eller en annan än en ekonomisk bindning uppstod och när bindningen eller bisysslan upphörde. I registret kan av tekniska skäl också personbeteckningen antecknas, som dock inte är en offentlig uppgift.</w:t>
      </w:r>
    </w:p>
    <w:p w:rsidR="0019704F" w:rsidRDefault="0019704F" w:rsidP="0019704F">
      <w:pPr>
        <w:pStyle w:val="py"/>
        <w:shd w:val="clear" w:color="auto" w:fill="FFFFFF"/>
        <w:textAlignment w:val="baseline"/>
      </w:pPr>
    </w:p>
    <w:p w:rsidR="0019704F" w:rsidRPr="00E460BE" w:rsidRDefault="0019704F" w:rsidP="0019704F">
      <w:pPr>
        <w:pStyle w:val="py"/>
        <w:shd w:val="clear" w:color="auto" w:fill="FFFFFF"/>
        <w:textAlignment w:val="baseline"/>
        <w:rPr>
          <w:szCs w:val="35"/>
        </w:rPr>
      </w:pPr>
      <w:r>
        <w:t>4 § Registeruppgifternas offentlighet och utlämnande av uppgifter</w:t>
      </w:r>
    </w:p>
    <w:p w:rsidR="0019704F" w:rsidRPr="00293371" w:rsidRDefault="0019704F" w:rsidP="0019704F">
      <w:pPr>
        <w:pStyle w:val="py"/>
        <w:shd w:val="clear" w:color="auto" w:fill="FFFFFF"/>
        <w:textAlignment w:val="baseline"/>
        <w:rPr>
          <w:rFonts w:ascii="inherit" w:hAnsi="inherit"/>
        </w:rPr>
      </w:pPr>
      <w:r>
        <w:t>Var och en har rätt att få uppgifter ur registret över bindningar och bisysslor till den del som uppgifterna inte är sekretessbelagda. Den utnämnande myndigheten och, om den utnämnande myndigheten är republikens president eller statsrådet,</w:t>
      </w:r>
      <w:r w:rsidRPr="007329C7">
        <w:t xml:space="preserve"> </w:t>
      </w:r>
      <w:r>
        <w:t xml:space="preserve">även justitieministeriet samt domstolarnas chefsdomare, har rätt att </w:t>
      </w:r>
      <w:r w:rsidRPr="007329C7">
        <w:t xml:space="preserve">trots sekretessbestämmelserna </w:t>
      </w:r>
      <w:r>
        <w:t xml:space="preserve">få de uppgifter som </w:t>
      </w:r>
      <w:r w:rsidRPr="00AC20B1">
        <w:t>behövs för</w:t>
      </w:r>
      <w:r>
        <w:t xml:space="preserve"> utredande och övervakande av </w:t>
      </w:r>
      <w:r w:rsidRPr="00F161A9">
        <w:t>bindningar</w:t>
      </w:r>
      <w:r>
        <w:t xml:space="preserve"> som avses i </w:t>
      </w:r>
      <w:r w:rsidRPr="00F161A9">
        <w:t xml:space="preserve">8 a § </w:t>
      </w:r>
      <w:r>
        <w:t xml:space="preserve">4 mom. i </w:t>
      </w:r>
      <w:r w:rsidRPr="00F161A9">
        <w:t>statstjänstemannalagen</w:t>
      </w:r>
      <w:r>
        <w:t xml:space="preserve">. I fråga om medlemmarna i besvärsnämnderna har dock den utnämnande myndigheten, social- och hälsovårdsministeriet samt den besvärsnämnd vars medlem uppgiften gäller rätt att få de uppgifter som </w:t>
      </w:r>
      <w:r w:rsidR="00F04E60">
        <w:t xml:space="preserve">behövs </w:t>
      </w:r>
      <w:bookmarkStart w:id="0" w:name="_GoBack"/>
      <w:bookmarkEnd w:id="0"/>
      <w:r>
        <w:t xml:space="preserve">för nämnda ändamål och som med stöd av den sistnämnda bestämmelsen ska vara sekretessbelagda. En domstols chefsdomare har dessutom rätt att </w:t>
      </w:r>
      <w:r w:rsidRPr="007329C7">
        <w:t xml:space="preserve">trots sekretessbestämmelserna </w:t>
      </w:r>
      <w:r>
        <w:t xml:space="preserve">få de uppgifter som </w:t>
      </w:r>
      <w:r w:rsidRPr="00AC20B1">
        <w:t>behövs för</w:t>
      </w:r>
      <w:r>
        <w:t xml:space="preserve"> utredande och övervakande av bisysslor som avses i 18 § 5 mom. i </w:t>
      </w:r>
      <w:r w:rsidRPr="00F161A9">
        <w:t>statstjänstemannalagen</w:t>
      </w:r>
      <w:r>
        <w:t xml:space="preserve">. </w:t>
      </w:r>
    </w:p>
    <w:p w:rsidR="0019704F" w:rsidRPr="00BC1561" w:rsidRDefault="0019704F" w:rsidP="0019704F">
      <w:pPr>
        <w:pStyle w:val="py"/>
        <w:shd w:val="clear" w:color="auto" w:fill="FFFFFF"/>
        <w:textAlignment w:val="baseline"/>
      </w:pPr>
      <w:r>
        <w:t xml:space="preserve">Trots bestämmelserna i 16 § 3 mom. i lagen om offentlighet i myndigheternas verksamhet (621/1999) får uppgifter lämnas ut i form av kopior av anteckningar i registret och via det allmänna datanätet. Via det allmänna datanätet kan uppgifter sökas endast genom en enskild sökning på personens namn. </w:t>
      </w:r>
    </w:p>
    <w:p w:rsidR="0019704F" w:rsidRDefault="0019704F" w:rsidP="0019704F">
      <w:pPr>
        <w:pStyle w:val="py"/>
        <w:shd w:val="clear" w:color="auto" w:fill="FFFFFF"/>
        <w:textAlignment w:val="baseline"/>
      </w:pPr>
    </w:p>
    <w:p w:rsidR="0019704F" w:rsidRPr="00E460BE" w:rsidRDefault="0019704F" w:rsidP="0019704F">
      <w:pPr>
        <w:pStyle w:val="py"/>
        <w:shd w:val="clear" w:color="auto" w:fill="FFFFFF"/>
        <w:textAlignment w:val="baseline"/>
        <w:rPr>
          <w:szCs w:val="35"/>
        </w:rPr>
      </w:pPr>
      <w:r>
        <w:t>5 § Gallring av uppgifter ur registret</w:t>
      </w:r>
    </w:p>
    <w:p w:rsidR="0019704F" w:rsidRDefault="0019704F" w:rsidP="0019704F">
      <w:pPr>
        <w:pStyle w:val="py"/>
        <w:shd w:val="clear" w:color="auto" w:fill="FFFFFF"/>
        <w:textAlignment w:val="baseline"/>
      </w:pPr>
      <w:r>
        <w:t>Uppgifter som gäller bindningar och bisysslor ska gallras ur registret tre år efter det att bindningarna eller bisysslorna har upphört.</w:t>
      </w:r>
    </w:p>
    <w:p w:rsidR="0019704F" w:rsidRPr="00361892" w:rsidRDefault="0019704F" w:rsidP="0019704F">
      <w:pPr>
        <w:pStyle w:val="py"/>
        <w:shd w:val="clear" w:color="auto" w:fill="FFFFFF"/>
        <w:textAlignment w:val="baseline"/>
        <w:rPr>
          <w:szCs w:val="35"/>
        </w:rPr>
      </w:pPr>
    </w:p>
    <w:p w:rsidR="0019704F" w:rsidRPr="0073526C" w:rsidRDefault="0019704F" w:rsidP="0019704F">
      <w:pPr>
        <w:rPr>
          <w:szCs w:val="24"/>
          <w:lang w:eastAsia="fi-FI"/>
        </w:rPr>
      </w:pPr>
      <w:r>
        <w:t xml:space="preserve">6 § Författningar som upphävs </w:t>
      </w:r>
    </w:p>
    <w:p w:rsidR="0019704F" w:rsidRPr="00E460BE" w:rsidRDefault="0019704F" w:rsidP="0019704F">
      <w:pPr>
        <w:pStyle w:val="py"/>
        <w:shd w:val="clear" w:color="auto" w:fill="FFFFFF"/>
        <w:textAlignment w:val="baseline"/>
        <w:rPr>
          <w:szCs w:val="35"/>
        </w:rPr>
      </w:pPr>
      <w:r>
        <w:t>Genom denna lag upphävs lagen om registret över domares bindningar och bisysslor (565/2015).</w:t>
      </w:r>
    </w:p>
    <w:p w:rsidR="0019704F" w:rsidRDefault="0019704F" w:rsidP="0019704F">
      <w:pPr>
        <w:pStyle w:val="py"/>
        <w:shd w:val="clear" w:color="auto" w:fill="FFFFFF"/>
        <w:textAlignment w:val="baseline"/>
      </w:pPr>
      <w:r>
        <w:t>Om det i en lag eller förordning hänvisas till lagen om registret över domares bindningar och bisysslor eller till registret över domares bindningar och bisysslor, iakttas efter ikraftträdandet av denna lag motsvarande bestämmelse i denna lag och hänvisningen gäller det register som avses i denna lag.</w:t>
      </w:r>
    </w:p>
    <w:p w:rsidR="0019704F" w:rsidRDefault="0019704F" w:rsidP="0019704F">
      <w:pPr>
        <w:pStyle w:val="py"/>
        <w:shd w:val="clear" w:color="auto" w:fill="FFFFFF"/>
        <w:textAlignment w:val="baseline"/>
      </w:pPr>
    </w:p>
    <w:p w:rsidR="0019704F" w:rsidRPr="00E460BE" w:rsidRDefault="0019704F" w:rsidP="0019704F">
      <w:pPr>
        <w:pStyle w:val="py"/>
        <w:shd w:val="clear" w:color="auto" w:fill="FFFFFF"/>
        <w:textAlignment w:val="baseline"/>
        <w:rPr>
          <w:szCs w:val="35"/>
        </w:rPr>
      </w:pPr>
      <w:r>
        <w:t>7 § Ikraftträdande</w:t>
      </w:r>
    </w:p>
    <w:p w:rsidR="0019704F" w:rsidRPr="00E460BE" w:rsidRDefault="0019704F" w:rsidP="0019704F">
      <w:pPr>
        <w:pStyle w:val="py"/>
        <w:shd w:val="clear" w:color="auto" w:fill="FFFFFF"/>
        <w:textAlignment w:val="baseline"/>
        <w:rPr>
          <w:szCs w:val="35"/>
        </w:rPr>
      </w:pPr>
    </w:p>
    <w:p w:rsidR="0019704F" w:rsidRDefault="0019704F" w:rsidP="0019704F">
      <w:pPr>
        <w:pStyle w:val="py"/>
        <w:shd w:val="clear" w:color="auto" w:fill="FFFFFF"/>
        <w:textAlignment w:val="baseline"/>
      </w:pPr>
      <w:r>
        <w:t>Denna lag träder i kraft den xx xxxx 20xx.</w:t>
      </w:r>
    </w:p>
    <w:p w:rsidR="0019704F" w:rsidRDefault="0019704F" w:rsidP="0019704F">
      <w:pPr>
        <w:pStyle w:val="py"/>
        <w:shd w:val="clear" w:color="auto" w:fill="FFFFFF"/>
        <w:textAlignment w:val="baseline"/>
      </w:pPr>
    </w:p>
    <w:p w:rsidR="0019704F" w:rsidRPr="007329C7" w:rsidRDefault="0019704F" w:rsidP="0019704F">
      <w:pPr>
        <w:rPr>
          <w:color w:val="FF0000"/>
        </w:rPr>
      </w:pPr>
    </w:p>
    <w:p w:rsidR="0019704F" w:rsidRPr="007329C7" w:rsidRDefault="0019704F" w:rsidP="0019704F">
      <w:pPr>
        <w:rPr>
          <w:color w:val="FF0000"/>
        </w:rPr>
      </w:pPr>
    </w:p>
    <w:p w:rsidR="0019704F" w:rsidRPr="007329C7" w:rsidRDefault="0019704F" w:rsidP="0019704F">
      <w:pPr>
        <w:pStyle w:val="py"/>
        <w:shd w:val="clear" w:color="auto" w:fill="FFFFFF"/>
        <w:textAlignment w:val="baseline"/>
        <w:rPr>
          <w:szCs w:val="35"/>
        </w:rPr>
      </w:pPr>
    </w:p>
    <w:p w:rsidR="0019704F" w:rsidRPr="007329C7" w:rsidRDefault="0019704F" w:rsidP="0019704F"/>
    <w:p w:rsidR="0019704F" w:rsidRPr="007329C7" w:rsidRDefault="0019704F" w:rsidP="0019704F"/>
    <w:p w:rsidR="0019704F" w:rsidRPr="007329C7" w:rsidRDefault="0019704F" w:rsidP="0019704F">
      <w:pPr>
        <w:rPr>
          <w:b/>
        </w:rPr>
      </w:pPr>
    </w:p>
    <w:p w:rsidR="0019704F" w:rsidRDefault="0019704F" w:rsidP="00BC1561">
      <w:pPr>
        <w:pStyle w:val="py"/>
        <w:shd w:val="clear" w:color="auto" w:fill="FFFFFF"/>
        <w:tabs>
          <w:tab w:val="left" w:pos="8020"/>
        </w:tabs>
        <w:textAlignment w:val="baseline"/>
        <w:rPr>
          <w:b/>
        </w:rPr>
      </w:pPr>
      <w:r w:rsidRPr="007329C7">
        <w:rPr>
          <w:b/>
        </w:rPr>
        <w:br w:type="page"/>
      </w:r>
      <w:r>
        <w:rPr>
          <w:b/>
        </w:rPr>
        <w:t xml:space="preserve">Lag om ändring av </w:t>
      </w:r>
      <w:r w:rsidR="00BC1561">
        <w:rPr>
          <w:b/>
        </w:rPr>
        <w:t xml:space="preserve">3 § i </w:t>
      </w:r>
      <w:r>
        <w:rPr>
          <w:b/>
        </w:rPr>
        <w:t xml:space="preserve">lagen om besvärsnämnden för arbetspensionsärenden </w:t>
      </w:r>
      <w:r w:rsidR="00BC1561">
        <w:rPr>
          <w:b/>
        </w:rPr>
        <w:tab/>
      </w:r>
    </w:p>
    <w:p w:rsidR="00BC1561" w:rsidRPr="00293371" w:rsidRDefault="00BC1561" w:rsidP="00BC1561">
      <w:pPr>
        <w:pStyle w:val="py"/>
        <w:shd w:val="clear" w:color="auto" w:fill="FFFFFF"/>
        <w:tabs>
          <w:tab w:val="left" w:pos="8020"/>
        </w:tabs>
        <w:textAlignment w:val="baseline"/>
        <w:rPr>
          <w:b/>
        </w:rPr>
      </w:pPr>
    </w:p>
    <w:p w:rsidR="0019704F" w:rsidRPr="00293371" w:rsidRDefault="0019704F" w:rsidP="0019704F"/>
    <w:p w:rsidR="0019704F" w:rsidRPr="0019704F" w:rsidRDefault="0019704F" w:rsidP="0019704F">
      <w:r w:rsidRPr="0019704F">
        <w:t>I enlighet med riksdagens beslut</w:t>
      </w:r>
    </w:p>
    <w:p w:rsidR="0019704F" w:rsidRPr="0019704F" w:rsidRDefault="0019704F" w:rsidP="0019704F">
      <w:r w:rsidRPr="0019704F">
        <w:rPr>
          <w:i/>
          <w:iCs/>
        </w:rPr>
        <w:t>ändras</w:t>
      </w:r>
      <w:r w:rsidRPr="0019704F">
        <w:t xml:space="preserve"> i lagen om besvärsnämnden för arbetspensionsärenden (677/2005) 3 § 4 mom., sådant det lyder i lag 792/2017, och</w:t>
      </w:r>
    </w:p>
    <w:p w:rsidR="0019704F" w:rsidRPr="0019704F" w:rsidRDefault="0019704F" w:rsidP="0019704F">
      <w:r w:rsidRPr="0019704F">
        <w:rPr>
          <w:i/>
          <w:iCs/>
        </w:rPr>
        <w:t>fogas</w:t>
      </w:r>
      <w:r w:rsidRPr="0019704F">
        <w:t xml:space="preserve"> till 3 §, sådan den lyder i lagarna 1333/2011, 1218/2016, 792/2017 och 1474/2019, ett nytt 5 mom. som följer:</w:t>
      </w:r>
    </w:p>
    <w:p w:rsidR="0019704F" w:rsidRPr="0019704F" w:rsidRDefault="0019704F" w:rsidP="0019704F">
      <w:r w:rsidRPr="0019704F">
        <w:t xml:space="preserve"> </w:t>
      </w:r>
    </w:p>
    <w:p w:rsidR="0019704F" w:rsidRPr="0019704F" w:rsidRDefault="0019704F" w:rsidP="0019704F"/>
    <w:p w:rsidR="0019704F" w:rsidRDefault="0019704F" w:rsidP="0019704F">
      <w:r w:rsidRPr="0019704F">
        <w:t>3 § Förordnande av ordförandena och medlemmarna</w:t>
      </w:r>
    </w:p>
    <w:p w:rsidR="0019704F" w:rsidRDefault="0019704F" w:rsidP="0019704F"/>
    <w:p w:rsidR="0019704F" w:rsidRDefault="0019704F" w:rsidP="0019704F">
      <w:r w:rsidRPr="0019704F">
        <w:t>--------------------------------------------------------------------------------------------------------------------</w:t>
      </w:r>
    </w:p>
    <w:p w:rsidR="0019704F" w:rsidRPr="0019704F" w:rsidRDefault="0019704F" w:rsidP="0019704F"/>
    <w:p w:rsidR="0019704F" w:rsidRPr="0019704F" w:rsidRDefault="0019704F" w:rsidP="0019704F">
      <w:pPr>
        <w:rPr>
          <w:sz w:val="23"/>
          <w:szCs w:val="23"/>
          <w:shd w:val="clear" w:color="auto" w:fill="FFFFFF"/>
        </w:rPr>
      </w:pPr>
      <w:r w:rsidRPr="0019704F">
        <w:t xml:space="preserve">Den som föreslås bli förordnad till medlem i besvärsnämnden ska före förordnandet lämna social- och hälsovårdsministeriet en sådan redogörelse för sina bindningar som avses i 8 a § 1 mom. i statstjänstemannalagen (750/1994). Den som har förordnats till medlem ska dessutom sända redogörelsen för kännedom till besvärsnämnden. Sker det förändringar i bindningarna under uppdraget ska medlemmen utan dröjsmål anmäla detta till social- och hälsovårdsministeriet och till besvärsnämnden. En medlem ska även i andra fall lämna motsvarande redogörelse, om social- och hälsovårdsministeriet eller besvärsnämnden begär en sådan. </w:t>
      </w:r>
      <w:r w:rsidRPr="0019704F">
        <w:rPr>
          <w:shd w:val="clear" w:color="auto" w:fill="FFFFFF"/>
        </w:rPr>
        <w:t xml:space="preserve"> </w:t>
      </w:r>
    </w:p>
    <w:p w:rsidR="0019704F" w:rsidRPr="0019704F" w:rsidRDefault="0019704F" w:rsidP="0019704F">
      <w:pPr>
        <w:rPr>
          <w:szCs w:val="23"/>
          <w:shd w:val="clear" w:color="auto" w:fill="FFFFFF"/>
        </w:rPr>
      </w:pPr>
    </w:p>
    <w:p w:rsidR="0019704F" w:rsidRPr="0019704F" w:rsidRDefault="0019704F" w:rsidP="0019704F">
      <w:pPr>
        <w:rPr>
          <w:rFonts w:eastAsiaTheme="majorEastAsia"/>
          <w:bCs/>
          <w:szCs w:val="29"/>
        </w:rPr>
      </w:pPr>
      <w:r w:rsidRPr="0019704F">
        <w:t>Uppgifter om bindningar registreras på det sätt som föreskrivs i lagen om Rättsregistercentralens register över bindningar och bisysslor ( / ).</w:t>
      </w:r>
    </w:p>
    <w:p w:rsidR="0019704F" w:rsidRPr="0019704F" w:rsidRDefault="0019704F" w:rsidP="0019704F">
      <w:pPr>
        <w:rPr>
          <w:rFonts w:eastAsiaTheme="majorEastAsia"/>
          <w:bCs/>
          <w:szCs w:val="29"/>
        </w:rPr>
      </w:pPr>
    </w:p>
    <w:p w:rsidR="0019704F" w:rsidRPr="0019704F" w:rsidRDefault="0019704F" w:rsidP="0019704F">
      <w:pPr>
        <w:pStyle w:val="LLNormaali"/>
        <w:jc w:val="center"/>
        <w:rPr>
          <w:rFonts w:eastAsiaTheme="majorEastAsia"/>
          <w:bCs/>
          <w:sz w:val="24"/>
          <w:szCs w:val="29"/>
        </w:rPr>
      </w:pPr>
      <w:r w:rsidRPr="0019704F">
        <w:rPr>
          <w:sz w:val="24"/>
        </w:rPr>
        <w:t>———</w:t>
      </w:r>
    </w:p>
    <w:p w:rsidR="0019704F" w:rsidRPr="0019704F" w:rsidRDefault="0019704F" w:rsidP="0019704F">
      <w:pPr>
        <w:pStyle w:val="LLVoimaantulokappale"/>
        <w:rPr>
          <w:rFonts w:eastAsiaTheme="majorEastAsia"/>
          <w:bCs/>
          <w:sz w:val="24"/>
          <w:szCs w:val="29"/>
        </w:rPr>
      </w:pPr>
      <w:r w:rsidRPr="0019704F">
        <w:rPr>
          <w:sz w:val="24"/>
        </w:rPr>
        <w:t>Denna lag träder i kraft den     20  .</w:t>
      </w:r>
    </w:p>
    <w:p w:rsidR="0019704F" w:rsidRPr="00BC1561" w:rsidRDefault="0019704F" w:rsidP="0019704F">
      <w:pPr>
        <w:pStyle w:val="LLNormaali"/>
        <w:jc w:val="center"/>
        <w:rPr>
          <w:rFonts w:eastAsiaTheme="majorEastAsia"/>
          <w:bCs/>
          <w:sz w:val="24"/>
          <w:szCs w:val="29"/>
        </w:rPr>
      </w:pPr>
      <w:r w:rsidRPr="00BC1561">
        <w:rPr>
          <w:sz w:val="24"/>
        </w:rPr>
        <w:t>———</w:t>
      </w:r>
    </w:p>
    <w:p w:rsidR="0019704F" w:rsidRPr="00BC1561" w:rsidRDefault="0019704F" w:rsidP="0019704F">
      <w:pPr>
        <w:rPr>
          <w:rFonts w:eastAsiaTheme="majorEastAsia"/>
          <w:bCs/>
          <w:szCs w:val="29"/>
        </w:rPr>
      </w:pPr>
    </w:p>
    <w:p w:rsidR="0019704F" w:rsidRPr="00BC1561" w:rsidRDefault="0019704F" w:rsidP="0019704F">
      <w:pPr>
        <w:rPr>
          <w:color w:val="FF0000"/>
          <w:szCs w:val="23"/>
          <w:shd w:val="clear" w:color="auto" w:fill="FFFFFF"/>
        </w:rPr>
      </w:pPr>
    </w:p>
    <w:p w:rsidR="0019704F" w:rsidRPr="00BC1561" w:rsidRDefault="0019704F" w:rsidP="0019704F">
      <w:pPr>
        <w:rPr>
          <w:color w:val="FF0000"/>
          <w:kern w:val="36"/>
          <w:szCs w:val="24"/>
          <w:lang w:eastAsia="fi-FI"/>
        </w:rPr>
      </w:pPr>
    </w:p>
    <w:p w:rsidR="0019704F" w:rsidRPr="00293371" w:rsidRDefault="0019704F" w:rsidP="0019704F">
      <w:pPr>
        <w:rPr>
          <w:b/>
        </w:rPr>
      </w:pPr>
      <w:r>
        <w:br w:type="page"/>
      </w:r>
    </w:p>
    <w:p w:rsidR="0019704F" w:rsidRDefault="0019704F" w:rsidP="0019704F">
      <w:pPr>
        <w:rPr>
          <w:b/>
        </w:rPr>
      </w:pPr>
      <w:r>
        <w:rPr>
          <w:b/>
        </w:rPr>
        <w:t xml:space="preserve">Lag om ändring av </w:t>
      </w:r>
      <w:r w:rsidR="00BC1561">
        <w:rPr>
          <w:b/>
        </w:rPr>
        <w:t xml:space="preserve">3 § i </w:t>
      </w:r>
      <w:r>
        <w:rPr>
          <w:b/>
        </w:rPr>
        <w:t xml:space="preserve">lagen om besvärsnämnden för social trygghet </w:t>
      </w:r>
    </w:p>
    <w:p w:rsidR="00BC1561" w:rsidRDefault="00BC1561" w:rsidP="0019704F">
      <w:pPr>
        <w:rPr>
          <w:b/>
        </w:rPr>
      </w:pPr>
    </w:p>
    <w:p w:rsidR="0019704F" w:rsidRPr="00293371" w:rsidRDefault="0019704F" w:rsidP="0019704F">
      <w:pPr>
        <w:rPr>
          <w:b/>
        </w:rPr>
      </w:pPr>
    </w:p>
    <w:p w:rsidR="0019704F" w:rsidRPr="00293371" w:rsidRDefault="0019704F" w:rsidP="0019704F">
      <w:r>
        <w:t>I enlighet med riksdagens beslut</w:t>
      </w:r>
    </w:p>
    <w:p w:rsidR="0019704F" w:rsidRPr="00293371" w:rsidRDefault="0019704F" w:rsidP="0019704F">
      <w:r>
        <w:rPr>
          <w:i/>
          <w:iCs/>
        </w:rPr>
        <w:t>ändras</w:t>
      </w:r>
      <w:r>
        <w:t xml:space="preserve"> i lagen om besvärsnämnden för social trygghet (1299/2006) 3 § 6 mom., sådant det lyder i lag 794/2017, och</w:t>
      </w:r>
    </w:p>
    <w:p w:rsidR="0019704F" w:rsidRPr="00293371" w:rsidRDefault="0019704F" w:rsidP="0019704F">
      <w:r>
        <w:rPr>
          <w:i/>
        </w:rPr>
        <w:t>fogas</w:t>
      </w:r>
      <w:r>
        <w:t xml:space="preserve"> till 3 §, sådan den lyder i lag 794/2017, ett nytt 7 mom. som följer:</w:t>
      </w:r>
    </w:p>
    <w:p w:rsidR="0019704F" w:rsidRPr="00293371" w:rsidRDefault="0019704F" w:rsidP="0019704F">
      <w:pPr>
        <w:rPr>
          <w:b/>
        </w:rPr>
      </w:pPr>
    </w:p>
    <w:p w:rsidR="0019704F" w:rsidRPr="00293371" w:rsidRDefault="0019704F" w:rsidP="0019704F">
      <w:pPr>
        <w:rPr>
          <w:b/>
        </w:rPr>
      </w:pPr>
    </w:p>
    <w:p w:rsidR="0019704F" w:rsidRPr="003C4209" w:rsidRDefault="0019704F" w:rsidP="0019704F">
      <w:pPr>
        <w:rPr>
          <w:rFonts w:eastAsiaTheme="majorEastAsia"/>
          <w:bCs/>
          <w:szCs w:val="29"/>
        </w:rPr>
      </w:pPr>
      <w:r>
        <w:t>3 § Medlemmarnas behörighet och utnämning av dem</w:t>
      </w:r>
    </w:p>
    <w:p w:rsidR="0019704F" w:rsidRPr="003C4209" w:rsidRDefault="0019704F" w:rsidP="0019704F">
      <w:pPr>
        <w:rPr>
          <w:rFonts w:eastAsiaTheme="majorEastAsia"/>
          <w:bCs/>
          <w:szCs w:val="29"/>
        </w:rPr>
      </w:pPr>
      <w:r>
        <w:t>--------------------------------------------------------------------------------------------------------------------</w:t>
      </w:r>
    </w:p>
    <w:p w:rsidR="0019704F" w:rsidRPr="00293371" w:rsidRDefault="0019704F" w:rsidP="0019704F">
      <w:pPr>
        <w:rPr>
          <w:sz w:val="23"/>
          <w:szCs w:val="23"/>
          <w:shd w:val="clear" w:color="auto" w:fill="FFFFFF"/>
        </w:rPr>
      </w:pPr>
      <w:r>
        <w:t xml:space="preserve">Den som föreslås bli utnämnd till medlem i besvärsnämnden ska före utnämnandet lämna social- och hälsovårdsministeriet en sådan redogörelse för sina bindningar som avses i 8 a § 1 mom. i statstjänstemannalagen (750/1994). Den som har utnämnts till medlem ska dessutom sända redogörelsen för kännedom till besvärsnämnden. Sker det förändringar i bindningarna under uppdraget ska medlemmen utan dröjsmål anmäla detta till social- och hälsovårdsministeriet och till besvärsnämnden. En medlem ska även i andra fall lämna motsvarande redogörelse, om </w:t>
      </w:r>
      <w:r w:rsidRPr="000F1E27">
        <w:t>social- och hälsovårdsministeriet eller besvärsnämnden begär en sådan</w:t>
      </w:r>
      <w:r>
        <w:t>.</w:t>
      </w:r>
      <w:r>
        <w:rPr>
          <w:shd w:val="clear" w:color="auto" w:fill="FFFFFF"/>
        </w:rPr>
        <w:t xml:space="preserve"> </w:t>
      </w:r>
    </w:p>
    <w:p w:rsidR="0019704F" w:rsidRPr="00293371" w:rsidRDefault="0019704F" w:rsidP="0019704F">
      <w:pPr>
        <w:rPr>
          <w:szCs w:val="23"/>
          <w:shd w:val="clear" w:color="auto" w:fill="FFFFFF"/>
        </w:rPr>
      </w:pPr>
    </w:p>
    <w:p w:rsidR="0019704F" w:rsidRPr="003C4209" w:rsidRDefault="0019704F" w:rsidP="0019704F">
      <w:pPr>
        <w:rPr>
          <w:rFonts w:eastAsiaTheme="majorEastAsia"/>
          <w:bCs/>
          <w:szCs w:val="29"/>
        </w:rPr>
      </w:pPr>
      <w:r>
        <w:t>Uppgifter om bindningar registreras på det sätt som föreskrivs i lagen om Rättsregistercentralens register över bindningar och bisysslor ( / ).</w:t>
      </w:r>
    </w:p>
    <w:p w:rsidR="0019704F" w:rsidRPr="003C4209" w:rsidRDefault="0019704F" w:rsidP="0019704F">
      <w:pPr>
        <w:rPr>
          <w:rFonts w:eastAsiaTheme="majorEastAsia"/>
          <w:bCs/>
          <w:szCs w:val="29"/>
        </w:rPr>
      </w:pPr>
    </w:p>
    <w:p w:rsidR="0019704F" w:rsidRPr="003C4209" w:rsidRDefault="0019704F" w:rsidP="0019704F">
      <w:pPr>
        <w:pStyle w:val="LLNormaali"/>
        <w:jc w:val="center"/>
        <w:rPr>
          <w:rFonts w:eastAsiaTheme="majorEastAsia"/>
          <w:bCs/>
          <w:sz w:val="24"/>
          <w:szCs w:val="29"/>
        </w:rPr>
      </w:pPr>
      <w:r>
        <w:rPr>
          <w:sz w:val="24"/>
        </w:rPr>
        <w:t>———</w:t>
      </w:r>
    </w:p>
    <w:p w:rsidR="0019704F" w:rsidRPr="003C4209" w:rsidRDefault="0019704F" w:rsidP="0019704F">
      <w:pPr>
        <w:pStyle w:val="LLVoimaantulokappale"/>
        <w:rPr>
          <w:rFonts w:eastAsiaTheme="majorEastAsia"/>
          <w:bCs/>
          <w:sz w:val="24"/>
          <w:szCs w:val="29"/>
        </w:rPr>
      </w:pPr>
      <w:r>
        <w:rPr>
          <w:sz w:val="24"/>
        </w:rPr>
        <w:t>Denna lag träder i kraft den     20  .</w:t>
      </w:r>
    </w:p>
    <w:p w:rsidR="0019704F" w:rsidRPr="003C4209" w:rsidRDefault="0019704F" w:rsidP="0019704F">
      <w:pPr>
        <w:pStyle w:val="LLNormaali"/>
        <w:tabs>
          <w:tab w:val="center" w:pos="4819"/>
          <w:tab w:val="left" w:pos="6730"/>
        </w:tabs>
        <w:rPr>
          <w:rFonts w:eastAsiaTheme="majorEastAsia"/>
          <w:bCs/>
          <w:sz w:val="24"/>
          <w:szCs w:val="29"/>
        </w:rPr>
      </w:pPr>
      <w:r>
        <w:rPr>
          <w:sz w:val="24"/>
        </w:rPr>
        <w:tab/>
        <w:t>———</w:t>
      </w:r>
      <w:r>
        <w:rPr>
          <w:sz w:val="24"/>
        </w:rPr>
        <w:tab/>
      </w:r>
    </w:p>
    <w:p w:rsidR="0019704F" w:rsidRPr="003C4209" w:rsidRDefault="0019704F" w:rsidP="0019704F">
      <w:pPr>
        <w:pStyle w:val="LLNormaali"/>
        <w:tabs>
          <w:tab w:val="center" w:pos="4819"/>
          <w:tab w:val="left" w:pos="6730"/>
        </w:tabs>
        <w:rPr>
          <w:rFonts w:eastAsiaTheme="majorEastAsia"/>
          <w:bCs/>
          <w:sz w:val="24"/>
          <w:szCs w:val="29"/>
          <w:lang w:eastAsia="en-US"/>
        </w:rPr>
      </w:pPr>
    </w:p>
    <w:p w:rsidR="0019704F" w:rsidRPr="00293371" w:rsidRDefault="0019704F" w:rsidP="0019704F">
      <w:pPr>
        <w:pStyle w:val="LLNormaali"/>
        <w:tabs>
          <w:tab w:val="center" w:pos="4819"/>
          <w:tab w:val="left" w:pos="6730"/>
        </w:tabs>
      </w:pPr>
    </w:p>
    <w:p w:rsidR="0019704F" w:rsidRPr="00A616E6" w:rsidRDefault="0019704F" w:rsidP="0019704F">
      <w:pPr>
        <w:rPr>
          <w:b/>
        </w:rPr>
      </w:pPr>
    </w:p>
    <w:p w:rsidR="0019704F" w:rsidRDefault="0019704F" w:rsidP="0019704F">
      <w:pPr>
        <w:rPr>
          <w:b/>
          <w:szCs w:val="24"/>
          <w:lang w:eastAsia="fi-FI"/>
        </w:rPr>
      </w:pPr>
      <w:r>
        <w:rPr>
          <w:b/>
        </w:rPr>
        <w:br w:type="page"/>
      </w:r>
    </w:p>
    <w:p w:rsidR="0019704F" w:rsidRDefault="0019704F" w:rsidP="0019704F">
      <w:pPr>
        <w:pStyle w:val="LLNormaali"/>
        <w:tabs>
          <w:tab w:val="center" w:pos="4819"/>
          <w:tab w:val="left" w:pos="6730"/>
        </w:tabs>
        <w:rPr>
          <w:b/>
          <w:sz w:val="24"/>
        </w:rPr>
      </w:pPr>
      <w:r>
        <w:rPr>
          <w:b/>
          <w:sz w:val="24"/>
        </w:rPr>
        <w:t xml:space="preserve">Lag om ändring av </w:t>
      </w:r>
      <w:r w:rsidR="00BC1561">
        <w:rPr>
          <w:b/>
          <w:sz w:val="24"/>
        </w:rPr>
        <w:t xml:space="preserve">5 § i </w:t>
      </w:r>
      <w:r>
        <w:rPr>
          <w:b/>
          <w:sz w:val="24"/>
        </w:rPr>
        <w:t>lagen om besvärsnämnden för olycksfallsärenden</w:t>
      </w:r>
    </w:p>
    <w:p w:rsidR="00BC1561" w:rsidRDefault="00BC1561" w:rsidP="0019704F">
      <w:pPr>
        <w:pStyle w:val="LLNormaali"/>
        <w:tabs>
          <w:tab w:val="center" w:pos="4819"/>
          <w:tab w:val="left" w:pos="6730"/>
        </w:tabs>
        <w:rPr>
          <w:b/>
          <w:sz w:val="24"/>
        </w:rPr>
      </w:pPr>
    </w:p>
    <w:p w:rsidR="00BC1561" w:rsidRPr="00293371" w:rsidRDefault="00BC1561" w:rsidP="0019704F">
      <w:pPr>
        <w:pStyle w:val="LLNormaali"/>
        <w:tabs>
          <w:tab w:val="center" w:pos="4819"/>
          <w:tab w:val="left" w:pos="6730"/>
        </w:tabs>
        <w:rPr>
          <w:b/>
        </w:rPr>
      </w:pPr>
    </w:p>
    <w:p w:rsidR="0019704F" w:rsidRPr="00293371" w:rsidRDefault="0019704F" w:rsidP="0019704F">
      <w:pPr>
        <w:pStyle w:val="LLNormaali"/>
        <w:tabs>
          <w:tab w:val="center" w:pos="4819"/>
          <w:tab w:val="left" w:pos="6730"/>
        </w:tabs>
        <w:rPr>
          <w:b/>
        </w:rPr>
      </w:pPr>
    </w:p>
    <w:p w:rsidR="0019704F" w:rsidRPr="00293371" w:rsidRDefault="0019704F" w:rsidP="0019704F">
      <w:r>
        <w:t>I enlighet med riksdagens beslut</w:t>
      </w:r>
    </w:p>
    <w:p w:rsidR="0019704F" w:rsidRPr="00293371" w:rsidRDefault="0019704F" w:rsidP="0019704F">
      <w:r>
        <w:rPr>
          <w:i/>
          <w:iCs/>
        </w:rPr>
        <w:t>ändras</w:t>
      </w:r>
      <w:r>
        <w:t xml:space="preserve"> i lagen om besvärsnämnden för olycksfallsärenden (1316/2010) 5 § 5 mom., sådant det lyder i lag 793/2017, och</w:t>
      </w:r>
    </w:p>
    <w:p w:rsidR="0019704F" w:rsidRPr="00293371" w:rsidRDefault="0019704F" w:rsidP="0019704F">
      <w:r>
        <w:rPr>
          <w:i/>
          <w:iCs/>
        </w:rPr>
        <w:t>fogas</w:t>
      </w:r>
      <w:r>
        <w:t xml:space="preserve"> till 5 §, sådan den lyder i lag 793/2017, ett nytt 6 mom. som följer:</w:t>
      </w:r>
    </w:p>
    <w:p w:rsidR="0019704F" w:rsidRPr="00293371" w:rsidRDefault="0019704F" w:rsidP="0019704F">
      <w:pPr>
        <w:pStyle w:val="LLNormaali"/>
        <w:tabs>
          <w:tab w:val="center" w:pos="4819"/>
          <w:tab w:val="left" w:pos="6730"/>
        </w:tabs>
        <w:rPr>
          <w:b/>
        </w:rPr>
      </w:pPr>
    </w:p>
    <w:p w:rsidR="0019704F" w:rsidRPr="00293371" w:rsidRDefault="0019704F" w:rsidP="0019704F">
      <w:pPr>
        <w:pStyle w:val="LLNormaali"/>
        <w:tabs>
          <w:tab w:val="center" w:pos="4819"/>
          <w:tab w:val="left" w:pos="6730"/>
        </w:tabs>
        <w:rPr>
          <w:b/>
        </w:rPr>
      </w:pPr>
    </w:p>
    <w:p w:rsidR="0019704F" w:rsidRPr="003C4209" w:rsidRDefault="0019704F" w:rsidP="0019704F">
      <w:pPr>
        <w:rPr>
          <w:rFonts w:eastAsiaTheme="majorEastAsia"/>
          <w:bCs/>
          <w:szCs w:val="29"/>
        </w:rPr>
      </w:pPr>
      <w:r>
        <w:t>5 § Förordnande av besvärsnämnden</w:t>
      </w:r>
    </w:p>
    <w:p w:rsidR="0019704F" w:rsidRPr="003C4209" w:rsidRDefault="0019704F" w:rsidP="0019704F">
      <w:pPr>
        <w:rPr>
          <w:rFonts w:eastAsiaTheme="majorEastAsia"/>
          <w:bCs/>
          <w:szCs w:val="29"/>
        </w:rPr>
      </w:pPr>
      <w:r>
        <w:t>--------------------------------------------------------------------------------------------------------------------</w:t>
      </w:r>
    </w:p>
    <w:p w:rsidR="0019704F" w:rsidRPr="003C4209" w:rsidRDefault="0019704F" w:rsidP="0019704F">
      <w:pPr>
        <w:rPr>
          <w:rFonts w:eastAsiaTheme="majorEastAsia"/>
          <w:bCs/>
          <w:szCs w:val="29"/>
        </w:rPr>
      </w:pPr>
      <w:r>
        <w:t xml:space="preserve">Den som föreslås bli förordnad till medlem i besvärsnämnden ska före förordnandet lämna social- och hälsovårdsministeriet en sådan redogörelse för sina bindningar som avses i 8 a § 1 mom. i statstjänstemannalagen (750/1994). Den som har förordnats till medlem ska dessutom sända redogörelsen för kännedom till besvärsnämnden. Sker det förändringar i bindningarna under uppdraget ska medlemmen utan dröjsmål anmäla detta till social- och hälsovårdsministeriet och till besvärsnämnden. En medlem ska även i andra fall lämna motsvarande redogörelse, om </w:t>
      </w:r>
      <w:r w:rsidRPr="00BF7F6B">
        <w:t>social- och hälsovårdsministeriet eller besvärsnämnden</w:t>
      </w:r>
      <w:r>
        <w:t xml:space="preserve"> begär en sådan. </w:t>
      </w:r>
    </w:p>
    <w:p w:rsidR="0019704F" w:rsidRPr="003C4209" w:rsidRDefault="0019704F" w:rsidP="0019704F">
      <w:pPr>
        <w:rPr>
          <w:rFonts w:eastAsiaTheme="majorEastAsia"/>
          <w:bCs/>
          <w:szCs w:val="29"/>
        </w:rPr>
      </w:pPr>
    </w:p>
    <w:p w:rsidR="0019704F" w:rsidRPr="003C4209" w:rsidRDefault="0019704F" w:rsidP="0019704F">
      <w:pPr>
        <w:rPr>
          <w:rFonts w:eastAsiaTheme="majorEastAsia"/>
          <w:bCs/>
          <w:szCs w:val="29"/>
        </w:rPr>
      </w:pPr>
      <w:r>
        <w:t>Uppgifter om bindningar registreras på det sätt som föreskrivs i lagen om Rättsregistercentralens register över bindningar och bisysslor ( / ).</w:t>
      </w:r>
    </w:p>
    <w:p w:rsidR="0019704F" w:rsidRPr="00293371" w:rsidRDefault="0019704F" w:rsidP="0019704F">
      <w:pPr>
        <w:rPr>
          <w:kern w:val="36"/>
          <w:szCs w:val="24"/>
          <w:lang w:eastAsia="fi-FI"/>
        </w:rPr>
      </w:pPr>
    </w:p>
    <w:p w:rsidR="0019704F" w:rsidRPr="00293371" w:rsidRDefault="0019704F" w:rsidP="0019704F">
      <w:pPr>
        <w:pStyle w:val="LLNormaali"/>
        <w:jc w:val="center"/>
      </w:pPr>
      <w:r>
        <w:t>———</w:t>
      </w:r>
    </w:p>
    <w:p w:rsidR="0019704F" w:rsidRPr="00293371" w:rsidRDefault="0019704F" w:rsidP="0019704F">
      <w:pPr>
        <w:pStyle w:val="LLVoimaantulokappale"/>
        <w:rPr>
          <w:sz w:val="24"/>
        </w:rPr>
      </w:pPr>
      <w:r>
        <w:rPr>
          <w:sz w:val="24"/>
        </w:rPr>
        <w:t>Denna lag träder i kraft den     20  .</w:t>
      </w:r>
    </w:p>
    <w:p w:rsidR="0019704F" w:rsidRPr="00BC1561" w:rsidRDefault="0019704F" w:rsidP="0019704F">
      <w:pPr>
        <w:pStyle w:val="LLNormaali"/>
        <w:tabs>
          <w:tab w:val="center" w:pos="4819"/>
          <w:tab w:val="left" w:pos="6730"/>
        </w:tabs>
      </w:pPr>
      <w:r>
        <w:tab/>
      </w:r>
      <w:r w:rsidRPr="00BC1561">
        <w:t>———</w:t>
      </w:r>
    </w:p>
    <w:p w:rsidR="0019704F" w:rsidRPr="00BC1561" w:rsidRDefault="0019704F" w:rsidP="0019704F">
      <w:pPr>
        <w:rPr>
          <w:color w:val="FF0000"/>
          <w:kern w:val="36"/>
          <w:szCs w:val="24"/>
          <w:lang w:eastAsia="fi-FI"/>
        </w:rPr>
      </w:pPr>
    </w:p>
    <w:p w:rsidR="0019704F" w:rsidRPr="00BC1561" w:rsidRDefault="0019704F" w:rsidP="0019704F">
      <w:pPr>
        <w:rPr>
          <w:sz w:val="22"/>
          <w:szCs w:val="24"/>
        </w:rPr>
      </w:pPr>
      <w:r w:rsidRPr="00BC1561">
        <w:br w:type="page"/>
      </w:r>
    </w:p>
    <w:p w:rsidR="0019704F" w:rsidRDefault="0019704F" w:rsidP="0019704F">
      <w:pPr>
        <w:pStyle w:val="LLNormaali"/>
        <w:tabs>
          <w:tab w:val="center" w:pos="4819"/>
          <w:tab w:val="left" w:pos="6730"/>
        </w:tabs>
        <w:rPr>
          <w:b/>
          <w:sz w:val="24"/>
        </w:rPr>
      </w:pPr>
      <w:r>
        <w:rPr>
          <w:b/>
          <w:sz w:val="24"/>
        </w:rPr>
        <w:t>Lag om ändring av</w:t>
      </w:r>
      <w:r w:rsidR="00BC1561">
        <w:rPr>
          <w:b/>
          <w:sz w:val="24"/>
        </w:rPr>
        <w:t xml:space="preserve"> 5 § i</w:t>
      </w:r>
      <w:r>
        <w:rPr>
          <w:b/>
          <w:sz w:val="24"/>
        </w:rPr>
        <w:t xml:space="preserve"> lagen om trafik- och patientskadenämnden</w:t>
      </w:r>
    </w:p>
    <w:p w:rsidR="00BC1561" w:rsidRDefault="00BC1561" w:rsidP="0019704F">
      <w:pPr>
        <w:pStyle w:val="LLNormaali"/>
        <w:tabs>
          <w:tab w:val="center" w:pos="4819"/>
          <w:tab w:val="left" w:pos="6730"/>
        </w:tabs>
        <w:rPr>
          <w:b/>
          <w:sz w:val="24"/>
        </w:rPr>
      </w:pPr>
    </w:p>
    <w:p w:rsidR="00BC1561" w:rsidRPr="00E460BE" w:rsidRDefault="00BC1561" w:rsidP="0019704F">
      <w:pPr>
        <w:pStyle w:val="LLNormaali"/>
        <w:tabs>
          <w:tab w:val="center" w:pos="4819"/>
          <w:tab w:val="left" w:pos="6730"/>
        </w:tabs>
        <w:rPr>
          <w:b/>
          <w:sz w:val="24"/>
          <w:szCs w:val="20"/>
        </w:rPr>
      </w:pPr>
    </w:p>
    <w:p w:rsidR="0019704F" w:rsidRPr="00293371" w:rsidRDefault="0019704F" w:rsidP="0019704F">
      <w:pPr>
        <w:pStyle w:val="LLNormaali"/>
        <w:tabs>
          <w:tab w:val="center" w:pos="4819"/>
          <w:tab w:val="left" w:pos="6730"/>
        </w:tabs>
        <w:rPr>
          <w:b/>
        </w:rPr>
      </w:pPr>
    </w:p>
    <w:p w:rsidR="0019704F" w:rsidRPr="00293371" w:rsidRDefault="0019704F" w:rsidP="0019704F">
      <w:r>
        <w:t>I enlighet med riksdagens beslut</w:t>
      </w:r>
    </w:p>
    <w:p w:rsidR="0019704F" w:rsidRPr="00293371" w:rsidRDefault="0019704F" w:rsidP="0019704F">
      <w:r>
        <w:rPr>
          <w:i/>
          <w:iCs/>
        </w:rPr>
        <w:t>ändras</w:t>
      </w:r>
      <w:r>
        <w:t xml:space="preserve"> i lagen om trafik- och patientskadenämnden (959/2019) 5 § 2 mom. och</w:t>
      </w:r>
    </w:p>
    <w:p w:rsidR="0019704F" w:rsidRDefault="0019704F" w:rsidP="0019704F">
      <w:r>
        <w:rPr>
          <w:i/>
          <w:iCs/>
        </w:rPr>
        <w:t>fogas</w:t>
      </w:r>
      <w:r>
        <w:t xml:space="preserve"> till 5 § ett nytt 5 mom. som följer:</w:t>
      </w:r>
    </w:p>
    <w:p w:rsidR="0019704F" w:rsidRDefault="0019704F" w:rsidP="0019704F"/>
    <w:p w:rsidR="0019704F" w:rsidRPr="00C5140E" w:rsidRDefault="0019704F" w:rsidP="0019704F">
      <w:pPr>
        <w:pStyle w:val="LLNormaali"/>
        <w:tabs>
          <w:tab w:val="center" w:pos="4819"/>
          <w:tab w:val="left" w:pos="6730"/>
        </w:tabs>
        <w:rPr>
          <w:b/>
        </w:rPr>
      </w:pPr>
    </w:p>
    <w:p w:rsidR="0019704F" w:rsidRPr="00C5140E" w:rsidRDefault="0019704F" w:rsidP="0019704F">
      <w:pPr>
        <w:pStyle w:val="LLNormaali"/>
        <w:tabs>
          <w:tab w:val="center" w:pos="4819"/>
          <w:tab w:val="left" w:pos="6730"/>
        </w:tabs>
        <w:rPr>
          <w:b/>
        </w:rPr>
      </w:pPr>
    </w:p>
    <w:p w:rsidR="0019704F" w:rsidRDefault="0019704F" w:rsidP="0019704F">
      <w:r w:rsidRPr="0019704F">
        <w:t>5 § Förordnande av ordförandena och medlemmarna, befrielse från medlemskap i nämnden och avgångsålder</w:t>
      </w:r>
    </w:p>
    <w:p w:rsidR="0019704F" w:rsidRDefault="0019704F" w:rsidP="0019704F"/>
    <w:p w:rsidR="0019704F" w:rsidRPr="00293371" w:rsidRDefault="0019704F" w:rsidP="0019704F">
      <w:r>
        <w:t>--------------------------------------------------------------------------------------------------------------------</w:t>
      </w:r>
    </w:p>
    <w:p w:rsidR="0019704F" w:rsidRDefault="0019704F" w:rsidP="0019704F">
      <w:r>
        <w:t xml:space="preserve">Den som föreslås bli förordnad till medlem i nämnden ska före förordnandet lämna social- och hälsovårdsministeriet en sådan redogörelse för sina bindningar som avses i 8 a § 1 mom. i statstjänstemannalagen (750/1994). Den som har förordnats till medlem ska dessutom sända redogörelsen för kännedom till nämnden. Sker det förändringar i bindningarna under uppdraget ska medlemmen utan dröjsmål anmäla detta till social- och hälsovårdsministeriet och till nämnden. En medlem ska även i andra fall lämna motsvarande redogörelse, om social- och hälsovårdsministeriet eller nämnden begär en sådan. </w:t>
      </w:r>
    </w:p>
    <w:p w:rsidR="0019704F" w:rsidRDefault="0019704F" w:rsidP="0019704F"/>
    <w:p w:rsidR="0019704F" w:rsidRPr="00293371" w:rsidRDefault="0019704F" w:rsidP="0019704F">
      <w:r>
        <w:t>--------------------------------------------------------------------------------------------------------------------</w:t>
      </w:r>
    </w:p>
    <w:p w:rsidR="0019704F" w:rsidRPr="00E460BE" w:rsidRDefault="0019704F" w:rsidP="0019704F"/>
    <w:p w:rsidR="0019704F" w:rsidRPr="00E460BE" w:rsidRDefault="0019704F" w:rsidP="0019704F">
      <w:r>
        <w:t>Uppgifter om bindningar registreras på det sätt som föreskrivs i lagen om Rättsregistercentralens register över bindningar och bisysslor ( / ).</w:t>
      </w:r>
    </w:p>
    <w:p w:rsidR="0019704F" w:rsidRPr="00E460BE" w:rsidRDefault="0019704F" w:rsidP="0019704F">
      <w:pPr>
        <w:pStyle w:val="py"/>
        <w:shd w:val="clear" w:color="auto" w:fill="FFFFFF"/>
        <w:textAlignment w:val="baseline"/>
        <w:rPr>
          <w:szCs w:val="20"/>
          <w:lang w:eastAsia="en-US"/>
        </w:rPr>
      </w:pPr>
    </w:p>
    <w:p w:rsidR="0019704F" w:rsidRPr="00293371" w:rsidRDefault="0019704F" w:rsidP="0019704F">
      <w:pPr>
        <w:rPr>
          <w:kern w:val="36"/>
          <w:szCs w:val="24"/>
          <w:lang w:eastAsia="fi-FI"/>
        </w:rPr>
      </w:pPr>
    </w:p>
    <w:p w:rsidR="0019704F" w:rsidRPr="00293371" w:rsidRDefault="0019704F" w:rsidP="0019704F">
      <w:pPr>
        <w:rPr>
          <w:kern w:val="36"/>
          <w:szCs w:val="24"/>
          <w:lang w:eastAsia="fi-FI"/>
        </w:rPr>
      </w:pPr>
    </w:p>
    <w:p w:rsidR="0019704F" w:rsidRPr="00293371" w:rsidRDefault="0019704F" w:rsidP="0019704F">
      <w:pPr>
        <w:pStyle w:val="LLNormaali"/>
        <w:jc w:val="center"/>
      </w:pPr>
      <w:r>
        <w:t>———</w:t>
      </w:r>
    </w:p>
    <w:p w:rsidR="0019704F" w:rsidRPr="00293371" w:rsidRDefault="0019704F" w:rsidP="0019704F">
      <w:pPr>
        <w:pStyle w:val="LLVoimaantulokappale"/>
        <w:rPr>
          <w:sz w:val="24"/>
        </w:rPr>
      </w:pPr>
      <w:r>
        <w:rPr>
          <w:sz w:val="24"/>
        </w:rPr>
        <w:t>Denna lag träder i kraft den     20  .</w:t>
      </w:r>
    </w:p>
    <w:p w:rsidR="0019704F" w:rsidRPr="00C5140E" w:rsidRDefault="0019704F" w:rsidP="0019704F">
      <w:pPr>
        <w:pStyle w:val="LLNormaali"/>
        <w:tabs>
          <w:tab w:val="center" w:pos="4819"/>
          <w:tab w:val="left" w:pos="6730"/>
        </w:tabs>
        <w:rPr>
          <w:lang w:val="fi-FI"/>
        </w:rPr>
      </w:pPr>
      <w:r>
        <w:tab/>
      </w:r>
      <w:r w:rsidRPr="00C5140E">
        <w:rPr>
          <w:lang w:val="fi-FI"/>
        </w:rPr>
        <w:t>———</w:t>
      </w:r>
    </w:p>
    <w:p w:rsidR="0019704F" w:rsidRPr="00C5140E" w:rsidRDefault="0019704F" w:rsidP="0019704F">
      <w:pPr>
        <w:pStyle w:val="LLNormaali"/>
        <w:tabs>
          <w:tab w:val="center" w:pos="4819"/>
          <w:tab w:val="left" w:pos="6730"/>
        </w:tabs>
        <w:rPr>
          <w:b/>
          <w:lang w:val="fi-FI"/>
        </w:rPr>
      </w:pPr>
    </w:p>
    <w:p w:rsidR="0019704F" w:rsidRPr="00C5140E" w:rsidRDefault="0019704F" w:rsidP="0019704F">
      <w:pPr>
        <w:pStyle w:val="LLNormaali"/>
        <w:tabs>
          <w:tab w:val="center" w:pos="4819"/>
          <w:tab w:val="left" w:pos="6730"/>
        </w:tabs>
        <w:rPr>
          <w:b/>
          <w:lang w:val="fi-FI"/>
        </w:rPr>
      </w:pPr>
    </w:p>
    <w:p w:rsidR="0019704F" w:rsidRPr="00C5140E" w:rsidRDefault="0019704F" w:rsidP="0019704F">
      <w:pPr>
        <w:rPr>
          <w:color w:val="FF0000"/>
          <w:kern w:val="36"/>
          <w:szCs w:val="24"/>
          <w:lang w:val="fi-FI" w:eastAsia="fi-FI"/>
        </w:rPr>
      </w:pPr>
    </w:p>
    <w:p w:rsidR="0019704F" w:rsidRPr="00C5140E" w:rsidRDefault="0019704F" w:rsidP="0019704F">
      <w:pPr>
        <w:rPr>
          <w:color w:val="FF0000"/>
          <w:kern w:val="36"/>
          <w:szCs w:val="24"/>
          <w:lang w:val="fi-FI" w:eastAsia="fi-FI"/>
        </w:rPr>
      </w:pPr>
    </w:p>
    <w:p w:rsidR="0019704F" w:rsidRPr="00C5140E" w:rsidRDefault="0019704F" w:rsidP="0019704F">
      <w:pPr>
        <w:rPr>
          <w:lang w:val="fi-FI"/>
        </w:rPr>
      </w:pPr>
    </w:p>
    <w:p w:rsidR="009B230C" w:rsidRPr="00562E6B" w:rsidRDefault="009B230C" w:rsidP="00446E3A"/>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2D" w:rsidRDefault="00606C2D" w:rsidP="008E0F4A">
      <w:r>
        <w:separator/>
      </w:r>
    </w:p>
  </w:endnote>
  <w:endnote w:type="continuationSeparator" w:id="0">
    <w:p w:rsidR="00606C2D" w:rsidRDefault="00606C2D"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2D" w:rsidRDefault="00606C2D" w:rsidP="008E0F4A">
      <w:r>
        <w:separator/>
      </w:r>
    </w:p>
  </w:footnote>
  <w:footnote w:type="continuationSeparator" w:id="0">
    <w:p w:rsidR="00606C2D" w:rsidRDefault="00606C2D"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554EB4" w:rsidP="00562E6B">
        <w:pPr>
          <w:ind w:right="-143" w:firstLine="8789"/>
          <w:jc w:val="center"/>
        </w:pPr>
        <w:r>
          <w:fldChar w:fldCharType="begin"/>
        </w:r>
        <w:r>
          <w:instrText xml:space="preserve"> PAGE   \* MERGEFORMAT </w:instrText>
        </w:r>
        <w:r>
          <w:fldChar w:fldCharType="separate"/>
        </w:r>
        <w:r w:rsidR="00F04E60">
          <w:rPr>
            <w:noProof/>
          </w:rPr>
          <w:t>2</w:t>
        </w:r>
        <w:r>
          <w:rPr>
            <w:noProof/>
          </w:rPr>
          <w:fldChar w:fldCharType="end"/>
        </w:r>
        <w:r w:rsidR="008E0F4A">
          <w:t>(</w:t>
        </w:r>
        <w:r w:rsidR="00606C2D">
          <w:fldChar w:fldCharType="begin"/>
        </w:r>
        <w:r w:rsidR="00606C2D">
          <w:instrText xml:space="preserve"> NUMPAGES   \* MERGEFORMAT </w:instrText>
        </w:r>
        <w:r w:rsidR="00606C2D">
          <w:fldChar w:fldCharType="separate"/>
        </w:r>
        <w:r w:rsidR="00F04E60">
          <w:rPr>
            <w:noProof/>
          </w:rPr>
          <w:t>7</w:t>
        </w:r>
        <w:r w:rsidR="00606C2D">
          <w:rPr>
            <w:noProof/>
          </w:rPr>
          <w:fldChar w:fldCharType="end"/>
        </w:r>
        <w:r w:rsidR="008E0F4A">
          <w:t>)</w:t>
        </w:r>
      </w:p>
      <w:p w:rsidR="008E0F4A" w:rsidRDefault="008E0F4A" w:rsidP="00562E6B">
        <w:pPr>
          <w:tabs>
            <w:tab w:val="left" w:pos="5245"/>
          </w:tabs>
        </w:pPr>
        <w:r>
          <w:tab/>
        </w:r>
      </w:p>
      <w:p w:rsidR="00FA6ACE" w:rsidRDefault="00FA6ACE" w:rsidP="00562E6B"/>
      <w:p w:rsidR="008E0F4A" w:rsidRDefault="00606C2D"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554EB4" w:rsidP="00562E6B">
        <w:pPr>
          <w:ind w:right="-143" w:firstLine="8789"/>
          <w:jc w:val="right"/>
        </w:pPr>
        <w:r>
          <w:fldChar w:fldCharType="begin"/>
        </w:r>
        <w:r>
          <w:instrText xml:space="preserve"> PAGE   \* MERGEFORMAT </w:instrText>
        </w:r>
        <w:r>
          <w:fldChar w:fldCharType="separate"/>
        </w:r>
        <w:r w:rsidR="00606C2D">
          <w:rPr>
            <w:noProof/>
          </w:rPr>
          <w:t>1</w:t>
        </w:r>
        <w:r>
          <w:rPr>
            <w:noProof/>
          </w:rPr>
          <w:fldChar w:fldCharType="end"/>
        </w:r>
        <w:r w:rsidR="00FA6ACE">
          <w:t>(</w:t>
        </w:r>
        <w:r w:rsidR="00606C2D">
          <w:fldChar w:fldCharType="begin"/>
        </w:r>
        <w:r w:rsidR="00606C2D">
          <w:instrText xml:space="preserve"> NUMPAGES   \* MERGEFORMAT </w:instrText>
        </w:r>
        <w:r w:rsidR="00606C2D">
          <w:fldChar w:fldCharType="separate"/>
        </w:r>
        <w:r w:rsidR="00606C2D">
          <w:rPr>
            <w:noProof/>
          </w:rPr>
          <w:t>1</w:t>
        </w:r>
        <w:r w:rsidR="00606C2D">
          <w:rPr>
            <w:noProof/>
          </w:rPr>
          <w:fldChar w:fldCharType="end"/>
        </w:r>
        <w:r w:rsidR="00FA6ACE">
          <w:t>)</w:t>
        </w:r>
      </w:p>
      <w:p w:rsidR="00FA6ACE" w:rsidRDefault="00606C2D"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4F"/>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9704F"/>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7233E"/>
    <w:rsid w:val="00486BE8"/>
    <w:rsid w:val="004A196F"/>
    <w:rsid w:val="004C5212"/>
    <w:rsid w:val="004C6B33"/>
    <w:rsid w:val="005146D4"/>
    <w:rsid w:val="0051596E"/>
    <w:rsid w:val="005512A4"/>
    <w:rsid w:val="00554EB4"/>
    <w:rsid w:val="00562E6B"/>
    <w:rsid w:val="005834E9"/>
    <w:rsid w:val="0059671F"/>
    <w:rsid w:val="00606C2D"/>
    <w:rsid w:val="006131C2"/>
    <w:rsid w:val="006A4A91"/>
    <w:rsid w:val="006D40F8"/>
    <w:rsid w:val="006D6C2D"/>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90735"/>
    <w:rsid w:val="00AA5350"/>
    <w:rsid w:val="00AF2EBD"/>
    <w:rsid w:val="00AF3346"/>
    <w:rsid w:val="00B03ACF"/>
    <w:rsid w:val="00B42986"/>
    <w:rsid w:val="00BC1561"/>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330A7"/>
    <w:rsid w:val="00E44094"/>
    <w:rsid w:val="00F04E60"/>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0EAE6"/>
  <w15:chartTrackingRefBased/>
  <w15:docId w15:val="{1B2294E3-0D36-42BD-89E7-E71C5188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19704F"/>
    <w:rPr>
      <w:sz w:val="24"/>
      <w:lang w:val="sv-SE"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link w:val="Otsikko3Char"/>
    <w:uiPriority w:val="9"/>
    <w:qFormat/>
    <w:rsid w:val="0019704F"/>
    <w:pPr>
      <w:spacing w:before="100" w:beforeAutospacing="1" w:after="100" w:afterAutospacing="1"/>
      <w:outlineLvl w:val="2"/>
    </w:pPr>
    <w:rPr>
      <w:b/>
      <w:bCs/>
      <w:sz w:val="27"/>
      <w:szCs w:val="27"/>
      <w:lang w:eastAsia="fi-FI"/>
    </w:rPr>
  </w:style>
  <w:style w:type="paragraph" w:styleId="Otsikko5">
    <w:name w:val="heading 5"/>
    <w:basedOn w:val="Normaali"/>
    <w:next w:val="Normaali"/>
    <w:link w:val="Otsikko5Char"/>
    <w:uiPriority w:val="9"/>
    <w:semiHidden/>
    <w:unhideWhenUsed/>
    <w:qFormat/>
    <w:rsid w:val="0019704F"/>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3Char">
    <w:name w:val="Otsikko 3 Char"/>
    <w:basedOn w:val="Kappaleenoletusfontti"/>
    <w:link w:val="Otsikko3"/>
    <w:uiPriority w:val="9"/>
    <w:rsid w:val="0019704F"/>
    <w:rPr>
      <w:b/>
      <w:bCs/>
      <w:sz w:val="27"/>
      <w:szCs w:val="27"/>
      <w:lang w:val="sv-SE"/>
    </w:rPr>
  </w:style>
  <w:style w:type="character" w:customStyle="1" w:styleId="Otsikko5Char">
    <w:name w:val="Otsikko 5 Char"/>
    <w:basedOn w:val="Kappaleenoletusfontti"/>
    <w:link w:val="Otsikko5"/>
    <w:uiPriority w:val="9"/>
    <w:semiHidden/>
    <w:rsid w:val="0019704F"/>
    <w:rPr>
      <w:rFonts w:asciiTheme="majorHAnsi" w:eastAsiaTheme="majorEastAsia" w:hAnsiTheme="majorHAnsi" w:cstheme="majorBidi"/>
      <w:color w:val="365F91" w:themeColor="accent1" w:themeShade="BF"/>
      <w:sz w:val="24"/>
      <w:lang w:val="sv-SE" w:eastAsia="en-US"/>
    </w:rPr>
  </w:style>
  <w:style w:type="paragraph" w:customStyle="1" w:styleId="py">
    <w:name w:val="py"/>
    <w:basedOn w:val="Normaali"/>
    <w:rsid w:val="0019704F"/>
    <w:pPr>
      <w:spacing w:before="100" w:beforeAutospacing="1" w:after="100" w:afterAutospacing="1"/>
    </w:pPr>
    <w:rPr>
      <w:szCs w:val="24"/>
      <w:lang w:eastAsia="fi-FI"/>
    </w:rPr>
  </w:style>
  <w:style w:type="paragraph" w:customStyle="1" w:styleId="LLNormaali">
    <w:name w:val="LLNormaali"/>
    <w:rsid w:val="0019704F"/>
    <w:pPr>
      <w:spacing w:line="220" w:lineRule="exact"/>
    </w:pPr>
    <w:rPr>
      <w:sz w:val="22"/>
      <w:szCs w:val="24"/>
      <w:lang w:val="sv-SE"/>
    </w:rPr>
  </w:style>
  <w:style w:type="paragraph" w:customStyle="1" w:styleId="LLVoimaantulokappale">
    <w:name w:val="LLVoimaantulokappale"/>
    <w:rsid w:val="0019704F"/>
    <w:pPr>
      <w:spacing w:line="220" w:lineRule="exact"/>
      <w:ind w:firstLine="170"/>
      <w:jc w:val="both"/>
    </w:pPr>
    <w:rPr>
      <w:sz w:val="22"/>
      <w:szCs w:val="24"/>
      <w:lang w:val="sv-SE"/>
    </w:rPr>
  </w:style>
  <w:style w:type="character" w:styleId="Voimakas">
    <w:name w:val="Strong"/>
    <w:basedOn w:val="Kappaleenoletusfontti"/>
    <w:uiPriority w:val="22"/>
    <w:qFormat/>
    <w:rsid w:val="00BC1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1077</Words>
  <Characters>8731</Characters>
  <Application>Microsoft Office Word</Application>
  <DocSecurity>0</DocSecurity>
  <Lines>72</Lines>
  <Paragraphs>19</Paragraphs>
  <ScaleCrop>false</ScaleCrop>
  <HeadingPairs>
    <vt:vector size="4" baseType="variant">
      <vt:variant>
        <vt:lpstr>Otsikko</vt:lpstr>
      </vt:variant>
      <vt:variant>
        <vt:i4>1</vt:i4>
      </vt:variant>
      <vt:variant>
        <vt:lpstr>Otsikot</vt:lpstr>
      </vt:variant>
      <vt:variant>
        <vt:i4>11</vt:i4>
      </vt:variant>
    </vt:vector>
  </HeadingPairs>
  <TitlesOfParts>
    <vt:vector size="12" baseType="lpstr">
      <vt:lpstr/>
      <vt:lpstr/>
      <vt:lpstr>Lag om Rättsregistercentralens register över bindningar och bisysslor </vt:lpstr>
      <vt:lpstr/>
      <vt:lpstr>I enlighet med riksdagens beslut föreskrivs:</vt:lpstr>
      <vt:lpstr/>
      <vt:lpstr/>
      <vt:lpstr>1 § Den personuppgiftsansvarige och registrets ändamål </vt:lpstr>
      <vt:lpstr>Syftet med registerföringen är också att tillgodose offentligheten för de bindni</vt:lpstr>
      <vt:lpstr>        </vt:lpstr>
      <vt:lpstr>        </vt:lpstr>
      <vt:lpstr>        3 § Uppgifter som ska föras in i registret</vt:lpstr>
    </vt:vector>
  </TitlesOfParts>
  <Company>Suomen valtion</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Eva (STM)</dc:creator>
  <cp:keywords/>
  <dc:description/>
  <cp:lastModifiedBy>Aalto Eva (STM)</cp:lastModifiedBy>
  <cp:revision>3</cp:revision>
  <dcterms:created xsi:type="dcterms:W3CDTF">2022-06-01T08:07:00Z</dcterms:created>
  <dcterms:modified xsi:type="dcterms:W3CDTF">2022-06-03T13:23:00Z</dcterms:modified>
</cp:coreProperties>
</file>