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51F8E" w14:textId="77777777" w:rsidR="003C4DCC" w:rsidRDefault="003C4DCC" w:rsidP="000A06A9"/>
    <w:p w14:paraId="52B85DAE" w14:textId="77777777" w:rsidR="00EF3AF3" w:rsidRDefault="00EF3AF3" w:rsidP="00536F30">
      <w:pPr>
        <w:pStyle w:val="LLEsityksennimi"/>
      </w:pPr>
      <w:r>
        <w:t xml:space="preserve">Hallituksen esitys eduskunnalle </w:t>
      </w:r>
      <w:r w:rsidR="002E7FE5" w:rsidRPr="002E7FE5">
        <w:t xml:space="preserve">laiksi ikääntyneen väestön toimintakyvyn tukemisesta sekä iäkkäiden </w:t>
      </w:r>
      <w:proofErr w:type="spellStart"/>
      <w:r w:rsidR="002E7FE5" w:rsidRPr="002E7FE5">
        <w:t>sosiaali</w:t>
      </w:r>
      <w:proofErr w:type="spellEnd"/>
      <w:r w:rsidR="002E7FE5" w:rsidRPr="002E7FE5">
        <w:t>- ja terveyspalveluista annetun lain muuttamisesta annetun lain voimaantulosäännöksen muuttamisesta</w:t>
      </w:r>
    </w:p>
    <w:bookmarkStart w:id="0" w:name="_Toc116892974" w:displacedByCustomXml="next"/>
    <w:sdt>
      <w:sdtPr>
        <w:alias w:val="Otsikko"/>
        <w:tag w:val="CCOtsikko"/>
        <w:id w:val="-717274869"/>
        <w:lock w:val="sdtLocked"/>
        <w:placeholder>
          <w:docPart w:val="681132CBB95B44E1940E0900344FAD89"/>
        </w:placeholder>
        <w15:color w:val="00CCFF"/>
      </w:sdtPr>
      <w:sdtEndPr/>
      <w:sdtContent>
        <w:p w14:paraId="05EEC6EA"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D13964D0939B4A2583BA106A02DC45E4"/>
        </w:placeholder>
        <w15:color w:val="00CCFF"/>
      </w:sdtPr>
      <w:sdtEndPr/>
      <w:sdtContent>
        <w:p w14:paraId="3451A54C" w14:textId="67AA3694" w:rsidR="002E7FE5" w:rsidRDefault="002E7FE5" w:rsidP="002E7FE5">
          <w:pPr>
            <w:pStyle w:val="LLPerustelujenkappalejako"/>
          </w:pPr>
          <w:r>
            <w:t xml:space="preserve">Esityksessä ehdotetaan muutettavaksi ikääntyneen väestön toimintakyvyn tukemisesta sekä iäkkäiden </w:t>
          </w:r>
          <w:proofErr w:type="spellStart"/>
          <w:r>
            <w:t>sosiaali</w:t>
          </w:r>
          <w:proofErr w:type="spellEnd"/>
          <w:r>
            <w:t>- ja terveyspalveluista annetun lain muuttamisesta annetun lain voimaantulosäännöstä.</w:t>
          </w:r>
        </w:p>
        <w:p w14:paraId="3B3F277B" w14:textId="09857AA9" w:rsidR="002E7FE5" w:rsidRDefault="002E7FE5" w:rsidP="002E7FE5">
          <w:pPr>
            <w:pStyle w:val="LLPerustelujenkappalejako"/>
          </w:pPr>
          <w:r>
            <w:t xml:space="preserve">Laissa säädettyä iäkkäiden henkilöiden </w:t>
          </w:r>
          <w:r w:rsidDel="000D6D2C">
            <w:t xml:space="preserve">tehostetun </w:t>
          </w:r>
          <w:r>
            <w:t xml:space="preserve">palveluasumisen ja pitkäaikaisen laitoshoidon toimintayksiköissä </w:t>
          </w:r>
          <w:r w:rsidR="001A69B9">
            <w:t xml:space="preserve">asiakasta kohti </w:t>
          </w:r>
          <w:r>
            <w:t xml:space="preserve">noudatettavan </w:t>
          </w:r>
          <w:r w:rsidR="001A69B9">
            <w:t xml:space="preserve">0,7 työntekijän </w:t>
          </w:r>
          <w:r>
            <w:t xml:space="preserve">henkilöstömitoituksen siirtymäaikaa </w:t>
          </w:r>
          <w:r w:rsidR="001A69B9">
            <w:t>jatkettaisiin v</w:t>
          </w:r>
          <w:r>
            <w:t>aiheittain 1</w:t>
          </w:r>
          <w:r w:rsidR="001A69B9">
            <w:t>.12.</w:t>
          </w:r>
          <w:r>
            <w:t>2023</w:t>
          </w:r>
          <w:r w:rsidR="001A69B9">
            <w:t xml:space="preserve"> </w:t>
          </w:r>
          <w:r>
            <w:t>saakka.</w:t>
          </w:r>
        </w:p>
        <w:p w14:paraId="00DA6F7B" w14:textId="4E9E43A6" w:rsidR="005A0584" w:rsidRPr="00BC6172" w:rsidRDefault="002E7FE5" w:rsidP="00BC6172">
          <w:pPr>
            <w:pStyle w:val="LLPerustelujenkappalejako"/>
          </w:pPr>
          <w:r>
            <w:t>Laki on tarkoitettu tulemaan voimaan viimeistään 1.4.2023.</w:t>
          </w:r>
        </w:p>
      </w:sdtContent>
    </w:sdt>
    <w:p w14:paraId="56F37456" w14:textId="77777777" w:rsidR="005A0584" w:rsidRPr="000852C2" w:rsidRDefault="0076114C" w:rsidP="00612C71">
      <w:pPr>
        <w:pStyle w:val="LLNormaali"/>
        <w:jc w:val="center"/>
      </w:pPr>
      <w:r w:rsidRPr="0076114C">
        <w:t>—————</w:t>
      </w:r>
      <w:r w:rsidR="005A0584" w:rsidRPr="000852C2">
        <w:br w:type="page"/>
      </w:r>
    </w:p>
    <w:p w14:paraId="54C2D8FD" w14:textId="20ADB225" w:rsidR="00095BC2" w:rsidRPr="00AF3149" w:rsidRDefault="00095BC2" w:rsidP="00612C71">
      <w:pPr>
        <w:pStyle w:val="LLSisllys"/>
        <w:rPr>
          <w:color w:val="FF0000"/>
        </w:rPr>
      </w:pPr>
      <w:r w:rsidRPr="000852C2">
        <w:lastRenderedPageBreak/>
        <w:t>Sisällys</w:t>
      </w:r>
      <w:bookmarkStart w:id="1" w:name="_GoBack"/>
      <w:bookmarkEnd w:id="1"/>
    </w:p>
    <w:p w14:paraId="22FDD6B7" w14:textId="7F204862" w:rsidR="00397A87"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16892974" w:history="1">
        <w:r w:rsidR="00397A87" w:rsidRPr="004461AE">
          <w:rPr>
            <w:rStyle w:val="Hyperlinkki"/>
            <w:noProof/>
          </w:rPr>
          <w:t>Esityksen pääasiallinen sisältö</w:t>
        </w:r>
        <w:r w:rsidR="00397A87">
          <w:rPr>
            <w:noProof/>
            <w:webHidden/>
          </w:rPr>
          <w:tab/>
        </w:r>
        <w:r w:rsidR="00397A87">
          <w:rPr>
            <w:noProof/>
            <w:webHidden/>
          </w:rPr>
          <w:fldChar w:fldCharType="begin"/>
        </w:r>
        <w:r w:rsidR="00397A87">
          <w:rPr>
            <w:noProof/>
            <w:webHidden/>
          </w:rPr>
          <w:instrText xml:space="preserve"> PAGEREF _Toc116892974 \h </w:instrText>
        </w:r>
        <w:r w:rsidR="00397A87">
          <w:rPr>
            <w:noProof/>
            <w:webHidden/>
          </w:rPr>
        </w:r>
        <w:r w:rsidR="00397A87">
          <w:rPr>
            <w:noProof/>
            <w:webHidden/>
          </w:rPr>
          <w:fldChar w:fldCharType="separate"/>
        </w:r>
        <w:r w:rsidR="00397A87">
          <w:rPr>
            <w:noProof/>
            <w:webHidden/>
          </w:rPr>
          <w:t>1</w:t>
        </w:r>
        <w:r w:rsidR="00397A87">
          <w:rPr>
            <w:noProof/>
            <w:webHidden/>
          </w:rPr>
          <w:fldChar w:fldCharType="end"/>
        </w:r>
      </w:hyperlink>
    </w:p>
    <w:p w14:paraId="7F22FE2C" w14:textId="0E1D158A" w:rsidR="00397A87" w:rsidRDefault="00166E48">
      <w:pPr>
        <w:pStyle w:val="Sisluet1"/>
        <w:rPr>
          <w:rFonts w:asciiTheme="minorHAnsi" w:eastAsiaTheme="minorEastAsia" w:hAnsiTheme="minorHAnsi" w:cstheme="minorBidi"/>
          <w:bCs w:val="0"/>
          <w:caps w:val="0"/>
          <w:noProof/>
          <w:szCs w:val="22"/>
        </w:rPr>
      </w:pPr>
      <w:hyperlink w:anchor="_Toc116892975" w:history="1">
        <w:r w:rsidR="00397A87" w:rsidRPr="004461AE">
          <w:rPr>
            <w:rStyle w:val="Hyperlinkki"/>
            <w:noProof/>
          </w:rPr>
          <w:t>PERUSTELUT</w:t>
        </w:r>
        <w:r w:rsidR="00397A87">
          <w:rPr>
            <w:noProof/>
            <w:webHidden/>
          </w:rPr>
          <w:tab/>
        </w:r>
        <w:r w:rsidR="00397A87">
          <w:rPr>
            <w:noProof/>
            <w:webHidden/>
          </w:rPr>
          <w:fldChar w:fldCharType="begin"/>
        </w:r>
        <w:r w:rsidR="00397A87">
          <w:rPr>
            <w:noProof/>
            <w:webHidden/>
          </w:rPr>
          <w:instrText xml:space="preserve"> PAGEREF _Toc116892975 \h </w:instrText>
        </w:r>
        <w:r w:rsidR="00397A87">
          <w:rPr>
            <w:noProof/>
            <w:webHidden/>
          </w:rPr>
        </w:r>
        <w:r w:rsidR="00397A87">
          <w:rPr>
            <w:noProof/>
            <w:webHidden/>
          </w:rPr>
          <w:fldChar w:fldCharType="separate"/>
        </w:r>
        <w:r w:rsidR="00397A87">
          <w:rPr>
            <w:noProof/>
            <w:webHidden/>
          </w:rPr>
          <w:t>3</w:t>
        </w:r>
        <w:r w:rsidR="00397A87">
          <w:rPr>
            <w:noProof/>
            <w:webHidden/>
          </w:rPr>
          <w:fldChar w:fldCharType="end"/>
        </w:r>
      </w:hyperlink>
    </w:p>
    <w:p w14:paraId="7C7DDA10" w14:textId="7F20C1E4" w:rsidR="00397A87" w:rsidRDefault="00166E48">
      <w:pPr>
        <w:pStyle w:val="Sisluet2"/>
        <w:rPr>
          <w:rFonts w:asciiTheme="minorHAnsi" w:eastAsiaTheme="minorEastAsia" w:hAnsiTheme="minorHAnsi" w:cstheme="minorBidi"/>
          <w:szCs w:val="22"/>
        </w:rPr>
      </w:pPr>
      <w:hyperlink w:anchor="_Toc116892976" w:history="1">
        <w:r w:rsidR="00397A87" w:rsidRPr="004461AE">
          <w:rPr>
            <w:rStyle w:val="Hyperlinkki"/>
          </w:rPr>
          <w:t>1 Asian tausta ja valmistelu</w:t>
        </w:r>
        <w:r w:rsidR="00397A87">
          <w:rPr>
            <w:webHidden/>
          </w:rPr>
          <w:tab/>
        </w:r>
        <w:r w:rsidR="00397A87">
          <w:rPr>
            <w:webHidden/>
          </w:rPr>
          <w:fldChar w:fldCharType="begin"/>
        </w:r>
        <w:r w:rsidR="00397A87">
          <w:rPr>
            <w:webHidden/>
          </w:rPr>
          <w:instrText xml:space="preserve"> PAGEREF _Toc116892976 \h </w:instrText>
        </w:r>
        <w:r w:rsidR="00397A87">
          <w:rPr>
            <w:webHidden/>
          </w:rPr>
        </w:r>
        <w:r w:rsidR="00397A87">
          <w:rPr>
            <w:webHidden/>
          </w:rPr>
          <w:fldChar w:fldCharType="separate"/>
        </w:r>
        <w:r w:rsidR="00397A87">
          <w:rPr>
            <w:webHidden/>
          </w:rPr>
          <w:t>3</w:t>
        </w:r>
        <w:r w:rsidR="00397A87">
          <w:rPr>
            <w:webHidden/>
          </w:rPr>
          <w:fldChar w:fldCharType="end"/>
        </w:r>
      </w:hyperlink>
    </w:p>
    <w:p w14:paraId="0323903A" w14:textId="04D1B401" w:rsidR="00397A87" w:rsidRDefault="00166E48">
      <w:pPr>
        <w:pStyle w:val="Sisluet3"/>
        <w:rPr>
          <w:rFonts w:asciiTheme="minorHAnsi" w:eastAsiaTheme="minorEastAsia" w:hAnsiTheme="minorHAnsi" w:cstheme="minorBidi"/>
          <w:noProof/>
          <w:szCs w:val="22"/>
        </w:rPr>
      </w:pPr>
      <w:hyperlink w:anchor="_Toc116892977" w:history="1">
        <w:r w:rsidR="00397A87" w:rsidRPr="004461AE">
          <w:rPr>
            <w:rStyle w:val="Hyperlinkki"/>
            <w:noProof/>
          </w:rPr>
          <w:t>1.1 Tausta</w:t>
        </w:r>
        <w:r w:rsidR="00397A87">
          <w:rPr>
            <w:noProof/>
            <w:webHidden/>
          </w:rPr>
          <w:tab/>
        </w:r>
        <w:r w:rsidR="00397A87">
          <w:rPr>
            <w:noProof/>
            <w:webHidden/>
          </w:rPr>
          <w:fldChar w:fldCharType="begin"/>
        </w:r>
        <w:r w:rsidR="00397A87">
          <w:rPr>
            <w:noProof/>
            <w:webHidden/>
          </w:rPr>
          <w:instrText xml:space="preserve"> PAGEREF _Toc116892977 \h </w:instrText>
        </w:r>
        <w:r w:rsidR="00397A87">
          <w:rPr>
            <w:noProof/>
            <w:webHidden/>
          </w:rPr>
        </w:r>
        <w:r w:rsidR="00397A87">
          <w:rPr>
            <w:noProof/>
            <w:webHidden/>
          </w:rPr>
          <w:fldChar w:fldCharType="separate"/>
        </w:r>
        <w:r w:rsidR="00397A87">
          <w:rPr>
            <w:noProof/>
            <w:webHidden/>
          </w:rPr>
          <w:t>3</w:t>
        </w:r>
        <w:r w:rsidR="00397A87">
          <w:rPr>
            <w:noProof/>
            <w:webHidden/>
          </w:rPr>
          <w:fldChar w:fldCharType="end"/>
        </w:r>
      </w:hyperlink>
    </w:p>
    <w:p w14:paraId="0660B0A7" w14:textId="50B4E271" w:rsidR="00397A87" w:rsidRDefault="00166E48">
      <w:pPr>
        <w:pStyle w:val="Sisluet3"/>
        <w:rPr>
          <w:rFonts w:asciiTheme="minorHAnsi" w:eastAsiaTheme="minorEastAsia" w:hAnsiTheme="minorHAnsi" w:cstheme="minorBidi"/>
          <w:noProof/>
          <w:szCs w:val="22"/>
        </w:rPr>
      </w:pPr>
      <w:hyperlink w:anchor="_Toc116892978" w:history="1">
        <w:r w:rsidR="00397A87" w:rsidRPr="004461AE">
          <w:rPr>
            <w:rStyle w:val="Hyperlinkki"/>
            <w:noProof/>
          </w:rPr>
          <w:t>1.2 Valmistelu</w:t>
        </w:r>
        <w:r w:rsidR="00397A87">
          <w:rPr>
            <w:noProof/>
            <w:webHidden/>
          </w:rPr>
          <w:tab/>
        </w:r>
        <w:r w:rsidR="00397A87">
          <w:rPr>
            <w:noProof/>
            <w:webHidden/>
          </w:rPr>
          <w:fldChar w:fldCharType="begin"/>
        </w:r>
        <w:r w:rsidR="00397A87">
          <w:rPr>
            <w:noProof/>
            <w:webHidden/>
          </w:rPr>
          <w:instrText xml:space="preserve"> PAGEREF _Toc116892978 \h </w:instrText>
        </w:r>
        <w:r w:rsidR="00397A87">
          <w:rPr>
            <w:noProof/>
            <w:webHidden/>
          </w:rPr>
        </w:r>
        <w:r w:rsidR="00397A87">
          <w:rPr>
            <w:noProof/>
            <w:webHidden/>
          </w:rPr>
          <w:fldChar w:fldCharType="separate"/>
        </w:r>
        <w:r w:rsidR="00397A87">
          <w:rPr>
            <w:noProof/>
            <w:webHidden/>
          </w:rPr>
          <w:t>3</w:t>
        </w:r>
        <w:r w:rsidR="00397A87">
          <w:rPr>
            <w:noProof/>
            <w:webHidden/>
          </w:rPr>
          <w:fldChar w:fldCharType="end"/>
        </w:r>
      </w:hyperlink>
    </w:p>
    <w:p w14:paraId="4665B742" w14:textId="4546EE57" w:rsidR="00397A87" w:rsidRDefault="00166E48">
      <w:pPr>
        <w:pStyle w:val="Sisluet2"/>
        <w:rPr>
          <w:rFonts w:asciiTheme="minorHAnsi" w:eastAsiaTheme="minorEastAsia" w:hAnsiTheme="minorHAnsi" w:cstheme="minorBidi"/>
          <w:szCs w:val="22"/>
        </w:rPr>
      </w:pPr>
      <w:hyperlink w:anchor="_Toc116892979" w:history="1">
        <w:r w:rsidR="00397A87" w:rsidRPr="004461AE">
          <w:rPr>
            <w:rStyle w:val="Hyperlinkki"/>
          </w:rPr>
          <w:t>2 Nykytila ja sen arviointi</w:t>
        </w:r>
        <w:r w:rsidR="00397A87">
          <w:rPr>
            <w:webHidden/>
          </w:rPr>
          <w:tab/>
        </w:r>
        <w:r w:rsidR="00397A87">
          <w:rPr>
            <w:webHidden/>
          </w:rPr>
          <w:fldChar w:fldCharType="begin"/>
        </w:r>
        <w:r w:rsidR="00397A87">
          <w:rPr>
            <w:webHidden/>
          </w:rPr>
          <w:instrText xml:space="preserve"> PAGEREF _Toc116892979 \h </w:instrText>
        </w:r>
        <w:r w:rsidR="00397A87">
          <w:rPr>
            <w:webHidden/>
          </w:rPr>
        </w:r>
        <w:r w:rsidR="00397A87">
          <w:rPr>
            <w:webHidden/>
          </w:rPr>
          <w:fldChar w:fldCharType="separate"/>
        </w:r>
        <w:r w:rsidR="00397A87">
          <w:rPr>
            <w:webHidden/>
          </w:rPr>
          <w:t>3</w:t>
        </w:r>
        <w:r w:rsidR="00397A87">
          <w:rPr>
            <w:webHidden/>
          </w:rPr>
          <w:fldChar w:fldCharType="end"/>
        </w:r>
      </w:hyperlink>
    </w:p>
    <w:p w14:paraId="47343F7A" w14:textId="3C1166E0" w:rsidR="00397A87" w:rsidRDefault="00166E48">
      <w:pPr>
        <w:pStyle w:val="Sisluet2"/>
        <w:rPr>
          <w:rFonts w:asciiTheme="minorHAnsi" w:eastAsiaTheme="minorEastAsia" w:hAnsiTheme="minorHAnsi" w:cstheme="minorBidi"/>
          <w:szCs w:val="22"/>
        </w:rPr>
      </w:pPr>
      <w:hyperlink w:anchor="_Toc116892980" w:history="1">
        <w:r w:rsidR="00397A87" w:rsidRPr="004461AE">
          <w:rPr>
            <w:rStyle w:val="Hyperlinkki"/>
          </w:rPr>
          <w:t>3 Ehdotus ja sen vaikutukset</w:t>
        </w:r>
        <w:r w:rsidR="00397A87">
          <w:rPr>
            <w:webHidden/>
          </w:rPr>
          <w:tab/>
        </w:r>
        <w:r w:rsidR="00397A87">
          <w:rPr>
            <w:webHidden/>
          </w:rPr>
          <w:fldChar w:fldCharType="begin"/>
        </w:r>
        <w:r w:rsidR="00397A87">
          <w:rPr>
            <w:webHidden/>
          </w:rPr>
          <w:instrText xml:space="preserve"> PAGEREF _Toc116892980 \h </w:instrText>
        </w:r>
        <w:r w:rsidR="00397A87">
          <w:rPr>
            <w:webHidden/>
          </w:rPr>
        </w:r>
        <w:r w:rsidR="00397A87">
          <w:rPr>
            <w:webHidden/>
          </w:rPr>
          <w:fldChar w:fldCharType="separate"/>
        </w:r>
        <w:r w:rsidR="00397A87">
          <w:rPr>
            <w:webHidden/>
          </w:rPr>
          <w:t>7</w:t>
        </w:r>
        <w:r w:rsidR="00397A87">
          <w:rPr>
            <w:webHidden/>
          </w:rPr>
          <w:fldChar w:fldCharType="end"/>
        </w:r>
      </w:hyperlink>
    </w:p>
    <w:p w14:paraId="3A73F414" w14:textId="51B01208" w:rsidR="00397A87" w:rsidRDefault="00166E48">
      <w:pPr>
        <w:pStyle w:val="Sisluet3"/>
        <w:rPr>
          <w:rFonts w:asciiTheme="minorHAnsi" w:eastAsiaTheme="minorEastAsia" w:hAnsiTheme="minorHAnsi" w:cstheme="minorBidi"/>
          <w:noProof/>
          <w:szCs w:val="22"/>
        </w:rPr>
      </w:pPr>
      <w:hyperlink w:anchor="_Toc116892981" w:history="1">
        <w:r w:rsidR="00397A87" w:rsidRPr="004461AE">
          <w:rPr>
            <w:rStyle w:val="Hyperlinkki"/>
            <w:noProof/>
          </w:rPr>
          <w:t>3.1 Ehdotus</w:t>
        </w:r>
        <w:r w:rsidR="00397A87">
          <w:rPr>
            <w:noProof/>
            <w:webHidden/>
          </w:rPr>
          <w:tab/>
        </w:r>
        <w:r w:rsidR="00397A87">
          <w:rPr>
            <w:noProof/>
            <w:webHidden/>
          </w:rPr>
          <w:fldChar w:fldCharType="begin"/>
        </w:r>
        <w:r w:rsidR="00397A87">
          <w:rPr>
            <w:noProof/>
            <w:webHidden/>
          </w:rPr>
          <w:instrText xml:space="preserve"> PAGEREF _Toc116892981 \h </w:instrText>
        </w:r>
        <w:r w:rsidR="00397A87">
          <w:rPr>
            <w:noProof/>
            <w:webHidden/>
          </w:rPr>
        </w:r>
        <w:r w:rsidR="00397A87">
          <w:rPr>
            <w:noProof/>
            <w:webHidden/>
          </w:rPr>
          <w:fldChar w:fldCharType="separate"/>
        </w:r>
        <w:r w:rsidR="00397A87">
          <w:rPr>
            <w:noProof/>
            <w:webHidden/>
          </w:rPr>
          <w:t>7</w:t>
        </w:r>
        <w:r w:rsidR="00397A87">
          <w:rPr>
            <w:noProof/>
            <w:webHidden/>
          </w:rPr>
          <w:fldChar w:fldCharType="end"/>
        </w:r>
      </w:hyperlink>
    </w:p>
    <w:p w14:paraId="0D67650E" w14:textId="55954E51" w:rsidR="00397A87" w:rsidRDefault="00166E48">
      <w:pPr>
        <w:pStyle w:val="Sisluet3"/>
        <w:rPr>
          <w:rFonts w:asciiTheme="minorHAnsi" w:eastAsiaTheme="minorEastAsia" w:hAnsiTheme="minorHAnsi" w:cstheme="minorBidi"/>
          <w:noProof/>
          <w:szCs w:val="22"/>
        </w:rPr>
      </w:pPr>
      <w:hyperlink w:anchor="_Toc116892982" w:history="1">
        <w:r w:rsidR="00397A87" w:rsidRPr="004461AE">
          <w:rPr>
            <w:rStyle w:val="Hyperlinkki"/>
            <w:noProof/>
          </w:rPr>
          <w:t>3.2 Pääasialliset vaikutukset</w:t>
        </w:r>
        <w:r w:rsidR="00397A87">
          <w:rPr>
            <w:noProof/>
            <w:webHidden/>
          </w:rPr>
          <w:tab/>
        </w:r>
        <w:r w:rsidR="00397A87">
          <w:rPr>
            <w:noProof/>
            <w:webHidden/>
          </w:rPr>
          <w:fldChar w:fldCharType="begin"/>
        </w:r>
        <w:r w:rsidR="00397A87">
          <w:rPr>
            <w:noProof/>
            <w:webHidden/>
          </w:rPr>
          <w:instrText xml:space="preserve"> PAGEREF _Toc116892982 \h </w:instrText>
        </w:r>
        <w:r w:rsidR="00397A87">
          <w:rPr>
            <w:noProof/>
            <w:webHidden/>
          </w:rPr>
        </w:r>
        <w:r w:rsidR="00397A87">
          <w:rPr>
            <w:noProof/>
            <w:webHidden/>
          </w:rPr>
          <w:fldChar w:fldCharType="separate"/>
        </w:r>
        <w:r w:rsidR="00397A87">
          <w:rPr>
            <w:noProof/>
            <w:webHidden/>
          </w:rPr>
          <w:t>7</w:t>
        </w:r>
        <w:r w:rsidR="00397A87">
          <w:rPr>
            <w:noProof/>
            <w:webHidden/>
          </w:rPr>
          <w:fldChar w:fldCharType="end"/>
        </w:r>
      </w:hyperlink>
    </w:p>
    <w:p w14:paraId="529C8FFE" w14:textId="5B036CA0" w:rsidR="00397A87" w:rsidRDefault="00166E48">
      <w:pPr>
        <w:pStyle w:val="Sisluet2"/>
        <w:rPr>
          <w:rFonts w:asciiTheme="minorHAnsi" w:eastAsiaTheme="minorEastAsia" w:hAnsiTheme="minorHAnsi" w:cstheme="minorBidi"/>
          <w:szCs w:val="22"/>
        </w:rPr>
      </w:pPr>
      <w:hyperlink w:anchor="_Toc116892983" w:history="1">
        <w:r w:rsidR="00397A87" w:rsidRPr="004461AE">
          <w:rPr>
            <w:rStyle w:val="Hyperlinkki"/>
          </w:rPr>
          <w:t>4 Muut toteuttamisvaihtoehdot</w:t>
        </w:r>
        <w:r w:rsidR="00397A87">
          <w:rPr>
            <w:webHidden/>
          </w:rPr>
          <w:tab/>
        </w:r>
        <w:r w:rsidR="00397A87">
          <w:rPr>
            <w:webHidden/>
          </w:rPr>
          <w:fldChar w:fldCharType="begin"/>
        </w:r>
        <w:r w:rsidR="00397A87">
          <w:rPr>
            <w:webHidden/>
          </w:rPr>
          <w:instrText xml:space="preserve"> PAGEREF _Toc116892983 \h </w:instrText>
        </w:r>
        <w:r w:rsidR="00397A87">
          <w:rPr>
            <w:webHidden/>
          </w:rPr>
        </w:r>
        <w:r w:rsidR="00397A87">
          <w:rPr>
            <w:webHidden/>
          </w:rPr>
          <w:fldChar w:fldCharType="separate"/>
        </w:r>
        <w:r w:rsidR="00397A87">
          <w:rPr>
            <w:webHidden/>
          </w:rPr>
          <w:t>16</w:t>
        </w:r>
        <w:r w:rsidR="00397A87">
          <w:rPr>
            <w:webHidden/>
          </w:rPr>
          <w:fldChar w:fldCharType="end"/>
        </w:r>
      </w:hyperlink>
    </w:p>
    <w:p w14:paraId="5B4CEF2B" w14:textId="19861734" w:rsidR="00397A87" w:rsidRDefault="00166E48">
      <w:pPr>
        <w:pStyle w:val="Sisluet2"/>
        <w:rPr>
          <w:rFonts w:asciiTheme="minorHAnsi" w:eastAsiaTheme="minorEastAsia" w:hAnsiTheme="minorHAnsi" w:cstheme="minorBidi"/>
          <w:szCs w:val="22"/>
        </w:rPr>
      </w:pPr>
      <w:hyperlink w:anchor="_Toc116892984" w:history="1">
        <w:r w:rsidR="00397A87" w:rsidRPr="004461AE">
          <w:rPr>
            <w:rStyle w:val="Hyperlinkki"/>
          </w:rPr>
          <w:t>5 Lausuntopalaute</w:t>
        </w:r>
        <w:r w:rsidR="00397A87">
          <w:rPr>
            <w:webHidden/>
          </w:rPr>
          <w:tab/>
        </w:r>
        <w:r w:rsidR="00397A87">
          <w:rPr>
            <w:webHidden/>
          </w:rPr>
          <w:fldChar w:fldCharType="begin"/>
        </w:r>
        <w:r w:rsidR="00397A87">
          <w:rPr>
            <w:webHidden/>
          </w:rPr>
          <w:instrText xml:space="preserve"> PAGEREF _Toc116892984 \h </w:instrText>
        </w:r>
        <w:r w:rsidR="00397A87">
          <w:rPr>
            <w:webHidden/>
          </w:rPr>
        </w:r>
        <w:r w:rsidR="00397A87">
          <w:rPr>
            <w:webHidden/>
          </w:rPr>
          <w:fldChar w:fldCharType="separate"/>
        </w:r>
        <w:r w:rsidR="00397A87">
          <w:rPr>
            <w:webHidden/>
          </w:rPr>
          <w:t>17</w:t>
        </w:r>
        <w:r w:rsidR="00397A87">
          <w:rPr>
            <w:webHidden/>
          </w:rPr>
          <w:fldChar w:fldCharType="end"/>
        </w:r>
      </w:hyperlink>
    </w:p>
    <w:p w14:paraId="3180340A" w14:textId="3CE55D6F" w:rsidR="00397A87" w:rsidRDefault="00166E48">
      <w:pPr>
        <w:pStyle w:val="Sisluet2"/>
        <w:rPr>
          <w:rFonts w:asciiTheme="minorHAnsi" w:eastAsiaTheme="minorEastAsia" w:hAnsiTheme="minorHAnsi" w:cstheme="minorBidi"/>
          <w:szCs w:val="22"/>
        </w:rPr>
      </w:pPr>
      <w:hyperlink w:anchor="_Toc116892985" w:history="1">
        <w:r w:rsidR="00397A87" w:rsidRPr="004461AE">
          <w:rPr>
            <w:rStyle w:val="Hyperlinkki"/>
          </w:rPr>
          <w:t>6 Voimaantulo</w:t>
        </w:r>
        <w:r w:rsidR="00397A87">
          <w:rPr>
            <w:webHidden/>
          </w:rPr>
          <w:tab/>
        </w:r>
        <w:r w:rsidR="00397A87">
          <w:rPr>
            <w:webHidden/>
          </w:rPr>
          <w:fldChar w:fldCharType="begin"/>
        </w:r>
        <w:r w:rsidR="00397A87">
          <w:rPr>
            <w:webHidden/>
          </w:rPr>
          <w:instrText xml:space="preserve"> PAGEREF _Toc116892985 \h </w:instrText>
        </w:r>
        <w:r w:rsidR="00397A87">
          <w:rPr>
            <w:webHidden/>
          </w:rPr>
        </w:r>
        <w:r w:rsidR="00397A87">
          <w:rPr>
            <w:webHidden/>
          </w:rPr>
          <w:fldChar w:fldCharType="separate"/>
        </w:r>
        <w:r w:rsidR="00397A87">
          <w:rPr>
            <w:webHidden/>
          </w:rPr>
          <w:t>17</w:t>
        </w:r>
        <w:r w:rsidR="00397A87">
          <w:rPr>
            <w:webHidden/>
          </w:rPr>
          <w:fldChar w:fldCharType="end"/>
        </w:r>
      </w:hyperlink>
    </w:p>
    <w:p w14:paraId="1E59414C" w14:textId="0E7B3E8F" w:rsidR="00397A87" w:rsidRDefault="00166E48">
      <w:pPr>
        <w:pStyle w:val="Sisluet2"/>
        <w:rPr>
          <w:rFonts w:asciiTheme="minorHAnsi" w:eastAsiaTheme="minorEastAsia" w:hAnsiTheme="minorHAnsi" w:cstheme="minorBidi"/>
          <w:szCs w:val="22"/>
        </w:rPr>
      </w:pPr>
      <w:hyperlink w:anchor="_Toc116892986" w:history="1">
        <w:r w:rsidR="00397A87" w:rsidRPr="004461AE">
          <w:rPr>
            <w:rStyle w:val="Hyperlinkki"/>
          </w:rPr>
          <w:t>7 Toimeenpano ja seuranta</w:t>
        </w:r>
        <w:r w:rsidR="00397A87">
          <w:rPr>
            <w:webHidden/>
          </w:rPr>
          <w:tab/>
        </w:r>
        <w:r w:rsidR="00397A87">
          <w:rPr>
            <w:webHidden/>
          </w:rPr>
          <w:fldChar w:fldCharType="begin"/>
        </w:r>
        <w:r w:rsidR="00397A87">
          <w:rPr>
            <w:webHidden/>
          </w:rPr>
          <w:instrText xml:space="preserve"> PAGEREF _Toc116892986 \h </w:instrText>
        </w:r>
        <w:r w:rsidR="00397A87">
          <w:rPr>
            <w:webHidden/>
          </w:rPr>
        </w:r>
        <w:r w:rsidR="00397A87">
          <w:rPr>
            <w:webHidden/>
          </w:rPr>
          <w:fldChar w:fldCharType="separate"/>
        </w:r>
        <w:r w:rsidR="00397A87">
          <w:rPr>
            <w:webHidden/>
          </w:rPr>
          <w:t>17</w:t>
        </w:r>
        <w:r w:rsidR="00397A87">
          <w:rPr>
            <w:webHidden/>
          </w:rPr>
          <w:fldChar w:fldCharType="end"/>
        </w:r>
      </w:hyperlink>
    </w:p>
    <w:p w14:paraId="612AB608" w14:textId="3BB68C6A" w:rsidR="00397A87" w:rsidRDefault="00166E48">
      <w:pPr>
        <w:pStyle w:val="Sisluet2"/>
        <w:rPr>
          <w:rFonts w:asciiTheme="minorHAnsi" w:eastAsiaTheme="minorEastAsia" w:hAnsiTheme="minorHAnsi" w:cstheme="minorBidi"/>
          <w:szCs w:val="22"/>
        </w:rPr>
      </w:pPr>
      <w:hyperlink w:anchor="_Toc116892987" w:history="1">
        <w:r w:rsidR="00397A87" w:rsidRPr="004461AE">
          <w:rPr>
            <w:rStyle w:val="Hyperlinkki"/>
          </w:rPr>
          <w:t>8 Suhde talousarvioesitykseen</w:t>
        </w:r>
        <w:r w:rsidR="00397A87">
          <w:rPr>
            <w:webHidden/>
          </w:rPr>
          <w:tab/>
        </w:r>
        <w:r w:rsidR="00397A87">
          <w:rPr>
            <w:webHidden/>
          </w:rPr>
          <w:fldChar w:fldCharType="begin"/>
        </w:r>
        <w:r w:rsidR="00397A87">
          <w:rPr>
            <w:webHidden/>
          </w:rPr>
          <w:instrText xml:space="preserve"> PAGEREF _Toc116892987 \h </w:instrText>
        </w:r>
        <w:r w:rsidR="00397A87">
          <w:rPr>
            <w:webHidden/>
          </w:rPr>
        </w:r>
        <w:r w:rsidR="00397A87">
          <w:rPr>
            <w:webHidden/>
          </w:rPr>
          <w:fldChar w:fldCharType="separate"/>
        </w:r>
        <w:r w:rsidR="00397A87">
          <w:rPr>
            <w:webHidden/>
          </w:rPr>
          <w:t>18</w:t>
        </w:r>
        <w:r w:rsidR="00397A87">
          <w:rPr>
            <w:webHidden/>
          </w:rPr>
          <w:fldChar w:fldCharType="end"/>
        </w:r>
      </w:hyperlink>
    </w:p>
    <w:p w14:paraId="3E963E4D" w14:textId="52DE38F7" w:rsidR="00397A87" w:rsidRDefault="00166E48">
      <w:pPr>
        <w:pStyle w:val="Sisluet2"/>
        <w:rPr>
          <w:rFonts w:asciiTheme="minorHAnsi" w:eastAsiaTheme="minorEastAsia" w:hAnsiTheme="minorHAnsi" w:cstheme="minorBidi"/>
          <w:szCs w:val="22"/>
        </w:rPr>
      </w:pPr>
      <w:hyperlink w:anchor="_Toc116892988" w:history="1">
        <w:r w:rsidR="00397A87" w:rsidRPr="004461AE">
          <w:rPr>
            <w:rStyle w:val="Hyperlinkki"/>
          </w:rPr>
          <w:t>9 Suhde perustuslakiin ja säätämisjärjestys</w:t>
        </w:r>
        <w:r w:rsidR="00397A87">
          <w:rPr>
            <w:webHidden/>
          </w:rPr>
          <w:tab/>
        </w:r>
        <w:r w:rsidR="00397A87">
          <w:rPr>
            <w:webHidden/>
          </w:rPr>
          <w:fldChar w:fldCharType="begin"/>
        </w:r>
        <w:r w:rsidR="00397A87">
          <w:rPr>
            <w:webHidden/>
          </w:rPr>
          <w:instrText xml:space="preserve"> PAGEREF _Toc116892988 \h </w:instrText>
        </w:r>
        <w:r w:rsidR="00397A87">
          <w:rPr>
            <w:webHidden/>
          </w:rPr>
        </w:r>
        <w:r w:rsidR="00397A87">
          <w:rPr>
            <w:webHidden/>
          </w:rPr>
          <w:fldChar w:fldCharType="separate"/>
        </w:r>
        <w:r w:rsidR="00397A87">
          <w:rPr>
            <w:webHidden/>
          </w:rPr>
          <w:t>18</w:t>
        </w:r>
        <w:r w:rsidR="00397A87">
          <w:rPr>
            <w:webHidden/>
          </w:rPr>
          <w:fldChar w:fldCharType="end"/>
        </w:r>
      </w:hyperlink>
    </w:p>
    <w:p w14:paraId="24E0F14E" w14:textId="14CDD5DA" w:rsidR="00397A87" w:rsidRDefault="00166E48">
      <w:pPr>
        <w:pStyle w:val="Sisluet1"/>
        <w:rPr>
          <w:rFonts w:asciiTheme="minorHAnsi" w:eastAsiaTheme="minorEastAsia" w:hAnsiTheme="minorHAnsi" w:cstheme="minorBidi"/>
          <w:bCs w:val="0"/>
          <w:caps w:val="0"/>
          <w:noProof/>
          <w:szCs w:val="22"/>
        </w:rPr>
      </w:pPr>
      <w:hyperlink w:anchor="_Toc116892989" w:history="1">
        <w:r w:rsidR="00397A87" w:rsidRPr="004461AE">
          <w:rPr>
            <w:rStyle w:val="Hyperlinkki"/>
            <w:noProof/>
          </w:rPr>
          <w:t>Lakiehdotus</w:t>
        </w:r>
        <w:r w:rsidR="00397A87">
          <w:rPr>
            <w:noProof/>
            <w:webHidden/>
          </w:rPr>
          <w:tab/>
        </w:r>
        <w:r w:rsidR="00397A87">
          <w:rPr>
            <w:noProof/>
            <w:webHidden/>
          </w:rPr>
          <w:fldChar w:fldCharType="begin"/>
        </w:r>
        <w:r w:rsidR="00397A87">
          <w:rPr>
            <w:noProof/>
            <w:webHidden/>
          </w:rPr>
          <w:instrText xml:space="preserve"> PAGEREF _Toc116892989 \h </w:instrText>
        </w:r>
        <w:r w:rsidR="00397A87">
          <w:rPr>
            <w:noProof/>
            <w:webHidden/>
          </w:rPr>
        </w:r>
        <w:r w:rsidR="00397A87">
          <w:rPr>
            <w:noProof/>
            <w:webHidden/>
          </w:rPr>
          <w:fldChar w:fldCharType="separate"/>
        </w:r>
        <w:r w:rsidR="00397A87">
          <w:rPr>
            <w:noProof/>
            <w:webHidden/>
          </w:rPr>
          <w:t>20</w:t>
        </w:r>
        <w:r w:rsidR="00397A87">
          <w:rPr>
            <w:noProof/>
            <w:webHidden/>
          </w:rPr>
          <w:fldChar w:fldCharType="end"/>
        </w:r>
      </w:hyperlink>
    </w:p>
    <w:p w14:paraId="6496154D" w14:textId="27BB6376" w:rsidR="00397A87" w:rsidRDefault="00D56791">
      <w:pPr>
        <w:pStyle w:val="Sisluet3"/>
        <w:rPr>
          <w:rFonts w:asciiTheme="minorHAnsi" w:eastAsiaTheme="minorEastAsia" w:hAnsiTheme="minorHAnsi" w:cstheme="minorBidi"/>
          <w:noProof/>
          <w:szCs w:val="22"/>
        </w:rPr>
      </w:pPr>
      <w:r>
        <w:rPr>
          <w:rStyle w:val="Hyperlinkki"/>
          <w:noProof/>
          <w:color w:val="auto"/>
          <w:u w:val="none"/>
        </w:rPr>
        <w:t>L</w:t>
      </w:r>
      <w:r w:rsidRPr="00D56791">
        <w:rPr>
          <w:rStyle w:val="Hyperlinkki"/>
          <w:noProof/>
          <w:color w:val="auto"/>
          <w:u w:val="none"/>
        </w:rPr>
        <w:t xml:space="preserve">aki </w:t>
      </w:r>
      <w:hyperlink w:anchor="_Toc116892990" w:history="1">
        <w:r w:rsidR="00397A87" w:rsidRPr="004461AE">
          <w:rPr>
            <w:rStyle w:val="Hyperlinkki"/>
            <w:noProof/>
          </w:rPr>
          <w:t>ikääntyneen väestön toimintakyvyn tukemisesta sekä iäkkäiden sosiaali- ja terveyspalveluista annetun lain muuttamisesta annetun lain voimaantulosäännöksen muuttamisesta</w:t>
        </w:r>
        <w:r w:rsidR="00397A87">
          <w:rPr>
            <w:noProof/>
            <w:webHidden/>
          </w:rPr>
          <w:tab/>
        </w:r>
        <w:r w:rsidR="00397A87">
          <w:rPr>
            <w:noProof/>
            <w:webHidden/>
          </w:rPr>
          <w:fldChar w:fldCharType="begin"/>
        </w:r>
        <w:r w:rsidR="00397A87">
          <w:rPr>
            <w:noProof/>
            <w:webHidden/>
          </w:rPr>
          <w:instrText xml:space="preserve"> PAGEREF _Toc116892990 \h </w:instrText>
        </w:r>
        <w:r w:rsidR="00397A87">
          <w:rPr>
            <w:noProof/>
            <w:webHidden/>
          </w:rPr>
        </w:r>
        <w:r w:rsidR="00397A87">
          <w:rPr>
            <w:noProof/>
            <w:webHidden/>
          </w:rPr>
          <w:fldChar w:fldCharType="separate"/>
        </w:r>
        <w:r w:rsidR="00397A87">
          <w:rPr>
            <w:noProof/>
            <w:webHidden/>
          </w:rPr>
          <w:t>20</w:t>
        </w:r>
        <w:r w:rsidR="00397A87">
          <w:rPr>
            <w:noProof/>
            <w:webHidden/>
          </w:rPr>
          <w:fldChar w:fldCharType="end"/>
        </w:r>
      </w:hyperlink>
    </w:p>
    <w:p w14:paraId="6CBC0E40" w14:textId="1DA1DC0C" w:rsidR="00397A87" w:rsidRDefault="00166E48">
      <w:pPr>
        <w:pStyle w:val="Sisluet1"/>
        <w:rPr>
          <w:rFonts w:asciiTheme="minorHAnsi" w:eastAsiaTheme="minorEastAsia" w:hAnsiTheme="minorHAnsi" w:cstheme="minorBidi"/>
          <w:bCs w:val="0"/>
          <w:caps w:val="0"/>
          <w:noProof/>
          <w:szCs w:val="22"/>
        </w:rPr>
      </w:pPr>
      <w:hyperlink w:anchor="_Toc116892991" w:history="1">
        <w:r w:rsidR="00397A87" w:rsidRPr="004461AE">
          <w:rPr>
            <w:rStyle w:val="Hyperlinkki"/>
            <w:noProof/>
          </w:rPr>
          <w:t>Liite</w:t>
        </w:r>
        <w:r w:rsidR="00397A87">
          <w:rPr>
            <w:noProof/>
            <w:webHidden/>
          </w:rPr>
          <w:tab/>
        </w:r>
        <w:r w:rsidR="00397A87">
          <w:rPr>
            <w:noProof/>
            <w:webHidden/>
          </w:rPr>
          <w:fldChar w:fldCharType="begin"/>
        </w:r>
        <w:r w:rsidR="00397A87">
          <w:rPr>
            <w:noProof/>
            <w:webHidden/>
          </w:rPr>
          <w:instrText xml:space="preserve"> PAGEREF _Toc116892991 \h </w:instrText>
        </w:r>
        <w:r w:rsidR="00397A87">
          <w:rPr>
            <w:noProof/>
            <w:webHidden/>
          </w:rPr>
        </w:r>
        <w:r w:rsidR="00397A87">
          <w:rPr>
            <w:noProof/>
            <w:webHidden/>
          </w:rPr>
          <w:fldChar w:fldCharType="separate"/>
        </w:r>
        <w:r w:rsidR="00397A87">
          <w:rPr>
            <w:noProof/>
            <w:webHidden/>
          </w:rPr>
          <w:t>21</w:t>
        </w:r>
        <w:r w:rsidR="00397A87">
          <w:rPr>
            <w:noProof/>
            <w:webHidden/>
          </w:rPr>
          <w:fldChar w:fldCharType="end"/>
        </w:r>
      </w:hyperlink>
    </w:p>
    <w:p w14:paraId="057BA0F1" w14:textId="32658C22" w:rsidR="00397A87" w:rsidRDefault="00166E48">
      <w:pPr>
        <w:pStyle w:val="Sisluet1"/>
        <w:rPr>
          <w:rFonts w:asciiTheme="minorHAnsi" w:eastAsiaTheme="minorEastAsia" w:hAnsiTheme="minorHAnsi" w:cstheme="minorBidi"/>
          <w:bCs w:val="0"/>
          <w:caps w:val="0"/>
          <w:noProof/>
          <w:szCs w:val="22"/>
        </w:rPr>
      </w:pPr>
      <w:hyperlink w:anchor="_Toc116892992" w:history="1">
        <w:r w:rsidR="00397A87" w:rsidRPr="004461AE">
          <w:rPr>
            <w:rStyle w:val="Hyperlinkki"/>
            <w:noProof/>
            <w:lang w:val="en-US"/>
          </w:rPr>
          <w:t>Rinnakkaisteksti</w:t>
        </w:r>
        <w:r w:rsidR="00397A87">
          <w:rPr>
            <w:noProof/>
            <w:webHidden/>
          </w:rPr>
          <w:tab/>
        </w:r>
        <w:r w:rsidR="00397A87">
          <w:rPr>
            <w:noProof/>
            <w:webHidden/>
          </w:rPr>
          <w:fldChar w:fldCharType="begin"/>
        </w:r>
        <w:r w:rsidR="00397A87">
          <w:rPr>
            <w:noProof/>
            <w:webHidden/>
          </w:rPr>
          <w:instrText xml:space="preserve"> PAGEREF _Toc116892992 \h </w:instrText>
        </w:r>
        <w:r w:rsidR="00397A87">
          <w:rPr>
            <w:noProof/>
            <w:webHidden/>
          </w:rPr>
        </w:r>
        <w:r w:rsidR="00397A87">
          <w:rPr>
            <w:noProof/>
            <w:webHidden/>
          </w:rPr>
          <w:fldChar w:fldCharType="separate"/>
        </w:r>
        <w:r w:rsidR="00397A87">
          <w:rPr>
            <w:noProof/>
            <w:webHidden/>
          </w:rPr>
          <w:t>21</w:t>
        </w:r>
        <w:r w:rsidR="00397A87">
          <w:rPr>
            <w:noProof/>
            <w:webHidden/>
          </w:rPr>
          <w:fldChar w:fldCharType="end"/>
        </w:r>
      </w:hyperlink>
    </w:p>
    <w:p w14:paraId="72DA0268" w14:textId="29506AFF" w:rsidR="00397A87" w:rsidRDefault="00D56791">
      <w:pPr>
        <w:pStyle w:val="Sisluet3"/>
        <w:rPr>
          <w:rFonts w:asciiTheme="minorHAnsi" w:eastAsiaTheme="minorEastAsia" w:hAnsiTheme="minorHAnsi" w:cstheme="minorBidi"/>
          <w:noProof/>
          <w:szCs w:val="22"/>
        </w:rPr>
      </w:pPr>
      <w:r>
        <w:rPr>
          <w:rStyle w:val="Hyperlinkki"/>
          <w:noProof/>
          <w:color w:val="auto"/>
          <w:u w:val="none"/>
        </w:rPr>
        <w:t>L</w:t>
      </w:r>
      <w:r w:rsidRPr="00D56791">
        <w:rPr>
          <w:rStyle w:val="Hyperlinkki"/>
          <w:noProof/>
          <w:color w:val="auto"/>
          <w:u w:val="none"/>
        </w:rPr>
        <w:t xml:space="preserve">aki </w:t>
      </w:r>
      <w:hyperlink w:anchor="_Toc116892993" w:history="1">
        <w:r w:rsidR="00397A87" w:rsidRPr="004461AE">
          <w:rPr>
            <w:rStyle w:val="Hyperlinkki"/>
            <w:noProof/>
          </w:rPr>
          <w:t>ikääntyneen väestön toimintakyvyn tukemisesta sekä iäkkäiden sosiaali- ja terveyspalveluista annetun lain muuttamisesta annetun lain voimaantulosäännöksen muuttamisesta</w:t>
        </w:r>
        <w:r w:rsidR="00397A87">
          <w:rPr>
            <w:noProof/>
            <w:webHidden/>
          </w:rPr>
          <w:tab/>
        </w:r>
        <w:r w:rsidR="00397A87">
          <w:rPr>
            <w:noProof/>
            <w:webHidden/>
          </w:rPr>
          <w:fldChar w:fldCharType="begin"/>
        </w:r>
        <w:r w:rsidR="00397A87">
          <w:rPr>
            <w:noProof/>
            <w:webHidden/>
          </w:rPr>
          <w:instrText xml:space="preserve"> PAGEREF _Toc116892993 \h </w:instrText>
        </w:r>
        <w:r w:rsidR="00397A87">
          <w:rPr>
            <w:noProof/>
            <w:webHidden/>
          </w:rPr>
        </w:r>
        <w:r w:rsidR="00397A87">
          <w:rPr>
            <w:noProof/>
            <w:webHidden/>
          </w:rPr>
          <w:fldChar w:fldCharType="separate"/>
        </w:r>
        <w:r w:rsidR="00397A87">
          <w:rPr>
            <w:noProof/>
            <w:webHidden/>
          </w:rPr>
          <w:t>21</w:t>
        </w:r>
        <w:r w:rsidR="00397A87">
          <w:rPr>
            <w:noProof/>
            <w:webHidden/>
          </w:rPr>
          <w:fldChar w:fldCharType="end"/>
        </w:r>
      </w:hyperlink>
    </w:p>
    <w:p w14:paraId="1FDD3709" w14:textId="3A3BCB95" w:rsidR="00A17195" w:rsidRPr="00A17195" w:rsidRDefault="00095BC2" w:rsidP="00A17195">
      <w:r>
        <w:rPr>
          <w:rFonts w:eastAsia="Times New Roman"/>
          <w:bCs/>
          <w:caps/>
          <w:szCs w:val="20"/>
          <w:lang w:eastAsia="fi-FI"/>
        </w:rPr>
        <w:fldChar w:fldCharType="end"/>
      </w:r>
    </w:p>
    <w:p w14:paraId="049514DD" w14:textId="77777777" w:rsidR="006E6F46" w:rsidRDefault="005A0584" w:rsidP="00EB0A9A">
      <w:pPr>
        <w:pStyle w:val="LLNormaali"/>
      </w:pPr>
      <w:r>
        <w:br w:type="page"/>
      </w:r>
    </w:p>
    <w:bookmarkStart w:id="2" w:name="_Toc116892975" w:displacedByCustomXml="next"/>
    <w:sdt>
      <w:sdtPr>
        <w:rPr>
          <w:rFonts w:eastAsia="Calibri"/>
          <w:b w:val="0"/>
          <w:caps w:val="0"/>
          <w:sz w:val="22"/>
          <w:szCs w:val="22"/>
          <w:lang w:eastAsia="en-US"/>
        </w:rPr>
        <w:alias w:val="Perustelut"/>
        <w:tag w:val="CCPerustelut"/>
        <w:id w:val="2058971695"/>
        <w:lock w:val="sdtLocked"/>
        <w:placeholder>
          <w:docPart w:val="B3D7273523C840668E5123DCD0D2B8F7"/>
        </w:placeholder>
        <w15:color w:val="33CCCC"/>
      </w:sdtPr>
      <w:sdtEndPr>
        <w:rPr>
          <w:rFonts w:eastAsia="Times New Roman"/>
          <w:color w:val="FF0000"/>
          <w:szCs w:val="24"/>
          <w:lang w:eastAsia="fi-FI"/>
        </w:rPr>
      </w:sdtEndPr>
      <w:sdtContent>
        <w:p w14:paraId="664E056D" w14:textId="77777777" w:rsidR="008414FE" w:rsidRDefault="004D2778" w:rsidP="008414FE">
          <w:pPr>
            <w:pStyle w:val="LLperustelut"/>
          </w:pPr>
          <w:r>
            <w:t>PERUSTELUT</w:t>
          </w:r>
          <w:bookmarkEnd w:id="2"/>
        </w:p>
        <w:p w14:paraId="5A3307B4" w14:textId="77777777" w:rsidR="0075180F" w:rsidRDefault="0075180F" w:rsidP="0075180F">
          <w:pPr>
            <w:pStyle w:val="LLP1Otsikkotaso"/>
          </w:pPr>
          <w:bookmarkStart w:id="3" w:name="_Toc116892976"/>
          <w:r>
            <w:t>Asian tausta ja valmistelu</w:t>
          </w:r>
          <w:bookmarkEnd w:id="3"/>
        </w:p>
        <w:p w14:paraId="1B70B435" w14:textId="77777777" w:rsidR="004D2778" w:rsidRDefault="007B4171" w:rsidP="008D714A">
          <w:pPr>
            <w:pStyle w:val="LLP2Otsikkotaso"/>
          </w:pPr>
          <w:bookmarkStart w:id="4" w:name="_Toc116892977"/>
          <w:r>
            <w:t>T</w:t>
          </w:r>
          <w:r w:rsidR="004D2778">
            <w:t>austa</w:t>
          </w:r>
          <w:bookmarkEnd w:id="4"/>
        </w:p>
        <w:p w14:paraId="4DBE219B" w14:textId="77777777" w:rsidR="007B3513" w:rsidRDefault="007B3513" w:rsidP="007B3513">
          <w:pPr>
            <w:pStyle w:val="LLPerustelujenkappalejako"/>
          </w:pPr>
          <w:r>
            <w:t xml:space="preserve">Ikääntyneen väestön toimintakyvyn tukemisesta sekä iäkkäiden </w:t>
          </w:r>
          <w:proofErr w:type="spellStart"/>
          <w:r>
            <w:t>sosiaali</w:t>
          </w:r>
          <w:proofErr w:type="spellEnd"/>
          <w:r>
            <w:t xml:space="preserve">- ja terveyspalveluista annettuun lakiin (980/2012, jäljempänä vanhuspalvelulaki) lisättiin vuonna 2020 muun ohella velvoite vähintään 0,7 työntekijän henkilöstömitoituksesta asiakasta kohti iäkkäiden henkilöiden tehostetun palveluasumisen ja pitkäaikaisen laitoshoidon toimintayksiköissä. Mitoituksessa otetaan huomioon vain välitöntä asiakastyötä tekevä henkilöstö.  </w:t>
          </w:r>
        </w:p>
        <w:p w14:paraId="5A51CA66" w14:textId="03D50FF1" w:rsidR="006C2A50" w:rsidRDefault="007B3513" w:rsidP="007B3513">
          <w:pPr>
            <w:pStyle w:val="LLPerustelujenkappalejako"/>
          </w:pPr>
          <w:r>
            <w:t xml:space="preserve">Tämä henkilöstömitoitusta koskeva säännös säädettiin tulevaksi voimaan täysimääräisesti 1.4.2023 päättyvän siirtymäajan jälkeen, jotta kunnilla ja kuntayhtymillä sekä palveluntuottajilla olisi mahdollisuus varautua merkittävään henkilöstötarpeen sekä kustannusten kasvuun.  </w:t>
          </w:r>
        </w:p>
        <w:p w14:paraId="1FD15364" w14:textId="228E38F1" w:rsidR="004C0D8D" w:rsidRDefault="00DD5A56" w:rsidP="007B3513">
          <w:pPr>
            <w:pStyle w:val="LLPerustelujenkappalejako"/>
            <w:rPr>
              <w:color w:val="00B050"/>
            </w:rPr>
          </w:pPr>
          <w:r w:rsidRPr="005F248A">
            <w:t xml:space="preserve">Väestön ikääntyessä eläköityminen ja palvelutarpeiden kasvu ovat aiheuttaneet kasvavia vaikeuksia henkilöstön saatavuudelle. </w:t>
          </w:r>
          <w:r w:rsidR="004C0D8D" w:rsidRPr="005F248A">
            <w:t xml:space="preserve">Toimintaympäristössä tapahtuneiden muutosten vuoksi on käynyt ilmi, että 0,7 </w:t>
          </w:r>
          <w:r w:rsidR="005F248A" w:rsidRPr="005F248A">
            <w:t xml:space="preserve">työntekijän </w:t>
          </w:r>
          <w:r w:rsidR="004C0D8D" w:rsidRPr="005F248A">
            <w:t>mitoitusta ei ole mahdollista saavuttaa kaikissa toimintayksiköissä säädettyyn määräaikaan mennessä.</w:t>
          </w:r>
          <w:r w:rsidR="009316AE" w:rsidRPr="005F248A">
            <w:t xml:space="preserve"> Erityisesti</w:t>
          </w:r>
          <w:r w:rsidR="004C0D8D" w:rsidRPr="005F248A">
            <w:t xml:space="preserve"> </w:t>
          </w:r>
          <w:r w:rsidR="009316AE" w:rsidRPr="005F248A">
            <w:t>l</w:t>
          </w:r>
          <w:r w:rsidR="004C0D8D" w:rsidRPr="005F248A">
            <w:t>ain eduskuntakäsittelyn aikana käynnistynyt COVID-19 –pandemia on vaikuttanut merkittävästi</w:t>
          </w:r>
          <w:r w:rsidR="009316AE" w:rsidRPr="005F248A">
            <w:t xml:space="preserve"> henkilöstön saatavuuteen ja</w:t>
          </w:r>
          <w:r w:rsidR="004C0D8D" w:rsidRPr="005F248A">
            <w:t xml:space="preserve"> toimintayksi</w:t>
          </w:r>
          <w:r w:rsidR="005F248A" w:rsidRPr="005F248A">
            <w:t>k</w:t>
          </w:r>
          <w:r w:rsidR="004C0D8D" w:rsidRPr="005F248A">
            <w:t>öiden rekrytointimahdollisuuksiin. Keväästä 2022</w:t>
          </w:r>
          <w:r w:rsidR="00627EE3" w:rsidRPr="005F248A">
            <w:t xml:space="preserve"> alkaen</w:t>
          </w:r>
          <w:r w:rsidR="004C0D8D" w:rsidRPr="005F248A">
            <w:t xml:space="preserve"> pitkälle syksyyn jatkunut epävakaa työmarkkinatilanne</w:t>
          </w:r>
          <w:r w:rsidR="009316AE" w:rsidRPr="005F248A">
            <w:t xml:space="preserve"> keskeisten työntekijäjärjestöjen osalta</w:t>
          </w:r>
          <w:r w:rsidR="004C0D8D" w:rsidRPr="005F248A">
            <w:t xml:space="preserve"> on</w:t>
          </w:r>
          <w:r w:rsidR="00627EE3" w:rsidRPr="005F248A">
            <w:t xml:space="preserve"> myös osaltaan </w:t>
          </w:r>
          <w:r w:rsidR="004C0D8D" w:rsidRPr="005F248A">
            <w:t>vaikuttanut henkilöstö</w:t>
          </w:r>
          <w:r w:rsidR="005F248A" w:rsidRPr="005F248A">
            <w:t>n saatavuuteen</w:t>
          </w:r>
          <w:r w:rsidR="004C0D8D" w:rsidRPr="005F248A">
            <w:t xml:space="preserve">. </w:t>
          </w:r>
          <w:r w:rsidR="00627EE3" w:rsidRPr="005F248A">
            <w:t xml:space="preserve">Hyvinvointialueiden toiminnan valmistelu vuoden 2022 aikana on työllistänyt kuntien </w:t>
          </w:r>
          <w:proofErr w:type="spellStart"/>
          <w:r w:rsidR="00627EE3" w:rsidRPr="005F248A">
            <w:t>sote</w:t>
          </w:r>
          <w:proofErr w:type="spellEnd"/>
          <w:r w:rsidR="00627EE3" w:rsidRPr="005F248A">
            <w:t xml:space="preserve">-henkilöstöä ja </w:t>
          </w:r>
          <w:r w:rsidR="00361E8A" w:rsidRPr="005F248A">
            <w:t>vaikeuttanut lain toimeenpanoa</w:t>
          </w:r>
          <w:r w:rsidR="00361E8A">
            <w:rPr>
              <w:color w:val="00B050"/>
            </w:rPr>
            <w:t>.</w:t>
          </w:r>
        </w:p>
        <w:p w14:paraId="0ECE8293" w14:textId="77777777" w:rsidR="00A939B2" w:rsidRDefault="00A939B2" w:rsidP="00A939B2">
          <w:pPr>
            <w:pStyle w:val="LLP2Otsikkotaso"/>
          </w:pPr>
          <w:bookmarkStart w:id="5" w:name="_Toc116892978"/>
          <w:r>
            <w:t>Valmistelu</w:t>
          </w:r>
          <w:bookmarkEnd w:id="5"/>
        </w:p>
        <w:p w14:paraId="2373FAE0" w14:textId="1F86542C" w:rsidR="00034FF0" w:rsidRDefault="00034FF0" w:rsidP="00034FF0">
          <w:pPr>
            <w:pStyle w:val="LLPerustelujenkappalejako"/>
          </w:pPr>
          <w:r>
            <w:t>Vuoden</w:t>
          </w:r>
          <w:r w:rsidR="00627EE3">
            <w:t xml:space="preserve"> 2022 aikana </w:t>
          </w:r>
          <w:r w:rsidR="00DD5A56" w:rsidRPr="00B50B98">
            <w:t xml:space="preserve">sekä palvelujen järjestämisestä vastaavat </w:t>
          </w:r>
          <w:proofErr w:type="gramStart"/>
          <w:r w:rsidR="00DD5A56" w:rsidRPr="00B50B98">
            <w:t>tahot</w:t>
          </w:r>
          <w:proofErr w:type="gramEnd"/>
          <w:r w:rsidR="00DD5A56" w:rsidRPr="00B50B98">
            <w:t xml:space="preserve"> että palvelujen tuottajat ovat tuoneet esiin vaikeuksia </w:t>
          </w:r>
          <w:r w:rsidR="0018022A" w:rsidRPr="00B50B98">
            <w:t>henkilöstö</w:t>
          </w:r>
          <w:r w:rsidR="00DD5A56" w:rsidRPr="00B50B98">
            <w:t>mitoituksen toimeenpanossa</w:t>
          </w:r>
          <w:r w:rsidR="0018022A" w:rsidRPr="00B50B98">
            <w:t>, vaikka henkilöstöä on toimintayksiköissä saatu lisättyä</w:t>
          </w:r>
          <w:r w:rsidR="00DD5A56" w:rsidRPr="00B50B98">
            <w:t xml:space="preserve">. Kesän aikana </w:t>
          </w:r>
          <w:proofErr w:type="spellStart"/>
          <w:r w:rsidR="00305851" w:rsidRPr="00B50B98">
            <w:t>sosia</w:t>
          </w:r>
          <w:r w:rsidR="0018022A" w:rsidRPr="00B50B98">
            <w:t>ali</w:t>
          </w:r>
          <w:proofErr w:type="spellEnd"/>
          <w:r w:rsidR="0018022A" w:rsidRPr="00B50B98">
            <w:t>- ja terveydenhuollon palvelut</w:t>
          </w:r>
          <w:r w:rsidR="00DD5A56" w:rsidRPr="00B50B98">
            <w:t xml:space="preserve"> ruuhkautuivat pahoin ja </w:t>
          </w:r>
          <w:r w:rsidR="00305851" w:rsidRPr="00B50B98">
            <w:t xml:space="preserve">alkusyksystä todettiin, että tilanne edellyttää käytettävissä olevien vaihtoehtojen arviointia. </w:t>
          </w:r>
          <w:r w:rsidR="00DD5A56" w:rsidRPr="00B50B98">
            <w:t>T</w:t>
          </w:r>
          <w:r w:rsidR="005F248A" w:rsidRPr="00B50B98">
            <w:t xml:space="preserve">erveyden ja hyvinvoinnin laitos </w:t>
          </w:r>
          <w:r w:rsidR="00DD5A56" w:rsidRPr="00B50B98">
            <w:t>totesi kannanotossaan</w:t>
          </w:r>
          <w:r w:rsidR="00783860">
            <w:rPr>
              <w:rStyle w:val="Alaviitteenviite"/>
            </w:rPr>
            <w:footnoteReference w:id="2"/>
          </w:r>
          <w:r w:rsidR="00DD5A56" w:rsidRPr="00B50B98">
            <w:t xml:space="preserve">, että 0,7 </w:t>
          </w:r>
          <w:r w:rsidR="005F248A" w:rsidRPr="00B50B98">
            <w:t xml:space="preserve">työntekijän </w:t>
          </w:r>
          <w:r w:rsidR="00DD5A56" w:rsidRPr="00B50B98">
            <w:t>mitoituksen toimeenpanoa tulisi lykätä</w:t>
          </w:r>
          <w:r w:rsidR="00305851" w:rsidRPr="00B50B98">
            <w:t>.</w:t>
          </w:r>
          <w:r w:rsidR="00305851" w:rsidRPr="00305851">
            <w:t xml:space="preserve"> </w:t>
          </w:r>
          <w:r w:rsidR="00305851" w:rsidRPr="00B50B98">
            <w:t xml:space="preserve">Asiassa tehtiin syksyn aikana taustoittavaa virkavalmistelua. </w:t>
          </w:r>
          <w:proofErr w:type="spellStart"/>
          <w:r w:rsidR="00877820" w:rsidRPr="00B50B98">
            <w:t>S</w:t>
          </w:r>
          <w:r w:rsidR="0018022A" w:rsidRPr="00B50B98">
            <w:t>ote</w:t>
          </w:r>
          <w:proofErr w:type="spellEnd"/>
          <w:r w:rsidR="0018022A" w:rsidRPr="00B50B98">
            <w:t>-ministerityöryhmä päätti 27.9.202</w:t>
          </w:r>
          <w:r w:rsidR="00E767F3">
            <w:t>2</w:t>
          </w:r>
          <w:r w:rsidR="0018022A" w:rsidRPr="00B50B98">
            <w:t xml:space="preserve"> kokouksessaan käynnistää hallituksen esityksen valmistelun vanhuspalvelulain voimaantulosäännöksen muuttamiseksi. </w:t>
          </w:r>
        </w:p>
        <w:p w14:paraId="336C2311" w14:textId="045C9F49" w:rsidR="00D20E3A" w:rsidRPr="00D20E3A" w:rsidRDefault="00034FF0" w:rsidP="00034FF0">
          <w:pPr>
            <w:pStyle w:val="LLPerustelujenkappalejako"/>
          </w:pPr>
          <w:r>
            <w:t xml:space="preserve">Lausuntopyynnöt lähetettiin   </w:t>
          </w:r>
          <w:r w:rsidR="00B50B98">
            <w:t>xx.10</w:t>
          </w:r>
          <w:r>
            <w:t>.2022 ja lausunnot pyydettiin…</w:t>
          </w:r>
        </w:p>
        <w:p w14:paraId="568A05C9" w14:textId="77777777" w:rsidR="008414FE" w:rsidRDefault="00A939B2" w:rsidP="000E61DF">
          <w:pPr>
            <w:pStyle w:val="LLP1Otsikkotaso"/>
          </w:pPr>
          <w:bookmarkStart w:id="6" w:name="_Toc116892979"/>
          <w:r>
            <w:t>Nykytila ja sen arviointi</w:t>
          </w:r>
          <w:bookmarkEnd w:id="6"/>
        </w:p>
        <w:p w14:paraId="080CDC38" w14:textId="7932E88A" w:rsidR="008230FF" w:rsidRDefault="008230FF" w:rsidP="008230FF">
          <w:pPr>
            <w:pStyle w:val="LLPerustelujenkappalejako"/>
          </w:pPr>
          <w:r>
            <w:t xml:space="preserve">Vanhuspalvelulain 20 §:n </w:t>
          </w:r>
          <w:r w:rsidR="00164392">
            <w:t>2</w:t>
          </w:r>
          <w:r>
            <w:t xml:space="preserve"> momentin</w:t>
          </w:r>
          <w:r w:rsidR="00164392">
            <w:t xml:space="preserve"> </w:t>
          </w:r>
          <w:r w:rsidR="00164392" w:rsidRPr="00164392">
            <w:t xml:space="preserve">(565/2020) </w:t>
          </w:r>
          <w:r>
            <w:t>mukaan toteutuneen henkilöstömitoituksen tehostetun palveluasumisen ja pitkäaikaisen laitoshoidon toimintayksikössä, jolla on yhteiset toimitilat ja oma työvuorosuunnittelu ja joka toimii yhden esimiehen alaisuudessa, on oltava vähintään 0,7 työntekijää asiakasta kohti.</w:t>
          </w:r>
          <w:r w:rsidR="005F248A">
            <w:t xml:space="preserve"> </w:t>
          </w:r>
        </w:p>
        <w:p w14:paraId="70690EE8" w14:textId="272FBA60" w:rsidR="008230FF" w:rsidRDefault="008230FF" w:rsidP="008230FF">
          <w:pPr>
            <w:pStyle w:val="LLPerustelujenkappalejako"/>
          </w:pPr>
          <w:r>
            <w:lastRenderedPageBreak/>
            <w:t xml:space="preserve">Pykälän </w:t>
          </w:r>
          <w:r w:rsidR="00164392">
            <w:t>3</w:t>
          </w:r>
          <w:r>
            <w:t xml:space="preserve"> momentin mukaan toteutunut henkilöstömitoitus tarkoittaa toimintayksikössä </w:t>
          </w:r>
          <w:proofErr w:type="spellStart"/>
          <w:r>
            <w:t>paikal</w:t>
          </w:r>
          <w:proofErr w:type="spellEnd"/>
          <w:r>
            <w:t>-la olevien välitöntä asiakastyötä tekevien 3 a §:ssä tarkoitettujen työntekijöiden työpanosta suhteessa toimintayksikössä kolmen viikon seurantajakson aikana olevien asiakkaiden määrään. Välillistä työtä ei oteta huomioon henkilöstömitoituksessa.</w:t>
          </w:r>
        </w:p>
        <w:p w14:paraId="1A70DCD0" w14:textId="00D1B46C" w:rsidR="008230FF" w:rsidRDefault="008230FF" w:rsidP="008230FF">
          <w:pPr>
            <w:pStyle w:val="LLPerustelujenkappalejako"/>
          </w:pPr>
          <w:r>
            <w:t>Lakimuutoksen voimaantulosäännöksen mukaan kyseistä henkilöstömitoitusta sovelletaan 1.4.2023 lukien. Voimaantulosäännöksen mukaan henkilöstömitoituksen oli oltava 1.10.2020 lukien vähintään 0,5 työntekijää, 1.1.2021 lukien vähintään 0,55 työntekijää ja 1.1.2022 lukien vähintään 0,6 työntekijää asiakasta kohti.</w:t>
          </w:r>
        </w:p>
        <w:p w14:paraId="4F807BDA" w14:textId="6E644137" w:rsidR="005F248A" w:rsidRDefault="00877820" w:rsidP="005F248A">
          <w:pPr>
            <w:pStyle w:val="LLPerustelujenkappalejako"/>
          </w:pPr>
          <w:r>
            <w:t xml:space="preserve">Vanhuspalvelulain </w:t>
          </w:r>
          <w:r w:rsidR="005F248A">
            <w:t xml:space="preserve">1.1.2023 voimaan tulevan </w:t>
          </w:r>
          <w:r w:rsidR="00D40EDF">
            <w:t xml:space="preserve">muutetun </w:t>
          </w:r>
          <w:r w:rsidR="005F248A">
            <w:t xml:space="preserve">20 §:n </w:t>
          </w:r>
          <w:r w:rsidR="00D40EDF">
            <w:t>2 momentin</w:t>
          </w:r>
          <w:r w:rsidR="005F248A">
            <w:t xml:space="preserve"> </w:t>
          </w:r>
          <w:proofErr w:type="gramStart"/>
          <w:r w:rsidR="005F248A">
            <w:t xml:space="preserve">(  </w:t>
          </w:r>
          <w:proofErr w:type="gramEnd"/>
          <w:r w:rsidR="005F248A">
            <w:t xml:space="preserve">  /2022) mukaan kyseistä henkilöstömitoitusta sovelletaan sosiaalihuoltolain 21 c §:</w:t>
          </w:r>
          <w:r w:rsidR="002D5C1B">
            <w:t xml:space="preserve">ssä tarkoitetun ympärivuorokautisen </w:t>
          </w:r>
          <w:r w:rsidR="005F248A">
            <w:t xml:space="preserve"> </w:t>
          </w:r>
          <w:r w:rsidR="002D5C1B">
            <w:t xml:space="preserve">palveluasumisen toimintayksiköissä. Määritelmä vastaa sisällöltään tehostetun palveluasumisen </w:t>
          </w:r>
          <w:r w:rsidRPr="00877820">
            <w:t>käsitettä. Lakiuudistuksessa säädettiin myös iäkkäiden</w:t>
          </w:r>
          <w:r w:rsidR="002D5C1B">
            <w:t xml:space="preserve"> pitkäaikaisen laitoshoidon </w:t>
          </w:r>
          <w:r w:rsidRPr="00877820">
            <w:t>lakkauttamisesta siirtymäajan jälkeen 31.12.2027. Lain voimaantulosäännöksen mukaan 20 §:n 2 momentissa säädettyä henkilöstömitoitusta sovelletaan myös iäkkäiden pitkäaikaisen laitoshoidon toimintayksiköihin siirtymäajan aikana.</w:t>
          </w:r>
          <w:r w:rsidR="002D5C1B">
            <w:t xml:space="preserve"> Lakimuutoksen voimaantulosäännöksen </w:t>
          </w:r>
          <w:r w:rsidR="00164392">
            <w:t xml:space="preserve">4 momentin </w:t>
          </w:r>
          <w:r w:rsidR="002D5C1B">
            <w:t xml:space="preserve">mukaan säännöksessä säädettyä henkilöstömitoitusta sovelletaan 1 päivästä huhtikuuta 2023. Sitä ennen henkilöstömitoituksen on oltava vähintään 0,6 työntekijää asiakasta kohti. </w:t>
          </w:r>
        </w:p>
        <w:p w14:paraId="43D473E2" w14:textId="485BB304" w:rsidR="002F6F1C" w:rsidRPr="002D5C1B" w:rsidRDefault="004A0F88" w:rsidP="008230FF">
          <w:pPr>
            <w:pStyle w:val="LLPerustelujenkappalejako"/>
          </w:pPr>
          <w:r w:rsidRPr="002D5C1B">
            <w:t xml:space="preserve">Henkilöstöresurssien lisääminen ja toimijoita velvoittavan numeerisen vähimmäismitoituksen säätäminen todettiin </w:t>
          </w:r>
          <w:r w:rsidR="00877820">
            <w:t xml:space="preserve">vuonna 2020 </w:t>
          </w:r>
          <w:r w:rsidRPr="002D5C1B">
            <w:t xml:space="preserve">välttämättömäksi hoidon laatua heikentävien ja asiakasturvallisuutta vaarantavien puutteiden vuoksi. </w:t>
          </w:r>
          <w:r w:rsidR="002F6F1C" w:rsidRPr="002D5C1B">
            <w:t xml:space="preserve">Iäkkäiden ympärivuorokautisen hoidon henkilöstömitoitusta koskevassa hallituksen esityksessä </w:t>
          </w:r>
          <w:r w:rsidR="002D5C1B" w:rsidRPr="002D5C1B">
            <w:t xml:space="preserve">HE </w:t>
          </w:r>
          <w:r w:rsidR="002F6F1C" w:rsidRPr="002D5C1B">
            <w:t>4/2020</w:t>
          </w:r>
          <w:r w:rsidR="002D5C1B" w:rsidRPr="002D5C1B">
            <w:t xml:space="preserve"> vp</w:t>
          </w:r>
          <w:r w:rsidR="00A82ECB" w:rsidRPr="002D5C1B">
            <w:t xml:space="preserve"> on</w:t>
          </w:r>
          <w:r w:rsidR="002F6F1C" w:rsidRPr="002D5C1B">
            <w:t xml:space="preserve"> käsitelty yksityiskohtaisesti henkilöstön saatavuutta ja lisäystarpeita.</w:t>
          </w:r>
        </w:p>
        <w:p w14:paraId="0D56E6AB" w14:textId="17157B27" w:rsidR="00313AF9" w:rsidRPr="00B50B98" w:rsidRDefault="002D5C1B" w:rsidP="004A0F88">
          <w:pPr>
            <w:pStyle w:val="LLPerustelujenkappalejako"/>
          </w:pPr>
          <w:r>
            <w:t>Näi</w:t>
          </w:r>
          <w:r w:rsidR="00310D16">
            <w:t xml:space="preserve">den palveluiden </w:t>
          </w:r>
          <w:r w:rsidR="00877820">
            <w:t>lakisääteisellä</w:t>
          </w:r>
          <w:r w:rsidR="00310D16">
            <w:t xml:space="preserve"> henkilöstömitoituksella </w:t>
          </w:r>
          <w:r w:rsidR="002F6F1C" w:rsidRPr="002D5C1B">
            <w:t>turvataan iäkkäiden henkilöiden</w:t>
          </w:r>
          <w:r w:rsidR="002F6F1C" w:rsidRPr="00B50B98">
            <w:t xml:space="preserve"> oikeutta välttämättömään huolenpitoon ja riittäviin </w:t>
          </w:r>
          <w:proofErr w:type="spellStart"/>
          <w:r w:rsidR="002F6F1C" w:rsidRPr="00B50B98">
            <w:t>sosiaali</w:t>
          </w:r>
          <w:proofErr w:type="spellEnd"/>
          <w:r w:rsidR="002F6F1C" w:rsidRPr="00B50B98">
            <w:t>- ja terveyspalveluihin sekä toteutetaan iäkkäiden henkilöiden yhdenvertaisuutta ja osallisuutta yhteiskunnassa.</w:t>
          </w:r>
          <w:r w:rsidR="00F17954" w:rsidRPr="00B50B98">
            <w:t xml:space="preserve"> Ympärivuorokautisen hoidon RAI-arvioiduista asiakkaista (kevät 2022) suurimmalla osalla (73 %) on dementiadiagnoosi ja kolmella neljästä asiakkaasta on keskimäärin vähintään keskivaikea kognitiivinen häiriö. Ympärivuorokautisen hoidon asiakkailla on kohtalaisesti tai runsaasti vaikeuksia suoriutua päivittäisissä toimissa kuten ruokailussa, henkilökohtaisessa hygieniassa tai wc:ssä käymisessä. </w:t>
          </w:r>
          <w:r w:rsidR="00310D16" w:rsidRPr="00B50B98">
            <w:t>Lisäksi y</w:t>
          </w:r>
          <w:r w:rsidR="00F17954" w:rsidRPr="00B50B98">
            <w:t>ksiköiden asiakkaista oli masennusepäily keskimäärin useammalla kuin joka neljännellä (n</w:t>
          </w:r>
          <w:r w:rsidR="00313AF9" w:rsidRPr="00B50B98">
            <w:t>oin</w:t>
          </w:r>
          <w:r w:rsidR="00F17954" w:rsidRPr="00B50B98">
            <w:t xml:space="preserve"> 28 % asiakkaista). </w:t>
          </w:r>
          <w:r w:rsidRPr="00B50B98">
            <w:t xml:space="preserve">Asiakkaiden keskimääräinen arkitoiminnoissa suoriutuminen on heikentynyt hieman viimeisen vuosikymmenen aikana. </w:t>
          </w:r>
          <w:r w:rsidR="00313AF9" w:rsidRPr="00B50B98">
            <w:t>A</w:t>
          </w:r>
          <w:r w:rsidR="00C11523" w:rsidRPr="00B50B98">
            <w:t xml:space="preserve">siakaskunnan toimintakyvyn heikentyminen </w:t>
          </w:r>
          <w:r w:rsidR="00313AF9" w:rsidRPr="00B50B98">
            <w:t xml:space="preserve">on siten </w:t>
          </w:r>
          <w:r w:rsidR="00C11523" w:rsidRPr="00B50B98">
            <w:t>edellyttä</w:t>
          </w:r>
          <w:r w:rsidR="00313AF9" w:rsidRPr="00B50B98">
            <w:t>nyt</w:t>
          </w:r>
          <w:r w:rsidR="00C11523" w:rsidRPr="00B50B98">
            <w:t xml:space="preserve"> </w:t>
          </w:r>
          <w:r w:rsidR="00313AF9" w:rsidRPr="00B50B98">
            <w:t xml:space="preserve">aiempaakin </w:t>
          </w:r>
          <w:r w:rsidR="00C11523" w:rsidRPr="00B50B98">
            <w:t>suurempaa henkilöstö</w:t>
          </w:r>
          <w:r w:rsidR="00313AF9" w:rsidRPr="00B50B98">
            <w:t xml:space="preserve">määrää asiakasta kohti. </w:t>
          </w:r>
        </w:p>
        <w:p w14:paraId="7345E87E" w14:textId="78567C22" w:rsidR="004A0F88" w:rsidRPr="00B50B98" w:rsidRDefault="00313AF9" w:rsidP="004A0F88">
          <w:pPr>
            <w:pStyle w:val="LLPerustelujenkappalejako"/>
          </w:pPr>
          <w:r w:rsidRPr="00B50B98">
            <w:t xml:space="preserve">Riittävällä lakisääteisellä henkilöstömitoituksella turvataan myös henkilöstön hyvinvointia ja työssä jaksamista. </w:t>
          </w:r>
          <w:r w:rsidR="00F854A8" w:rsidRPr="00B50B98">
            <w:t>Työterveyslaitoksen</w:t>
          </w:r>
          <w:r w:rsidR="00783860">
            <w:rPr>
              <w:rStyle w:val="Alaviitteenviite"/>
            </w:rPr>
            <w:footnoteReference w:id="3"/>
          </w:r>
          <w:r w:rsidR="00F854A8" w:rsidRPr="00B50B98">
            <w:t xml:space="preserve"> tutkimusten mukaan e</w:t>
          </w:r>
          <w:r w:rsidR="00286629" w:rsidRPr="00B50B98">
            <w:t xml:space="preserve">ettinen kuormitus ja monet muut työn </w:t>
          </w:r>
          <w:proofErr w:type="spellStart"/>
          <w:r w:rsidR="00286629" w:rsidRPr="00B50B98">
            <w:t>psykososiaaliset</w:t>
          </w:r>
          <w:proofErr w:type="spellEnd"/>
          <w:r w:rsidR="00286629" w:rsidRPr="00B50B98">
            <w:t xml:space="preserve"> kuormitustekijät ovat vanhustyössä muuta </w:t>
          </w:r>
          <w:proofErr w:type="spellStart"/>
          <w:r w:rsidR="00286629" w:rsidRPr="00B50B98">
            <w:t>sosiaali</w:t>
          </w:r>
          <w:proofErr w:type="spellEnd"/>
          <w:r w:rsidR="00286629" w:rsidRPr="00B50B98">
            <w:t>- ja terveydenhuoltoa yleisempiä. Eettisen kuormituksen seurauksia vanhuspalveluiden työntekijöille olivat työstä poissaolot, mielenterveysongelmat, epäterveelliset ja epäsosiaaliset elämäntavat ja fyysiset oireet sekä heikentynyt työkyky. Eettistä kuormitusta aiheuttavia tilanteita ovat</w:t>
          </w:r>
          <w:r w:rsidR="00BE6279" w:rsidRPr="00B50B98">
            <w:t xml:space="preserve"> muun muassa</w:t>
          </w:r>
          <w:r w:rsidR="00286629" w:rsidRPr="00B50B98">
            <w:t xml:space="preserve"> työpaikan organisatoriset rajoitteet</w:t>
          </w:r>
          <w:r w:rsidR="00BE6279" w:rsidRPr="00B50B98">
            <w:t>, jotka</w:t>
          </w:r>
          <w:r w:rsidR="00286629" w:rsidRPr="00B50B98">
            <w:t xml:space="preserve"> liittyivät esimerkiksi johtamiseen, työvuorojen järjestämiseen ja riittämättömiin resursseihin. </w:t>
          </w:r>
        </w:p>
        <w:p w14:paraId="1CFA3A5F" w14:textId="6F42D533" w:rsidR="008C4C15" w:rsidRDefault="008C4C15" w:rsidP="00783860">
          <w:pPr>
            <w:spacing w:line="240" w:lineRule="auto"/>
            <w:rPr>
              <w:rFonts w:eastAsiaTheme="minorHAnsi"/>
            </w:rPr>
          </w:pPr>
          <w:r w:rsidRPr="007A452D">
            <w:lastRenderedPageBreak/>
            <w:t>Iäkkäiden palvelujen henkilöstön määrää on seurattu vuodesta 2014 lähtien. Ensimmäisen neljän vuoden aikana toteutunut mitoitus säilyi lähes muuttumattomana, mutta vuonna 2018 0,7 mitoituksen täyttäneiden yksiköiden määrä nousi</w:t>
          </w:r>
          <w:r w:rsidR="00CF2797" w:rsidRPr="007A452D">
            <w:t xml:space="preserve"> jonkin verran</w:t>
          </w:r>
          <w:r w:rsidRPr="007A452D">
            <w:t xml:space="preserve">. </w:t>
          </w:r>
        </w:p>
        <w:p w14:paraId="469DFD7E" w14:textId="201016E4" w:rsidR="008C4C15" w:rsidRDefault="008C4C15" w:rsidP="008C4C15">
          <w:r>
            <w:rPr>
              <w:noProof/>
              <w:lang w:eastAsia="fi-FI"/>
            </w:rPr>
            <w:drawing>
              <wp:inline distT="0" distB="0" distL="0" distR="0" wp14:anchorId="621919F8" wp14:editId="7A5304F4">
                <wp:extent cx="3055620" cy="1840230"/>
                <wp:effectExtent l="0" t="0" r="0" b="762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840230"/>
                        </a:xfrm>
                        <a:prstGeom prst="rect">
                          <a:avLst/>
                        </a:prstGeom>
                        <a:noFill/>
                        <a:ln>
                          <a:noFill/>
                        </a:ln>
                      </pic:spPr>
                    </pic:pic>
                  </a:graphicData>
                </a:graphic>
              </wp:inline>
            </w:drawing>
          </w:r>
        </w:p>
        <w:p w14:paraId="244ADDF4" w14:textId="5013C2E4" w:rsidR="008C4C15" w:rsidRPr="007A452D" w:rsidRDefault="00783860" w:rsidP="008C4C15">
          <w:r w:rsidRPr="00783860">
            <w:rPr>
              <w:b/>
            </w:rPr>
            <w:t>Kuvio 1.</w:t>
          </w:r>
          <w:r>
            <w:t xml:space="preserve"> Henkilöstömäärän kehitys 2014-2018. </w:t>
          </w:r>
          <w:r w:rsidR="008C4C15" w:rsidRPr="007A452D">
            <w:t>Lähde: Vanhuspalvelujen tila –seuranta THL</w:t>
          </w:r>
        </w:p>
        <w:p w14:paraId="198CA5A8" w14:textId="77777777" w:rsidR="008C4C15" w:rsidRPr="007A452D" w:rsidRDefault="008C4C15" w:rsidP="008C4C15"/>
        <w:p w14:paraId="3612A058" w14:textId="1A46DD53" w:rsidR="008C4C15" w:rsidRPr="007A452D" w:rsidRDefault="008C4C15" w:rsidP="00783860">
          <w:pPr>
            <w:spacing w:line="240" w:lineRule="auto"/>
          </w:pPr>
          <w:r w:rsidRPr="007A452D">
            <w:t xml:space="preserve">Vuonna 2020 </w:t>
          </w:r>
          <w:r w:rsidR="0051296F" w:rsidRPr="007A452D">
            <w:t xml:space="preserve">voimaan tullut säännös </w:t>
          </w:r>
          <w:r w:rsidRPr="007A452D">
            <w:t xml:space="preserve">henkilöstömitoituksen laskemisesta on aiempaa ohjeistusta tarkempi ja edellyttää työajan jakamisen välilliseen ja välittömään työhön, josta vain välitön </w:t>
          </w:r>
          <w:r w:rsidR="0051296F" w:rsidRPr="007A452D">
            <w:t>asiakas</w:t>
          </w:r>
          <w:r w:rsidRPr="007A452D">
            <w:t>työ otetaan mitoituslaskennassa huomioon.</w:t>
          </w:r>
          <w:r w:rsidR="005222A3" w:rsidRPr="007A452D">
            <w:t xml:space="preserve"> Laskentatavan tiukentumisesta huolimatta</w:t>
          </w:r>
          <w:r w:rsidRPr="007A452D">
            <w:t xml:space="preserve"> </w:t>
          </w:r>
          <w:r w:rsidR="005222A3" w:rsidRPr="007A452D">
            <w:t>v</w:t>
          </w:r>
          <w:r w:rsidRPr="007A452D">
            <w:t xml:space="preserve">iimeisen kahden vuoden aikana henkilöstömitoitus on selvästi noussut ja 0,7 </w:t>
          </w:r>
          <w:r w:rsidR="0051296F" w:rsidRPr="007A452D">
            <w:t xml:space="preserve">mitoituksen </w:t>
          </w:r>
          <w:r w:rsidRPr="007A452D">
            <w:t>täyttäneiden yksiköiden määrä on kasvanut. Toukokuussa 2022 niitä oli 28 prosenttia kaikista ympärivuorokautisen hoidon yksiköistä, mikä on enemmän kuin kertaakaan aiemmin.</w:t>
          </w:r>
        </w:p>
        <w:p w14:paraId="039E1415" w14:textId="5356E2C6" w:rsidR="008C4C15" w:rsidRDefault="008C4C15" w:rsidP="008C4C15">
          <w:r>
            <w:rPr>
              <w:noProof/>
              <w:lang w:eastAsia="fi-FI"/>
            </w:rPr>
            <w:drawing>
              <wp:inline distT="0" distB="0" distL="0" distR="0" wp14:anchorId="78061901" wp14:editId="3E72C0B0">
                <wp:extent cx="3373755" cy="24193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3755" cy="2419350"/>
                        </a:xfrm>
                        <a:prstGeom prst="rect">
                          <a:avLst/>
                        </a:prstGeom>
                        <a:noFill/>
                        <a:ln>
                          <a:noFill/>
                        </a:ln>
                      </pic:spPr>
                    </pic:pic>
                  </a:graphicData>
                </a:graphic>
              </wp:inline>
            </w:drawing>
          </w:r>
        </w:p>
        <w:p w14:paraId="639A39F3" w14:textId="2E1D1272" w:rsidR="008C4C15" w:rsidRPr="00783860" w:rsidRDefault="00783860" w:rsidP="008230FF">
          <w:pPr>
            <w:pStyle w:val="LLPerustelujenkappalejako"/>
          </w:pPr>
          <w:r w:rsidRPr="00783860">
            <w:rPr>
              <w:b/>
            </w:rPr>
            <w:t>Kuvio 2.</w:t>
          </w:r>
          <w:r>
            <w:t xml:space="preserve"> Henkilöstömitoituksen toteutuminen 2021-2022.</w:t>
          </w:r>
        </w:p>
        <w:p w14:paraId="59D6050D" w14:textId="1FDE149C" w:rsidR="008230FF" w:rsidRPr="00B50B98" w:rsidRDefault="006E5D8F" w:rsidP="008230FF">
          <w:pPr>
            <w:pStyle w:val="LLPerustelujenkappalejako"/>
          </w:pPr>
          <w:proofErr w:type="spellStart"/>
          <w:r w:rsidRPr="00B50B98">
            <w:t>THL:n</w:t>
          </w:r>
          <w:proofErr w:type="spellEnd"/>
          <w:r w:rsidRPr="00B50B98">
            <w:t xml:space="preserve"> Vanhuspalvelujen tila -seurannan perusteella toukokuun 2022 tilanteeseen verrattuna tarvitaan 1 492 henkilön laskennallinen lisätyöpanos, jotta kyetään saavuttamaan mitoitus 0,65 ja noin 3 400 henkilön laskennallinen lisätyöpanos mitoitukseen 0,7.</w:t>
          </w:r>
        </w:p>
        <w:p w14:paraId="569D1E4C" w14:textId="21AB5218" w:rsidR="009316AE" w:rsidRPr="00B50B98" w:rsidRDefault="00103A23" w:rsidP="008230FF">
          <w:pPr>
            <w:pStyle w:val="LLPerustelujenkappalejako"/>
          </w:pPr>
          <w:r w:rsidRPr="00B50B98">
            <w:t xml:space="preserve">Monet, osin samanaikaiset tekijät toimintaympäristössä ovat vaikeuttaneet henkilöstömitoituksen parantamista siten, että </w:t>
          </w:r>
          <w:r w:rsidR="00A92874" w:rsidRPr="00B50B98">
            <w:t xml:space="preserve">vähintään </w:t>
          </w:r>
          <w:r w:rsidRPr="00B50B98">
            <w:t xml:space="preserve">0,7 </w:t>
          </w:r>
          <w:r w:rsidR="00A92874" w:rsidRPr="00B50B98">
            <w:t xml:space="preserve">työntekijän </w:t>
          </w:r>
          <w:r w:rsidRPr="00B50B98">
            <w:t>mitoitus olisi mahdollista saavuttaa lain edellyttämään määräaikaan mennessä.</w:t>
          </w:r>
        </w:p>
        <w:p w14:paraId="609A25EC" w14:textId="16906257" w:rsidR="004A0F88" w:rsidRPr="00B50B98" w:rsidRDefault="008326D0" w:rsidP="009316AE">
          <w:pPr>
            <w:pStyle w:val="LLPerustelujenkappalejako"/>
          </w:pPr>
          <w:r w:rsidRPr="00B50B98">
            <w:lastRenderedPageBreak/>
            <w:t>COVID-19 –pandemia on vaikeuttanut</w:t>
          </w:r>
          <w:r w:rsidR="00103A23" w:rsidRPr="00B50B98">
            <w:t xml:space="preserve"> </w:t>
          </w:r>
          <w:proofErr w:type="spellStart"/>
          <w:r w:rsidRPr="00B50B98">
            <w:t>sosiaali</w:t>
          </w:r>
          <w:proofErr w:type="spellEnd"/>
          <w:r w:rsidRPr="00B50B98">
            <w:t>- ja terveydenhuollon toimintaa ja henkilöstön saatavuutta monin tavoin keväästä 2020 lähtien. Henkilöstön sairastumiset ja altistumiset virukselle ovat aiheuttaneet vajausta henkilöstössä koko pandemian ajan</w:t>
          </w:r>
          <w:r w:rsidR="00103A23" w:rsidRPr="00B50B98">
            <w:t>, jolloin resurssien lisääminen yhdessä järjestelmän osassa on ollut vaikeaa</w:t>
          </w:r>
          <w:r w:rsidRPr="00B50B98">
            <w:t xml:space="preserve">. Ympärivuorokautisen hoidon toimintayksiköiden toiminnan organisoiminen asiakkaiden suojaamiseksi tartunnoilta, mm. ryhmätoimintojen keskeyttäminen ja asiakkaiden toimintakyvyn ylläpitäminen yksilökohtaisin toimenpitein </w:t>
          </w:r>
          <w:r w:rsidR="00103A23" w:rsidRPr="00B50B98">
            <w:t xml:space="preserve">kuormitti henkilöstöresurssia. Lisäksi asiakkaiden koronatartunnat hoidetaan pääsääntöisesti toimintayksiköissä, jolloin siihen on sitoutunut huomattavasti henkilöstön työaikaa. Samoin ympärivuorokautisen hoidon asiakkaat on rokotettu omissa yksiköissään. </w:t>
          </w:r>
        </w:p>
        <w:p w14:paraId="3F96702D" w14:textId="0C737CC5" w:rsidR="007C74D8" w:rsidRPr="00B50B98" w:rsidRDefault="007C74D8" w:rsidP="007C74D8">
          <w:pPr>
            <w:pStyle w:val="LLPerustelujenkappalejako"/>
          </w:pPr>
          <w:proofErr w:type="spellStart"/>
          <w:r w:rsidRPr="00B50B98">
            <w:t>Sote</w:t>
          </w:r>
          <w:proofErr w:type="spellEnd"/>
          <w:r w:rsidRPr="00B50B98">
            <w:t>-alan</w:t>
          </w:r>
          <w:r w:rsidR="00495F2D" w:rsidRPr="00B50B98">
            <w:t xml:space="preserve"> pitkään jatkunut sopimukseton työmarkkinatilanne</w:t>
          </w:r>
          <w:r w:rsidRPr="00B50B98">
            <w:t xml:space="preserve"> hankaloitti </w:t>
          </w:r>
          <w:r w:rsidR="00044AC1" w:rsidRPr="00B50B98">
            <w:t>osaltaan henkilöstön saatavuutta</w:t>
          </w:r>
          <w:r w:rsidRPr="00B50B98">
            <w:t xml:space="preserve">. Uusien työntekijöiden rekrytoiminen oli aikaisempaa vaikeampaa, kun alan palkkakehitys oli auki ja pääsopijajärjestöt suunnittelivat samalla joukkoirtisanoutumisia. </w:t>
          </w:r>
        </w:p>
        <w:p w14:paraId="104EB100" w14:textId="5B067A98" w:rsidR="008230FF" w:rsidRPr="00B50B98" w:rsidRDefault="00044AC1" w:rsidP="008230FF">
          <w:pPr>
            <w:pStyle w:val="LLPerustelujenkappalejako"/>
          </w:pPr>
          <w:r w:rsidRPr="00B50B98">
            <w:t>Sosiaali- ja terveydenhuollon järjestämisvastuun siirtymisellä hyvinvointialueille vuoden 2023 alusta on myös ollut oma vaikutuksensa henkilöstömitoituksen toimeenpanoon. Hyvinvointialueet on perustettu jo aiemmin, mutta niiden toiminta käynnistyy 1.1.2023. Kyse on valtavasta uudistuksesta, jo</w:t>
          </w:r>
          <w:r w:rsidR="00B50B98">
            <w:t>n</w:t>
          </w:r>
          <w:r w:rsidRPr="00B50B98">
            <w:t>ka toimeenpano vaatii kunnilta resurssien kohdentamista valmistelutyöhön</w:t>
          </w:r>
          <w:r w:rsidR="00B50B98">
            <w:t>.</w:t>
          </w:r>
          <w:r w:rsidRPr="00B50B98">
            <w:t xml:space="preserve"> </w:t>
          </w:r>
          <w:r w:rsidR="00B50B98">
            <w:t>V</w:t>
          </w:r>
          <w:r w:rsidRPr="00B50B98">
            <w:t xml:space="preserve">älttämättömät toiminnot </w:t>
          </w:r>
          <w:r w:rsidR="00B50B98">
            <w:t xml:space="preserve">tulee </w:t>
          </w:r>
          <w:r w:rsidRPr="00B50B98">
            <w:t xml:space="preserve">saada toimintakuntoon </w:t>
          </w:r>
          <w:r w:rsidR="00C528C8" w:rsidRPr="00B50B98">
            <w:t xml:space="preserve">toiminnan käynnistymiseen mennessä siten, että palvelujen jatkuvuudessa ei tule katkoksia. Siirtymässä olevan toiminnan uudistamiseen ja uusien työntekijöiden rekrytointiin kunnissa ja kuntayhtymissä käytettävissä oleva resurssi ei ole </w:t>
          </w:r>
          <w:r w:rsidR="00B50B98">
            <w:t xml:space="preserve">ollut </w:t>
          </w:r>
          <w:r w:rsidR="00C528C8" w:rsidRPr="00B50B98">
            <w:t xml:space="preserve">riittävä, kun kiivain järjestämisvastuun siirron valmistelu ja henkilöstömitoituksen noston suurin porras osuvat samaan ajankohtaan. </w:t>
          </w:r>
        </w:p>
        <w:p w14:paraId="335BA90F" w14:textId="3806E384" w:rsidR="00EE6326" w:rsidRPr="00B50B98" w:rsidRDefault="00EE6326" w:rsidP="008230FF">
          <w:pPr>
            <w:pStyle w:val="LLPerustelujenkappalejako"/>
          </w:pPr>
          <w:r w:rsidRPr="00B50B98">
            <w:t xml:space="preserve">Osin edellä mainituista toimeenpanoa vaikeuttaneista tekijöistä johtuen henkilöstömitoituksen toimeenpano on kesken eikä kaikkia lainsäädäntöön sisältyviä mahdollisuuksia henkilöstörakenteen monipuolistamiseen ole hyödynnetty. Lähihoitajien ja sairaanhoitajien lisäksi asiakkaiden tarpeisiin voidaan vastata monien muiden </w:t>
          </w:r>
          <w:proofErr w:type="spellStart"/>
          <w:r w:rsidRPr="00B50B98">
            <w:t>sote</w:t>
          </w:r>
          <w:proofErr w:type="spellEnd"/>
          <w:r w:rsidRPr="00B50B98">
            <w:t xml:space="preserve">-ammattilaisten osaamisella, ja sosiaalisen toimintakyvyn ylläpitämiseen voidaan hyödyntää myös muita kuin </w:t>
          </w:r>
          <w:proofErr w:type="spellStart"/>
          <w:r w:rsidRPr="00B50B98">
            <w:t>sote</w:t>
          </w:r>
          <w:proofErr w:type="spellEnd"/>
          <w:r w:rsidRPr="00B50B98">
            <w:t>-ammattilaisia, esimerkiksi liikunta-, kulttuuri- tai taidealan ammattilaisia. Niiden osuus henkilöstöstä on vielä varsin pieni. Välillis</w:t>
          </w:r>
          <w:r w:rsidR="007A452D">
            <w:t>een työhön</w:t>
          </w:r>
          <w:r w:rsidRPr="00B50B98">
            <w:t xml:space="preserve"> tulee pääsääntöisesti varata erillinen henkilöstö. Näin ei vielä kaikilta osin ole.</w:t>
          </w:r>
        </w:p>
        <w:p w14:paraId="07E9C411" w14:textId="587B35D9" w:rsidR="00044AC1" w:rsidRPr="00B50B98" w:rsidRDefault="00D5469F" w:rsidP="008230FF">
          <w:pPr>
            <w:pStyle w:val="LLPerustelujenkappalejako"/>
          </w:pPr>
          <w:r w:rsidRPr="00B50B98">
            <w:t xml:space="preserve">Edellä mainituista syistä </w:t>
          </w:r>
          <w:r w:rsidR="00B50B98">
            <w:t xml:space="preserve">vähintään </w:t>
          </w:r>
          <w:r w:rsidR="0018022A" w:rsidRPr="00B50B98">
            <w:t xml:space="preserve">0,7 </w:t>
          </w:r>
          <w:r w:rsidR="00B50B98">
            <w:t xml:space="preserve">työntekijän </w:t>
          </w:r>
          <w:r w:rsidR="0018022A" w:rsidRPr="00B50B98">
            <w:t>henkilöstömitoituksen</w:t>
          </w:r>
          <w:r w:rsidRPr="00B50B98">
            <w:t xml:space="preserve"> </w:t>
          </w:r>
          <w:r w:rsidR="008230FF" w:rsidRPr="00B50B98">
            <w:t xml:space="preserve">toteuttaminen </w:t>
          </w:r>
          <w:r w:rsidR="0018022A" w:rsidRPr="00B50B98">
            <w:t>alkuperäisessä aik</w:t>
          </w:r>
          <w:r w:rsidR="00C528C8" w:rsidRPr="00B50B98">
            <w:t xml:space="preserve">ataulussa ei ole mahdollista. </w:t>
          </w:r>
          <w:r w:rsidR="00044AC1" w:rsidRPr="00B50B98">
            <w:t xml:space="preserve">Henkilöstömitoituksen täysimääräisen toimeenpanon lykkääminen </w:t>
          </w:r>
          <w:r w:rsidR="00A92874" w:rsidRPr="00B50B98">
            <w:t>antaisi</w:t>
          </w:r>
          <w:r w:rsidR="008C085F" w:rsidRPr="00B50B98">
            <w:t xml:space="preserve"> lisäaikaa</w:t>
          </w:r>
          <w:r w:rsidR="00EE6326" w:rsidRPr="00B50B98">
            <w:t xml:space="preserve"> toimeenpanon jatkamiseen. Myös</w:t>
          </w:r>
          <w:r w:rsidR="008C085F" w:rsidRPr="00B50B98">
            <w:t xml:space="preserve"> </w:t>
          </w:r>
          <w:r w:rsidR="005C0F59" w:rsidRPr="00B50B98">
            <w:t>koulutuspaikkojen lisäämisen</w:t>
          </w:r>
          <w:r w:rsidR="008C085F" w:rsidRPr="00B50B98">
            <w:t xml:space="preserve"> vaikutuks</w:t>
          </w:r>
          <w:r w:rsidR="00EE6326" w:rsidRPr="00B50B98">
            <w:t>et</w:t>
          </w:r>
          <w:r w:rsidR="008C085F" w:rsidRPr="00B50B98">
            <w:t xml:space="preserve"> alkavat näkyä työvoimassa 2023 alkaen.</w:t>
          </w:r>
        </w:p>
        <w:p w14:paraId="75B949EE" w14:textId="7234DE57" w:rsidR="008C085F" w:rsidRPr="008C4C15" w:rsidRDefault="008C085F" w:rsidP="008C085F">
          <w:pPr>
            <w:pStyle w:val="LLPerustelujenkappalejako"/>
          </w:pPr>
          <w:r w:rsidRPr="008C4C15">
            <w:t xml:space="preserve">Mitoituksen siirto </w:t>
          </w:r>
          <w:r w:rsidR="00A92874" w:rsidRPr="008C4C15">
            <w:t>antaisi</w:t>
          </w:r>
          <w:r w:rsidRPr="008C4C15">
            <w:t xml:space="preserve"> lisäaikaa myös </w:t>
          </w:r>
          <w:proofErr w:type="spellStart"/>
          <w:r w:rsidRPr="008C4C15">
            <w:t>sosiaali</w:t>
          </w:r>
          <w:proofErr w:type="spellEnd"/>
          <w:r w:rsidRPr="008C4C15">
            <w:t xml:space="preserve">- ja terveydenhuollon uudistuksen ja iäkkäiden palveluiden toisessa vaiheessa tehtyjen uudistusten henkilöstön riittävyyttä parantaville vaikutuksille. Sosiaali- ja terveydenhuollon uudistus tuo </w:t>
          </w:r>
          <w:r w:rsidR="005B6132" w:rsidRPr="008C4C15">
            <w:t xml:space="preserve">mukanaan </w:t>
          </w:r>
          <w:r w:rsidRPr="008C4C15">
            <w:t>isommat järjestäjät ja tuotantoalueet, mikä todennäköisesti mahdollistaa paremman henkilöstön kokonaissuunnittelun</w:t>
          </w:r>
          <w:r w:rsidR="005C0F59" w:rsidRPr="008C4C15">
            <w:t>.</w:t>
          </w:r>
        </w:p>
        <w:p w14:paraId="3CB3F186" w14:textId="6149622F" w:rsidR="005B6132" w:rsidRPr="008C4C15" w:rsidRDefault="008C085F" w:rsidP="008230FF">
          <w:pPr>
            <w:pStyle w:val="LLPerustelujenkappalejako"/>
          </w:pPr>
          <w:r w:rsidRPr="008C4C15">
            <w:t>Henkilöstön riittävyyttä voi myös osaltaan parantaa iäkkäiden palvelujen uudistuksen toisen vaiheen tavoitteena oleva palvelurakenteen monimuotoistuminen (esimerkiksi yhteisölli</w:t>
          </w:r>
          <w:r w:rsidR="00863782">
            <w:t>s</w:t>
          </w:r>
          <w:r w:rsidRPr="008C4C15">
            <w:t xml:space="preserve">en asumisen ja vuorokaudenajasta riippumattoman kotihoidon lisääntyminen). </w:t>
          </w:r>
        </w:p>
        <w:p w14:paraId="280EC465" w14:textId="3E8CDAD5" w:rsidR="008C085F" w:rsidRPr="008C4C15" w:rsidRDefault="008C085F" w:rsidP="008230FF">
          <w:pPr>
            <w:pStyle w:val="LLPerustelujenkappalejako"/>
          </w:pPr>
          <w:r w:rsidRPr="008C4C15">
            <w:t>Yhtä aikaa henkilöstömitoituksen kanssa vuonna 2020 säädett</w:t>
          </w:r>
          <w:r w:rsidR="005B6132" w:rsidRPr="008C4C15">
            <w:t>iin RAI-arviointijärjestelmän käyttöönotosta</w:t>
          </w:r>
          <w:r w:rsidRPr="008C4C15">
            <w:t>. Kun RAI-järjestelmä on 1.4.2023 lähtien käytössä kattavasti kaikissa iäkkäiden palveluissa ja koko maassa, se mahdollistaa palvelujen kohdentamisen paremmin asiakkaiden tarpeiden mukaan. Kokonaisuudessaan näiden iäkkäiden palvelujen uudistusten odotetaan johtavan paremmin asiakkaiden tarpeita vastaavaan palvelurakenteeseen, jonka myötä myös henkilöstömäärä saadaan paremmin optimoitua.</w:t>
          </w:r>
        </w:p>
        <w:p w14:paraId="5522FA8E" w14:textId="77777777" w:rsidR="00EA4139" w:rsidRDefault="00EA4139" w:rsidP="00EA4139">
          <w:pPr>
            <w:pStyle w:val="LLPerustelujenkappalejako"/>
          </w:pPr>
        </w:p>
        <w:p w14:paraId="39F2F12E" w14:textId="503A918B" w:rsidR="00A939B2" w:rsidRDefault="006D3C8B" w:rsidP="00A939B2">
          <w:pPr>
            <w:pStyle w:val="LLP1Otsikkotaso"/>
          </w:pPr>
          <w:bookmarkStart w:id="7" w:name="_Toc116892980"/>
          <w:r>
            <w:t>Ehdotu</w:t>
          </w:r>
          <w:r w:rsidR="0038120C">
            <w:t>s</w:t>
          </w:r>
          <w:r>
            <w:t xml:space="preserve"> ja </w:t>
          </w:r>
          <w:r w:rsidR="0038120C">
            <w:t>sen</w:t>
          </w:r>
          <w:r w:rsidR="00A939B2">
            <w:t xml:space="preserve"> vaikutukset</w:t>
          </w:r>
          <w:bookmarkEnd w:id="7"/>
        </w:p>
        <w:p w14:paraId="7BA2FEE3" w14:textId="187EF42E" w:rsidR="00597D82" w:rsidRDefault="00AF3149" w:rsidP="00597D82">
          <w:pPr>
            <w:pStyle w:val="LLP2Otsikkotaso"/>
          </w:pPr>
          <w:bookmarkStart w:id="8" w:name="_Toc116892981"/>
          <w:r>
            <w:t>Ehdotus</w:t>
          </w:r>
          <w:bookmarkEnd w:id="8"/>
        </w:p>
        <w:p w14:paraId="773CD462" w14:textId="76A6A409" w:rsidR="00B50B98" w:rsidRDefault="00B50B98" w:rsidP="00B50B98">
          <w:pPr>
            <w:pStyle w:val="LLPerustelujenkappalejako"/>
          </w:pPr>
          <w:r>
            <w:t xml:space="preserve">Edellä mainituista syistä vähintään 0,7 työntekijän henkilöstömitoituksen kattava toteuttaminen ei ole alkuperäisessä aikataulussa olosuhteiden muuttumisen vuoksi mahdollista. Hallituksen esityksen tarkoituksena on säätää henkilöstömitoituksen toteuttamisen </w:t>
          </w:r>
          <w:r w:rsidR="005B6132">
            <w:t>toteutettavissa olevasta a</w:t>
          </w:r>
          <w:r>
            <w:t xml:space="preserve">ikataulusta uudessa tilanteessa siten, että </w:t>
          </w:r>
          <w:r w:rsidR="005B6132">
            <w:t xml:space="preserve">henkilöstön määrä saataisiin nousemaan mahdollisimman nopeasti mahdollisimman lähelle alkuperäistä tavoitetta. </w:t>
          </w:r>
        </w:p>
        <w:p w14:paraId="426252E1" w14:textId="77777777" w:rsidR="000006ED" w:rsidRDefault="00005D22" w:rsidP="00AF3149">
          <w:pPr>
            <w:pStyle w:val="LLPerustelujenkappalejako"/>
          </w:pPr>
          <w:r w:rsidRPr="00005D22">
            <w:t xml:space="preserve">Lakisääteisen vähintään 0,7 työntekijän henkilöstömitoituksen saavuttaminen edellyttää toukokuussa 2022 toteutuneeseen henkilöstömäärään noin 3 400 henkilötyövuoden lisäystä.  Suurimmat palkkausmahdollisuudet koskevat välillisen työn kuten siivouksen sekä ruoka- ja pyykkihuollon keskittämistä erilliselle henkilöstölle (noin 1800 työntekijän vaikutus välittömään asiakastyöhön), jo lisätyn hoiva-avustajakoulutuksen vaikutuksia vuoden 2023 aikana (noin 800 työntekijää) ja jo lisätyn lähihoitajakoulutuksen vaikutuksia vuoden 2023 aikana (noin 500 työntekijää).  Näiden toimien lisäksi vuoden 2023 aikana on mahdollista esimerkiksi monipuolistaa henkilöstörakennetta ja tehostaa sijaisuusjärjestelyjä muilla </w:t>
          </w:r>
          <w:proofErr w:type="spellStart"/>
          <w:r w:rsidRPr="00005D22">
            <w:t>sosiaali</w:t>
          </w:r>
          <w:proofErr w:type="spellEnd"/>
          <w:r w:rsidRPr="00005D22">
            <w:t xml:space="preserve">- ja terveysalan ammattilaisilla sekä </w:t>
          </w:r>
          <w:r>
            <w:t xml:space="preserve">suunnitella </w:t>
          </w:r>
          <w:r w:rsidRPr="00005D22">
            <w:t>asiakkaiden sosiaalis</w:t>
          </w:r>
          <w:r>
            <w:t>en</w:t>
          </w:r>
          <w:r w:rsidRPr="00005D22">
            <w:t xml:space="preserve"> toimintaky</w:t>
          </w:r>
          <w:r>
            <w:t xml:space="preserve">vyn edistämistä </w:t>
          </w:r>
          <w:r w:rsidRPr="00005D22">
            <w:t xml:space="preserve">myös kulttuuri-, taide- ja liikunta-alan henkilökunnalla (noin 300 työntekijää). Valmistelussa on nähty, että isommat järjestäjät ja laajemmat tuotantoalueet sekä palvelujen monimuotoistuminen ja niiden kohdentamisen parantuminen </w:t>
          </w:r>
          <w:r>
            <w:t xml:space="preserve">voivat omalta osaltaan </w:t>
          </w:r>
          <w:r w:rsidRPr="00005D22">
            <w:t>paranta</w:t>
          </w:r>
          <w:r>
            <w:t xml:space="preserve">a </w:t>
          </w:r>
          <w:r w:rsidRPr="00005D22">
            <w:t xml:space="preserve">henkilöstön </w:t>
          </w:r>
          <w:r>
            <w:t xml:space="preserve">riittävyyttä </w:t>
          </w:r>
          <w:r w:rsidRPr="00005D22">
            <w:t>jo vuoden 2023 aikana. Valmistelussa on näin ollen arvioitu, että vähintään 0,7 työntekijän taso on mahdollista saavuttaa vuoden 2023 loppupuolella</w:t>
          </w:r>
          <w:r>
            <w:t>.</w:t>
          </w:r>
          <w:r w:rsidR="00C0187E">
            <w:t xml:space="preserve"> </w:t>
          </w:r>
        </w:p>
        <w:p w14:paraId="2D751AED" w14:textId="6D892BCD" w:rsidR="00AF3149" w:rsidRDefault="00B50B98" w:rsidP="00AF3149">
          <w:pPr>
            <w:pStyle w:val="LLPerustelujenkappalejako"/>
          </w:pPr>
          <w:r w:rsidRPr="00AF3149">
            <w:t xml:space="preserve">Henkilöstömitoitusta koskevan vanhuspalvelulain muutoksen voimaantulossäännöstä muutettaisiin siten, </w:t>
          </w:r>
          <w:r w:rsidR="00AF3149" w:rsidRPr="00AF3149">
            <w:t xml:space="preserve">että lain 20 §:n 2 momentissa säädettyä </w:t>
          </w:r>
          <w:r>
            <w:t xml:space="preserve">vähintään 0,7 työntekijän </w:t>
          </w:r>
          <w:r w:rsidR="00AF3149" w:rsidRPr="00AF3149">
            <w:t>henkilöstömitoitusta sovellet</w:t>
          </w:r>
          <w:r>
            <w:t xml:space="preserve">taisiin </w:t>
          </w:r>
          <w:r w:rsidR="00AF3149" w:rsidRPr="00AF3149">
            <w:t>1.</w:t>
          </w:r>
          <w:r>
            <w:t>12</w:t>
          </w:r>
          <w:r w:rsidR="00AF3149" w:rsidRPr="00AF3149">
            <w:t xml:space="preserve">.2023 </w:t>
          </w:r>
          <w:r>
            <w:t xml:space="preserve">lähtien eli kahdeksan kuukautta </w:t>
          </w:r>
          <w:r w:rsidR="005B6132">
            <w:t xml:space="preserve">voimassa olevaa aikataulua myöhemmin. Esityksen mukaan 1.4.2023 lukien edellytettäisiin kuitenkin vähintään 0,65 työntekijän henkilöstömitoitusta kyseisiin tehtäviin. </w:t>
          </w:r>
        </w:p>
        <w:p w14:paraId="0ED5E58D" w14:textId="77777777" w:rsidR="00B50B98" w:rsidRPr="00AF3149" w:rsidRDefault="00B50B98" w:rsidP="00AF3149">
          <w:pPr>
            <w:pStyle w:val="LLPerustelujenkappalejako"/>
          </w:pPr>
        </w:p>
        <w:p w14:paraId="7CF82076" w14:textId="66198227" w:rsidR="00597D82" w:rsidRDefault="00597D82" w:rsidP="00597D82">
          <w:pPr>
            <w:pStyle w:val="LLP2Otsikkotaso"/>
          </w:pPr>
          <w:bookmarkStart w:id="9" w:name="_Toc116892982"/>
          <w:r>
            <w:t>Pääasialliset vaikutukset</w:t>
          </w:r>
          <w:bookmarkEnd w:id="9"/>
        </w:p>
        <w:p w14:paraId="4056AF5A" w14:textId="77777777" w:rsidR="00597D82" w:rsidRPr="003B7D80" w:rsidRDefault="00597D82" w:rsidP="00597D82">
          <w:pPr>
            <w:pStyle w:val="Default"/>
            <w:autoSpaceDE/>
            <w:autoSpaceDN/>
            <w:adjustRightInd/>
            <w:spacing w:after="220" w:line="220" w:lineRule="exact"/>
            <w:jc w:val="both"/>
            <w:rPr>
              <w:color w:val="000000" w:themeColor="text1"/>
              <w:sz w:val="22"/>
              <w:szCs w:val="22"/>
            </w:rPr>
          </w:pPr>
          <w:r>
            <w:rPr>
              <w:color w:val="000000" w:themeColor="text1"/>
              <w:sz w:val="22"/>
              <w:szCs w:val="22"/>
            </w:rPr>
            <w:t>3</w:t>
          </w:r>
          <w:r w:rsidRPr="003B7D80">
            <w:rPr>
              <w:color w:val="000000" w:themeColor="text1"/>
              <w:sz w:val="22"/>
              <w:szCs w:val="22"/>
            </w:rPr>
            <w:t>.</w:t>
          </w:r>
          <w:r>
            <w:rPr>
              <w:color w:val="000000" w:themeColor="text1"/>
              <w:sz w:val="22"/>
              <w:szCs w:val="22"/>
            </w:rPr>
            <w:t>2.</w:t>
          </w:r>
          <w:r w:rsidRPr="003B7D80">
            <w:rPr>
              <w:color w:val="000000" w:themeColor="text1"/>
              <w:sz w:val="22"/>
              <w:szCs w:val="22"/>
            </w:rPr>
            <w:t xml:space="preserve">1 Taloudelliset vaikutukset </w:t>
          </w:r>
        </w:p>
        <w:p w14:paraId="5F8C99B3" w14:textId="77777777" w:rsidR="00EF2FAE" w:rsidRPr="003B7D80" w:rsidRDefault="00EF2FAE" w:rsidP="00EF2FAE">
          <w:pPr>
            <w:spacing w:after="220" w:line="220" w:lineRule="exact"/>
            <w:jc w:val="both"/>
            <w:rPr>
              <w:color w:val="000000" w:themeColor="text1"/>
            </w:rPr>
          </w:pPr>
          <w:r w:rsidRPr="003B7D80">
            <w:rPr>
              <w:color w:val="000000" w:themeColor="text1"/>
            </w:rPr>
            <w:t xml:space="preserve">Voimassa olevan vanhuspalvelulain mukaan iäkkäiden ympärivuorokautisen hoidon toteutuneen henkilöstömitoituksen </w:t>
          </w:r>
          <w:r>
            <w:rPr>
              <w:color w:val="000000" w:themeColor="text1"/>
            </w:rPr>
            <w:t xml:space="preserve">tulee olla </w:t>
          </w:r>
          <w:r w:rsidRPr="003B7D80">
            <w:rPr>
              <w:color w:val="000000" w:themeColor="text1"/>
            </w:rPr>
            <w:t>vähintään 0,7 työntekijää asiakasta kohti 1.4.2023 lähtien. La</w:t>
          </w:r>
          <w:r>
            <w:rPr>
              <w:color w:val="000000" w:themeColor="text1"/>
            </w:rPr>
            <w:t xml:space="preserve">issa säädetyn </w:t>
          </w:r>
          <w:r w:rsidRPr="003B7D80">
            <w:rPr>
              <w:color w:val="000000" w:themeColor="text1"/>
            </w:rPr>
            <w:t>vaiheistuksen mukaan henkilöstömitoituksen on pitänyt olla 1.1.2022 lukien vähintään 0,6 työntekijää asiakasta kohti.</w:t>
          </w:r>
        </w:p>
        <w:p w14:paraId="2FF148D6" w14:textId="77777777" w:rsidR="00EF2FAE" w:rsidRPr="003B7D80" w:rsidRDefault="00EF2FAE" w:rsidP="00EF2FAE">
          <w:pPr>
            <w:spacing w:after="220" w:line="220" w:lineRule="exact"/>
            <w:jc w:val="both"/>
            <w:rPr>
              <w:rFonts w:eastAsia="Times New Roman"/>
              <w:color w:val="000000" w:themeColor="text1"/>
              <w:lang w:eastAsia="fi-FI"/>
            </w:rPr>
          </w:pPr>
          <w:r w:rsidRPr="003B7D80">
            <w:rPr>
              <w:color w:val="000000" w:themeColor="text1"/>
            </w:rPr>
            <w:t>Esityksessä mitoituksen voimaantuloa siirretään ja porrastetaan</w:t>
          </w:r>
          <w:r>
            <w:rPr>
              <w:color w:val="000000" w:themeColor="text1"/>
            </w:rPr>
            <w:t xml:space="preserve"> siten, että </w:t>
          </w:r>
          <w:r w:rsidRPr="003B7D80">
            <w:rPr>
              <w:rFonts w:eastAsia="Times New Roman"/>
              <w:color w:val="000000" w:themeColor="text1"/>
              <w:lang w:eastAsia="fi-FI"/>
            </w:rPr>
            <w:t>1.4.2023 alkaen vähimmäismitoitus on 0,65 ja</w:t>
          </w:r>
          <w:r>
            <w:rPr>
              <w:rFonts w:eastAsia="Times New Roman"/>
              <w:color w:val="000000" w:themeColor="text1"/>
              <w:lang w:eastAsia="fi-FI"/>
            </w:rPr>
            <w:t xml:space="preserve"> </w:t>
          </w:r>
          <w:r w:rsidRPr="003B7D80">
            <w:rPr>
              <w:rFonts w:eastAsia="Times New Roman"/>
              <w:color w:val="000000" w:themeColor="text1"/>
              <w:lang w:eastAsia="fi-FI"/>
            </w:rPr>
            <w:t>1.12.2023 alkaen vähimmäismitoitus on 0,70 työntekijää asiakasta kohti. </w:t>
          </w:r>
        </w:p>
        <w:p w14:paraId="5684074B" w14:textId="77777777" w:rsidR="00EF2FAE" w:rsidRDefault="00EF2FAE" w:rsidP="00EF2FAE">
          <w:pPr>
            <w:spacing w:after="220" w:line="220" w:lineRule="exact"/>
            <w:jc w:val="both"/>
            <w:rPr>
              <w:color w:val="000000" w:themeColor="text1"/>
            </w:rPr>
          </w:pPr>
          <w:r w:rsidRPr="003B7D80">
            <w:rPr>
              <w:color w:val="000000" w:themeColor="text1"/>
            </w:rPr>
            <w:t xml:space="preserve">Mitoitus tulisi siis olemaan kahdeksan kuukauden ajan pienempi kuin nykyisen lain mukaan. </w:t>
          </w:r>
          <w:r>
            <w:rPr>
              <w:color w:val="000000" w:themeColor="text1"/>
            </w:rPr>
            <w:t>Esityksen vuoksi voisi säästyä henkilöstökustannuksia, koska mitoituksen nostoon 0,65–0,7 tarvittava lisähenkilöstö voidaan palkata kevään 2023 sijasta jopa vasta marras-joulukuussa 2023. H</w:t>
          </w:r>
          <w:r w:rsidRPr="003B7D80">
            <w:rPr>
              <w:color w:val="000000" w:themeColor="text1"/>
            </w:rPr>
            <w:t>yvinvointialueille mitoituksen toteuttamista varten osoitettava rahoitus ei muutu porrastuksen johdosta</w:t>
          </w:r>
          <w:r>
            <w:rPr>
              <w:color w:val="000000" w:themeColor="text1"/>
            </w:rPr>
            <w:t>, joten a</w:t>
          </w:r>
          <w:r w:rsidRPr="003B7D80">
            <w:rPr>
              <w:color w:val="000000" w:themeColor="text1"/>
            </w:rPr>
            <w:t xml:space="preserve">lueilla voidaan </w:t>
          </w:r>
          <w:r>
            <w:rPr>
              <w:color w:val="000000" w:themeColor="text1"/>
            </w:rPr>
            <w:t xml:space="preserve">tällä rahoituksella </w:t>
          </w:r>
          <w:r w:rsidRPr="003B7D80">
            <w:rPr>
              <w:color w:val="000000" w:themeColor="text1"/>
            </w:rPr>
            <w:t xml:space="preserve">toteuttaa henkilöstön saatavuutta parantavia </w:t>
          </w:r>
          <w:r w:rsidRPr="003B7D80">
            <w:rPr>
              <w:color w:val="000000" w:themeColor="text1"/>
            </w:rPr>
            <w:lastRenderedPageBreak/>
            <w:t xml:space="preserve">toimia. </w:t>
          </w:r>
          <w:r>
            <w:rPr>
              <w:color w:val="000000" w:themeColor="text1"/>
            </w:rPr>
            <w:t>Vaikka vähimmäismitoituksen tulee toteutua viimeistään 1.12.2023, on palveluntuottajien tosiasiassa pyrittävä lisäämään henkilöstöä jo ennen sitä, koska rekrytointiajat ovat pidentyneet. Y</w:t>
          </w:r>
          <w:r w:rsidRPr="003B7D80">
            <w:rPr>
              <w:color w:val="000000" w:themeColor="text1"/>
            </w:rPr>
            <w:t xml:space="preserve">ksityisten palveluntuottajien osalta lopulliset kustannusvaikutukset hyvinvointialueille ja yksityisille palveluntuottajille riippuvat siitä, miten </w:t>
          </w:r>
          <w:r>
            <w:rPr>
              <w:color w:val="000000" w:themeColor="text1"/>
            </w:rPr>
            <w:t xml:space="preserve">henkilöstömitoituksesta ja palvelujen hinnoista on sovittu ja sovitaan. </w:t>
          </w:r>
          <w:r w:rsidRPr="003B7D80">
            <w:rPr>
              <w:color w:val="000000" w:themeColor="text1"/>
            </w:rPr>
            <w:t xml:space="preserve"> </w:t>
          </w:r>
        </w:p>
        <w:p w14:paraId="2218A203" w14:textId="62D7903E" w:rsidR="00EF2FAE" w:rsidRPr="003B7D80" w:rsidRDefault="00EF2FAE" w:rsidP="00EF2FAE">
          <w:pPr>
            <w:spacing w:after="220" w:line="220" w:lineRule="exact"/>
            <w:jc w:val="both"/>
            <w:rPr>
              <w:color w:val="000000" w:themeColor="text1"/>
            </w:rPr>
          </w:pPr>
          <w:r>
            <w:rPr>
              <w:color w:val="000000" w:themeColor="text1"/>
            </w:rPr>
            <w:t xml:space="preserve">Taloudelliset vaikutukset on arvioitu vastaavalla tavalla kuin </w:t>
          </w:r>
          <w:r>
            <w:t>h</w:t>
          </w:r>
          <w:r w:rsidRPr="00823CE7">
            <w:t>enkilöstömitoituksen säätämiseen johtaneessa hallituksen esityksessä HE 4/2020 vp</w:t>
          </w:r>
          <w:r>
            <w:t xml:space="preserve">. Nyt on arvioitu, paljonko mitoituksen porrastus ja siirto voisivat enintään vähentää kustannuksia. Lähtötilanne eli muun muassa henkilöstön lisätarve on päivitetty toukokuun 2022 mukaiseksi ja kustannukset arvioidaan vuoden 2023 tasossa. </w:t>
          </w:r>
        </w:p>
        <w:p w14:paraId="260C17CC" w14:textId="77777777" w:rsidR="00EF2FAE" w:rsidRPr="003B7D80" w:rsidRDefault="00EF2FAE" w:rsidP="00EF2FAE">
          <w:pPr>
            <w:spacing w:after="220" w:line="220" w:lineRule="exact"/>
            <w:jc w:val="both"/>
            <w:rPr>
              <w:color w:val="000000" w:themeColor="text1"/>
            </w:rPr>
          </w:pPr>
          <w:proofErr w:type="spellStart"/>
          <w:r w:rsidRPr="003B7D80">
            <w:rPr>
              <w:color w:val="000000" w:themeColor="text1"/>
            </w:rPr>
            <w:t>THL:n</w:t>
          </w:r>
          <w:proofErr w:type="spellEnd"/>
          <w:r w:rsidRPr="003B7D80">
            <w:rPr>
              <w:color w:val="000000" w:themeColor="text1"/>
            </w:rPr>
            <w:t xml:space="preserve"> Vanhuspalvelujen tila -seurannan perusteella toukokuun 2022 tilanteeseen verrattuna tarvitaan</w:t>
          </w:r>
          <w:r>
            <w:rPr>
              <w:color w:val="000000" w:themeColor="text1"/>
            </w:rPr>
            <w:t xml:space="preserve"> (ilman sijaistarpeen huomiointia)</w:t>
          </w:r>
          <w:r w:rsidRPr="003B7D80">
            <w:rPr>
              <w:color w:val="000000" w:themeColor="text1"/>
            </w:rPr>
            <w:t xml:space="preserve"> 1 492 henkilön laskennallinen lisätyöpanos</w:t>
          </w:r>
          <w:r>
            <w:rPr>
              <w:color w:val="000000" w:themeColor="text1"/>
            </w:rPr>
            <w:t xml:space="preserve"> mitoitukseen </w:t>
          </w:r>
          <w:r w:rsidRPr="003B7D80">
            <w:rPr>
              <w:color w:val="000000" w:themeColor="text1"/>
            </w:rPr>
            <w:t xml:space="preserve">0,65 ja 3 </w:t>
          </w:r>
          <w:r>
            <w:rPr>
              <w:color w:val="000000" w:themeColor="text1"/>
            </w:rPr>
            <w:t>397</w:t>
          </w:r>
          <w:r w:rsidRPr="003B7D80">
            <w:rPr>
              <w:color w:val="000000" w:themeColor="text1"/>
            </w:rPr>
            <w:t xml:space="preserve"> henkilön laskennallinen lisätyöpanos mitoitukseen 0,7. </w:t>
          </w:r>
          <w:r>
            <w:rPr>
              <w:color w:val="000000" w:themeColor="text1"/>
            </w:rPr>
            <w:t>Esityksen vuoksi s</w:t>
          </w:r>
          <w:r w:rsidRPr="003B7D80">
            <w:rPr>
              <w:color w:val="000000" w:themeColor="text1"/>
            </w:rPr>
            <w:t>äästy</w:t>
          </w:r>
          <w:r>
            <w:rPr>
              <w:color w:val="000000" w:themeColor="text1"/>
            </w:rPr>
            <w:t>vien</w:t>
          </w:r>
          <w:r w:rsidRPr="003B7D80">
            <w:rPr>
              <w:color w:val="000000" w:themeColor="text1"/>
            </w:rPr>
            <w:t xml:space="preserve"> </w:t>
          </w:r>
          <w:r>
            <w:rPr>
              <w:color w:val="000000" w:themeColor="text1"/>
            </w:rPr>
            <w:t>henkilöstö</w:t>
          </w:r>
          <w:r w:rsidRPr="003B7D80">
            <w:rPr>
              <w:color w:val="000000" w:themeColor="text1"/>
            </w:rPr>
            <w:t>kustannu</w:t>
          </w:r>
          <w:r>
            <w:rPr>
              <w:color w:val="000000" w:themeColor="text1"/>
            </w:rPr>
            <w:t>sten enimmäismäärä</w:t>
          </w:r>
          <w:r w:rsidRPr="003B7D80">
            <w:rPr>
              <w:color w:val="000000" w:themeColor="text1"/>
            </w:rPr>
            <w:t xml:space="preserve"> koske</w:t>
          </w:r>
          <w:r>
            <w:rPr>
              <w:color w:val="000000" w:themeColor="text1"/>
            </w:rPr>
            <w:t>e</w:t>
          </w:r>
          <w:r w:rsidRPr="003B7D80">
            <w:rPr>
              <w:color w:val="000000" w:themeColor="text1"/>
            </w:rPr>
            <w:t xml:space="preserve"> </w:t>
          </w:r>
          <w:r>
            <w:rPr>
              <w:color w:val="000000" w:themeColor="text1"/>
            </w:rPr>
            <w:t>näiden välistä</w:t>
          </w:r>
          <w:r w:rsidRPr="003B7D80">
            <w:rPr>
              <w:color w:val="000000" w:themeColor="text1"/>
            </w:rPr>
            <w:t xml:space="preserve"> 1 90</w:t>
          </w:r>
          <w:r>
            <w:rPr>
              <w:color w:val="000000" w:themeColor="text1"/>
            </w:rPr>
            <w:t>5</w:t>
          </w:r>
          <w:r w:rsidRPr="003B7D80">
            <w:rPr>
              <w:color w:val="000000" w:themeColor="text1"/>
            </w:rPr>
            <w:t xml:space="preserve"> työntekijän työpanosta kahdeksan kuukauden ajalta julkisella ja yksityisellä sektorilla yhteensä. </w:t>
          </w:r>
          <w:r>
            <w:rPr>
              <w:color w:val="000000" w:themeColor="text1"/>
            </w:rPr>
            <w:t xml:space="preserve">Siitä julkisten osuus on 43 prosenttia ja yksityisten palveluntuottajien 57 prosenttia. </w:t>
          </w:r>
          <w:r w:rsidRPr="00D24B1B">
            <w:rPr>
              <w:color w:val="000000" w:themeColor="text1"/>
            </w:rPr>
            <w:t xml:space="preserve">Arvio lisähenkilöstön tarpeesta mitoitukseen 0,65/0,7 on laskettu toimintayksikkökohtaisesti ja perustuen </w:t>
          </w:r>
          <w:r>
            <w:rPr>
              <w:color w:val="000000" w:themeColor="text1"/>
            </w:rPr>
            <w:t>nii</w:t>
          </w:r>
          <w:r w:rsidRPr="00D24B1B">
            <w:rPr>
              <w:color w:val="000000" w:themeColor="text1"/>
            </w:rPr>
            <w:t>den nykyis</w:t>
          </w:r>
          <w:r>
            <w:rPr>
              <w:color w:val="000000" w:themeColor="text1"/>
            </w:rPr>
            <w:t>ii</w:t>
          </w:r>
          <w:r w:rsidRPr="00D24B1B">
            <w:rPr>
              <w:color w:val="000000" w:themeColor="text1"/>
            </w:rPr>
            <w:t xml:space="preserve">n </w:t>
          </w:r>
          <w:r>
            <w:rPr>
              <w:color w:val="000000" w:themeColor="text1"/>
            </w:rPr>
            <w:t xml:space="preserve">toteutuneisiin </w:t>
          </w:r>
          <w:r w:rsidRPr="00D24B1B">
            <w:rPr>
              <w:color w:val="000000" w:themeColor="text1"/>
            </w:rPr>
            <w:t>mitoituk</w:t>
          </w:r>
          <w:r>
            <w:rPr>
              <w:color w:val="000000" w:themeColor="text1"/>
            </w:rPr>
            <w:t>sii</w:t>
          </w:r>
          <w:r w:rsidRPr="00D24B1B">
            <w:rPr>
              <w:color w:val="000000" w:themeColor="text1"/>
            </w:rPr>
            <w:t>n</w:t>
          </w:r>
          <w:r>
            <w:rPr>
              <w:rStyle w:val="Alaviitteenviite"/>
              <w:color w:val="000000" w:themeColor="text1"/>
            </w:rPr>
            <w:footnoteReference w:id="4"/>
          </w:r>
          <w:r w:rsidRPr="00D24B1B">
            <w:rPr>
              <w:color w:val="000000" w:themeColor="text1"/>
            </w:rPr>
            <w:t xml:space="preserve">. </w:t>
          </w:r>
        </w:p>
        <w:p w14:paraId="38F9A442" w14:textId="21C98653" w:rsidR="00EF2FAE" w:rsidRPr="003B7D80" w:rsidRDefault="00EF2FAE" w:rsidP="00EF2FAE">
          <w:pPr>
            <w:spacing w:after="220" w:line="220" w:lineRule="exact"/>
            <w:jc w:val="both"/>
            <w:rPr>
              <w:color w:val="000000" w:themeColor="text1"/>
            </w:rPr>
          </w:pPr>
          <w:r w:rsidRPr="00783860">
            <w:rPr>
              <w:b/>
              <w:color w:val="000000" w:themeColor="text1"/>
            </w:rPr>
            <w:t xml:space="preserve">Taulukko </w:t>
          </w:r>
          <w:r w:rsidR="009C4257" w:rsidRPr="00783860">
            <w:rPr>
              <w:b/>
              <w:color w:val="000000" w:themeColor="text1"/>
            </w:rPr>
            <w:t>1</w:t>
          </w:r>
          <w:r w:rsidRPr="00783860">
            <w:rPr>
              <w:b/>
              <w:color w:val="000000" w:themeColor="text1"/>
            </w:rPr>
            <w:t>.</w:t>
          </w:r>
          <w:r w:rsidRPr="003B7D80">
            <w:rPr>
              <w:color w:val="000000" w:themeColor="text1"/>
            </w:rPr>
            <w:t xml:space="preserve"> 0,65 ja 0,7 mitoitukseen tarvittava</w:t>
          </w:r>
          <w:r>
            <w:rPr>
              <w:color w:val="000000" w:themeColor="text1"/>
            </w:rPr>
            <w:t>n</w:t>
          </w:r>
          <w:r w:rsidRPr="003B7D80">
            <w:rPr>
              <w:color w:val="000000" w:themeColor="text1"/>
            </w:rPr>
            <w:t xml:space="preserve"> lisähenkilöstö</w:t>
          </w:r>
          <w:r>
            <w:rPr>
              <w:color w:val="000000" w:themeColor="text1"/>
            </w:rPr>
            <w:t>n erotus</w:t>
          </w:r>
          <w:r w:rsidRPr="003B7D80">
            <w:rPr>
              <w:color w:val="000000" w:themeColor="text1"/>
            </w:rPr>
            <w:t xml:space="preserve"> julkisten ja yksityisten palveluntuottajien osalta</w:t>
          </w:r>
          <w:r>
            <w:rPr>
              <w:color w:val="000000" w:themeColor="text1"/>
            </w:rPr>
            <w:t xml:space="preserve"> (</w:t>
          </w:r>
          <w:r w:rsidRPr="003B7D80">
            <w:rPr>
              <w:color w:val="000000" w:themeColor="text1"/>
            </w:rPr>
            <w:t>ilman sijaistarvetta)</w:t>
          </w:r>
        </w:p>
        <w:tbl>
          <w:tblPr>
            <w:tblStyle w:val="TaulukkoRuudukko"/>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961"/>
            <w:gridCol w:w="1590"/>
            <w:gridCol w:w="1561"/>
          </w:tblGrid>
          <w:tr w:rsidR="00EF2FAE" w:rsidRPr="0000543A" w14:paraId="05EA964B" w14:textId="77777777" w:rsidTr="00903DAF">
            <w:tc>
              <w:tcPr>
                <w:tcW w:w="3256" w:type="dxa"/>
              </w:tcPr>
              <w:p w14:paraId="5C1F45D3" w14:textId="77777777" w:rsidR="00EF2FAE" w:rsidRPr="0000543A" w:rsidRDefault="00EF2FAE" w:rsidP="00903DAF">
                <w:pPr>
                  <w:spacing w:after="220" w:line="220" w:lineRule="exact"/>
                  <w:jc w:val="both"/>
                  <w:rPr>
                    <w:color w:val="000000" w:themeColor="text1"/>
                    <w:sz w:val="20"/>
                    <w:szCs w:val="20"/>
                  </w:rPr>
                </w:pPr>
              </w:p>
            </w:tc>
            <w:tc>
              <w:tcPr>
                <w:tcW w:w="961" w:type="dxa"/>
              </w:tcPr>
              <w:p w14:paraId="36C6A54A"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Yhteensä</w:t>
                </w:r>
              </w:p>
            </w:tc>
            <w:tc>
              <w:tcPr>
                <w:tcW w:w="1590" w:type="dxa"/>
              </w:tcPr>
              <w:p w14:paraId="7DBFE876"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Julkiset palveluntuottajat</w:t>
                </w:r>
              </w:p>
            </w:tc>
            <w:tc>
              <w:tcPr>
                <w:tcW w:w="1561" w:type="dxa"/>
              </w:tcPr>
              <w:p w14:paraId="4645FC3D"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Yksityiset palveluntuottajat</w:t>
                </w:r>
              </w:p>
            </w:tc>
          </w:tr>
          <w:tr w:rsidR="00EF2FAE" w:rsidRPr="0000543A" w14:paraId="3DF8BCF1" w14:textId="77777777" w:rsidTr="00903DAF">
            <w:tc>
              <w:tcPr>
                <w:tcW w:w="7368" w:type="dxa"/>
                <w:gridSpan w:val="4"/>
              </w:tcPr>
              <w:p w14:paraId="13945E77" w14:textId="77777777" w:rsidR="00EF2FAE" w:rsidRPr="0000543A" w:rsidRDefault="00EF2FAE" w:rsidP="00903DAF">
                <w:pPr>
                  <w:spacing w:after="220" w:line="220" w:lineRule="exact"/>
                  <w:rPr>
                    <w:b/>
                    <w:bCs/>
                    <w:color w:val="000000" w:themeColor="text1"/>
                    <w:sz w:val="20"/>
                    <w:szCs w:val="20"/>
                  </w:rPr>
                </w:pPr>
                <w:r w:rsidRPr="0000543A">
                  <w:rPr>
                    <w:b/>
                    <w:bCs/>
                    <w:color w:val="000000" w:themeColor="text1"/>
                    <w:sz w:val="20"/>
                    <w:szCs w:val="20"/>
                  </w:rPr>
                  <w:t>Erotus mitoitusten 0,65 ja 0,7 välillä</w:t>
                </w:r>
                <w:r w:rsidRPr="0000543A">
                  <w:rPr>
                    <w:color w:val="000000" w:themeColor="text1"/>
                    <w:sz w:val="20"/>
                    <w:szCs w:val="20"/>
                  </w:rPr>
                  <w:t xml:space="preserve"> (vähennys henkilöstömäärän lisäyksessä)</w:t>
                </w:r>
              </w:p>
            </w:tc>
          </w:tr>
          <w:tr w:rsidR="00EF2FAE" w:rsidRPr="0000543A" w14:paraId="4CCE46CB" w14:textId="77777777" w:rsidTr="00903DAF">
            <w:tc>
              <w:tcPr>
                <w:tcW w:w="3256" w:type="dxa"/>
              </w:tcPr>
              <w:p w14:paraId="0A754EDC" w14:textId="77777777" w:rsidR="00EF2FAE" w:rsidRPr="0000543A" w:rsidRDefault="00EF2FAE" w:rsidP="00903DAF">
                <w:pPr>
                  <w:pStyle w:val="Default"/>
                  <w:autoSpaceDE/>
                  <w:autoSpaceDN/>
                  <w:adjustRightInd/>
                  <w:spacing w:after="220" w:line="220" w:lineRule="exact"/>
                  <w:jc w:val="both"/>
                  <w:rPr>
                    <w:color w:val="000000" w:themeColor="text1"/>
                    <w:sz w:val="20"/>
                    <w:szCs w:val="20"/>
                  </w:rPr>
                </w:pPr>
                <w:r w:rsidRPr="0000543A">
                  <w:rPr>
                    <w:color w:val="000000" w:themeColor="text1"/>
                    <w:sz w:val="20"/>
                    <w:szCs w:val="20"/>
                  </w:rPr>
                  <w:t>ero henkilöstötarpeessa mitoitusten 0,65 ja 0,7 välillä</w:t>
                </w:r>
              </w:p>
            </w:tc>
            <w:tc>
              <w:tcPr>
                <w:tcW w:w="961" w:type="dxa"/>
                <w:vAlign w:val="bottom"/>
              </w:tcPr>
              <w:p w14:paraId="515EF136"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1 905</w:t>
                </w:r>
              </w:p>
            </w:tc>
            <w:tc>
              <w:tcPr>
                <w:tcW w:w="1590" w:type="dxa"/>
                <w:vAlign w:val="bottom"/>
              </w:tcPr>
              <w:p w14:paraId="425893A9"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824</w:t>
                </w:r>
              </w:p>
            </w:tc>
            <w:tc>
              <w:tcPr>
                <w:tcW w:w="1561" w:type="dxa"/>
                <w:vAlign w:val="bottom"/>
              </w:tcPr>
              <w:p w14:paraId="5B259B93"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1 081</w:t>
                </w:r>
              </w:p>
            </w:tc>
          </w:tr>
          <w:tr w:rsidR="00EF2FAE" w:rsidRPr="0000543A" w14:paraId="0C0CD13F" w14:textId="77777777" w:rsidTr="00903DAF">
            <w:tc>
              <w:tcPr>
                <w:tcW w:w="3256" w:type="dxa"/>
              </w:tcPr>
              <w:p w14:paraId="207EC545" w14:textId="77777777" w:rsidR="00EF2FAE" w:rsidRPr="0000543A" w:rsidRDefault="00EF2FAE" w:rsidP="00903DAF">
                <w:pPr>
                  <w:pStyle w:val="Default"/>
                  <w:autoSpaceDE/>
                  <w:autoSpaceDN/>
                  <w:adjustRightInd/>
                  <w:spacing w:after="220" w:line="220" w:lineRule="exact"/>
                  <w:rPr>
                    <w:color w:val="000000" w:themeColor="text1"/>
                    <w:sz w:val="20"/>
                    <w:szCs w:val="20"/>
                  </w:rPr>
                </w:pPr>
                <w:r w:rsidRPr="0000543A">
                  <w:rPr>
                    <w:color w:val="000000" w:themeColor="text1"/>
                    <w:sz w:val="20"/>
                    <w:szCs w:val="20"/>
                  </w:rPr>
                  <w:t>% koko nykyisestä henkilöstöstä</w:t>
                </w:r>
                <w:r>
                  <w:rPr>
                    <w:color w:val="000000" w:themeColor="text1"/>
                    <w:sz w:val="20"/>
                    <w:szCs w:val="20"/>
                  </w:rPr>
                  <w:t xml:space="preserve"> (välitön työ)</w:t>
                </w:r>
              </w:p>
            </w:tc>
            <w:tc>
              <w:tcPr>
                <w:tcW w:w="961" w:type="dxa"/>
                <w:vAlign w:val="bottom"/>
              </w:tcPr>
              <w:p w14:paraId="3A62B4A5"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6 %</w:t>
                </w:r>
              </w:p>
            </w:tc>
            <w:tc>
              <w:tcPr>
                <w:tcW w:w="1590" w:type="dxa"/>
                <w:vAlign w:val="bottom"/>
              </w:tcPr>
              <w:p w14:paraId="77B8E9D7"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5 %</w:t>
                </w:r>
              </w:p>
            </w:tc>
            <w:tc>
              <w:tcPr>
                <w:tcW w:w="1561" w:type="dxa"/>
                <w:vAlign w:val="bottom"/>
              </w:tcPr>
              <w:p w14:paraId="0BEFDD63"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6 %</w:t>
                </w:r>
              </w:p>
            </w:tc>
          </w:tr>
          <w:tr w:rsidR="00EF2FAE" w:rsidRPr="0000543A" w14:paraId="232F951E" w14:textId="77777777" w:rsidTr="00903DAF">
            <w:tc>
              <w:tcPr>
                <w:tcW w:w="3256" w:type="dxa"/>
              </w:tcPr>
              <w:p w14:paraId="62C40CCA" w14:textId="77777777" w:rsidR="00EF2FAE" w:rsidRPr="0000543A" w:rsidRDefault="00EF2FAE" w:rsidP="00903DAF">
                <w:pPr>
                  <w:pStyle w:val="Default"/>
                  <w:autoSpaceDE/>
                  <w:autoSpaceDN/>
                  <w:adjustRightInd/>
                  <w:spacing w:after="220" w:line="220" w:lineRule="exact"/>
                  <w:jc w:val="both"/>
                  <w:rPr>
                    <w:color w:val="000000" w:themeColor="text1"/>
                    <w:sz w:val="20"/>
                    <w:szCs w:val="20"/>
                  </w:rPr>
                </w:pPr>
                <w:r w:rsidRPr="0000543A">
                  <w:rPr>
                    <w:color w:val="000000" w:themeColor="text1"/>
                    <w:sz w:val="20"/>
                    <w:szCs w:val="20"/>
                  </w:rPr>
                  <w:t>mitoitusten 0,65 ja 0,7 välillä olevia yksiköitä, lkm</w:t>
                </w:r>
              </w:p>
            </w:tc>
            <w:tc>
              <w:tcPr>
                <w:tcW w:w="961" w:type="dxa"/>
                <w:vAlign w:val="bottom"/>
              </w:tcPr>
              <w:p w14:paraId="162B9659"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408</w:t>
                </w:r>
              </w:p>
            </w:tc>
            <w:tc>
              <w:tcPr>
                <w:tcW w:w="1590" w:type="dxa"/>
                <w:vAlign w:val="bottom"/>
              </w:tcPr>
              <w:p w14:paraId="21339C91"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220</w:t>
                </w:r>
              </w:p>
            </w:tc>
            <w:tc>
              <w:tcPr>
                <w:tcW w:w="1561" w:type="dxa"/>
                <w:vAlign w:val="bottom"/>
              </w:tcPr>
              <w:p w14:paraId="540A1E0C"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188</w:t>
                </w:r>
              </w:p>
            </w:tc>
          </w:tr>
        </w:tbl>
        <w:p w14:paraId="737862CE" w14:textId="77777777" w:rsidR="00EF2FAE" w:rsidRDefault="00EF2FAE" w:rsidP="00EF2FAE">
          <w:pPr>
            <w:spacing w:after="220" w:line="220" w:lineRule="exact"/>
            <w:jc w:val="both"/>
            <w:rPr>
              <w:color w:val="000000" w:themeColor="text1"/>
            </w:rPr>
          </w:pPr>
        </w:p>
        <w:p w14:paraId="6C7380E7" w14:textId="7B3F92B5" w:rsidR="00EF2FAE" w:rsidRDefault="00EF2FAE" w:rsidP="00EF2FAE">
          <w:pPr>
            <w:spacing w:after="220" w:line="220" w:lineRule="exact"/>
            <w:jc w:val="both"/>
            <w:rPr>
              <w:color w:val="000000" w:themeColor="text1"/>
            </w:rPr>
          </w:pPr>
          <w:r>
            <w:rPr>
              <w:color w:val="000000" w:themeColor="text1"/>
            </w:rPr>
            <w:t xml:space="preserve">Taulukossa </w:t>
          </w:r>
          <w:r w:rsidR="009C4257">
            <w:rPr>
              <w:color w:val="000000" w:themeColor="text1"/>
            </w:rPr>
            <w:t>2</w:t>
          </w:r>
          <w:r>
            <w:rPr>
              <w:color w:val="000000" w:themeColor="text1"/>
            </w:rPr>
            <w:t xml:space="preserve"> on lisäksi taustatiedoksi kuvattu, kuinka paljon henkilöstöä tarvitaan lisää toukokuun 2022 tilanteeseen verrattuna ja kuinka montaa toimintayksikköä lisäystarve koskee. </w:t>
          </w:r>
        </w:p>
        <w:p w14:paraId="262518BA" w14:textId="77777777" w:rsidR="00EF2FAE" w:rsidRDefault="00EF2FAE" w:rsidP="00EF2FAE">
          <w:pPr>
            <w:spacing w:after="220" w:line="220" w:lineRule="exact"/>
            <w:jc w:val="both"/>
            <w:rPr>
              <w:color w:val="000000" w:themeColor="text1"/>
            </w:rPr>
          </w:pPr>
        </w:p>
        <w:p w14:paraId="78326651" w14:textId="50EC2310" w:rsidR="00EF2FAE" w:rsidRDefault="00EF2FAE" w:rsidP="00EF2FAE">
          <w:pPr>
            <w:spacing w:after="220" w:line="220" w:lineRule="exact"/>
            <w:jc w:val="both"/>
            <w:rPr>
              <w:color w:val="000000" w:themeColor="text1"/>
            </w:rPr>
          </w:pPr>
          <w:r w:rsidRPr="00783860">
            <w:rPr>
              <w:b/>
              <w:color w:val="000000" w:themeColor="text1"/>
            </w:rPr>
            <w:lastRenderedPageBreak/>
            <w:t xml:space="preserve">Taulukko </w:t>
          </w:r>
          <w:r w:rsidR="009C4257" w:rsidRPr="00783860">
            <w:rPr>
              <w:b/>
              <w:color w:val="000000" w:themeColor="text1"/>
            </w:rPr>
            <w:t>2</w:t>
          </w:r>
          <w:r w:rsidRPr="00783860">
            <w:rPr>
              <w:b/>
              <w:color w:val="000000" w:themeColor="text1"/>
            </w:rPr>
            <w:t>.</w:t>
          </w:r>
          <w:r w:rsidRPr="003B7D80">
            <w:rPr>
              <w:color w:val="000000" w:themeColor="text1"/>
            </w:rPr>
            <w:t xml:space="preserve"> 0,65 ja 0,7 mitoitukseen tarvittava lisähenkilöstö</w:t>
          </w:r>
          <w:r>
            <w:rPr>
              <w:color w:val="000000" w:themeColor="text1"/>
            </w:rPr>
            <w:t xml:space="preserve"> </w:t>
          </w:r>
          <w:r w:rsidRPr="003B7D80">
            <w:rPr>
              <w:color w:val="000000" w:themeColor="text1"/>
            </w:rPr>
            <w:t>julkisten ja yksityisten palveluntuottajien osalta</w:t>
          </w:r>
          <w:r>
            <w:rPr>
              <w:color w:val="000000" w:themeColor="text1"/>
            </w:rPr>
            <w:t xml:space="preserve"> (</w:t>
          </w:r>
          <w:r w:rsidRPr="003B7D80">
            <w:rPr>
              <w:color w:val="000000" w:themeColor="text1"/>
            </w:rPr>
            <w:t>ilman sijaistarvetta)</w:t>
          </w:r>
          <w:r>
            <w:rPr>
              <w:color w:val="000000" w:themeColor="text1"/>
            </w:rPr>
            <w:t xml:space="preserve"> </w:t>
          </w:r>
        </w:p>
        <w:tbl>
          <w:tblPr>
            <w:tblStyle w:val="TaulukkoRuudukko"/>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961"/>
            <w:gridCol w:w="1590"/>
            <w:gridCol w:w="1561"/>
          </w:tblGrid>
          <w:tr w:rsidR="00EF2FAE" w:rsidRPr="0000543A" w14:paraId="19300177" w14:textId="77777777" w:rsidTr="00903DAF">
            <w:tc>
              <w:tcPr>
                <w:tcW w:w="3256" w:type="dxa"/>
              </w:tcPr>
              <w:p w14:paraId="408C2DF5" w14:textId="77777777" w:rsidR="00EF2FAE" w:rsidRPr="0000543A" w:rsidRDefault="00EF2FAE" w:rsidP="00903DAF">
                <w:pPr>
                  <w:spacing w:after="220" w:line="220" w:lineRule="exact"/>
                  <w:jc w:val="both"/>
                  <w:rPr>
                    <w:color w:val="000000" w:themeColor="text1"/>
                    <w:sz w:val="20"/>
                    <w:szCs w:val="20"/>
                  </w:rPr>
                </w:pPr>
              </w:p>
            </w:tc>
            <w:tc>
              <w:tcPr>
                <w:tcW w:w="961" w:type="dxa"/>
              </w:tcPr>
              <w:p w14:paraId="5CCBE5A5"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Yhteensä</w:t>
                </w:r>
              </w:p>
            </w:tc>
            <w:tc>
              <w:tcPr>
                <w:tcW w:w="1590" w:type="dxa"/>
              </w:tcPr>
              <w:p w14:paraId="1535DC63"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Julkiset palveluntuottajat</w:t>
                </w:r>
              </w:p>
            </w:tc>
            <w:tc>
              <w:tcPr>
                <w:tcW w:w="1561" w:type="dxa"/>
              </w:tcPr>
              <w:p w14:paraId="4E547597"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Yksityiset palveluntuottajat</w:t>
                </w:r>
              </w:p>
            </w:tc>
          </w:tr>
          <w:tr w:rsidR="00EF2FAE" w:rsidRPr="0000543A" w14:paraId="784F6F36" w14:textId="77777777" w:rsidTr="00903DAF">
            <w:trPr>
              <w:trHeight w:val="282"/>
            </w:trPr>
            <w:tc>
              <w:tcPr>
                <w:tcW w:w="7368" w:type="dxa"/>
                <w:gridSpan w:val="4"/>
                <w:vAlign w:val="center"/>
              </w:tcPr>
              <w:p w14:paraId="61B50360" w14:textId="77777777" w:rsidR="00EF2FAE" w:rsidRPr="0000543A" w:rsidRDefault="00EF2FAE" w:rsidP="00903DAF">
                <w:pPr>
                  <w:spacing w:after="220" w:line="220" w:lineRule="exact"/>
                  <w:rPr>
                    <w:b/>
                    <w:bCs/>
                    <w:color w:val="000000" w:themeColor="text1"/>
                    <w:sz w:val="20"/>
                    <w:szCs w:val="20"/>
                  </w:rPr>
                </w:pPr>
                <w:r w:rsidRPr="0000543A">
                  <w:rPr>
                    <w:b/>
                    <w:bCs/>
                    <w:color w:val="000000" w:themeColor="text1"/>
                    <w:sz w:val="20"/>
                    <w:szCs w:val="20"/>
                  </w:rPr>
                  <w:t>Mitoitus 0,65</w:t>
                </w:r>
              </w:p>
            </w:tc>
          </w:tr>
          <w:tr w:rsidR="00EF2FAE" w:rsidRPr="0000543A" w14:paraId="2B8F145E" w14:textId="77777777" w:rsidTr="00903DAF">
            <w:tc>
              <w:tcPr>
                <w:tcW w:w="3256" w:type="dxa"/>
              </w:tcPr>
              <w:p w14:paraId="1A6A55B1"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henkilöstötarve</w:t>
                </w:r>
              </w:p>
            </w:tc>
            <w:tc>
              <w:tcPr>
                <w:tcW w:w="961" w:type="dxa"/>
                <w:vAlign w:val="bottom"/>
              </w:tcPr>
              <w:p w14:paraId="7C663081"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1 492</w:t>
                </w:r>
              </w:p>
            </w:tc>
            <w:tc>
              <w:tcPr>
                <w:tcW w:w="1590" w:type="dxa"/>
                <w:vAlign w:val="bottom"/>
              </w:tcPr>
              <w:p w14:paraId="775FB075"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661</w:t>
                </w:r>
              </w:p>
            </w:tc>
            <w:tc>
              <w:tcPr>
                <w:tcW w:w="1561" w:type="dxa"/>
                <w:vAlign w:val="bottom"/>
              </w:tcPr>
              <w:p w14:paraId="2D01726A"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832</w:t>
                </w:r>
              </w:p>
            </w:tc>
          </w:tr>
          <w:tr w:rsidR="00EF2FAE" w:rsidRPr="0000543A" w14:paraId="1AAB17DB" w14:textId="77777777" w:rsidTr="00903DAF">
            <w:tc>
              <w:tcPr>
                <w:tcW w:w="3256" w:type="dxa"/>
              </w:tcPr>
              <w:p w14:paraId="2B0D150B" w14:textId="77777777" w:rsidR="00EF2FAE" w:rsidRPr="0000543A" w:rsidRDefault="00EF2FAE" w:rsidP="00903DAF">
                <w:pPr>
                  <w:spacing w:after="220" w:line="220" w:lineRule="exact"/>
                  <w:rPr>
                    <w:color w:val="000000" w:themeColor="text1"/>
                    <w:sz w:val="20"/>
                    <w:szCs w:val="20"/>
                  </w:rPr>
                </w:pPr>
                <w:r w:rsidRPr="0000543A">
                  <w:rPr>
                    <w:color w:val="000000" w:themeColor="text1"/>
                    <w:sz w:val="20"/>
                    <w:szCs w:val="20"/>
                  </w:rPr>
                  <w:t>% koko nykyisestä henkilöstöstä</w:t>
                </w:r>
                <w:r>
                  <w:rPr>
                    <w:color w:val="000000" w:themeColor="text1"/>
                    <w:sz w:val="20"/>
                    <w:szCs w:val="20"/>
                  </w:rPr>
                  <w:t xml:space="preserve"> (välitön työ)</w:t>
                </w:r>
              </w:p>
            </w:tc>
            <w:tc>
              <w:tcPr>
                <w:tcW w:w="961" w:type="dxa"/>
                <w:vAlign w:val="bottom"/>
              </w:tcPr>
              <w:p w14:paraId="2FED17FF"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4 %</w:t>
                </w:r>
              </w:p>
            </w:tc>
            <w:tc>
              <w:tcPr>
                <w:tcW w:w="1590" w:type="dxa"/>
                <w:vAlign w:val="bottom"/>
              </w:tcPr>
              <w:p w14:paraId="35BE52AD"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4 %</w:t>
                </w:r>
              </w:p>
            </w:tc>
            <w:tc>
              <w:tcPr>
                <w:tcW w:w="1561" w:type="dxa"/>
                <w:vAlign w:val="bottom"/>
              </w:tcPr>
              <w:p w14:paraId="617683CC"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5 %</w:t>
                </w:r>
              </w:p>
            </w:tc>
          </w:tr>
          <w:tr w:rsidR="00EF2FAE" w:rsidRPr="0000543A" w14:paraId="3F750EDE" w14:textId="77777777" w:rsidTr="00903DAF">
            <w:tc>
              <w:tcPr>
                <w:tcW w:w="3256" w:type="dxa"/>
              </w:tcPr>
              <w:p w14:paraId="30BEF1DE" w14:textId="77777777" w:rsidR="00EF2FAE" w:rsidRPr="0000543A" w:rsidRDefault="00EF2FAE" w:rsidP="00903DAF">
                <w:pPr>
                  <w:pStyle w:val="Default"/>
                  <w:autoSpaceDE/>
                  <w:autoSpaceDN/>
                  <w:adjustRightInd/>
                  <w:spacing w:after="220" w:line="220" w:lineRule="exact"/>
                  <w:jc w:val="both"/>
                  <w:rPr>
                    <w:color w:val="000000" w:themeColor="text1"/>
                    <w:sz w:val="20"/>
                    <w:szCs w:val="20"/>
                  </w:rPr>
                </w:pPr>
                <w:r w:rsidRPr="0000543A">
                  <w:rPr>
                    <w:color w:val="000000" w:themeColor="text1"/>
                    <w:sz w:val="20"/>
                    <w:szCs w:val="20"/>
                  </w:rPr>
                  <w:t>mitoituksen alittavia yksiköitä, lkm</w:t>
                </w:r>
              </w:p>
            </w:tc>
            <w:tc>
              <w:tcPr>
                <w:tcW w:w="961" w:type="dxa"/>
                <w:vAlign w:val="bottom"/>
              </w:tcPr>
              <w:p w14:paraId="2851AC2A"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886</w:t>
                </w:r>
              </w:p>
            </w:tc>
            <w:tc>
              <w:tcPr>
                <w:tcW w:w="1590" w:type="dxa"/>
                <w:vAlign w:val="bottom"/>
              </w:tcPr>
              <w:p w14:paraId="60468AEB"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360</w:t>
                </w:r>
              </w:p>
            </w:tc>
            <w:tc>
              <w:tcPr>
                <w:tcW w:w="1561" w:type="dxa"/>
                <w:vAlign w:val="bottom"/>
              </w:tcPr>
              <w:p w14:paraId="0D4C340A"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526</w:t>
                </w:r>
              </w:p>
            </w:tc>
          </w:tr>
          <w:tr w:rsidR="00EF2FAE" w:rsidRPr="0000543A" w14:paraId="0275DDE4" w14:textId="77777777" w:rsidTr="00903DAF">
            <w:tc>
              <w:tcPr>
                <w:tcW w:w="7368" w:type="dxa"/>
                <w:gridSpan w:val="4"/>
              </w:tcPr>
              <w:p w14:paraId="08C82D13" w14:textId="77777777" w:rsidR="00EF2FAE" w:rsidRPr="0000543A" w:rsidRDefault="00EF2FAE" w:rsidP="00903DAF">
                <w:pPr>
                  <w:spacing w:after="220" w:line="220" w:lineRule="exact"/>
                  <w:rPr>
                    <w:b/>
                    <w:bCs/>
                    <w:color w:val="000000" w:themeColor="text1"/>
                    <w:sz w:val="20"/>
                    <w:szCs w:val="20"/>
                  </w:rPr>
                </w:pPr>
                <w:r w:rsidRPr="0000543A">
                  <w:rPr>
                    <w:b/>
                    <w:bCs/>
                    <w:color w:val="000000" w:themeColor="text1"/>
                    <w:sz w:val="20"/>
                    <w:szCs w:val="20"/>
                  </w:rPr>
                  <w:t>Mitoitus 0,7</w:t>
                </w:r>
              </w:p>
            </w:tc>
          </w:tr>
          <w:tr w:rsidR="00EF2FAE" w:rsidRPr="0000543A" w14:paraId="38616599" w14:textId="77777777" w:rsidTr="00903DAF">
            <w:tc>
              <w:tcPr>
                <w:tcW w:w="3256" w:type="dxa"/>
              </w:tcPr>
              <w:p w14:paraId="7ECE18D7" w14:textId="77777777" w:rsidR="00EF2FAE" w:rsidRPr="0000543A" w:rsidRDefault="00EF2FAE" w:rsidP="00903DAF">
                <w:pPr>
                  <w:spacing w:after="220" w:line="220" w:lineRule="exact"/>
                  <w:jc w:val="both"/>
                  <w:rPr>
                    <w:color w:val="000000" w:themeColor="text1"/>
                    <w:sz w:val="20"/>
                    <w:szCs w:val="20"/>
                  </w:rPr>
                </w:pPr>
                <w:r w:rsidRPr="0000543A">
                  <w:rPr>
                    <w:color w:val="000000" w:themeColor="text1"/>
                    <w:sz w:val="20"/>
                    <w:szCs w:val="20"/>
                  </w:rPr>
                  <w:t>henkilöstötarve</w:t>
                </w:r>
              </w:p>
            </w:tc>
            <w:tc>
              <w:tcPr>
                <w:tcW w:w="961" w:type="dxa"/>
                <w:vAlign w:val="bottom"/>
              </w:tcPr>
              <w:p w14:paraId="439BE5F8"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3 397</w:t>
                </w:r>
              </w:p>
            </w:tc>
            <w:tc>
              <w:tcPr>
                <w:tcW w:w="1590" w:type="dxa"/>
                <w:vAlign w:val="bottom"/>
              </w:tcPr>
              <w:p w14:paraId="4ED24138"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1 485</w:t>
                </w:r>
              </w:p>
            </w:tc>
            <w:tc>
              <w:tcPr>
                <w:tcW w:w="1561" w:type="dxa"/>
                <w:vAlign w:val="bottom"/>
              </w:tcPr>
              <w:p w14:paraId="731CF149"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1 912</w:t>
                </w:r>
              </w:p>
            </w:tc>
          </w:tr>
          <w:tr w:rsidR="00EF2FAE" w:rsidRPr="0000543A" w14:paraId="0AAFE4C6" w14:textId="77777777" w:rsidTr="00903DAF">
            <w:tc>
              <w:tcPr>
                <w:tcW w:w="3256" w:type="dxa"/>
              </w:tcPr>
              <w:p w14:paraId="0B835D9A" w14:textId="77777777" w:rsidR="00EF2FAE" w:rsidRPr="0000543A" w:rsidRDefault="00EF2FAE" w:rsidP="00903DAF">
                <w:pPr>
                  <w:spacing w:after="220" w:line="220" w:lineRule="exact"/>
                  <w:rPr>
                    <w:color w:val="000000" w:themeColor="text1"/>
                    <w:sz w:val="20"/>
                    <w:szCs w:val="20"/>
                  </w:rPr>
                </w:pPr>
                <w:r w:rsidRPr="0000543A">
                  <w:rPr>
                    <w:color w:val="000000" w:themeColor="text1"/>
                    <w:sz w:val="20"/>
                    <w:szCs w:val="20"/>
                  </w:rPr>
                  <w:t>% koko nykyisestä henkilöstöstä</w:t>
                </w:r>
                <w:r>
                  <w:rPr>
                    <w:color w:val="000000" w:themeColor="text1"/>
                    <w:sz w:val="20"/>
                    <w:szCs w:val="20"/>
                  </w:rPr>
                  <w:t xml:space="preserve"> (välitön työ)</w:t>
                </w:r>
              </w:p>
            </w:tc>
            <w:tc>
              <w:tcPr>
                <w:tcW w:w="961" w:type="dxa"/>
                <w:vAlign w:val="bottom"/>
              </w:tcPr>
              <w:p w14:paraId="49AA8734"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10 %</w:t>
                </w:r>
              </w:p>
            </w:tc>
            <w:tc>
              <w:tcPr>
                <w:tcW w:w="1590" w:type="dxa"/>
                <w:vAlign w:val="bottom"/>
              </w:tcPr>
              <w:p w14:paraId="2E11C0D1"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9 %</w:t>
                </w:r>
              </w:p>
            </w:tc>
            <w:tc>
              <w:tcPr>
                <w:tcW w:w="1561" w:type="dxa"/>
                <w:vAlign w:val="bottom"/>
              </w:tcPr>
              <w:p w14:paraId="7A1ECD1E"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11 %</w:t>
                </w:r>
              </w:p>
            </w:tc>
          </w:tr>
          <w:tr w:rsidR="00EF2FAE" w:rsidRPr="0000543A" w14:paraId="47B52695" w14:textId="77777777" w:rsidTr="00903DAF">
            <w:tc>
              <w:tcPr>
                <w:tcW w:w="3256" w:type="dxa"/>
              </w:tcPr>
              <w:p w14:paraId="18E83090" w14:textId="77777777" w:rsidR="00EF2FAE" w:rsidRPr="0000543A" w:rsidRDefault="00EF2FAE" w:rsidP="00903DAF">
                <w:pPr>
                  <w:pStyle w:val="Default"/>
                  <w:autoSpaceDE/>
                  <w:autoSpaceDN/>
                  <w:adjustRightInd/>
                  <w:spacing w:after="220" w:line="220" w:lineRule="exact"/>
                  <w:jc w:val="both"/>
                  <w:rPr>
                    <w:color w:val="000000" w:themeColor="text1"/>
                    <w:sz w:val="20"/>
                    <w:szCs w:val="20"/>
                  </w:rPr>
                </w:pPr>
                <w:r w:rsidRPr="0000543A">
                  <w:rPr>
                    <w:color w:val="000000" w:themeColor="text1"/>
                    <w:sz w:val="20"/>
                    <w:szCs w:val="20"/>
                  </w:rPr>
                  <w:t>mitoituksen alittavia yksiköitä, lkm</w:t>
                </w:r>
              </w:p>
            </w:tc>
            <w:tc>
              <w:tcPr>
                <w:tcW w:w="961" w:type="dxa"/>
                <w:vAlign w:val="bottom"/>
              </w:tcPr>
              <w:p w14:paraId="1E9BB35F"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1 294</w:t>
                </w:r>
              </w:p>
            </w:tc>
            <w:tc>
              <w:tcPr>
                <w:tcW w:w="1590" w:type="dxa"/>
                <w:vAlign w:val="bottom"/>
              </w:tcPr>
              <w:p w14:paraId="563CF9AF"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580</w:t>
                </w:r>
              </w:p>
            </w:tc>
            <w:tc>
              <w:tcPr>
                <w:tcW w:w="1561" w:type="dxa"/>
                <w:vAlign w:val="bottom"/>
              </w:tcPr>
              <w:p w14:paraId="7C4394EC" w14:textId="77777777" w:rsidR="00EF2FAE" w:rsidRPr="0000543A" w:rsidRDefault="00EF2FAE" w:rsidP="00903DAF">
                <w:pPr>
                  <w:spacing w:after="220" w:line="220" w:lineRule="exact"/>
                  <w:jc w:val="right"/>
                  <w:rPr>
                    <w:color w:val="000000" w:themeColor="text1"/>
                    <w:sz w:val="20"/>
                    <w:szCs w:val="20"/>
                  </w:rPr>
                </w:pPr>
                <w:r w:rsidRPr="0000543A">
                  <w:rPr>
                    <w:color w:val="000000" w:themeColor="text1"/>
                    <w:sz w:val="20"/>
                    <w:szCs w:val="20"/>
                  </w:rPr>
                  <w:t>714</w:t>
                </w:r>
              </w:p>
            </w:tc>
          </w:tr>
        </w:tbl>
        <w:p w14:paraId="0B95FDEB" w14:textId="77777777" w:rsidR="00EF2FAE" w:rsidRPr="003B7D80" w:rsidRDefault="00EF2FAE" w:rsidP="00EF2FAE">
          <w:pPr>
            <w:spacing w:after="220" w:line="220" w:lineRule="exact"/>
            <w:jc w:val="both"/>
            <w:rPr>
              <w:color w:val="000000" w:themeColor="text1"/>
            </w:rPr>
          </w:pPr>
        </w:p>
        <w:p w14:paraId="143AE768" w14:textId="77777777" w:rsidR="00EF2FAE" w:rsidRPr="00CC7CF2" w:rsidRDefault="00EF2FAE" w:rsidP="00EF2FAE">
          <w:pPr>
            <w:spacing w:after="220" w:line="220" w:lineRule="exact"/>
            <w:jc w:val="both"/>
            <w:rPr>
              <w:color w:val="000000" w:themeColor="text1"/>
            </w:rPr>
          </w:pPr>
          <w:r w:rsidRPr="00CC7CF2">
            <w:rPr>
              <w:color w:val="000000" w:themeColor="text1"/>
            </w:rPr>
            <w:t xml:space="preserve">Laskennassa </w:t>
          </w:r>
          <w:r>
            <w:rPr>
              <w:color w:val="000000" w:themeColor="text1"/>
            </w:rPr>
            <w:t xml:space="preserve">on </w:t>
          </w:r>
          <w:r w:rsidRPr="00CC7CF2">
            <w:rPr>
              <w:color w:val="000000" w:themeColor="text1"/>
            </w:rPr>
            <w:t>käytet</w:t>
          </w:r>
          <w:r>
            <w:rPr>
              <w:color w:val="000000" w:themeColor="text1"/>
            </w:rPr>
            <w:t xml:space="preserve">ty </w:t>
          </w:r>
          <w:r w:rsidRPr="00CC7CF2">
            <w:rPr>
              <w:color w:val="000000" w:themeColor="text1"/>
            </w:rPr>
            <w:t xml:space="preserve">kolmen ammattiryhmän palkkojen painotettua keskiarvoa suhteessa </w:t>
          </w:r>
          <w:r>
            <w:rPr>
              <w:color w:val="000000" w:themeColor="text1"/>
            </w:rPr>
            <w:t>48</w:t>
          </w:r>
          <w:r w:rsidRPr="00CC7CF2">
            <w:rPr>
              <w:color w:val="000000" w:themeColor="text1"/>
            </w:rPr>
            <w:t xml:space="preserve"> prosenttia lähihoitajat, ka</w:t>
          </w:r>
          <w:r>
            <w:rPr>
              <w:color w:val="000000" w:themeColor="text1"/>
            </w:rPr>
            <w:t>ksi</w:t>
          </w:r>
          <w:r w:rsidRPr="00CC7CF2">
            <w:rPr>
              <w:color w:val="000000" w:themeColor="text1"/>
            </w:rPr>
            <w:t xml:space="preserve"> prosenttia sairaanhoitajat ja</w:t>
          </w:r>
          <w:r>
            <w:rPr>
              <w:color w:val="000000" w:themeColor="text1"/>
            </w:rPr>
            <w:t xml:space="preserve"> 50</w:t>
          </w:r>
          <w:r w:rsidRPr="00CC7CF2">
            <w:rPr>
              <w:color w:val="000000" w:themeColor="text1"/>
            </w:rPr>
            <w:t xml:space="preserve"> prosenttia hoiva-avustajat</w:t>
          </w:r>
          <w:r>
            <w:rPr>
              <w:color w:val="000000" w:themeColor="text1"/>
            </w:rPr>
            <w:t xml:space="preserve"> olettaen, että suunnilleen tässä suhteessa näitä ammattiryhmiä olisi todennäköisesti palkattu vuonna 2023, jos 0,7 työntekijän mitoitus tulisi voimaan alkuperäisen aikataulun mukaan</w:t>
          </w:r>
          <w:r w:rsidRPr="00CC7CF2">
            <w:rPr>
              <w:color w:val="000000" w:themeColor="text1"/>
            </w:rPr>
            <w:t xml:space="preserve">. </w:t>
          </w:r>
        </w:p>
        <w:p w14:paraId="32CC3BC0" w14:textId="77777777" w:rsidR="00EF2FAE" w:rsidRDefault="00EF2FAE" w:rsidP="00EF2FAE">
          <w:pPr>
            <w:spacing w:after="220" w:line="220" w:lineRule="exact"/>
            <w:jc w:val="both"/>
            <w:rPr>
              <w:color w:val="000000" w:themeColor="text1"/>
            </w:rPr>
          </w:pPr>
          <w:r>
            <w:rPr>
              <w:color w:val="000000" w:themeColor="text1"/>
            </w:rPr>
            <w:t>Säästyvät henkilöstökustannukset on laskettu erikseen julkisten ja yksityisten palveluntuottajien palkkatietojen perusteella</w:t>
          </w:r>
          <w:r>
            <w:rPr>
              <w:rStyle w:val="Alaviitteenviite"/>
              <w:color w:val="000000" w:themeColor="text1"/>
            </w:rPr>
            <w:footnoteReference w:id="5"/>
          </w:r>
          <w:r>
            <w:rPr>
              <w:color w:val="000000" w:themeColor="text1"/>
            </w:rPr>
            <w:t>. K</w:t>
          </w:r>
          <w:r w:rsidRPr="003B7D80">
            <w:rPr>
              <w:color w:val="000000" w:themeColor="text1"/>
            </w:rPr>
            <w:t xml:space="preserve">äytettävissä </w:t>
          </w:r>
          <w:r>
            <w:rPr>
              <w:color w:val="000000" w:themeColor="text1"/>
            </w:rPr>
            <w:t xml:space="preserve">ovat </w:t>
          </w:r>
          <w:r w:rsidRPr="003B7D80">
            <w:rPr>
              <w:color w:val="000000" w:themeColor="text1"/>
            </w:rPr>
            <w:t>vuoden 2021 palkkatiedot</w:t>
          </w:r>
          <w:r w:rsidRPr="003B7D80">
            <w:rPr>
              <w:rStyle w:val="Alaviitteenviite"/>
              <w:color w:val="000000" w:themeColor="text1"/>
            </w:rPr>
            <w:footnoteReference w:id="6"/>
          </w:r>
          <w:r>
            <w:rPr>
              <w:color w:val="000000" w:themeColor="text1"/>
            </w:rPr>
            <w:t>, joi</w:t>
          </w:r>
          <w:r w:rsidRPr="003B7D80">
            <w:rPr>
              <w:color w:val="000000" w:themeColor="text1"/>
            </w:rPr>
            <w:t>hin lisättiin sivukulut (24,05 %) ja lomarahat (5 %)</w:t>
          </w:r>
          <w:r>
            <w:rPr>
              <w:color w:val="000000" w:themeColor="text1"/>
            </w:rPr>
            <w:t xml:space="preserve">. Summat on nostettu vuoden 2023 tasoon käyttämällä </w:t>
          </w:r>
          <w:r w:rsidRPr="0060686E">
            <w:rPr>
              <w:color w:val="000000" w:themeColor="text1"/>
            </w:rPr>
            <w:t>peruspalvelujen hintaindeksiä</w:t>
          </w:r>
          <w:r>
            <w:rPr>
              <w:color w:val="000000" w:themeColor="text1"/>
            </w:rPr>
            <w:t xml:space="preserve"> (3,8 % 2021–2022) ja </w:t>
          </w:r>
          <w:r w:rsidRPr="0060686E">
            <w:rPr>
              <w:color w:val="000000" w:themeColor="text1"/>
            </w:rPr>
            <w:t>hyvinvointialueiden hintaindeksiä</w:t>
          </w:r>
          <w:r>
            <w:rPr>
              <w:color w:val="000000" w:themeColor="text1"/>
            </w:rPr>
            <w:t xml:space="preserve"> (3,52 % 2022–2023)</w:t>
          </w:r>
          <w:r>
            <w:rPr>
              <w:rStyle w:val="Alaviitteenviite"/>
              <w:color w:val="000000" w:themeColor="text1"/>
            </w:rPr>
            <w:footnoteReference w:id="7"/>
          </w:r>
          <w:r w:rsidRPr="003B7D80">
            <w:rPr>
              <w:color w:val="000000" w:themeColor="text1"/>
            </w:rPr>
            <w:t>.</w:t>
          </w:r>
          <w:r>
            <w:rPr>
              <w:color w:val="000000" w:themeColor="text1"/>
            </w:rPr>
            <w:t xml:space="preserve"> </w:t>
          </w:r>
          <w:r w:rsidRPr="003B7D80">
            <w:rPr>
              <w:color w:val="000000" w:themeColor="text1"/>
            </w:rPr>
            <w:t xml:space="preserve">Näin laskettuna mitoituksen siirto vähentäisi julkisten </w:t>
          </w:r>
          <w:r>
            <w:rPr>
              <w:color w:val="000000" w:themeColor="text1"/>
            </w:rPr>
            <w:t xml:space="preserve">ja yksityisten </w:t>
          </w:r>
          <w:r w:rsidRPr="003B7D80">
            <w:rPr>
              <w:color w:val="000000" w:themeColor="text1"/>
            </w:rPr>
            <w:t xml:space="preserve">palveluntuottajien </w:t>
          </w:r>
          <w:r>
            <w:rPr>
              <w:color w:val="000000" w:themeColor="text1"/>
            </w:rPr>
            <w:t>henkilöstö</w:t>
          </w:r>
          <w:r w:rsidRPr="003B7D80">
            <w:rPr>
              <w:color w:val="000000" w:themeColor="text1"/>
            </w:rPr>
            <w:t>kustannuksia</w:t>
          </w:r>
          <w:r>
            <w:rPr>
              <w:color w:val="000000" w:themeColor="text1"/>
            </w:rPr>
            <w:t xml:space="preserve"> enintään yhteensä 55,0</w:t>
          </w:r>
          <w:r w:rsidRPr="003B7D80">
            <w:rPr>
              <w:color w:val="000000" w:themeColor="text1"/>
            </w:rPr>
            <w:t xml:space="preserve"> miljoonaa euroa. Lisäksi </w:t>
          </w:r>
          <w:r>
            <w:rPr>
              <w:color w:val="000000" w:themeColor="text1"/>
            </w:rPr>
            <w:t xml:space="preserve">voisi </w:t>
          </w:r>
          <w:r w:rsidRPr="003B7D80">
            <w:rPr>
              <w:color w:val="000000" w:themeColor="text1"/>
            </w:rPr>
            <w:t>säästy</w:t>
          </w:r>
          <w:r>
            <w:rPr>
              <w:color w:val="000000" w:themeColor="text1"/>
            </w:rPr>
            <w:t>ä</w:t>
          </w:r>
          <w:r w:rsidRPr="003B7D80">
            <w:rPr>
              <w:color w:val="000000" w:themeColor="text1"/>
            </w:rPr>
            <w:t xml:space="preserve"> </w:t>
          </w:r>
          <w:r w:rsidRPr="003B7D80">
            <w:rPr>
              <w:color w:val="000000" w:themeColor="text1"/>
            </w:rPr>
            <w:lastRenderedPageBreak/>
            <w:t xml:space="preserve">poissaolojen vuoksi palkattavien sijaisten kustannuksia. Niiden kustannusten voidaan arvioida olevan </w:t>
          </w:r>
          <w:r>
            <w:rPr>
              <w:color w:val="000000" w:themeColor="text1"/>
            </w:rPr>
            <w:t>enintään 12,1</w:t>
          </w:r>
          <w:r w:rsidRPr="003B7D80">
            <w:rPr>
              <w:color w:val="000000" w:themeColor="text1"/>
            </w:rPr>
            <w:t xml:space="preserve"> miljoonaa euroa </w:t>
          </w:r>
          <w:r>
            <w:rPr>
              <w:color w:val="000000" w:themeColor="text1"/>
            </w:rPr>
            <w:t>(</w:t>
          </w:r>
          <w:r w:rsidRPr="003B7D80">
            <w:rPr>
              <w:color w:val="000000" w:themeColor="text1"/>
            </w:rPr>
            <w:t>22 prosenttia).</w:t>
          </w:r>
          <w:r>
            <w:rPr>
              <w:color w:val="000000" w:themeColor="text1"/>
            </w:rPr>
            <w:t xml:space="preserve"> On kuitenkin otettava huomioon, että käytännössä toimintayksiköiden on aloitettava rekrytointi jo ennen 0,7 työntekijän mitoituksen voimaantulopäivää, joten säästö tulee todellisuudessa olemaan selvästi pienempi. </w:t>
          </w:r>
        </w:p>
        <w:p w14:paraId="601D0CB7" w14:textId="77777777" w:rsidR="00EF2FAE" w:rsidRDefault="00EF2FAE" w:rsidP="00EF2FAE">
          <w:pPr>
            <w:spacing w:after="220" w:line="220" w:lineRule="exact"/>
            <w:jc w:val="both"/>
            <w:rPr>
              <w:color w:val="000000" w:themeColor="text1"/>
            </w:rPr>
          </w:pPr>
          <w:r w:rsidRPr="003B7D80">
            <w:rPr>
              <w:color w:val="000000" w:themeColor="text1"/>
            </w:rPr>
            <w:t xml:space="preserve">Edellä kuvattu kuvaa yksityisten palveluntuottajien osalta potentiaalista </w:t>
          </w:r>
          <w:r>
            <w:rPr>
              <w:color w:val="000000" w:themeColor="text1"/>
            </w:rPr>
            <w:t>henkilöstö</w:t>
          </w:r>
          <w:r w:rsidRPr="003B7D80">
            <w:rPr>
              <w:color w:val="000000" w:themeColor="text1"/>
            </w:rPr>
            <w:t xml:space="preserve">kustannusten </w:t>
          </w:r>
          <w:r>
            <w:rPr>
              <w:color w:val="000000" w:themeColor="text1"/>
            </w:rPr>
            <w:t>enimmäis</w:t>
          </w:r>
          <w:r w:rsidRPr="003B7D80">
            <w:rPr>
              <w:color w:val="000000" w:themeColor="text1"/>
            </w:rPr>
            <w:t>säästöä</w:t>
          </w:r>
          <w:r>
            <w:rPr>
              <w:color w:val="000000" w:themeColor="text1"/>
            </w:rPr>
            <w:t xml:space="preserve">, mutta todellinen kustannusvaikutus riippuu sopimuksissa sovittujen hintojen kehityksestä. </w:t>
          </w:r>
          <w:r w:rsidRPr="003B7D80">
            <w:rPr>
              <w:color w:val="000000" w:themeColor="text1"/>
            </w:rPr>
            <w:t xml:space="preserve">Yksityiset palveluntuottajat myyvät </w:t>
          </w:r>
          <w:r>
            <w:rPr>
              <w:color w:val="000000" w:themeColor="text1"/>
            </w:rPr>
            <w:t xml:space="preserve">lähes kaikki </w:t>
          </w:r>
          <w:r w:rsidRPr="003B7D80">
            <w:rPr>
              <w:color w:val="000000" w:themeColor="text1"/>
            </w:rPr>
            <w:t>palvelut hyvinvointialueille,</w:t>
          </w:r>
          <w:r>
            <w:rPr>
              <w:color w:val="000000" w:themeColor="text1"/>
            </w:rPr>
            <w:t xml:space="preserve"> joten </w:t>
          </w:r>
          <w:r w:rsidRPr="003B7D80">
            <w:rPr>
              <w:color w:val="000000" w:themeColor="text1"/>
            </w:rPr>
            <w:t xml:space="preserve">sekä hyvinvointialueiden että yksityisten palveluntuottajien todellisiin kustannusvaikutuksiin vaikuttaa se, </w:t>
          </w:r>
          <w:r w:rsidRPr="00056D5D">
            <w:rPr>
              <w:color w:val="000000" w:themeColor="text1"/>
            </w:rPr>
            <w:t xml:space="preserve">miten </w:t>
          </w:r>
          <w:r>
            <w:rPr>
              <w:color w:val="000000" w:themeColor="text1"/>
            </w:rPr>
            <w:t>henkilöstön määrästä ja palvelusopimusten hinnoista on sovittu ja sovitaan</w:t>
          </w:r>
          <w:r w:rsidRPr="00056D5D">
            <w:rPr>
              <w:color w:val="000000" w:themeColor="text1"/>
            </w:rPr>
            <w:t xml:space="preserve"> vuotta 2023 koskevissa </w:t>
          </w:r>
          <w:r>
            <w:rPr>
              <w:color w:val="000000" w:themeColor="text1"/>
            </w:rPr>
            <w:t>ostopalvelu</w:t>
          </w:r>
          <w:r w:rsidRPr="00056D5D">
            <w:rPr>
              <w:color w:val="000000" w:themeColor="text1"/>
            </w:rPr>
            <w:t xml:space="preserve">sopimuksissa. </w:t>
          </w:r>
        </w:p>
        <w:p w14:paraId="557DABC2" w14:textId="08A30CFA" w:rsidR="00EF2FAE" w:rsidRDefault="00EF2FAE" w:rsidP="00EF2FAE">
          <w:pPr>
            <w:spacing w:after="220" w:line="220" w:lineRule="exact"/>
            <w:jc w:val="both"/>
          </w:pPr>
          <w:r w:rsidRPr="003B7D80">
            <w:t xml:space="preserve">Alueellisten vaikutusten kuvaamiseksi taulukossa </w:t>
          </w:r>
          <w:r w:rsidR="009C4257">
            <w:t>3</w:t>
          </w:r>
          <w:r w:rsidRPr="003B7D80">
            <w:t xml:space="preserve"> on esitetty </w:t>
          </w:r>
          <w:r>
            <w:t>e</w:t>
          </w:r>
          <w:r w:rsidRPr="005D4563">
            <w:t xml:space="preserve">rotus mitoitusten 0,65 ja 0,7 välillä </w:t>
          </w:r>
          <w:r>
            <w:t xml:space="preserve">eli miten suuri </w:t>
          </w:r>
          <w:r w:rsidRPr="005D4563">
            <w:t>vähennys henkilöstömäärän lisäykse</w:t>
          </w:r>
          <w:r>
            <w:t xml:space="preserve">ssä on eri </w:t>
          </w:r>
          <w:r w:rsidRPr="003B7D80">
            <w:t>hyvinvointialuei</w:t>
          </w:r>
          <w:r>
            <w:t>lla</w:t>
          </w:r>
          <w:r w:rsidRPr="003B7D80">
            <w:t xml:space="preserve">. </w:t>
          </w:r>
        </w:p>
        <w:p w14:paraId="5133252A" w14:textId="723584CB" w:rsidR="00EF2FAE" w:rsidRDefault="00EF2FAE" w:rsidP="00EF2FAE">
          <w:pPr>
            <w:spacing w:after="220" w:line="220" w:lineRule="exact"/>
            <w:jc w:val="both"/>
          </w:pPr>
          <w:r w:rsidRPr="00783860">
            <w:rPr>
              <w:b/>
            </w:rPr>
            <w:t xml:space="preserve">Taulukko </w:t>
          </w:r>
          <w:r w:rsidR="009C4257" w:rsidRPr="00783860">
            <w:rPr>
              <w:b/>
            </w:rPr>
            <w:t>3</w:t>
          </w:r>
          <w:r w:rsidRPr="00783860">
            <w:rPr>
              <w:b/>
            </w:rPr>
            <w:t>.</w:t>
          </w:r>
          <w:r w:rsidRPr="0010551A">
            <w:t xml:space="preserve"> </w:t>
          </w:r>
          <w:r w:rsidRPr="0010551A">
            <w:rPr>
              <w:color w:val="000000" w:themeColor="text1"/>
            </w:rPr>
            <w:t>Erotus mitoitusten 0,65 ja 0,7 välillä</w:t>
          </w:r>
          <w:r w:rsidRPr="0010551A">
            <w:t xml:space="preserve"> (julkiset ja yksityiset palveluntuottajat yhteensä</w:t>
          </w:r>
          <w:r>
            <w:t xml:space="preserve"> (</w:t>
          </w:r>
          <w:r w:rsidRPr="0010551A">
            <w:t>ilman sijaistarvetta)</w:t>
          </w:r>
        </w:p>
        <w:tbl>
          <w:tblPr>
            <w:tblW w:w="5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880"/>
            <w:gridCol w:w="1597"/>
            <w:gridCol w:w="1086"/>
            <w:gridCol w:w="930"/>
          </w:tblGrid>
          <w:tr w:rsidR="00EF2FAE" w:rsidRPr="00D7087F" w14:paraId="59CB15B7" w14:textId="77777777" w:rsidTr="00903DAF">
            <w:trPr>
              <w:trHeight w:val="1560"/>
            </w:trPr>
            <w:tc>
              <w:tcPr>
                <w:tcW w:w="1880" w:type="dxa"/>
                <w:shd w:val="clear" w:color="auto" w:fill="auto"/>
                <w:noWrap/>
                <w:hideMark/>
              </w:tcPr>
              <w:p w14:paraId="3225A77B"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Hyvinvointialue</w:t>
                </w:r>
              </w:p>
            </w:tc>
            <w:tc>
              <w:tcPr>
                <w:tcW w:w="1597" w:type="dxa"/>
                <w:shd w:val="clear" w:color="auto" w:fill="auto"/>
                <w:hideMark/>
              </w:tcPr>
              <w:p w14:paraId="6996F0C0"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themeColor="text1"/>
                    <w:sz w:val="20"/>
                    <w:szCs w:val="20"/>
                    <w:lang w:eastAsia="fi-FI"/>
                  </w:rPr>
                  <w:t>ero henkilöstötarpeessa mitoitusten 0,65 ja 0,7 välillä</w:t>
                </w:r>
              </w:p>
            </w:tc>
            <w:tc>
              <w:tcPr>
                <w:tcW w:w="1086" w:type="dxa"/>
                <w:shd w:val="clear" w:color="auto" w:fill="auto"/>
                <w:hideMark/>
              </w:tcPr>
              <w:p w14:paraId="5E9ED223"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 koko nykyisestä henkilöstöstä</w:t>
                </w:r>
                <w:r>
                  <w:rPr>
                    <w:rFonts w:eastAsia="Times New Roman"/>
                    <w:color w:val="000000"/>
                    <w:sz w:val="20"/>
                    <w:szCs w:val="20"/>
                    <w:lang w:eastAsia="fi-FI"/>
                  </w:rPr>
                  <w:t xml:space="preserve"> (välitön työ)</w:t>
                </w:r>
              </w:p>
            </w:tc>
            <w:tc>
              <w:tcPr>
                <w:tcW w:w="930" w:type="dxa"/>
                <w:shd w:val="clear" w:color="auto" w:fill="auto"/>
                <w:hideMark/>
              </w:tcPr>
              <w:p w14:paraId="0DF06122"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themeColor="text1"/>
                    <w:sz w:val="20"/>
                    <w:szCs w:val="20"/>
                    <w:lang w:eastAsia="fi-FI"/>
                  </w:rPr>
                  <w:t>mitoitusten 0,65 ja 0,7 välillä olevia yksiköitä, lkm</w:t>
                </w:r>
              </w:p>
            </w:tc>
          </w:tr>
          <w:tr w:rsidR="00EF2FAE" w:rsidRPr="00D7087F" w14:paraId="119BC52E" w14:textId="77777777" w:rsidTr="00903DAF">
            <w:trPr>
              <w:trHeight w:val="290"/>
            </w:trPr>
            <w:tc>
              <w:tcPr>
                <w:tcW w:w="1880" w:type="dxa"/>
                <w:shd w:val="clear" w:color="auto" w:fill="auto"/>
                <w:noWrap/>
                <w:vAlign w:val="center"/>
                <w:hideMark/>
              </w:tcPr>
              <w:p w14:paraId="5F0CE871" w14:textId="77777777" w:rsidR="00EF2FAE" w:rsidRPr="00D7087F" w:rsidRDefault="00EF2FAE" w:rsidP="00903DAF">
                <w:pPr>
                  <w:spacing w:line="240" w:lineRule="auto"/>
                  <w:jc w:val="both"/>
                  <w:rPr>
                    <w:rFonts w:eastAsia="Times New Roman"/>
                    <w:color w:val="000000"/>
                    <w:sz w:val="20"/>
                    <w:szCs w:val="20"/>
                    <w:lang w:eastAsia="fi-FI"/>
                  </w:rPr>
                </w:pPr>
                <w:r w:rsidRPr="00D7087F">
                  <w:rPr>
                    <w:rFonts w:eastAsia="Times New Roman"/>
                    <w:color w:val="000000"/>
                    <w:sz w:val="20"/>
                    <w:szCs w:val="20"/>
                    <w:lang w:eastAsia="fi-FI"/>
                  </w:rPr>
                  <w:t>Koko maa</w:t>
                </w:r>
              </w:p>
            </w:tc>
            <w:tc>
              <w:tcPr>
                <w:tcW w:w="1597" w:type="dxa"/>
                <w:shd w:val="clear" w:color="auto" w:fill="auto"/>
                <w:hideMark/>
              </w:tcPr>
              <w:p w14:paraId="0D3E2486"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themeColor="text1"/>
                    <w:sz w:val="20"/>
                    <w:szCs w:val="20"/>
                    <w:lang w:eastAsia="fi-FI"/>
                  </w:rPr>
                  <w:t>1 905</w:t>
                </w:r>
              </w:p>
            </w:tc>
            <w:tc>
              <w:tcPr>
                <w:tcW w:w="1086" w:type="dxa"/>
                <w:shd w:val="clear" w:color="auto" w:fill="auto"/>
                <w:hideMark/>
              </w:tcPr>
              <w:p w14:paraId="240BEA9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hideMark/>
              </w:tcPr>
              <w:p w14:paraId="7834833D"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themeColor="text1"/>
                    <w:sz w:val="20"/>
                    <w:szCs w:val="20"/>
                    <w:lang w:eastAsia="fi-FI"/>
                  </w:rPr>
                  <w:t>408</w:t>
                </w:r>
              </w:p>
            </w:tc>
          </w:tr>
          <w:tr w:rsidR="00EF2FAE" w:rsidRPr="00D7087F" w14:paraId="17ECA196" w14:textId="77777777" w:rsidTr="00903DAF">
            <w:trPr>
              <w:trHeight w:val="290"/>
            </w:trPr>
            <w:tc>
              <w:tcPr>
                <w:tcW w:w="1880" w:type="dxa"/>
                <w:shd w:val="clear" w:color="auto" w:fill="auto"/>
                <w:noWrap/>
                <w:vAlign w:val="bottom"/>
                <w:hideMark/>
              </w:tcPr>
              <w:p w14:paraId="1FE83FAB"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Etelä-Karjala</w:t>
                </w:r>
              </w:p>
            </w:tc>
            <w:tc>
              <w:tcPr>
                <w:tcW w:w="1597" w:type="dxa"/>
                <w:shd w:val="clear" w:color="auto" w:fill="auto"/>
                <w:noWrap/>
                <w:vAlign w:val="bottom"/>
                <w:hideMark/>
              </w:tcPr>
              <w:p w14:paraId="2BDF4150"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48</w:t>
                </w:r>
              </w:p>
            </w:tc>
            <w:tc>
              <w:tcPr>
                <w:tcW w:w="1086" w:type="dxa"/>
                <w:shd w:val="clear" w:color="auto" w:fill="auto"/>
                <w:noWrap/>
                <w:vAlign w:val="bottom"/>
                <w:hideMark/>
              </w:tcPr>
              <w:p w14:paraId="2ED96AC3"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7 %</w:t>
                </w:r>
              </w:p>
            </w:tc>
            <w:tc>
              <w:tcPr>
                <w:tcW w:w="930" w:type="dxa"/>
                <w:shd w:val="clear" w:color="auto" w:fill="auto"/>
                <w:noWrap/>
                <w:vAlign w:val="bottom"/>
                <w:hideMark/>
              </w:tcPr>
              <w:p w14:paraId="65E1865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10</w:t>
                </w:r>
              </w:p>
            </w:tc>
          </w:tr>
          <w:tr w:rsidR="00EF2FAE" w:rsidRPr="00D7087F" w14:paraId="67D8F9A0" w14:textId="77777777" w:rsidTr="00903DAF">
            <w:trPr>
              <w:trHeight w:val="290"/>
            </w:trPr>
            <w:tc>
              <w:tcPr>
                <w:tcW w:w="1880" w:type="dxa"/>
                <w:shd w:val="clear" w:color="auto" w:fill="auto"/>
                <w:noWrap/>
                <w:vAlign w:val="bottom"/>
                <w:hideMark/>
              </w:tcPr>
              <w:p w14:paraId="6BFFBE5F"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Etelä-Pohjanmaa</w:t>
                </w:r>
              </w:p>
            </w:tc>
            <w:tc>
              <w:tcPr>
                <w:tcW w:w="1597" w:type="dxa"/>
                <w:shd w:val="clear" w:color="auto" w:fill="auto"/>
                <w:noWrap/>
                <w:vAlign w:val="bottom"/>
                <w:hideMark/>
              </w:tcPr>
              <w:p w14:paraId="4D373C45"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78</w:t>
                </w:r>
              </w:p>
            </w:tc>
            <w:tc>
              <w:tcPr>
                <w:tcW w:w="1086" w:type="dxa"/>
                <w:shd w:val="clear" w:color="auto" w:fill="auto"/>
                <w:noWrap/>
                <w:vAlign w:val="bottom"/>
                <w:hideMark/>
              </w:tcPr>
              <w:p w14:paraId="5B100359"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5 %</w:t>
                </w:r>
              </w:p>
            </w:tc>
            <w:tc>
              <w:tcPr>
                <w:tcW w:w="930" w:type="dxa"/>
                <w:shd w:val="clear" w:color="auto" w:fill="auto"/>
                <w:noWrap/>
                <w:vAlign w:val="bottom"/>
                <w:hideMark/>
              </w:tcPr>
              <w:p w14:paraId="105D56D6"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10</w:t>
                </w:r>
              </w:p>
            </w:tc>
          </w:tr>
          <w:tr w:rsidR="00EF2FAE" w:rsidRPr="00D7087F" w14:paraId="148F9BD4" w14:textId="77777777" w:rsidTr="00903DAF">
            <w:trPr>
              <w:trHeight w:val="290"/>
            </w:trPr>
            <w:tc>
              <w:tcPr>
                <w:tcW w:w="1880" w:type="dxa"/>
                <w:shd w:val="clear" w:color="auto" w:fill="auto"/>
                <w:noWrap/>
                <w:vAlign w:val="bottom"/>
                <w:hideMark/>
              </w:tcPr>
              <w:p w14:paraId="09ED5D93"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Etelä-Savo</w:t>
                </w:r>
              </w:p>
            </w:tc>
            <w:tc>
              <w:tcPr>
                <w:tcW w:w="1597" w:type="dxa"/>
                <w:shd w:val="clear" w:color="auto" w:fill="auto"/>
                <w:noWrap/>
                <w:vAlign w:val="bottom"/>
                <w:hideMark/>
              </w:tcPr>
              <w:p w14:paraId="722B79D6"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61</w:t>
                </w:r>
              </w:p>
            </w:tc>
            <w:tc>
              <w:tcPr>
                <w:tcW w:w="1086" w:type="dxa"/>
                <w:shd w:val="clear" w:color="auto" w:fill="auto"/>
                <w:noWrap/>
                <w:vAlign w:val="bottom"/>
                <w:hideMark/>
              </w:tcPr>
              <w:p w14:paraId="08EDF1B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5 %</w:t>
                </w:r>
              </w:p>
            </w:tc>
            <w:tc>
              <w:tcPr>
                <w:tcW w:w="930" w:type="dxa"/>
                <w:shd w:val="clear" w:color="auto" w:fill="auto"/>
                <w:noWrap/>
                <w:vAlign w:val="bottom"/>
                <w:hideMark/>
              </w:tcPr>
              <w:p w14:paraId="2B5FC830"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22</w:t>
                </w:r>
              </w:p>
            </w:tc>
          </w:tr>
          <w:tr w:rsidR="00EF2FAE" w:rsidRPr="00D7087F" w14:paraId="4A474405" w14:textId="77777777" w:rsidTr="00903DAF">
            <w:trPr>
              <w:trHeight w:val="290"/>
            </w:trPr>
            <w:tc>
              <w:tcPr>
                <w:tcW w:w="1880" w:type="dxa"/>
                <w:shd w:val="clear" w:color="auto" w:fill="auto"/>
                <w:noWrap/>
                <w:vAlign w:val="bottom"/>
                <w:hideMark/>
              </w:tcPr>
              <w:p w14:paraId="6459C4F1"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Helsinki</w:t>
                </w:r>
              </w:p>
            </w:tc>
            <w:tc>
              <w:tcPr>
                <w:tcW w:w="1597" w:type="dxa"/>
                <w:shd w:val="clear" w:color="auto" w:fill="auto"/>
                <w:noWrap/>
                <w:vAlign w:val="bottom"/>
                <w:hideMark/>
              </w:tcPr>
              <w:p w14:paraId="62E542D7"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122</w:t>
                </w:r>
              </w:p>
            </w:tc>
            <w:tc>
              <w:tcPr>
                <w:tcW w:w="1086" w:type="dxa"/>
                <w:shd w:val="clear" w:color="auto" w:fill="auto"/>
                <w:noWrap/>
                <w:vAlign w:val="bottom"/>
                <w:hideMark/>
              </w:tcPr>
              <w:p w14:paraId="10422486"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4 %</w:t>
                </w:r>
              </w:p>
            </w:tc>
            <w:tc>
              <w:tcPr>
                <w:tcW w:w="930" w:type="dxa"/>
                <w:shd w:val="clear" w:color="auto" w:fill="auto"/>
                <w:noWrap/>
                <w:vAlign w:val="bottom"/>
                <w:hideMark/>
              </w:tcPr>
              <w:p w14:paraId="547FEA2B"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35</w:t>
                </w:r>
              </w:p>
            </w:tc>
          </w:tr>
          <w:tr w:rsidR="00EF2FAE" w:rsidRPr="00D7087F" w14:paraId="78206508" w14:textId="77777777" w:rsidTr="00903DAF">
            <w:trPr>
              <w:trHeight w:val="290"/>
            </w:trPr>
            <w:tc>
              <w:tcPr>
                <w:tcW w:w="1880" w:type="dxa"/>
                <w:shd w:val="clear" w:color="auto" w:fill="auto"/>
                <w:noWrap/>
                <w:vAlign w:val="bottom"/>
                <w:hideMark/>
              </w:tcPr>
              <w:p w14:paraId="2B0949D6"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Itä-Uusimaa</w:t>
                </w:r>
              </w:p>
            </w:tc>
            <w:tc>
              <w:tcPr>
                <w:tcW w:w="1597" w:type="dxa"/>
                <w:shd w:val="clear" w:color="auto" w:fill="auto"/>
                <w:noWrap/>
                <w:vAlign w:val="bottom"/>
                <w:hideMark/>
              </w:tcPr>
              <w:p w14:paraId="1E625E4D"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31</w:t>
                </w:r>
              </w:p>
            </w:tc>
            <w:tc>
              <w:tcPr>
                <w:tcW w:w="1086" w:type="dxa"/>
                <w:shd w:val="clear" w:color="auto" w:fill="auto"/>
                <w:noWrap/>
                <w:vAlign w:val="bottom"/>
                <w:hideMark/>
              </w:tcPr>
              <w:p w14:paraId="3EC8755B"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2B4B058B"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8</w:t>
                </w:r>
              </w:p>
            </w:tc>
          </w:tr>
          <w:tr w:rsidR="00EF2FAE" w:rsidRPr="00D7087F" w14:paraId="127F93AB" w14:textId="77777777" w:rsidTr="00903DAF">
            <w:trPr>
              <w:trHeight w:val="290"/>
            </w:trPr>
            <w:tc>
              <w:tcPr>
                <w:tcW w:w="1880" w:type="dxa"/>
                <w:shd w:val="clear" w:color="auto" w:fill="auto"/>
                <w:noWrap/>
                <w:vAlign w:val="bottom"/>
                <w:hideMark/>
              </w:tcPr>
              <w:p w14:paraId="0DD0E550"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Kainuu</w:t>
                </w:r>
              </w:p>
            </w:tc>
            <w:tc>
              <w:tcPr>
                <w:tcW w:w="1597" w:type="dxa"/>
                <w:shd w:val="clear" w:color="auto" w:fill="auto"/>
                <w:noWrap/>
                <w:vAlign w:val="bottom"/>
                <w:hideMark/>
              </w:tcPr>
              <w:p w14:paraId="21F9D5DA"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33</w:t>
                </w:r>
              </w:p>
            </w:tc>
            <w:tc>
              <w:tcPr>
                <w:tcW w:w="1086" w:type="dxa"/>
                <w:shd w:val="clear" w:color="auto" w:fill="auto"/>
                <w:noWrap/>
                <w:vAlign w:val="bottom"/>
                <w:hideMark/>
              </w:tcPr>
              <w:p w14:paraId="088DD0F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4396FD48"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4</w:t>
                </w:r>
              </w:p>
            </w:tc>
          </w:tr>
          <w:tr w:rsidR="00EF2FAE" w:rsidRPr="00D7087F" w14:paraId="68DC03C0" w14:textId="77777777" w:rsidTr="00903DAF">
            <w:trPr>
              <w:trHeight w:val="290"/>
            </w:trPr>
            <w:tc>
              <w:tcPr>
                <w:tcW w:w="1880" w:type="dxa"/>
                <w:shd w:val="clear" w:color="auto" w:fill="auto"/>
                <w:noWrap/>
                <w:vAlign w:val="bottom"/>
                <w:hideMark/>
              </w:tcPr>
              <w:p w14:paraId="4350B8CC"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Kanta-Häme</w:t>
                </w:r>
              </w:p>
            </w:tc>
            <w:tc>
              <w:tcPr>
                <w:tcW w:w="1597" w:type="dxa"/>
                <w:shd w:val="clear" w:color="auto" w:fill="auto"/>
                <w:noWrap/>
                <w:vAlign w:val="bottom"/>
                <w:hideMark/>
              </w:tcPr>
              <w:p w14:paraId="0ACE545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77</w:t>
                </w:r>
              </w:p>
            </w:tc>
            <w:tc>
              <w:tcPr>
                <w:tcW w:w="1086" w:type="dxa"/>
                <w:shd w:val="clear" w:color="auto" w:fill="auto"/>
                <w:noWrap/>
                <w:vAlign w:val="bottom"/>
                <w:hideMark/>
              </w:tcPr>
              <w:p w14:paraId="288716A1"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617BE3B8"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16</w:t>
                </w:r>
              </w:p>
            </w:tc>
          </w:tr>
          <w:tr w:rsidR="00EF2FAE" w:rsidRPr="00D7087F" w14:paraId="270C1DFA" w14:textId="77777777" w:rsidTr="00903DAF">
            <w:trPr>
              <w:trHeight w:val="290"/>
            </w:trPr>
            <w:tc>
              <w:tcPr>
                <w:tcW w:w="1880" w:type="dxa"/>
                <w:shd w:val="clear" w:color="auto" w:fill="auto"/>
                <w:noWrap/>
                <w:vAlign w:val="bottom"/>
                <w:hideMark/>
              </w:tcPr>
              <w:p w14:paraId="5B88CAE5" w14:textId="77777777" w:rsidR="00EF2FAE" w:rsidRPr="00D7087F" w:rsidRDefault="00EF2FAE" w:rsidP="00903DAF">
                <w:pPr>
                  <w:spacing w:line="240" w:lineRule="auto"/>
                  <w:rPr>
                    <w:rFonts w:eastAsia="Times New Roman"/>
                    <w:color w:val="000000"/>
                    <w:sz w:val="20"/>
                    <w:szCs w:val="20"/>
                    <w:lang w:eastAsia="fi-FI"/>
                  </w:rPr>
                </w:pPr>
                <w:proofErr w:type="spellStart"/>
                <w:r w:rsidRPr="00D7087F">
                  <w:rPr>
                    <w:rFonts w:eastAsia="Times New Roman"/>
                    <w:color w:val="000000"/>
                    <w:sz w:val="20"/>
                    <w:szCs w:val="20"/>
                    <w:lang w:eastAsia="fi-FI"/>
                  </w:rPr>
                  <w:t>Keski</w:t>
                </w:r>
                <w:proofErr w:type="spellEnd"/>
                <w:r w:rsidRPr="00D7087F">
                  <w:rPr>
                    <w:rFonts w:eastAsia="Times New Roman"/>
                    <w:color w:val="000000"/>
                    <w:sz w:val="20"/>
                    <w:szCs w:val="20"/>
                    <w:lang w:eastAsia="fi-FI"/>
                  </w:rPr>
                  <w:t>-Pohjanmaa</w:t>
                </w:r>
              </w:p>
            </w:tc>
            <w:tc>
              <w:tcPr>
                <w:tcW w:w="1597" w:type="dxa"/>
                <w:shd w:val="clear" w:color="auto" w:fill="auto"/>
                <w:noWrap/>
                <w:vAlign w:val="bottom"/>
                <w:hideMark/>
              </w:tcPr>
              <w:p w14:paraId="29DC8D7B"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25</w:t>
                </w:r>
              </w:p>
            </w:tc>
            <w:tc>
              <w:tcPr>
                <w:tcW w:w="1086" w:type="dxa"/>
                <w:shd w:val="clear" w:color="auto" w:fill="auto"/>
                <w:noWrap/>
                <w:vAlign w:val="bottom"/>
                <w:hideMark/>
              </w:tcPr>
              <w:p w14:paraId="0D2C7CC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5 %</w:t>
                </w:r>
              </w:p>
            </w:tc>
            <w:tc>
              <w:tcPr>
                <w:tcW w:w="930" w:type="dxa"/>
                <w:shd w:val="clear" w:color="auto" w:fill="auto"/>
                <w:noWrap/>
                <w:vAlign w:val="bottom"/>
                <w:hideMark/>
              </w:tcPr>
              <w:p w14:paraId="7EBCAB7F"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w:t>
                </w:r>
              </w:p>
            </w:tc>
          </w:tr>
          <w:tr w:rsidR="00EF2FAE" w:rsidRPr="00D7087F" w14:paraId="77F547FA" w14:textId="77777777" w:rsidTr="00903DAF">
            <w:trPr>
              <w:trHeight w:val="290"/>
            </w:trPr>
            <w:tc>
              <w:tcPr>
                <w:tcW w:w="1880" w:type="dxa"/>
                <w:shd w:val="clear" w:color="auto" w:fill="auto"/>
                <w:noWrap/>
                <w:vAlign w:val="bottom"/>
                <w:hideMark/>
              </w:tcPr>
              <w:p w14:paraId="16E6B699"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Keski-Suomi</w:t>
                </w:r>
              </w:p>
            </w:tc>
            <w:tc>
              <w:tcPr>
                <w:tcW w:w="1597" w:type="dxa"/>
                <w:shd w:val="clear" w:color="auto" w:fill="auto"/>
                <w:noWrap/>
                <w:vAlign w:val="bottom"/>
                <w:hideMark/>
              </w:tcPr>
              <w:p w14:paraId="2BF7B698"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100</w:t>
                </w:r>
              </w:p>
            </w:tc>
            <w:tc>
              <w:tcPr>
                <w:tcW w:w="1086" w:type="dxa"/>
                <w:shd w:val="clear" w:color="auto" w:fill="auto"/>
                <w:noWrap/>
                <w:vAlign w:val="bottom"/>
                <w:hideMark/>
              </w:tcPr>
              <w:p w14:paraId="5924A2B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6D83E501"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20</w:t>
                </w:r>
              </w:p>
            </w:tc>
          </w:tr>
          <w:tr w:rsidR="00EF2FAE" w:rsidRPr="00D7087F" w14:paraId="24314D47" w14:textId="77777777" w:rsidTr="00903DAF">
            <w:trPr>
              <w:trHeight w:val="290"/>
            </w:trPr>
            <w:tc>
              <w:tcPr>
                <w:tcW w:w="1880" w:type="dxa"/>
                <w:shd w:val="clear" w:color="auto" w:fill="auto"/>
                <w:noWrap/>
                <w:vAlign w:val="bottom"/>
                <w:hideMark/>
              </w:tcPr>
              <w:p w14:paraId="17D74253" w14:textId="77777777" w:rsidR="00EF2FAE" w:rsidRPr="00D7087F" w:rsidRDefault="00EF2FAE" w:rsidP="00903DAF">
                <w:pPr>
                  <w:spacing w:line="240" w:lineRule="auto"/>
                  <w:rPr>
                    <w:rFonts w:eastAsia="Times New Roman"/>
                    <w:color w:val="000000"/>
                    <w:sz w:val="20"/>
                    <w:szCs w:val="20"/>
                    <w:lang w:eastAsia="fi-FI"/>
                  </w:rPr>
                </w:pPr>
                <w:proofErr w:type="spellStart"/>
                <w:r w:rsidRPr="00D7087F">
                  <w:rPr>
                    <w:rFonts w:eastAsia="Times New Roman"/>
                    <w:color w:val="000000"/>
                    <w:sz w:val="20"/>
                    <w:szCs w:val="20"/>
                    <w:lang w:eastAsia="fi-FI"/>
                  </w:rPr>
                  <w:t>Keski</w:t>
                </w:r>
                <w:proofErr w:type="spellEnd"/>
                <w:r w:rsidRPr="00D7087F">
                  <w:rPr>
                    <w:rFonts w:eastAsia="Times New Roman"/>
                    <w:color w:val="000000"/>
                    <w:sz w:val="20"/>
                    <w:szCs w:val="20"/>
                    <w:lang w:eastAsia="fi-FI"/>
                  </w:rPr>
                  <w:t>-Uusimaa</w:t>
                </w:r>
              </w:p>
            </w:tc>
            <w:tc>
              <w:tcPr>
                <w:tcW w:w="1597" w:type="dxa"/>
                <w:shd w:val="clear" w:color="auto" w:fill="auto"/>
                <w:noWrap/>
                <w:vAlign w:val="bottom"/>
                <w:hideMark/>
              </w:tcPr>
              <w:p w14:paraId="38183169"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52</w:t>
                </w:r>
              </w:p>
            </w:tc>
            <w:tc>
              <w:tcPr>
                <w:tcW w:w="1086" w:type="dxa"/>
                <w:shd w:val="clear" w:color="auto" w:fill="auto"/>
                <w:noWrap/>
                <w:vAlign w:val="bottom"/>
                <w:hideMark/>
              </w:tcPr>
              <w:p w14:paraId="132C5905"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275FE06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8</w:t>
                </w:r>
              </w:p>
            </w:tc>
          </w:tr>
          <w:tr w:rsidR="00EF2FAE" w:rsidRPr="00D7087F" w14:paraId="79FB394D" w14:textId="77777777" w:rsidTr="00903DAF">
            <w:trPr>
              <w:trHeight w:val="290"/>
            </w:trPr>
            <w:tc>
              <w:tcPr>
                <w:tcW w:w="1880" w:type="dxa"/>
                <w:shd w:val="clear" w:color="auto" w:fill="auto"/>
                <w:noWrap/>
                <w:vAlign w:val="bottom"/>
                <w:hideMark/>
              </w:tcPr>
              <w:p w14:paraId="126E5F8F"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Kymenlaakso</w:t>
                </w:r>
              </w:p>
            </w:tc>
            <w:tc>
              <w:tcPr>
                <w:tcW w:w="1597" w:type="dxa"/>
                <w:shd w:val="clear" w:color="auto" w:fill="auto"/>
                <w:noWrap/>
                <w:vAlign w:val="bottom"/>
                <w:hideMark/>
              </w:tcPr>
              <w:p w14:paraId="2F549E5B"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57</w:t>
                </w:r>
              </w:p>
            </w:tc>
            <w:tc>
              <w:tcPr>
                <w:tcW w:w="1086" w:type="dxa"/>
                <w:shd w:val="clear" w:color="auto" w:fill="auto"/>
                <w:noWrap/>
                <w:vAlign w:val="bottom"/>
                <w:hideMark/>
              </w:tcPr>
              <w:p w14:paraId="5C4BE5B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5 %</w:t>
                </w:r>
              </w:p>
            </w:tc>
            <w:tc>
              <w:tcPr>
                <w:tcW w:w="930" w:type="dxa"/>
                <w:shd w:val="clear" w:color="auto" w:fill="auto"/>
                <w:noWrap/>
                <w:vAlign w:val="bottom"/>
                <w:hideMark/>
              </w:tcPr>
              <w:p w14:paraId="66B99E4F"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17</w:t>
                </w:r>
              </w:p>
            </w:tc>
          </w:tr>
          <w:tr w:rsidR="00EF2FAE" w:rsidRPr="00D7087F" w14:paraId="4B1B0FC2" w14:textId="77777777" w:rsidTr="00903DAF">
            <w:trPr>
              <w:trHeight w:val="290"/>
            </w:trPr>
            <w:tc>
              <w:tcPr>
                <w:tcW w:w="1880" w:type="dxa"/>
                <w:shd w:val="clear" w:color="auto" w:fill="auto"/>
                <w:noWrap/>
                <w:vAlign w:val="bottom"/>
                <w:hideMark/>
              </w:tcPr>
              <w:p w14:paraId="35D241CC"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Länsi-Uusimaa</w:t>
                </w:r>
              </w:p>
            </w:tc>
            <w:tc>
              <w:tcPr>
                <w:tcW w:w="1597" w:type="dxa"/>
                <w:shd w:val="clear" w:color="auto" w:fill="auto"/>
                <w:noWrap/>
                <w:vAlign w:val="bottom"/>
                <w:hideMark/>
              </w:tcPr>
              <w:p w14:paraId="5E330EA4"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135</w:t>
                </w:r>
              </w:p>
            </w:tc>
            <w:tc>
              <w:tcPr>
                <w:tcW w:w="1086" w:type="dxa"/>
                <w:shd w:val="clear" w:color="auto" w:fill="auto"/>
                <w:noWrap/>
                <w:vAlign w:val="bottom"/>
                <w:hideMark/>
              </w:tcPr>
              <w:p w14:paraId="67C59A1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7 %</w:t>
                </w:r>
              </w:p>
            </w:tc>
            <w:tc>
              <w:tcPr>
                <w:tcW w:w="930" w:type="dxa"/>
                <w:shd w:val="clear" w:color="auto" w:fill="auto"/>
                <w:noWrap/>
                <w:vAlign w:val="bottom"/>
                <w:hideMark/>
              </w:tcPr>
              <w:p w14:paraId="22B66A5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20</w:t>
                </w:r>
              </w:p>
            </w:tc>
          </w:tr>
          <w:tr w:rsidR="00EF2FAE" w:rsidRPr="00D7087F" w14:paraId="00BFA5E3" w14:textId="77777777" w:rsidTr="00903DAF">
            <w:trPr>
              <w:trHeight w:val="290"/>
            </w:trPr>
            <w:tc>
              <w:tcPr>
                <w:tcW w:w="1880" w:type="dxa"/>
                <w:shd w:val="clear" w:color="auto" w:fill="auto"/>
                <w:noWrap/>
                <w:vAlign w:val="bottom"/>
                <w:hideMark/>
              </w:tcPr>
              <w:p w14:paraId="68385220"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Lappi</w:t>
                </w:r>
              </w:p>
            </w:tc>
            <w:tc>
              <w:tcPr>
                <w:tcW w:w="1597" w:type="dxa"/>
                <w:shd w:val="clear" w:color="auto" w:fill="auto"/>
                <w:noWrap/>
                <w:vAlign w:val="bottom"/>
                <w:hideMark/>
              </w:tcPr>
              <w:p w14:paraId="53B38ED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77</w:t>
                </w:r>
              </w:p>
            </w:tc>
            <w:tc>
              <w:tcPr>
                <w:tcW w:w="1086" w:type="dxa"/>
                <w:shd w:val="clear" w:color="auto" w:fill="auto"/>
                <w:noWrap/>
                <w:vAlign w:val="bottom"/>
                <w:hideMark/>
              </w:tcPr>
              <w:p w14:paraId="2A7C63B7"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010A3C80"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19</w:t>
                </w:r>
              </w:p>
            </w:tc>
          </w:tr>
          <w:tr w:rsidR="00EF2FAE" w:rsidRPr="00D7087F" w14:paraId="344FB331" w14:textId="77777777" w:rsidTr="00903DAF">
            <w:trPr>
              <w:trHeight w:val="290"/>
            </w:trPr>
            <w:tc>
              <w:tcPr>
                <w:tcW w:w="1880" w:type="dxa"/>
                <w:shd w:val="clear" w:color="auto" w:fill="auto"/>
                <w:noWrap/>
                <w:vAlign w:val="bottom"/>
                <w:hideMark/>
              </w:tcPr>
              <w:p w14:paraId="534BAF76"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Päijät-Häme</w:t>
                </w:r>
              </w:p>
            </w:tc>
            <w:tc>
              <w:tcPr>
                <w:tcW w:w="1597" w:type="dxa"/>
                <w:shd w:val="clear" w:color="auto" w:fill="auto"/>
                <w:noWrap/>
                <w:vAlign w:val="bottom"/>
                <w:hideMark/>
              </w:tcPr>
              <w:p w14:paraId="19971779"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85</w:t>
                </w:r>
              </w:p>
            </w:tc>
            <w:tc>
              <w:tcPr>
                <w:tcW w:w="1086" w:type="dxa"/>
                <w:shd w:val="clear" w:color="auto" w:fill="auto"/>
                <w:noWrap/>
                <w:vAlign w:val="bottom"/>
                <w:hideMark/>
              </w:tcPr>
              <w:p w14:paraId="546C40C4"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7 %</w:t>
                </w:r>
              </w:p>
            </w:tc>
            <w:tc>
              <w:tcPr>
                <w:tcW w:w="930" w:type="dxa"/>
                <w:shd w:val="clear" w:color="auto" w:fill="auto"/>
                <w:noWrap/>
                <w:vAlign w:val="bottom"/>
                <w:hideMark/>
              </w:tcPr>
              <w:p w14:paraId="57FD87CD"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8</w:t>
                </w:r>
              </w:p>
            </w:tc>
          </w:tr>
          <w:tr w:rsidR="00EF2FAE" w:rsidRPr="00D7087F" w14:paraId="01E212A5" w14:textId="77777777" w:rsidTr="00903DAF">
            <w:trPr>
              <w:trHeight w:val="290"/>
            </w:trPr>
            <w:tc>
              <w:tcPr>
                <w:tcW w:w="1880" w:type="dxa"/>
                <w:shd w:val="clear" w:color="auto" w:fill="auto"/>
                <w:noWrap/>
                <w:vAlign w:val="bottom"/>
                <w:hideMark/>
              </w:tcPr>
              <w:p w14:paraId="709A31F8"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Pirkanmaa</w:t>
                </w:r>
              </w:p>
            </w:tc>
            <w:tc>
              <w:tcPr>
                <w:tcW w:w="1597" w:type="dxa"/>
                <w:shd w:val="clear" w:color="auto" w:fill="auto"/>
                <w:noWrap/>
                <w:vAlign w:val="bottom"/>
                <w:hideMark/>
              </w:tcPr>
              <w:p w14:paraId="667BE8C2"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177</w:t>
                </w:r>
              </w:p>
            </w:tc>
            <w:tc>
              <w:tcPr>
                <w:tcW w:w="1086" w:type="dxa"/>
                <w:shd w:val="clear" w:color="auto" w:fill="auto"/>
                <w:noWrap/>
                <w:vAlign w:val="bottom"/>
                <w:hideMark/>
              </w:tcPr>
              <w:p w14:paraId="3A9D4972"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5 %</w:t>
                </w:r>
              </w:p>
            </w:tc>
            <w:tc>
              <w:tcPr>
                <w:tcW w:w="930" w:type="dxa"/>
                <w:shd w:val="clear" w:color="auto" w:fill="auto"/>
                <w:noWrap/>
                <w:vAlign w:val="bottom"/>
                <w:hideMark/>
              </w:tcPr>
              <w:p w14:paraId="3F1774A1"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39</w:t>
                </w:r>
              </w:p>
            </w:tc>
          </w:tr>
          <w:tr w:rsidR="00EF2FAE" w:rsidRPr="00D7087F" w14:paraId="3B2FEFF3" w14:textId="77777777" w:rsidTr="00903DAF">
            <w:trPr>
              <w:trHeight w:val="290"/>
            </w:trPr>
            <w:tc>
              <w:tcPr>
                <w:tcW w:w="1880" w:type="dxa"/>
                <w:shd w:val="clear" w:color="auto" w:fill="auto"/>
                <w:noWrap/>
                <w:vAlign w:val="bottom"/>
                <w:hideMark/>
              </w:tcPr>
              <w:p w14:paraId="58F1E25C"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Pohjanmaa</w:t>
                </w:r>
              </w:p>
            </w:tc>
            <w:tc>
              <w:tcPr>
                <w:tcW w:w="1597" w:type="dxa"/>
                <w:shd w:val="clear" w:color="auto" w:fill="auto"/>
                <w:noWrap/>
                <w:vAlign w:val="bottom"/>
                <w:hideMark/>
              </w:tcPr>
              <w:p w14:paraId="5285D9E3"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60</w:t>
                </w:r>
              </w:p>
            </w:tc>
            <w:tc>
              <w:tcPr>
                <w:tcW w:w="1086" w:type="dxa"/>
                <w:shd w:val="clear" w:color="auto" w:fill="auto"/>
                <w:noWrap/>
                <w:vAlign w:val="bottom"/>
                <w:hideMark/>
              </w:tcPr>
              <w:p w14:paraId="7404AA9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5 %</w:t>
                </w:r>
              </w:p>
            </w:tc>
            <w:tc>
              <w:tcPr>
                <w:tcW w:w="930" w:type="dxa"/>
                <w:shd w:val="clear" w:color="auto" w:fill="auto"/>
                <w:noWrap/>
                <w:vAlign w:val="bottom"/>
                <w:hideMark/>
              </w:tcPr>
              <w:p w14:paraId="72121802"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14</w:t>
                </w:r>
              </w:p>
            </w:tc>
          </w:tr>
          <w:tr w:rsidR="00EF2FAE" w:rsidRPr="00D7087F" w14:paraId="0AFDD6C8" w14:textId="77777777" w:rsidTr="00903DAF">
            <w:trPr>
              <w:trHeight w:val="290"/>
            </w:trPr>
            <w:tc>
              <w:tcPr>
                <w:tcW w:w="1880" w:type="dxa"/>
                <w:shd w:val="clear" w:color="auto" w:fill="auto"/>
                <w:noWrap/>
                <w:vAlign w:val="bottom"/>
                <w:hideMark/>
              </w:tcPr>
              <w:p w14:paraId="3915146B" w14:textId="77777777" w:rsidR="00EF2FAE" w:rsidRPr="00D7087F" w:rsidRDefault="00EF2FAE" w:rsidP="00903DAF">
                <w:pPr>
                  <w:spacing w:line="240" w:lineRule="auto"/>
                  <w:rPr>
                    <w:rFonts w:eastAsia="Times New Roman"/>
                    <w:color w:val="000000"/>
                    <w:sz w:val="20"/>
                    <w:szCs w:val="20"/>
                    <w:lang w:eastAsia="fi-FI"/>
                  </w:rPr>
                </w:pPr>
                <w:proofErr w:type="spellStart"/>
                <w:r w:rsidRPr="00D7087F">
                  <w:rPr>
                    <w:rFonts w:eastAsia="Times New Roman"/>
                    <w:color w:val="000000"/>
                    <w:sz w:val="20"/>
                    <w:szCs w:val="20"/>
                    <w:lang w:eastAsia="fi-FI"/>
                  </w:rPr>
                  <w:t>Pohjois</w:t>
                </w:r>
                <w:proofErr w:type="spellEnd"/>
                <w:r w:rsidRPr="00D7087F">
                  <w:rPr>
                    <w:rFonts w:eastAsia="Times New Roman"/>
                    <w:color w:val="000000"/>
                    <w:sz w:val="20"/>
                    <w:szCs w:val="20"/>
                    <w:lang w:eastAsia="fi-FI"/>
                  </w:rPr>
                  <w:t>-Karjala</w:t>
                </w:r>
              </w:p>
            </w:tc>
            <w:tc>
              <w:tcPr>
                <w:tcW w:w="1597" w:type="dxa"/>
                <w:shd w:val="clear" w:color="auto" w:fill="auto"/>
                <w:noWrap/>
                <w:vAlign w:val="bottom"/>
                <w:hideMark/>
              </w:tcPr>
              <w:p w14:paraId="78BD3039"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81</w:t>
                </w:r>
              </w:p>
            </w:tc>
            <w:tc>
              <w:tcPr>
                <w:tcW w:w="1086" w:type="dxa"/>
                <w:shd w:val="clear" w:color="auto" w:fill="auto"/>
                <w:noWrap/>
                <w:vAlign w:val="bottom"/>
                <w:hideMark/>
              </w:tcPr>
              <w:p w14:paraId="0CEFF55E"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7 %</w:t>
                </w:r>
              </w:p>
            </w:tc>
            <w:tc>
              <w:tcPr>
                <w:tcW w:w="930" w:type="dxa"/>
                <w:shd w:val="clear" w:color="auto" w:fill="auto"/>
                <w:noWrap/>
                <w:vAlign w:val="bottom"/>
                <w:hideMark/>
              </w:tcPr>
              <w:p w14:paraId="6CA4D7F6"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20</w:t>
                </w:r>
              </w:p>
            </w:tc>
          </w:tr>
          <w:tr w:rsidR="00EF2FAE" w:rsidRPr="00D7087F" w14:paraId="061A78D5" w14:textId="77777777" w:rsidTr="00903DAF">
            <w:trPr>
              <w:trHeight w:val="290"/>
            </w:trPr>
            <w:tc>
              <w:tcPr>
                <w:tcW w:w="1880" w:type="dxa"/>
                <w:shd w:val="clear" w:color="auto" w:fill="auto"/>
                <w:noWrap/>
                <w:vAlign w:val="bottom"/>
                <w:hideMark/>
              </w:tcPr>
              <w:p w14:paraId="47256509" w14:textId="77777777" w:rsidR="00EF2FAE" w:rsidRPr="00D7087F" w:rsidRDefault="00EF2FAE" w:rsidP="00903DAF">
                <w:pPr>
                  <w:spacing w:line="240" w:lineRule="auto"/>
                  <w:rPr>
                    <w:rFonts w:eastAsia="Times New Roman"/>
                    <w:color w:val="000000"/>
                    <w:sz w:val="20"/>
                    <w:szCs w:val="20"/>
                    <w:lang w:eastAsia="fi-FI"/>
                  </w:rPr>
                </w:pPr>
                <w:proofErr w:type="spellStart"/>
                <w:r w:rsidRPr="00D7087F">
                  <w:rPr>
                    <w:rFonts w:eastAsia="Times New Roman"/>
                    <w:color w:val="000000"/>
                    <w:sz w:val="20"/>
                    <w:szCs w:val="20"/>
                    <w:lang w:eastAsia="fi-FI"/>
                  </w:rPr>
                  <w:t>Pohjois</w:t>
                </w:r>
                <w:proofErr w:type="spellEnd"/>
                <w:r w:rsidRPr="00D7087F">
                  <w:rPr>
                    <w:rFonts w:eastAsia="Times New Roman"/>
                    <w:color w:val="000000"/>
                    <w:sz w:val="20"/>
                    <w:szCs w:val="20"/>
                    <w:lang w:eastAsia="fi-FI"/>
                  </w:rPr>
                  <w:t>-Pohjanmaa</w:t>
                </w:r>
              </w:p>
            </w:tc>
            <w:tc>
              <w:tcPr>
                <w:tcW w:w="1597" w:type="dxa"/>
                <w:shd w:val="clear" w:color="auto" w:fill="auto"/>
                <w:noWrap/>
                <w:vAlign w:val="bottom"/>
                <w:hideMark/>
              </w:tcPr>
              <w:p w14:paraId="00A1F4D2"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153</w:t>
                </w:r>
              </w:p>
            </w:tc>
            <w:tc>
              <w:tcPr>
                <w:tcW w:w="1086" w:type="dxa"/>
                <w:shd w:val="clear" w:color="auto" w:fill="auto"/>
                <w:noWrap/>
                <w:vAlign w:val="bottom"/>
                <w:hideMark/>
              </w:tcPr>
              <w:p w14:paraId="6039DB01"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2693907B"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35</w:t>
                </w:r>
              </w:p>
            </w:tc>
          </w:tr>
          <w:tr w:rsidR="00EF2FAE" w:rsidRPr="00D7087F" w14:paraId="1C1BE382" w14:textId="77777777" w:rsidTr="00903DAF">
            <w:trPr>
              <w:trHeight w:val="290"/>
            </w:trPr>
            <w:tc>
              <w:tcPr>
                <w:tcW w:w="1880" w:type="dxa"/>
                <w:shd w:val="clear" w:color="auto" w:fill="auto"/>
                <w:noWrap/>
                <w:vAlign w:val="bottom"/>
                <w:hideMark/>
              </w:tcPr>
              <w:p w14:paraId="409A350F" w14:textId="77777777" w:rsidR="00EF2FAE" w:rsidRPr="00D7087F" w:rsidRDefault="00EF2FAE" w:rsidP="00903DAF">
                <w:pPr>
                  <w:spacing w:line="240" w:lineRule="auto"/>
                  <w:rPr>
                    <w:rFonts w:eastAsia="Times New Roman"/>
                    <w:color w:val="000000"/>
                    <w:sz w:val="20"/>
                    <w:szCs w:val="20"/>
                    <w:lang w:eastAsia="fi-FI"/>
                  </w:rPr>
                </w:pPr>
                <w:proofErr w:type="spellStart"/>
                <w:r w:rsidRPr="00D7087F">
                  <w:rPr>
                    <w:rFonts w:eastAsia="Times New Roman"/>
                    <w:color w:val="000000"/>
                    <w:sz w:val="20"/>
                    <w:szCs w:val="20"/>
                    <w:lang w:eastAsia="fi-FI"/>
                  </w:rPr>
                  <w:t>Pohjois</w:t>
                </w:r>
                <w:proofErr w:type="spellEnd"/>
                <w:r w:rsidRPr="00D7087F">
                  <w:rPr>
                    <w:rFonts w:eastAsia="Times New Roman"/>
                    <w:color w:val="000000"/>
                    <w:sz w:val="20"/>
                    <w:szCs w:val="20"/>
                    <w:lang w:eastAsia="fi-FI"/>
                  </w:rPr>
                  <w:t>-Savo</w:t>
                </w:r>
              </w:p>
            </w:tc>
            <w:tc>
              <w:tcPr>
                <w:tcW w:w="1597" w:type="dxa"/>
                <w:shd w:val="clear" w:color="auto" w:fill="auto"/>
                <w:noWrap/>
                <w:vAlign w:val="bottom"/>
                <w:hideMark/>
              </w:tcPr>
              <w:p w14:paraId="76F24455"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117</w:t>
                </w:r>
              </w:p>
            </w:tc>
            <w:tc>
              <w:tcPr>
                <w:tcW w:w="1086" w:type="dxa"/>
                <w:shd w:val="clear" w:color="auto" w:fill="auto"/>
                <w:noWrap/>
                <w:vAlign w:val="bottom"/>
                <w:hideMark/>
              </w:tcPr>
              <w:p w14:paraId="47346072"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7 %</w:t>
                </w:r>
              </w:p>
            </w:tc>
            <w:tc>
              <w:tcPr>
                <w:tcW w:w="930" w:type="dxa"/>
                <w:shd w:val="clear" w:color="auto" w:fill="auto"/>
                <w:noWrap/>
                <w:vAlign w:val="bottom"/>
                <w:hideMark/>
              </w:tcPr>
              <w:p w14:paraId="3F64E116"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19</w:t>
                </w:r>
              </w:p>
            </w:tc>
          </w:tr>
          <w:tr w:rsidR="00EF2FAE" w:rsidRPr="00D7087F" w14:paraId="07AC8E24" w14:textId="77777777" w:rsidTr="00903DAF">
            <w:trPr>
              <w:trHeight w:val="290"/>
            </w:trPr>
            <w:tc>
              <w:tcPr>
                <w:tcW w:w="1880" w:type="dxa"/>
                <w:shd w:val="clear" w:color="auto" w:fill="auto"/>
                <w:noWrap/>
                <w:vAlign w:val="bottom"/>
                <w:hideMark/>
              </w:tcPr>
              <w:p w14:paraId="74F3B5E2"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lastRenderedPageBreak/>
                  <w:t>Satakunta</w:t>
                </w:r>
              </w:p>
            </w:tc>
            <w:tc>
              <w:tcPr>
                <w:tcW w:w="1597" w:type="dxa"/>
                <w:shd w:val="clear" w:color="auto" w:fill="auto"/>
                <w:noWrap/>
                <w:vAlign w:val="bottom"/>
                <w:hideMark/>
              </w:tcPr>
              <w:p w14:paraId="4495A021"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101</w:t>
                </w:r>
              </w:p>
            </w:tc>
            <w:tc>
              <w:tcPr>
                <w:tcW w:w="1086" w:type="dxa"/>
                <w:shd w:val="clear" w:color="auto" w:fill="auto"/>
                <w:noWrap/>
                <w:vAlign w:val="bottom"/>
                <w:hideMark/>
              </w:tcPr>
              <w:p w14:paraId="3B2CE3B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442983A8"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24</w:t>
                </w:r>
              </w:p>
            </w:tc>
          </w:tr>
          <w:tr w:rsidR="00EF2FAE" w:rsidRPr="00D7087F" w14:paraId="483E5645" w14:textId="77777777" w:rsidTr="00903DAF">
            <w:trPr>
              <w:trHeight w:val="290"/>
            </w:trPr>
            <w:tc>
              <w:tcPr>
                <w:tcW w:w="1880" w:type="dxa"/>
                <w:shd w:val="clear" w:color="auto" w:fill="auto"/>
                <w:noWrap/>
                <w:vAlign w:val="bottom"/>
                <w:hideMark/>
              </w:tcPr>
              <w:p w14:paraId="01D5A0D9"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Vantaa</w:t>
                </w:r>
                <w:r>
                  <w:rPr>
                    <w:rFonts w:eastAsia="Times New Roman"/>
                    <w:color w:val="000000"/>
                    <w:sz w:val="20"/>
                    <w:szCs w:val="20"/>
                    <w:lang w:eastAsia="fi-FI"/>
                  </w:rPr>
                  <w:t xml:space="preserve"> ja </w:t>
                </w:r>
                <w:r w:rsidRPr="00D7087F">
                  <w:rPr>
                    <w:rFonts w:eastAsia="Times New Roman"/>
                    <w:color w:val="000000"/>
                    <w:sz w:val="20"/>
                    <w:szCs w:val="20"/>
                    <w:lang w:eastAsia="fi-FI"/>
                  </w:rPr>
                  <w:t>Kerava</w:t>
                </w:r>
              </w:p>
            </w:tc>
            <w:tc>
              <w:tcPr>
                <w:tcW w:w="1597" w:type="dxa"/>
                <w:shd w:val="clear" w:color="auto" w:fill="auto"/>
                <w:noWrap/>
                <w:vAlign w:val="bottom"/>
                <w:hideMark/>
              </w:tcPr>
              <w:p w14:paraId="7B8846E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63</w:t>
                </w:r>
              </w:p>
            </w:tc>
            <w:tc>
              <w:tcPr>
                <w:tcW w:w="1086" w:type="dxa"/>
                <w:shd w:val="clear" w:color="auto" w:fill="auto"/>
                <w:noWrap/>
                <w:vAlign w:val="bottom"/>
                <w:hideMark/>
              </w:tcPr>
              <w:p w14:paraId="3615BE61"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7 %</w:t>
                </w:r>
              </w:p>
            </w:tc>
            <w:tc>
              <w:tcPr>
                <w:tcW w:w="930" w:type="dxa"/>
                <w:shd w:val="clear" w:color="auto" w:fill="auto"/>
                <w:noWrap/>
                <w:vAlign w:val="bottom"/>
                <w:hideMark/>
              </w:tcPr>
              <w:p w14:paraId="7B355658"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9</w:t>
                </w:r>
              </w:p>
            </w:tc>
          </w:tr>
          <w:tr w:rsidR="00EF2FAE" w:rsidRPr="00D7087F" w14:paraId="6E8AE495" w14:textId="77777777" w:rsidTr="00903DAF">
            <w:trPr>
              <w:trHeight w:val="290"/>
            </w:trPr>
            <w:tc>
              <w:tcPr>
                <w:tcW w:w="1880" w:type="dxa"/>
                <w:shd w:val="clear" w:color="auto" w:fill="auto"/>
                <w:noWrap/>
                <w:vAlign w:val="bottom"/>
                <w:hideMark/>
              </w:tcPr>
              <w:p w14:paraId="1A8068EA" w14:textId="77777777" w:rsidR="00EF2FAE" w:rsidRPr="00D7087F" w:rsidRDefault="00EF2FAE" w:rsidP="00903DAF">
                <w:pPr>
                  <w:spacing w:line="240" w:lineRule="auto"/>
                  <w:rPr>
                    <w:rFonts w:eastAsia="Times New Roman"/>
                    <w:color w:val="000000"/>
                    <w:sz w:val="20"/>
                    <w:szCs w:val="20"/>
                    <w:lang w:eastAsia="fi-FI"/>
                  </w:rPr>
                </w:pPr>
                <w:r w:rsidRPr="00D7087F">
                  <w:rPr>
                    <w:rFonts w:eastAsia="Times New Roman"/>
                    <w:color w:val="000000"/>
                    <w:sz w:val="20"/>
                    <w:szCs w:val="20"/>
                    <w:lang w:eastAsia="fi-FI"/>
                  </w:rPr>
                  <w:t>Varsinais-Suomi</w:t>
                </w:r>
              </w:p>
            </w:tc>
            <w:tc>
              <w:tcPr>
                <w:tcW w:w="1597" w:type="dxa"/>
                <w:shd w:val="clear" w:color="auto" w:fill="auto"/>
                <w:noWrap/>
                <w:vAlign w:val="bottom"/>
                <w:hideMark/>
              </w:tcPr>
              <w:p w14:paraId="4B45964C"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176</w:t>
                </w:r>
              </w:p>
            </w:tc>
            <w:tc>
              <w:tcPr>
                <w:tcW w:w="1086" w:type="dxa"/>
                <w:shd w:val="clear" w:color="auto" w:fill="auto"/>
                <w:noWrap/>
                <w:vAlign w:val="bottom"/>
                <w:hideMark/>
              </w:tcPr>
              <w:p w14:paraId="47A3D1C7"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6 %</w:t>
                </w:r>
              </w:p>
            </w:tc>
            <w:tc>
              <w:tcPr>
                <w:tcW w:w="930" w:type="dxa"/>
                <w:shd w:val="clear" w:color="auto" w:fill="auto"/>
                <w:noWrap/>
                <w:vAlign w:val="bottom"/>
                <w:hideMark/>
              </w:tcPr>
              <w:p w14:paraId="72B395E8" w14:textId="77777777" w:rsidR="00EF2FAE" w:rsidRPr="00D7087F" w:rsidRDefault="00EF2FAE" w:rsidP="00903DAF">
                <w:pPr>
                  <w:spacing w:line="240" w:lineRule="auto"/>
                  <w:jc w:val="right"/>
                  <w:rPr>
                    <w:rFonts w:eastAsia="Times New Roman"/>
                    <w:color w:val="000000"/>
                    <w:sz w:val="20"/>
                    <w:szCs w:val="20"/>
                    <w:lang w:eastAsia="fi-FI"/>
                  </w:rPr>
                </w:pPr>
                <w:r w:rsidRPr="00D7087F">
                  <w:rPr>
                    <w:rFonts w:eastAsia="Times New Roman"/>
                    <w:color w:val="000000"/>
                    <w:sz w:val="20"/>
                    <w:szCs w:val="20"/>
                    <w:lang w:eastAsia="fi-FI"/>
                  </w:rPr>
                  <w:t>45</w:t>
                </w:r>
              </w:p>
            </w:tc>
          </w:tr>
        </w:tbl>
        <w:p w14:paraId="61701958" w14:textId="77777777" w:rsidR="00EF2FAE" w:rsidRDefault="00EF2FAE" w:rsidP="00EF2FAE">
          <w:pPr>
            <w:spacing w:after="220" w:line="220" w:lineRule="exact"/>
            <w:jc w:val="both"/>
          </w:pPr>
        </w:p>
        <w:p w14:paraId="2489307E" w14:textId="77777777" w:rsidR="00EF2FAE" w:rsidRPr="003B7D80" w:rsidRDefault="00EF2FAE" w:rsidP="00EF2FAE">
          <w:pPr>
            <w:spacing w:after="220" w:line="220" w:lineRule="exact"/>
            <w:jc w:val="both"/>
          </w:pPr>
          <w:r>
            <w:t>Edellä kuvatut arviot henkilöstön lisätarpeesta perustuvat kevään 2022 palvelurakenteeseen. Mikäli ikääntyneiden palvelujen uudistuksen tavoitteena oleva palvelurakenteen monimuotoistuminen (esimerkiksi yhteisöllisen asumisen ja vuorokaudenajasta riippumattoman kotihoidon lisääntyminen) alkaa toteutua, se voisi vähentää ympärivuorokautisten palvelujen tarvetta ja sitä kautta pienentää myös 0,65 ja 0,7 mitoituksiin tarvittavia lisähenkilöstötarpeita.</w:t>
          </w:r>
        </w:p>
        <w:p w14:paraId="3E161E5A" w14:textId="77777777" w:rsidR="00EF2FAE" w:rsidRPr="003B7D80" w:rsidRDefault="00EF2FAE" w:rsidP="00EF2FAE">
          <w:pPr>
            <w:pStyle w:val="Default"/>
            <w:autoSpaceDE/>
            <w:autoSpaceDN/>
            <w:adjustRightInd/>
            <w:spacing w:after="220" w:line="220" w:lineRule="exact"/>
            <w:jc w:val="both"/>
            <w:rPr>
              <w:sz w:val="22"/>
              <w:szCs w:val="22"/>
            </w:rPr>
          </w:pPr>
          <w:r>
            <w:rPr>
              <w:sz w:val="22"/>
              <w:szCs w:val="22"/>
            </w:rPr>
            <w:t>3</w:t>
          </w:r>
          <w:r w:rsidRPr="003B7D80">
            <w:rPr>
              <w:sz w:val="22"/>
              <w:szCs w:val="22"/>
            </w:rPr>
            <w:t>.</w:t>
          </w:r>
          <w:r>
            <w:rPr>
              <w:sz w:val="22"/>
              <w:szCs w:val="22"/>
            </w:rPr>
            <w:t>2.2</w:t>
          </w:r>
          <w:r w:rsidRPr="003B7D80">
            <w:rPr>
              <w:sz w:val="22"/>
              <w:szCs w:val="22"/>
            </w:rPr>
            <w:t xml:space="preserve"> Työllisyysvaikutukset </w:t>
          </w:r>
        </w:p>
        <w:p w14:paraId="71972E98" w14:textId="77777777" w:rsidR="00EF2FAE" w:rsidRPr="003B7D80" w:rsidRDefault="00EF2FAE" w:rsidP="00EF2FAE">
          <w:pPr>
            <w:spacing w:after="220" w:line="220" w:lineRule="exact"/>
            <w:jc w:val="both"/>
          </w:pPr>
          <w:r>
            <w:t>Esityksen suora vaikutus on se, että m</w:t>
          </w:r>
          <w:r w:rsidRPr="003B7D80">
            <w:t xml:space="preserve">uutos helpottaa työvoiman saatavuutta väliaikaisesti, kun kahdeksan kuukauden ajan </w:t>
          </w:r>
          <w:r>
            <w:t xml:space="preserve">lakisääteinen </w:t>
          </w:r>
          <w:r w:rsidRPr="003B7D80">
            <w:t>vähimmäismitoitus on pienempi</w:t>
          </w:r>
          <w:r>
            <w:t xml:space="preserve"> </w:t>
          </w:r>
          <w:r w:rsidRPr="003B7D80">
            <w:t xml:space="preserve">kuin se nykyisen vanhuspalvelulain mukaan olisi. Kuten taloudellisten vaikutusten osuudessa on kuvattu, mitoituksen siirto vähentää kahdeksan kuukauden ajan tarvetta lisätä henkilöstöä </w:t>
          </w:r>
          <w:r>
            <w:t>enintään</w:t>
          </w:r>
          <w:r w:rsidRPr="003B7D80">
            <w:t xml:space="preserve"> noin 1 900 työntekijää vastaavan työpanoksen verran julkisella ja yksityisellä sektorilla yhteensä aikaisempaan mitoituksen voimaantuloaikatauluun verrattuna. Myös sijaisten lisäystarve vähenee hieman.</w:t>
          </w:r>
          <w:r>
            <w:t xml:space="preserve"> Käytännössä sekä julkiset että yksityiset palveluntuottajat palkkaavat lisätyövoimaa näihin tehtäviin vaiheittain ja joustavasti koko vuoden 2023 aikana. Muun muassa tämän vuoksi ja mahdollisimman aikaista henkilöstön rekrytointia tukemaan hyvinvointialueille osoitettua rahoitustakaan ei esityksen johdosta ole vähennetty.     </w:t>
          </w:r>
        </w:p>
        <w:p w14:paraId="4FE37D7F" w14:textId="1734D4E3" w:rsidR="00EF2FAE" w:rsidRPr="003B7D80" w:rsidRDefault="00EF2FAE" w:rsidP="00EF2FAE">
          <w:pPr>
            <w:spacing w:after="220" w:line="220" w:lineRule="exact"/>
            <w:jc w:val="both"/>
          </w:pPr>
          <w:r w:rsidRPr="00783860">
            <w:rPr>
              <w:b/>
            </w:rPr>
            <w:t xml:space="preserve">Taulukko </w:t>
          </w:r>
          <w:r w:rsidR="009C4257" w:rsidRPr="00783860">
            <w:rPr>
              <w:b/>
            </w:rPr>
            <w:t>4</w:t>
          </w:r>
          <w:r w:rsidRPr="00783860">
            <w:rPr>
              <w:b/>
            </w:rPr>
            <w:t>.</w:t>
          </w:r>
          <w:r w:rsidRPr="003B7D80">
            <w:t xml:space="preserve"> Uudistuksen vaikutukset henkilöstötarpeisiin</w:t>
          </w:r>
        </w:p>
        <w:tbl>
          <w:tblPr>
            <w:tblStyle w:val="TaulukkoRuudukko"/>
            <w:tblW w:w="0" w:type="auto"/>
            <w:tblLook w:val="04A0" w:firstRow="1" w:lastRow="0" w:firstColumn="1" w:lastColumn="0" w:noHBand="0" w:noVBand="1"/>
          </w:tblPr>
          <w:tblGrid>
            <w:gridCol w:w="2848"/>
            <w:gridCol w:w="2744"/>
            <w:gridCol w:w="2744"/>
          </w:tblGrid>
          <w:tr w:rsidR="00EF2FAE" w:rsidRPr="003B7D80" w14:paraId="6AA4FF3D" w14:textId="77777777" w:rsidTr="00903DAF">
            <w:trPr>
              <w:trHeight w:val="370"/>
            </w:trPr>
            <w:tc>
              <w:tcPr>
                <w:tcW w:w="2972" w:type="dxa"/>
              </w:tcPr>
              <w:p w14:paraId="655249C6" w14:textId="77777777" w:rsidR="00EF2FAE" w:rsidRPr="003B7D80" w:rsidRDefault="00EF2FAE" w:rsidP="00903DAF">
                <w:pPr>
                  <w:spacing w:after="220" w:line="220" w:lineRule="exact"/>
                  <w:jc w:val="both"/>
                </w:pPr>
              </w:p>
            </w:tc>
            <w:tc>
              <w:tcPr>
                <w:tcW w:w="2835" w:type="dxa"/>
              </w:tcPr>
              <w:p w14:paraId="20E52C90" w14:textId="77777777" w:rsidR="00EF2FAE" w:rsidRPr="003B7D80" w:rsidRDefault="00EF2FAE" w:rsidP="00903DAF">
                <w:pPr>
                  <w:spacing w:after="220" w:line="220" w:lineRule="exact"/>
                  <w:jc w:val="both"/>
                </w:pPr>
                <w:r w:rsidRPr="0000543A">
                  <w:rPr>
                    <w:color w:val="000000" w:themeColor="text1"/>
                  </w:rPr>
                  <w:t>Vähennys henkilöstömäärän lisäyksessä 1.4.-30.11.2023</w:t>
                </w:r>
              </w:p>
            </w:tc>
            <w:tc>
              <w:tcPr>
                <w:tcW w:w="2835" w:type="dxa"/>
              </w:tcPr>
              <w:p w14:paraId="12EB5EEA" w14:textId="77777777" w:rsidR="00EF2FAE" w:rsidRPr="003B7D80" w:rsidRDefault="00EF2FAE" w:rsidP="00903DAF">
                <w:pPr>
                  <w:spacing w:after="220" w:line="220" w:lineRule="exact"/>
                  <w:jc w:val="both"/>
                </w:pPr>
                <w:r w:rsidRPr="003B7D80">
                  <w:t>Sijaistarpeen vähennys 1.4.-30.11.2023</w:t>
                </w:r>
                <w:r>
                  <w:t xml:space="preserve"> (22 %)</w:t>
                </w:r>
              </w:p>
            </w:tc>
          </w:tr>
          <w:tr w:rsidR="00EF2FAE" w:rsidRPr="003B7D80" w14:paraId="64D8AB25" w14:textId="77777777" w:rsidTr="00903DAF">
            <w:trPr>
              <w:trHeight w:val="379"/>
            </w:trPr>
            <w:tc>
              <w:tcPr>
                <w:tcW w:w="2972" w:type="dxa"/>
              </w:tcPr>
              <w:p w14:paraId="56E0A4E5" w14:textId="77777777" w:rsidR="00EF2FAE" w:rsidRPr="003B7D80" w:rsidRDefault="00EF2FAE" w:rsidP="00903DAF">
                <w:pPr>
                  <w:spacing w:after="220" w:line="220" w:lineRule="exact"/>
                  <w:jc w:val="both"/>
                </w:pPr>
                <w:r w:rsidRPr="003B7D80">
                  <w:t>Julkiset palveluntuottajat</w:t>
                </w:r>
              </w:p>
            </w:tc>
            <w:tc>
              <w:tcPr>
                <w:tcW w:w="2835" w:type="dxa"/>
                <w:vAlign w:val="bottom"/>
              </w:tcPr>
              <w:p w14:paraId="0322C7F3" w14:textId="77777777" w:rsidR="00EF2FAE" w:rsidRPr="003B7D80" w:rsidRDefault="00EF2FAE" w:rsidP="00903DAF">
                <w:pPr>
                  <w:spacing w:after="220" w:line="220" w:lineRule="exact"/>
                  <w:jc w:val="right"/>
                </w:pPr>
                <w:r>
                  <w:t>824</w:t>
                </w:r>
              </w:p>
            </w:tc>
            <w:tc>
              <w:tcPr>
                <w:tcW w:w="2835" w:type="dxa"/>
                <w:vAlign w:val="bottom"/>
              </w:tcPr>
              <w:p w14:paraId="685D7830" w14:textId="77777777" w:rsidR="00EF2FAE" w:rsidRPr="003B7D80" w:rsidRDefault="00EF2FAE" w:rsidP="00903DAF">
                <w:pPr>
                  <w:spacing w:after="220" w:line="220" w:lineRule="exact"/>
                  <w:jc w:val="right"/>
                </w:pPr>
                <w:r>
                  <w:t>181</w:t>
                </w:r>
              </w:p>
            </w:tc>
          </w:tr>
          <w:tr w:rsidR="00EF2FAE" w:rsidRPr="003B7D80" w14:paraId="7FBFB0A7" w14:textId="77777777" w:rsidTr="00903DAF">
            <w:trPr>
              <w:trHeight w:val="379"/>
            </w:trPr>
            <w:tc>
              <w:tcPr>
                <w:tcW w:w="2972" w:type="dxa"/>
              </w:tcPr>
              <w:p w14:paraId="672A95E3" w14:textId="77777777" w:rsidR="00EF2FAE" w:rsidRPr="003B7D80" w:rsidRDefault="00EF2FAE" w:rsidP="00903DAF">
                <w:pPr>
                  <w:spacing w:after="220" w:line="220" w:lineRule="exact"/>
                  <w:jc w:val="both"/>
                </w:pPr>
                <w:r w:rsidRPr="003B7D80">
                  <w:t>Yksityiset palveluntuottajat</w:t>
                </w:r>
              </w:p>
            </w:tc>
            <w:tc>
              <w:tcPr>
                <w:tcW w:w="2835" w:type="dxa"/>
                <w:vAlign w:val="bottom"/>
              </w:tcPr>
              <w:p w14:paraId="67C5116F" w14:textId="77777777" w:rsidR="00EF2FAE" w:rsidRPr="003B7D80" w:rsidRDefault="00EF2FAE" w:rsidP="00903DAF">
                <w:pPr>
                  <w:spacing w:after="220" w:line="220" w:lineRule="exact"/>
                  <w:jc w:val="right"/>
                </w:pPr>
                <w:r>
                  <w:t>1 081</w:t>
                </w:r>
              </w:p>
            </w:tc>
            <w:tc>
              <w:tcPr>
                <w:tcW w:w="2835" w:type="dxa"/>
                <w:vAlign w:val="bottom"/>
              </w:tcPr>
              <w:p w14:paraId="0E3AC5B7" w14:textId="77777777" w:rsidR="00EF2FAE" w:rsidRPr="003B7D80" w:rsidRDefault="00EF2FAE" w:rsidP="00903DAF">
                <w:pPr>
                  <w:spacing w:after="220" w:line="220" w:lineRule="exact"/>
                  <w:jc w:val="right"/>
                </w:pPr>
                <w:r>
                  <w:t>238</w:t>
                </w:r>
              </w:p>
            </w:tc>
          </w:tr>
          <w:tr w:rsidR="00EF2FAE" w:rsidRPr="003B7D80" w14:paraId="5F32AFE4" w14:textId="77777777" w:rsidTr="00903DAF">
            <w:trPr>
              <w:trHeight w:val="379"/>
            </w:trPr>
            <w:tc>
              <w:tcPr>
                <w:tcW w:w="2972" w:type="dxa"/>
              </w:tcPr>
              <w:p w14:paraId="77E8F931" w14:textId="77777777" w:rsidR="00EF2FAE" w:rsidRPr="003B7D80" w:rsidRDefault="00EF2FAE" w:rsidP="00903DAF">
                <w:pPr>
                  <w:spacing w:after="220" w:line="220" w:lineRule="exact"/>
                  <w:jc w:val="both"/>
                </w:pPr>
                <w:r w:rsidRPr="003B7D80">
                  <w:t>Yhteensä</w:t>
                </w:r>
              </w:p>
            </w:tc>
            <w:tc>
              <w:tcPr>
                <w:tcW w:w="2835" w:type="dxa"/>
                <w:vAlign w:val="bottom"/>
              </w:tcPr>
              <w:p w14:paraId="3FACB6D3" w14:textId="77777777" w:rsidR="00EF2FAE" w:rsidRPr="003B7D80" w:rsidRDefault="00EF2FAE" w:rsidP="00903DAF">
                <w:pPr>
                  <w:spacing w:after="220" w:line="220" w:lineRule="exact"/>
                  <w:jc w:val="right"/>
                </w:pPr>
                <w:r>
                  <w:t xml:space="preserve"> 1 905</w:t>
                </w:r>
              </w:p>
            </w:tc>
            <w:tc>
              <w:tcPr>
                <w:tcW w:w="2835" w:type="dxa"/>
                <w:vAlign w:val="bottom"/>
              </w:tcPr>
              <w:p w14:paraId="5FEE9764" w14:textId="77777777" w:rsidR="00EF2FAE" w:rsidRPr="003B7D80" w:rsidRDefault="00EF2FAE" w:rsidP="00903DAF">
                <w:pPr>
                  <w:spacing w:after="220" w:line="220" w:lineRule="exact"/>
                  <w:jc w:val="right"/>
                </w:pPr>
                <w:r>
                  <w:t>419</w:t>
                </w:r>
              </w:p>
            </w:tc>
          </w:tr>
        </w:tbl>
        <w:p w14:paraId="3692B27E" w14:textId="77777777" w:rsidR="00EF2FAE" w:rsidRPr="003B7D80" w:rsidRDefault="00EF2FAE" w:rsidP="00EF2FAE">
          <w:pPr>
            <w:spacing w:after="220" w:line="220" w:lineRule="exact"/>
            <w:jc w:val="both"/>
          </w:pPr>
        </w:p>
        <w:p w14:paraId="34D65E7F" w14:textId="77777777" w:rsidR="00EF2FAE" w:rsidRDefault="00EF2FAE" w:rsidP="00EF2FAE">
          <w:pPr>
            <w:spacing w:after="220" w:line="220" w:lineRule="exact"/>
            <w:jc w:val="both"/>
          </w:pPr>
          <w:r w:rsidRPr="003B7D80">
            <w:t xml:space="preserve">Toukokuussa 2022 iäkkäiden ympärivuorokautisessa hoidossa työskenteli yhteensä 37 600 työntekijää, joten henkilöstömäärän lisäyksen väheneminen </w:t>
          </w:r>
          <w:r>
            <w:t>voisi olla enintään kuusi</w:t>
          </w:r>
          <w:r w:rsidRPr="003B7D80">
            <w:t xml:space="preserve"> prosenttia nykyisestä </w:t>
          </w:r>
          <w:r>
            <w:t xml:space="preserve">välittömän työn </w:t>
          </w:r>
          <w:r w:rsidRPr="003B7D80">
            <w:t xml:space="preserve">henkilöstömäärästä. </w:t>
          </w:r>
        </w:p>
        <w:p w14:paraId="1EF3F5FF" w14:textId="77777777" w:rsidR="00EF2FAE" w:rsidRDefault="00EF2FAE" w:rsidP="00EF2FAE">
          <w:pPr>
            <w:spacing w:after="220" w:line="220" w:lineRule="exact"/>
            <w:jc w:val="both"/>
          </w:pPr>
          <w:r w:rsidRPr="003B7D80">
            <w:rPr>
              <w:noProof/>
              <w:lang w:eastAsia="fi-FI"/>
            </w:rPr>
            <w:lastRenderedPageBreak/>
            <w:drawing>
              <wp:anchor distT="0" distB="0" distL="114300" distR="114300" simplePos="0" relativeHeight="251658240" behindDoc="0" locked="0" layoutInCell="1" allowOverlap="1" wp14:anchorId="4BEA61E9" wp14:editId="468D7BDD">
                <wp:simplePos x="0" y="0"/>
                <wp:positionH relativeFrom="column">
                  <wp:posOffset>3810</wp:posOffset>
                </wp:positionH>
                <wp:positionV relativeFrom="paragraph">
                  <wp:posOffset>1233805</wp:posOffset>
                </wp:positionV>
                <wp:extent cx="4959350" cy="3228975"/>
                <wp:effectExtent l="0" t="0" r="0" b="9525"/>
                <wp:wrapTopAndBottom/>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1305" b="12483"/>
                        <a:stretch/>
                      </pic:blipFill>
                      <pic:spPr bwMode="auto">
                        <a:xfrm>
                          <a:off x="0" y="0"/>
                          <a:ext cx="4959350" cy="3228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3B7D80">
            <w:t>THL:n</w:t>
          </w:r>
          <w:proofErr w:type="spellEnd"/>
          <w:r w:rsidRPr="003B7D80">
            <w:t xml:space="preserve"> Vanhuspalvelujen tila -seurannan perusteella toukokuussa 2022 </w:t>
          </w:r>
          <w:r>
            <w:t>y</w:t>
          </w:r>
          <w:r w:rsidRPr="003B7D80">
            <w:t>mpärivuorokautisen hoidon yksiköt ovat varsin hyvin saavuttaneet nykyisen 0,6</w:t>
          </w:r>
          <w:r>
            <w:t xml:space="preserve"> työntekijän</w:t>
          </w:r>
          <w:r w:rsidRPr="003B7D80">
            <w:t xml:space="preserve"> mitoitusvaatimuksen ja usea mitoituksen alittavakin yksikkö on hyvin lähellä 0,6 </w:t>
          </w:r>
          <w:r>
            <w:t xml:space="preserve">työntekijän </w:t>
          </w:r>
          <w:r w:rsidRPr="003B7D80">
            <w:t xml:space="preserve">mitoitusta. Kokonaisuudessaan </w:t>
          </w:r>
          <w:r>
            <w:t>lakisääteisen</w:t>
          </w:r>
          <w:r w:rsidRPr="003B7D80">
            <w:t xml:space="preserve"> mitoituksen alittavien yksiköiden tilanne, muun muassa 0,6 </w:t>
          </w:r>
          <w:r>
            <w:t xml:space="preserve">työntekijän </w:t>
          </w:r>
          <w:r w:rsidRPr="003B7D80">
            <w:t xml:space="preserve">mitoituksen edellyttämä henkilöstön lisäystarve ei ole tämän esityksen vaikutusta, </w:t>
          </w:r>
          <w:r>
            <w:t xml:space="preserve">koska ko. mitoitus olisi pitänyt saavuttaa jo voimassa olevan lain mukaan. Näihin aiempiin mitoituksiin tarvittava henkilöstön lisätarve </w:t>
          </w:r>
          <w:r w:rsidRPr="003B7D80">
            <w:t xml:space="preserve">on </w:t>
          </w:r>
          <w:r>
            <w:t xml:space="preserve">kuitenkin </w:t>
          </w:r>
          <w:r w:rsidRPr="003B7D80">
            <w:t>otettava huomioon, kun henkilöstön saatavuutta arvioidaan kokonaisuutena.</w:t>
          </w:r>
          <w:r>
            <w:t xml:space="preserve"> </w:t>
          </w:r>
        </w:p>
        <w:p w14:paraId="1030F289" w14:textId="5FCC5CA1" w:rsidR="00EF2FAE" w:rsidRPr="003B7D80" w:rsidRDefault="00783860" w:rsidP="00EF2FAE">
          <w:pPr>
            <w:spacing w:after="220" w:line="220" w:lineRule="exact"/>
            <w:jc w:val="both"/>
          </w:pPr>
          <w:r w:rsidRPr="00783860">
            <w:rPr>
              <w:b/>
            </w:rPr>
            <w:t>Kuvio 3.</w:t>
          </w:r>
          <w:r>
            <w:t xml:space="preserve"> Ympärivuorokautisen hoidon henkilöstömitoitus toimintayksiköissä touko- ja marraskuussa 2021 sekä toukokuussa 2022.</w:t>
          </w:r>
        </w:p>
        <w:p w14:paraId="40D51C67" w14:textId="77777777" w:rsidR="00EF2FAE" w:rsidRPr="003B7D80" w:rsidRDefault="00EF2FAE" w:rsidP="00EF2FAE">
          <w:pPr>
            <w:spacing w:after="220" w:line="220" w:lineRule="exact"/>
            <w:jc w:val="both"/>
          </w:pPr>
          <w:r w:rsidRPr="003B7D80">
            <w:t xml:space="preserve">Osa arvioidusta henkilöstötarpeesta on mahdollista edelleen täyttää vähentämällä </w:t>
          </w:r>
          <w:proofErr w:type="spellStart"/>
          <w:r w:rsidRPr="003B7D80">
            <w:t>lähi</w:t>
          </w:r>
          <w:proofErr w:type="spellEnd"/>
          <w:r w:rsidRPr="003B7D80">
            <w:t xml:space="preserve">- ja sairaanhoitajien tekemää välillistä </w:t>
          </w:r>
          <w:r>
            <w:t>asiakas</w:t>
          </w:r>
          <w:r w:rsidRPr="003B7D80">
            <w:t>työtä</w:t>
          </w:r>
          <w:r w:rsidRPr="00DA4BE0">
            <w:t xml:space="preserve"> </w:t>
          </w:r>
          <w:r>
            <w:t>ja korvaamalla se lain edellyttämällä tavalla erillisellä resurssilla</w:t>
          </w:r>
          <w:r w:rsidRPr="003B7D80">
            <w:t xml:space="preserve">. </w:t>
          </w:r>
          <w:r>
            <w:t xml:space="preserve">Välillistä työtä tekeviltä ei edellytetä </w:t>
          </w:r>
          <w:proofErr w:type="spellStart"/>
          <w:r>
            <w:t>sosiaali</w:t>
          </w:r>
          <w:proofErr w:type="spellEnd"/>
          <w:r>
            <w:t xml:space="preserve">- ja terveydenhuollon koulutusta, joten se helpottaisi nimenomaan hoitohenkilökunnan saatavuustilannetta. </w:t>
          </w:r>
          <w:proofErr w:type="spellStart"/>
          <w:r w:rsidRPr="003B7D80">
            <w:t>THL:n</w:t>
          </w:r>
          <w:proofErr w:type="spellEnd"/>
          <w:r w:rsidRPr="003B7D80">
            <w:t xml:space="preserve"> Vanhuspalvelujen tila -seurannan perusteella </w:t>
          </w:r>
          <w:r>
            <w:t>n</w:t>
          </w:r>
          <w:r w:rsidRPr="003B7D80">
            <w:t>ykyis</w:t>
          </w:r>
          <w:r>
            <w:t>i</w:t>
          </w:r>
          <w:r w:rsidRPr="003B7D80">
            <w:t xml:space="preserve">n </w:t>
          </w:r>
          <w:proofErr w:type="spellStart"/>
          <w:r w:rsidRPr="003B7D80">
            <w:t>lähi</w:t>
          </w:r>
          <w:proofErr w:type="spellEnd"/>
          <w:r w:rsidRPr="003B7D80">
            <w:t>- ja sairaanhoitajan tekemä välillinen työ vastaa noin 1 300 hoitajan työpanosta.</w:t>
          </w:r>
        </w:p>
        <w:p w14:paraId="4AAF82D2" w14:textId="77777777" w:rsidR="00EF2FAE" w:rsidRDefault="00EF2FAE" w:rsidP="00EF2FAE">
          <w:pPr>
            <w:spacing w:after="220" w:line="220" w:lineRule="exact"/>
            <w:jc w:val="both"/>
          </w:pPr>
          <w:r>
            <w:t>Vaikka esitys väliaikaisesti helpottaakin henkilöstön lisäystarvetta, nykytilanteeseen verrattuna tarvitaan edelleen selvä henkilöstölisäys vuonna 2023. Lisäystarve on 1.4.2023 lähtien noin 1 500</w:t>
          </w:r>
          <w:r w:rsidRPr="003B7D80">
            <w:rPr>
              <w:color w:val="000000" w:themeColor="text1"/>
            </w:rPr>
            <w:t xml:space="preserve"> </w:t>
          </w:r>
          <w:r>
            <w:rPr>
              <w:color w:val="000000" w:themeColor="text1"/>
            </w:rPr>
            <w:t>ja 1.12.2023 lähtien noin 3 400</w:t>
          </w:r>
          <w:r w:rsidRPr="003B7D80">
            <w:rPr>
              <w:color w:val="000000" w:themeColor="text1"/>
            </w:rPr>
            <w:t xml:space="preserve"> henkilön laskennallinen lisätyöpanos</w:t>
          </w:r>
          <w:r w:rsidRPr="005646E4">
            <w:t xml:space="preserve"> </w:t>
          </w:r>
          <w:r>
            <w:t>toukokuun 2022 tilanteeseen verrattuna sekä lisäksi sijaistarve</w:t>
          </w:r>
          <w:r w:rsidRPr="003B7D80">
            <w:rPr>
              <w:color w:val="000000" w:themeColor="text1"/>
            </w:rPr>
            <w:t xml:space="preserve">. </w:t>
          </w:r>
          <w:r w:rsidRPr="003B7D80">
            <w:t>Uudistusta tehdään haastavassa henkilöstötilanteessa</w:t>
          </w:r>
          <w:r>
            <w:t xml:space="preserve">, jossa nykyisen työvoimapulan lisäksi haasteena on esimerkiksi henkilöstön eläköityminen. Eniten henkilöstön tarpeeseen vaikuttaa tulevina vuosina kuitenkin väestön ikääntymisen aiheuttama palvelujen tarpeen kasvu. </w:t>
          </w:r>
        </w:p>
        <w:p w14:paraId="4A3A7F3D" w14:textId="77777777" w:rsidR="00EF2FAE" w:rsidRDefault="00EF2FAE" w:rsidP="00EF2FAE">
          <w:pPr>
            <w:spacing w:after="220" w:line="220" w:lineRule="exact"/>
            <w:jc w:val="both"/>
          </w:pPr>
          <w:r w:rsidRPr="003B7D80">
            <w:lastRenderedPageBreak/>
            <w:t>Kummassakin tällä hallituskaudella annetussa iäkkäiden henkilöiden palvelujen uudistamis</w:t>
          </w:r>
          <w:r>
            <w:t>ta koskevassa</w:t>
          </w:r>
          <w:r w:rsidRPr="003B7D80">
            <w:t xml:space="preserve"> hallituksen esityksessä</w:t>
          </w:r>
          <w:r w:rsidRPr="003B7D80">
            <w:rPr>
              <w:rStyle w:val="Alaviitteenviite"/>
            </w:rPr>
            <w:footnoteReference w:id="8"/>
          </w:r>
          <w:r w:rsidRPr="003B7D80">
            <w:t xml:space="preserve"> on työllisyysvaikutukset -luvussa kuvattu laajasti työvoiman saatavuutta eri näkökulmista: arvio henkilöstömäärien kehityksestä vuoteen 2030 asti, henkilöstön saatavuu</w:t>
          </w:r>
          <w:r>
            <w:t>stilanteen kuvaus</w:t>
          </w:r>
          <w:r w:rsidRPr="003B7D80">
            <w:t xml:space="preserve">, alan koulutuksen kehitys, henkilöstön eläköityminen, osa-aikatyön yleisyys, muilla aloilla työskentelevien määrä ja ulkomaisen työvoiman käyttömahdollisuudet. Näiden hallitusten esitysten kuvaukset antavat edelleen ajantasaisen kuvan. Esimerkiksi </w:t>
          </w:r>
          <w:proofErr w:type="spellStart"/>
          <w:r w:rsidRPr="003B7D80">
            <w:t>Kevan</w:t>
          </w:r>
          <w:proofErr w:type="spellEnd"/>
          <w:r w:rsidRPr="003B7D80">
            <w:t xml:space="preserve"> uu</w:t>
          </w:r>
          <w:r>
            <w:t>si</w:t>
          </w:r>
          <w:r w:rsidRPr="003B7D80">
            <w:t>mmat tiedot antavat edelleen samanlaisen kuvan kuntien henkilöstön eläköitymisestä</w:t>
          </w:r>
          <w:r>
            <w:rPr>
              <w:rStyle w:val="Alaviitteenviite"/>
            </w:rPr>
            <w:footnoteReference w:id="9"/>
          </w:r>
          <w:r w:rsidRPr="003B7D80">
            <w:t>: Lisäksi esimerkiksi muilla aloilla työskentelevien määrä oli Kuntatyönantajien selvityksen mukaan vuonna 2018 samalla tasolla kuin vuonna 2017, jota koskevat tiedot hallituksen esityksessä 4/2020 julkaistiin.</w:t>
          </w:r>
          <w:r>
            <w:rPr>
              <w:rStyle w:val="Alaviitteenviite"/>
            </w:rPr>
            <w:footnoteReference w:id="10"/>
          </w:r>
          <w:r w:rsidRPr="003B7D80">
            <w:t xml:space="preserve"> Keskustelu alanvaihtoaikeista on tosin lisääntynyt julkisuudessa erityisesti vuodesta 2019 lähtien ja myös koronan on arveltu vaikuttavan. Tutkimusta ja selvityksiä on alanvaihtoaikeista, mutta alan vaihdosta tuoretta tutkittua tai tilastotietoa ei kuitenkaan ole</w:t>
          </w:r>
          <w:r>
            <w:rPr>
              <w:rStyle w:val="Alaviitteenviite"/>
            </w:rPr>
            <w:footnoteReference w:id="11"/>
          </w:r>
          <w:r w:rsidRPr="003B7D80">
            <w:t>. Henkilöstön saatavuudesta on tietoa muun muassa Ammattibarometrissa, joka julkaistaan kaksi kertaa vuodessa (</w:t>
          </w:r>
          <w:hyperlink r:id="rId14" w:history="1">
            <w:r w:rsidRPr="003B7D80">
              <w:rPr>
                <w:rStyle w:val="Hyperlinkki"/>
              </w:rPr>
              <w:t>www.ammattibarometri.fi</w:t>
            </w:r>
          </w:hyperlink>
          <w:r w:rsidRPr="003B7D80">
            <w:t>). Sen mukaan sairaanhoitajista ja lähihoitajista on paljon pulaa koko maassa.</w:t>
          </w:r>
        </w:p>
        <w:p w14:paraId="413035E8" w14:textId="77777777" w:rsidR="00EF2FAE" w:rsidRPr="003B7D80" w:rsidRDefault="00EF2FAE" w:rsidP="00EF2FAE">
          <w:pPr>
            <w:spacing w:after="220" w:line="220" w:lineRule="exact"/>
            <w:jc w:val="both"/>
          </w:pPr>
          <w:proofErr w:type="spellStart"/>
          <w:r w:rsidRPr="003B7D80">
            <w:rPr>
              <w:color w:val="000000" w:themeColor="text1"/>
            </w:rPr>
            <w:t>THL:n</w:t>
          </w:r>
          <w:proofErr w:type="spellEnd"/>
          <w:r w:rsidRPr="003B7D80">
            <w:rPr>
              <w:color w:val="000000" w:themeColor="text1"/>
            </w:rPr>
            <w:t xml:space="preserve"> Vanhuspalvelujen tila -seuranna</w:t>
          </w:r>
          <w:r>
            <w:rPr>
              <w:color w:val="000000" w:themeColor="text1"/>
            </w:rPr>
            <w:t>ssa</w:t>
          </w:r>
          <w:r w:rsidRPr="003B7D80">
            <w:rPr>
              <w:color w:val="000000" w:themeColor="text1"/>
            </w:rPr>
            <w:t xml:space="preserve"> toukokuu</w:t>
          </w:r>
          <w:r>
            <w:rPr>
              <w:color w:val="000000" w:themeColor="text1"/>
            </w:rPr>
            <w:t>ssa</w:t>
          </w:r>
          <w:r w:rsidRPr="003B7D80">
            <w:rPr>
              <w:color w:val="000000" w:themeColor="text1"/>
            </w:rPr>
            <w:t xml:space="preserve"> 2022 </w:t>
          </w:r>
          <w:r>
            <w:rPr>
              <w:color w:val="000000" w:themeColor="text1"/>
            </w:rPr>
            <w:t>kerättyjen tietojen mukaan a</w:t>
          </w:r>
          <w:r w:rsidRPr="00002937">
            <w:t xml:space="preserve">ikaisempaa useampi rekrytointi on vanhuspalveluissa (koti- ja ympärivuorokautisessa hoidossa) epäonnistunut kuluneen kuuden kuukauden aikana, koska koulutettua työvoimaa ei ole ollut saatavana. Toukokuussa yksiköt raportoivat 3 500 vakituisen </w:t>
          </w:r>
          <w:proofErr w:type="spellStart"/>
          <w:r w:rsidRPr="00002937">
            <w:t>sosiaali</w:t>
          </w:r>
          <w:proofErr w:type="spellEnd"/>
          <w:r w:rsidRPr="00002937">
            <w:t>- ja terveydenhuollon ammattilaisen epäonnistuneesta rekrytoinnista ja lisäksi 3 700 määräaikaisen rekrytoinnin epäonnistumisesta. Epäonnistuneiden rekrytointien määrä on kasvanut yli 1 000:lla puolen vuoden aikana.</w:t>
          </w:r>
        </w:p>
        <w:p w14:paraId="7190CA96" w14:textId="77777777" w:rsidR="00EF2FAE" w:rsidRDefault="00EF2FAE" w:rsidP="00EF2FAE">
          <w:pPr>
            <w:spacing w:after="220" w:line="220" w:lineRule="exact"/>
            <w:jc w:val="both"/>
          </w:pPr>
          <w:r w:rsidRPr="003B7D80">
            <w:t>Mitoituksen siirto antaa lisäaikaa toteuttaa henkilöstön saatavuutta parantavia toimenpiteitä</w:t>
          </w:r>
          <w:r>
            <w:t>.</w:t>
          </w:r>
          <w:r w:rsidRPr="003B7D80">
            <w:t xml:space="preserve"> </w:t>
          </w:r>
          <w:r w:rsidRPr="000F705B">
            <w:t>H</w:t>
          </w:r>
          <w:r>
            <w:t>enkilöstö</w:t>
          </w:r>
          <w:r w:rsidRPr="000F705B">
            <w:t>mitoituksen muutoksen johdosta lähihoitajien lisäystarpeeksi arvioitiin 5 000 uuden lähihoitajan kouluttaminen vuoteen 2025 mennessä. Tähän tarkoitukse</w:t>
          </w:r>
          <w:r>
            <w:t>e</w:t>
          </w:r>
          <w:r w:rsidRPr="000F705B">
            <w:t xml:space="preserve">n on vuosille 2020–24 varattu 133 miljoonaa euroa lisämäärärahoja. </w:t>
          </w:r>
          <w:r w:rsidRPr="003B7D80">
            <w:t xml:space="preserve">Vuosina 2020–2021 lähihoitajaopiskelijoiden määrää on lisätty noin tuhannella ja nämä lähihoitajien aloituspaikkalisäykset alkavat vaikuttaa </w:t>
          </w:r>
          <w:r>
            <w:t>vuoden 2023 aikana.</w:t>
          </w:r>
          <w:r w:rsidRPr="003B7D80">
            <w:t xml:space="preserve"> </w:t>
          </w:r>
          <w:r>
            <w:t>Lähihoitajien k</w:t>
          </w:r>
          <w:r w:rsidRPr="003B7D80">
            <w:t>oulutuspaikkojen lisäämistä jatketaan edelleen.</w:t>
          </w:r>
          <w:r>
            <w:t xml:space="preserve"> </w:t>
          </w:r>
          <w:r w:rsidRPr="003B7D80">
            <w:t>Myös sairaanhoitajatutkintoa suorittavien määrää on lisätty kaikkiaan noin tuhannella vuosina 2020–2022. Sairaanhoitajakoulutuksen aloituspaikkalisäykset alkavat vaikuttaa vuoden 2024 tutkintomäärissä, mutta osa opiskelijoista aloittaa työntekoa jo opiskeluaikana.</w:t>
          </w:r>
          <w:r>
            <w:t xml:space="preserve"> </w:t>
          </w:r>
          <w:r w:rsidRPr="003B7D80">
            <w:t>Lisäksi hoiva-avustajien määrää on mahdollista lisätä merkittävästi toimintayksiköissä. Vuoden 2023 talousarvio</w:t>
          </w:r>
          <w:r>
            <w:t>esityksessä ehdotetaan</w:t>
          </w:r>
          <w:r w:rsidRPr="003B7D80">
            <w:t xml:space="preserve"> </w:t>
          </w:r>
          <w:r>
            <w:t xml:space="preserve">rahoitusta </w:t>
          </w:r>
          <w:r w:rsidRPr="003B7D80">
            <w:t>2500 hoiva-avustaja</w:t>
          </w:r>
          <w:r>
            <w:t>n</w:t>
          </w:r>
          <w:r w:rsidRPr="003B7D80">
            <w:t xml:space="preserve"> kouluttamiseksi vuosina 2022–2025. </w:t>
          </w:r>
          <w:r>
            <w:t>H</w:t>
          </w:r>
          <w:r w:rsidRPr="00202D8F">
            <w:t xml:space="preserve">oiva-avustajakoulutus kestää </w:t>
          </w:r>
          <w:r>
            <w:t xml:space="preserve">kuudesta kuukaudesta </w:t>
          </w:r>
          <w:r w:rsidRPr="00202D8F">
            <w:t>vuoteen</w:t>
          </w:r>
          <w:r>
            <w:t>, joten ensimmäiset koulutuslisäykset alkaisivat vaikuttaa jo vuoden 2023 aikana.</w:t>
          </w:r>
        </w:p>
        <w:p w14:paraId="5AB8DD5E" w14:textId="77777777" w:rsidR="00EF2FAE" w:rsidRPr="003B7D80" w:rsidRDefault="00EF2FAE" w:rsidP="00EF2FAE">
          <w:pPr>
            <w:spacing w:after="220" w:line="220" w:lineRule="exact"/>
            <w:jc w:val="both"/>
          </w:pPr>
          <w:r>
            <w:t>Kaikkien koulutuspaikkalisäysten haasteena on kuitenkin se, saadaanko paikat täytettyä. Lisäksi ei voida varmasti tietää, hakeutuvatko valmistuneet hoitajat juuri iäkkäiden ympärivuorokautisiin palveluihin.</w:t>
          </w:r>
        </w:p>
        <w:p w14:paraId="0111492D" w14:textId="77777777" w:rsidR="00EF2FAE" w:rsidRPr="003B7D80" w:rsidRDefault="00EF2FAE" w:rsidP="00EF2FAE">
          <w:pPr>
            <w:spacing w:after="220" w:line="220" w:lineRule="exact"/>
            <w:jc w:val="both"/>
          </w:pPr>
          <w:r w:rsidRPr="003B7D80">
            <w:t>Sosiaali- ja terveydenhuollon henkilöstön riittävyyden ja saatavuuden ohjelman</w:t>
          </w:r>
          <w:r>
            <w:rPr>
              <w:rStyle w:val="Alaviitteenviite"/>
            </w:rPr>
            <w:footnoteReference w:id="12"/>
          </w:r>
          <w:r w:rsidRPr="003B7D80">
            <w:t xml:space="preserve"> kautta rahoitusta ohjataan myös tietopohjaan ja ennakointiin, </w:t>
          </w:r>
          <w:proofErr w:type="spellStart"/>
          <w:r w:rsidRPr="003B7D80">
            <w:t>sote</w:t>
          </w:r>
          <w:proofErr w:type="spellEnd"/>
          <w:r w:rsidRPr="003B7D80">
            <w:t xml:space="preserve">-ammattihenkilöitä koskevan säädös- ja </w:t>
          </w:r>
          <w:r w:rsidRPr="003B7D80">
            <w:lastRenderedPageBreak/>
            <w:t>informaatio-ohjaukseen, hyvän työn edellytysten parantamiseen ja digiosaamisen kehittämiseen. Lisäksi hyödynnetään tehokkaammin työperäistä maahanmuuttoa.</w:t>
          </w:r>
          <w:r>
            <w:t xml:space="preserve"> Näiden vaikutus tulee osin pidemmällä aikavälillä.</w:t>
          </w:r>
        </w:p>
        <w:p w14:paraId="0F30F7A7" w14:textId="77777777" w:rsidR="00EF2FAE" w:rsidRDefault="00EF2FAE" w:rsidP="00EF2FAE">
          <w:pPr>
            <w:spacing w:after="220" w:line="220" w:lineRule="exact"/>
            <w:jc w:val="both"/>
          </w:pPr>
          <w:r>
            <w:t xml:space="preserve">Mitoituksen siirto antaa lisäaikaa myös </w:t>
          </w:r>
          <w:proofErr w:type="spellStart"/>
          <w:r>
            <w:t>sosiaali</w:t>
          </w:r>
          <w:proofErr w:type="spellEnd"/>
          <w:r>
            <w:t xml:space="preserve">- ja terveydenhuollon uudistuksen ja iäkkäiden palveluiden toisessa vaiheessa tehtyjen uudistusten henkilöstön riittävyyttä parantaville vaikutuksille. Sosiaali- ja terveydenhuollon uudistus tuo </w:t>
          </w:r>
          <w:r w:rsidRPr="00212823">
            <w:t xml:space="preserve">isommat järjestäjät ja tuotantoalueet, </w:t>
          </w:r>
          <w:r>
            <w:t xml:space="preserve">mikä </w:t>
          </w:r>
          <w:r w:rsidRPr="00212823">
            <w:t>todennäköisesti mahdollistaa paremman henkilöstön kokonaissuunnittelun. Se taas todennäköisesti parantaa henkilöstön saatavuutta ja esimerkiksi mahdollistaa henkilöstölle enemmän valinnanmahdollisuuksia löytää itselle sopiva tehtävä. Aiemmat tutkimukset esimerkiksi yhteistoiminta-alueista ovat osoittaneet, että laajemmat alueet mahdollistavat osaamisen, rekrytoinnin ja sijaisten hankkimisen keskitt</w:t>
          </w:r>
          <w:r>
            <w:t>ä</w:t>
          </w:r>
          <w:r w:rsidRPr="00212823">
            <w:t>misen (Heinämäki 2010.).</w:t>
          </w:r>
        </w:p>
        <w:p w14:paraId="64996CE7" w14:textId="77777777" w:rsidR="00EF2FAE" w:rsidRDefault="00EF2FAE" w:rsidP="00EF2FAE">
          <w:pPr>
            <w:spacing w:after="220" w:line="220" w:lineRule="exact"/>
            <w:jc w:val="both"/>
          </w:pPr>
          <w:r>
            <w:t>Henkilöstön riittävyyttä voi myös osaltaan parantaa iäkkäiden palvelujen uudistuksen toisen vaiheen tavoitteena oleva palvelurakenteen monimuotoistuminen (esimerkiksi yhteisöllisen asumisen ja vuorokaudenajasta riippumattoman kotihoidon lisääntyminen). Nämä muutokset</w:t>
          </w:r>
          <w:r w:rsidRPr="00BD3DC0">
            <w:t xml:space="preserve"> mahdollistavat palveluvalikoiman monipuolistamisen ja siten tarpeita vastaavan palvelun osalle niistä</w:t>
          </w:r>
          <w:r>
            <w:t xml:space="preserve"> asiakkaista</w:t>
          </w:r>
          <w:r w:rsidRPr="00BD3DC0">
            <w:t xml:space="preserve">, jotka nyt vaihtoehtojen puutteessa sijoitetaan ympärivuorokautiseen hoitoon. </w:t>
          </w:r>
          <w:r>
            <w:t>Yhtä aikaa henkilöstömitoituksen kanssa vuonna 2020 säädettiin RAI-arviointijärjestelmän käyttöönotosta. Kun RAI-järjestelmä on 1.4.2023 lähtien käytössä kattavasti kaikissa iäkkäiden palveluissa ja koko maassa, se mahdollistaa palvelujen kohdentamisen paremmin asiakkaiden tarpeiden mukaan. Kokonaisuudessaan näiden iäkkäiden palvelujen uudistusten odotetaan johtavan paremmin asiakkaiden tarpeita vastaavaan palvelurakenteeseen, jonka myötä myös henkilöstömäärä saadaan paremmin optimoitua.</w:t>
          </w:r>
          <w:r w:rsidRPr="00BD3DC0">
            <w:t xml:space="preserve">  </w:t>
          </w:r>
        </w:p>
        <w:p w14:paraId="6CF3B7D7" w14:textId="77777777" w:rsidR="00EF2FAE" w:rsidRDefault="00EF2FAE" w:rsidP="00EF2FAE">
          <w:pPr>
            <w:spacing w:after="220" w:line="220" w:lineRule="exact"/>
            <w:jc w:val="both"/>
          </w:pPr>
        </w:p>
        <w:p w14:paraId="5CE09410" w14:textId="77777777" w:rsidR="00EF2FAE" w:rsidRPr="003B7D80" w:rsidRDefault="00EF2FAE" w:rsidP="00EF2FAE">
          <w:pPr>
            <w:spacing w:after="220" w:line="220" w:lineRule="exact"/>
            <w:jc w:val="both"/>
          </w:pPr>
          <w:r>
            <w:t>3</w:t>
          </w:r>
          <w:r w:rsidRPr="003B7D80">
            <w:t>.</w:t>
          </w:r>
          <w:r>
            <w:t>2.3</w:t>
          </w:r>
          <w:r w:rsidRPr="003B7D80">
            <w:t xml:space="preserve"> Yritysvaikutukset</w:t>
          </w:r>
        </w:p>
        <w:p w14:paraId="2E9D0574" w14:textId="77777777" w:rsidR="00EF2FAE" w:rsidRPr="003B7D80" w:rsidRDefault="00EF2FAE" w:rsidP="00EF2FAE">
          <w:pPr>
            <w:spacing w:after="220" w:line="220" w:lineRule="exact"/>
            <w:jc w:val="both"/>
          </w:pPr>
          <w:r w:rsidRPr="003B7D80">
            <w:t xml:space="preserve">Yksityiset palveluntuottajat tuottavat </w:t>
          </w:r>
          <w:r>
            <w:t>51</w:t>
          </w:r>
          <w:r w:rsidRPr="003B7D80">
            <w:t xml:space="preserve"> prosenttia iäkkäiden ympärivuorokautisesta hoidosta</w:t>
          </w:r>
          <w:r>
            <w:t xml:space="preserve"> asiakasmääristä laskettuna</w:t>
          </w:r>
          <w:r w:rsidRPr="003B7D80">
            <w:t xml:space="preserve">. Kuten taloudellisten vaikutusten osuudessa on kuvattu, mitoituksen siirto </w:t>
          </w:r>
          <w:r>
            <w:t xml:space="preserve">voisi </w:t>
          </w:r>
          <w:r w:rsidRPr="003B7D80">
            <w:t>helpottaa yksityisten palveluntuottajien henkilöstön lisäystarpeita kahdeksan kuukauden ajan</w:t>
          </w:r>
          <w:r>
            <w:t xml:space="preserve"> enintään</w:t>
          </w:r>
          <w:r w:rsidRPr="003B7D80">
            <w:t xml:space="preserve"> </w:t>
          </w:r>
          <w:r>
            <w:t>noin 1 080</w:t>
          </w:r>
          <w:r w:rsidRPr="003B7D80">
            <w:t xml:space="preserve"> työntekijän työpanoksen verran</w:t>
          </w:r>
          <w:r>
            <w:t>, mikä</w:t>
          </w:r>
          <w:r w:rsidRPr="00BF2497">
            <w:t xml:space="preserve"> </w:t>
          </w:r>
          <w:r>
            <w:t>on kuusi</w:t>
          </w:r>
          <w:r w:rsidRPr="003B7D80">
            <w:t xml:space="preserve"> prosenttia nykyisestä </w:t>
          </w:r>
          <w:r>
            <w:t xml:space="preserve">yksityisten palveluntuottajien välittömän asiakastyön </w:t>
          </w:r>
          <w:r w:rsidRPr="003B7D80">
            <w:t>henkilöstömäärästä.</w:t>
          </w:r>
        </w:p>
        <w:p w14:paraId="58E6EC3C" w14:textId="77777777" w:rsidR="00EF2FAE" w:rsidRDefault="00EF2FAE" w:rsidP="00EF2FAE">
          <w:pPr>
            <w:spacing w:after="220" w:line="220" w:lineRule="exact"/>
            <w:jc w:val="both"/>
          </w:pPr>
          <w:r w:rsidRPr="003B7D80">
            <w:t xml:space="preserve">Mitoituksen siirto helpottaa </w:t>
          </w:r>
          <w:r>
            <w:t xml:space="preserve">valtakunnallisesti </w:t>
          </w:r>
          <w:r w:rsidRPr="003B7D80">
            <w:t xml:space="preserve">henkilöstön saatavuutta ja </w:t>
          </w:r>
          <w:r>
            <w:t xml:space="preserve">tämä voi </w:t>
          </w:r>
          <w:r w:rsidRPr="003B7D80">
            <w:t xml:space="preserve">antaa yksityisille palveluntuottajille lisäaikaa henkilöstön saatavuutta parantavien toimenpiteiden tekemiseen. Siirto voi myös vähentää osaltaan rekrytointiin käytettävää työaikaa, kun 0,7 mitoitukseen tarvittavan lisähenkilöstön rekrytointiin on käytettävissä hieman pidempi aika. </w:t>
          </w:r>
        </w:p>
        <w:p w14:paraId="2E01A35F" w14:textId="77777777" w:rsidR="00EF2FAE" w:rsidRPr="00056D5D" w:rsidRDefault="00EF2FAE" w:rsidP="00EF2FAE">
          <w:pPr>
            <w:spacing w:after="220" w:line="220" w:lineRule="exact"/>
            <w:jc w:val="both"/>
            <w:rPr>
              <w:color w:val="000000" w:themeColor="text1"/>
            </w:rPr>
          </w:pPr>
          <w:r w:rsidRPr="003B7D80">
            <w:rPr>
              <w:color w:val="000000" w:themeColor="text1"/>
            </w:rPr>
            <w:t xml:space="preserve">Yksityiset palveluntuottajat myyvät </w:t>
          </w:r>
          <w:r>
            <w:rPr>
              <w:color w:val="000000" w:themeColor="text1"/>
            </w:rPr>
            <w:t xml:space="preserve">lähes kaikki </w:t>
          </w:r>
          <w:r w:rsidRPr="003B7D80">
            <w:rPr>
              <w:color w:val="000000" w:themeColor="text1"/>
            </w:rPr>
            <w:t>palvelut hyvinvointialueille,</w:t>
          </w:r>
          <w:r>
            <w:rPr>
              <w:color w:val="000000" w:themeColor="text1"/>
            </w:rPr>
            <w:t xml:space="preserve"> joten esityksen </w:t>
          </w:r>
          <w:r w:rsidRPr="003B7D80">
            <w:rPr>
              <w:color w:val="000000" w:themeColor="text1"/>
            </w:rPr>
            <w:t xml:space="preserve">todellisiin kustannusvaikutuksiin vaikuttaa se, </w:t>
          </w:r>
          <w:r w:rsidRPr="00056D5D">
            <w:rPr>
              <w:color w:val="000000" w:themeColor="text1"/>
            </w:rPr>
            <w:t xml:space="preserve">miten </w:t>
          </w:r>
          <w:r>
            <w:rPr>
              <w:color w:val="000000" w:themeColor="text1"/>
            </w:rPr>
            <w:t>henkilöstö</w:t>
          </w:r>
          <w:r w:rsidRPr="00056D5D">
            <w:rPr>
              <w:color w:val="000000" w:themeColor="text1"/>
            </w:rPr>
            <w:t>mitoitukse</w:t>
          </w:r>
          <w:r>
            <w:rPr>
              <w:color w:val="000000" w:themeColor="text1"/>
            </w:rPr>
            <w:t xml:space="preserve">sta ja palvelusopimusten hinnoista on sovittu ja sovitaan </w:t>
          </w:r>
          <w:r w:rsidRPr="00056D5D">
            <w:rPr>
              <w:color w:val="000000" w:themeColor="text1"/>
            </w:rPr>
            <w:t xml:space="preserve">vuotta 2023 koskevissa </w:t>
          </w:r>
          <w:r>
            <w:rPr>
              <w:color w:val="000000" w:themeColor="text1"/>
            </w:rPr>
            <w:t>ostopalvelu</w:t>
          </w:r>
          <w:r w:rsidRPr="00056D5D">
            <w:rPr>
              <w:color w:val="000000" w:themeColor="text1"/>
            </w:rPr>
            <w:t xml:space="preserve">sopimuksissa. Siirtymäajan pidentäminen mahdollistaa sen, että haastavassa työvoiman saatavuustilanteessa sekä 0,7 </w:t>
          </w:r>
          <w:r>
            <w:rPr>
              <w:color w:val="000000" w:themeColor="text1"/>
            </w:rPr>
            <w:t xml:space="preserve">työntekijän </w:t>
          </w:r>
          <w:proofErr w:type="gramStart"/>
          <w:r>
            <w:rPr>
              <w:color w:val="000000" w:themeColor="text1"/>
            </w:rPr>
            <w:t>mitoitus</w:t>
          </w:r>
          <w:proofErr w:type="gramEnd"/>
          <w:r>
            <w:rPr>
              <w:color w:val="000000" w:themeColor="text1"/>
            </w:rPr>
            <w:t xml:space="preserve"> </w:t>
          </w:r>
          <w:r w:rsidRPr="00056D5D">
            <w:rPr>
              <w:color w:val="000000" w:themeColor="text1"/>
            </w:rPr>
            <w:t xml:space="preserve">että </w:t>
          </w:r>
          <w:r>
            <w:rPr>
              <w:color w:val="000000" w:themeColor="text1"/>
            </w:rPr>
            <w:t xml:space="preserve">palvelusopimuksen </w:t>
          </w:r>
          <w:r w:rsidRPr="00056D5D">
            <w:rPr>
              <w:color w:val="000000" w:themeColor="text1"/>
            </w:rPr>
            <w:t>hinta voidaan keskinäisellä sopimuksella alentaa määräajaksi.</w:t>
          </w:r>
          <w:r>
            <w:rPr>
              <w:color w:val="000000" w:themeColor="text1"/>
            </w:rPr>
            <w:t xml:space="preserve"> </w:t>
          </w:r>
        </w:p>
        <w:p w14:paraId="0FE54ABB" w14:textId="77777777" w:rsidR="00EF2FAE" w:rsidRPr="003B7D80" w:rsidRDefault="00EF2FAE" w:rsidP="00EF2FAE">
          <w:pPr>
            <w:spacing w:after="220" w:line="220" w:lineRule="exact"/>
            <w:jc w:val="both"/>
          </w:pPr>
          <w:r>
            <w:t>Esityksellä ei ole vaikutuksia yksityisten palveluntuottajien lupiin.</w:t>
          </w:r>
        </w:p>
        <w:p w14:paraId="6A70ABE4" w14:textId="77777777" w:rsidR="00EF2FAE" w:rsidRDefault="00EF2FAE" w:rsidP="00EF2FAE">
          <w:pPr>
            <w:pStyle w:val="Default"/>
            <w:autoSpaceDE/>
            <w:autoSpaceDN/>
            <w:adjustRightInd/>
            <w:spacing w:after="220" w:line="220" w:lineRule="exact"/>
            <w:jc w:val="both"/>
            <w:rPr>
              <w:sz w:val="22"/>
              <w:szCs w:val="22"/>
            </w:rPr>
          </w:pPr>
        </w:p>
        <w:p w14:paraId="7F7F405C" w14:textId="77777777" w:rsidR="00EF2FAE" w:rsidRPr="003B7D80" w:rsidRDefault="00EF2FAE" w:rsidP="00EF2FAE">
          <w:pPr>
            <w:pStyle w:val="Default"/>
            <w:autoSpaceDE/>
            <w:autoSpaceDN/>
            <w:adjustRightInd/>
            <w:spacing w:after="220" w:line="220" w:lineRule="exact"/>
            <w:jc w:val="both"/>
            <w:rPr>
              <w:sz w:val="22"/>
              <w:szCs w:val="22"/>
            </w:rPr>
          </w:pPr>
          <w:r>
            <w:rPr>
              <w:sz w:val="22"/>
              <w:szCs w:val="22"/>
            </w:rPr>
            <w:t>3</w:t>
          </w:r>
          <w:r w:rsidRPr="003B7D80">
            <w:rPr>
              <w:sz w:val="22"/>
              <w:szCs w:val="22"/>
            </w:rPr>
            <w:t>.2</w:t>
          </w:r>
          <w:r>
            <w:rPr>
              <w:sz w:val="22"/>
              <w:szCs w:val="22"/>
            </w:rPr>
            <w:t>.4</w:t>
          </w:r>
          <w:r w:rsidRPr="003B7D80">
            <w:rPr>
              <w:sz w:val="22"/>
              <w:szCs w:val="22"/>
            </w:rPr>
            <w:t xml:space="preserve"> Vaikutukset viranomaisten toimintaan </w:t>
          </w:r>
        </w:p>
        <w:p w14:paraId="4FD51743" w14:textId="77777777" w:rsidR="00EF2FAE" w:rsidRPr="003B7D80" w:rsidRDefault="00EF2FAE" w:rsidP="00EF2FAE">
          <w:pPr>
            <w:spacing w:after="220" w:line="220" w:lineRule="exact"/>
            <w:jc w:val="both"/>
          </w:pPr>
          <w:r w:rsidRPr="003B7D80">
            <w:lastRenderedPageBreak/>
            <w:t>Vaikutukset hyvinvointialueiden toimintaan</w:t>
          </w:r>
        </w:p>
        <w:p w14:paraId="3CEA3956" w14:textId="77777777" w:rsidR="00EF2FAE" w:rsidRPr="003B7D80" w:rsidRDefault="00EF2FAE" w:rsidP="00EF2FAE">
          <w:pPr>
            <w:spacing w:after="220" w:line="220" w:lineRule="exact"/>
            <w:jc w:val="both"/>
          </w:pPr>
          <w:r w:rsidRPr="003B7D80">
            <w:t xml:space="preserve">Julkiset palveluntuottajat tuottavat </w:t>
          </w:r>
          <w:r>
            <w:t>49</w:t>
          </w:r>
          <w:r w:rsidRPr="003B7D80">
            <w:t xml:space="preserve"> prosenttia iäkkäiden ympärivuorokautisesta hoidosta</w:t>
          </w:r>
          <w:r>
            <w:t xml:space="preserve"> asiakasmääristä laskettuna</w:t>
          </w:r>
          <w:r w:rsidRPr="003B7D80">
            <w:t>. Kuten taloudellisten vaikutusten osuudessa on kuvattu, mitoituksen siirto helpottaa julkisten palveluntuottajien henkilöstön lisäystarpeita kahdeksan kuukauden ajan</w:t>
          </w:r>
          <w:r>
            <w:t xml:space="preserve"> enintään noin 820</w:t>
          </w:r>
          <w:r w:rsidRPr="003B7D80">
            <w:t xml:space="preserve"> työntekijän työpanoksen verran</w:t>
          </w:r>
          <w:r>
            <w:t>, mikä</w:t>
          </w:r>
          <w:r w:rsidRPr="00BF2497">
            <w:t xml:space="preserve"> </w:t>
          </w:r>
          <w:r>
            <w:t>on viisi</w:t>
          </w:r>
          <w:r w:rsidRPr="003B7D80">
            <w:t xml:space="preserve"> prosenttia nykyisestä </w:t>
          </w:r>
          <w:r>
            <w:t xml:space="preserve">julkisten palveluntuottajien välittömän asiakastyön </w:t>
          </w:r>
          <w:r w:rsidRPr="003B7D80">
            <w:t>henkilöstömäärästä.</w:t>
          </w:r>
        </w:p>
        <w:p w14:paraId="00A66379" w14:textId="77777777" w:rsidR="00EF2FAE" w:rsidRPr="003B7D80" w:rsidRDefault="00EF2FAE" w:rsidP="00EF2FAE">
          <w:pPr>
            <w:spacing w:after="220" w:line="220" w:lineRule="exact"/>
            <w:jc w:val="both"/>
          </w:pPr>
          <w:r w:rsidRPr="003B7D80">
            <w:t xml:space="preserve">Mitoituksen siirto helpottaa henkilöstön saatavuutta ja antaa hyvinvointialueille lisäaikaa henkilöstön saatavuutta parantavien toimenpiteiden tekemiseen. Siirto voi myös vähentää osaltaan rekrytointiin käytettävää työaikaa, kun 0,7 mitoitukseen tarvittavan lisähenkilöstön rekrytointiin on käytettävissä hieman pidempi aika. </w:t>
          </w:r>
        </w:p>
        <w:p w14:paraId="0A42DA86" w14:textId="77777777" w:rsidR="00EF2FAE" w:rsidRPr="003B7D80" w:rsidRDefault="00EF2FAE" w:rsidP="00EF2FAE">
          <w:pPr>
            <w:spacing w:after="220" w:line="220" w:lineRule="exact"/>
            <w:jc w:val="both"/>
          </w:pPr>
          <w:r w:rsidRPr="003B7D80">
            <w:t>Vaikutukset valvontaan</w:t>
          </w:r>
        </w:p>
        <w:p w14:paraId="41C5F7AF" w14:textId="77777777" w:rsidR="00EF2FAE" w:rsidRDefault="00EF2FAE" w:rsidP="00EF2FAE">
          <w:pPr>
            <w:pStyle w:val="Default"/>
            <w:autoSpaceDE/>
            <w:autoSpaceDN/>
            <w:adjustRightInd/>
            <w:spacing w:after="220" w:line="220" w:lineRule="exact"/>
            <w:jc w:val="both"/>
            <w:rPr>
              <w:sz w:val="22"/>
              <w:szCs w:val="22"/>
            </w:rPr>
          </w:pPr>
          <w:r w:rsidRPr="003B7D80">
            <w:rPr>
              <w:sz w:val="22"/>
              <w:szCs w:val="22"/>
            </w:rPr>
            <w:t>Valvontaa tekevät Valvira, aluehallintovirastot ja hyvinvointialueet</w:t>
          </w:r>
          <w:r>
            <w:rPr>
              <w:sz w:val="22"/>
              <w:szCs w:val="22"/>
            </w:rPr>
            <w:t>.</w:t>
          </w:r>
        </w:p>
        <w:p w14:paraId="62BBD1F8" w14:textId="77777777" w:rsidR="00EF2FAE" w:rsidRPr="003B7D80" w:rsidRDefault="00EF2FAE" w:rsidP="00EF2FAE">
          <w:pPr>
            <w:pStyle w:val="Default"/>
            <w:autoSpaceDE/>
            <w:autoSpaceDN/>
            <w:adjustRightInd/>
            <w:spacing w:after="220" w:line="220" w:lineRule="exact"/>
            <w:jc w:val="both"/>
            <w:rPr>
              <w:sz w:val="22"/>
              <w:szCs w:val="22"/>
            </w:rPr>
          </w:pPr>
          <w:r w:rsidRPr="003B7D80">
            <w:rPr>
              <w:sz w:val="22"/>
              <w:szCs w:val="22"/>
            </w:rPr>
            <w:t>Mitoituksen siirto saattaa vähentää hieman valvonnan tarvetta alkuperäiseen voimaantuloaikatauluun verrattuna, kun henkilöstön lisäykselle kohti 0,7 mitoituksen täyttämis</w:t>
          </w:r>
          <w:r>
            <w:rPr>
              <w:sz w:val="22"/>
              <w:szCs w:val="22"/>
            </w:rPr>
            <w:t>tä</w:t>
          </w:r>
          <w:r w:rsidRPr="003B7D80">
            <w:rPr>
              <w:sz w:val="22"/>
              <w:szCs w:val="22"/>
            </w:rPr>
            <w:t xml:space="preserve"> on käytettävissä hieman pidempi aika.</w:t>
          </w:r>
          <w:r>
            <w:rPr>
              <w:sz w:val="22"/>
              <w:szCs w:val="22"/>
            </w:rPr>
            <w:t xml:space="preserve"> Mitoitukseen 0,7 tarvitaan kokonaisuudessaan noin 3 400 työntekijää, minkä saavuttaminen haastavassa henkilöstön saatavuustilanteessa 1.4.2023 mennessä </w:t>
          </w:r>
          <w:r w:rsidRPr="00327956">
            <w:rPr>
              <w:sz w:val="22"/>
              <w:szCs w:val="22"/>
            </w:rPr>
            <w:t xml:space="preserve">olisi voinut merkitä </w:t>
          </w:r>
          <w:r>
            <w:rPr>
              <w:sz w:val="22"/>
              <w:szCs w:val="22"/>
            </w:rPr>
            <w:t>aiempaa enemmän valvontatapauksia.</w:t>
          </w:r>
        </w:p>
        <w:p w14:paraId="5A731413" w14:textId="77777777" w:rsidR="00EF2FAE" w:rsidRPr="003B7D80" w:rsidRDefault="00EF2FAE" w:rsidP="00EF2FAE">
          <w:pPr>
            <w:pStyle w:val="Default"/>
            <w:autoSpaceDE/>
            <w:autoSpaceDN/>
            <w:adjustRightInd/>
            <w:spacing w:after="220" w:line="220" w:lineRule="exact"/>
            <w:jc w:val="both"/>
            <w:rPr>
              <w:sz w:val="22"/>
              <w:szCs w:val="22"/>
            </w:rPr>
          </w:pPr>
        </w:p>
        <w:p w14:paraId="0BD5F5D9" w14:textId="77777777" w:rsidR="00EF2FAE" w:rsidRPr="003B7D80" w:rsidRDefault="00EF2FAE" w:rsidP="00EF2FAE">
          <w:pPr>
            <w:pStyle w:val="Default"/>
            <w:autoSpaceDE/>
            <w:autoSpaceDN/>
            <w:adjustRightInd/>
            <w:spacing w:after="220" w:line="220" w:lineRule="exact"/>
            <w:jc w:val="both"/>
            <w:rPr>
              <w:sz w:val="22"/>
              <w:szCs w:val="22"/>
            </w:rPr>
          </w:pPr>
          <w:r>
            <w:rPr>
              <w:sz w:val="22"/>
              <w:szCs w:val="22"/>
            </w:rPr>
            <w:t>3</w:t>
          </w:r>
          <w:r w:rsidRPr="003B7D80">
            <w:rPr>
              <w:sz w:val="22"/>
              <w:szCs w:val="22"/>
            </w:rPr>
            <w:t>.</w:t>
          </w:r>
          <w:r>
            <w:rPr>
              <w:sz w:val="22"/>
              <w:szCs w:val="22"/>
            </w:rPr>
            <w:t>2.5</w:t>
          </w:r>
          <w:r w:rsidRPr="003B7D80">
            <w:rPr>
              <w:sz w:val="22"/>
              <w:szCs w:val="22"/>
            </w:rPr>
            <w:t xml:space="preserve"> Muut yhteiskunnalliset vaikutukset </w:t>
          </w:r>
        </w:p>
        <w:p w14:paraId="2A452A40" w14:textId="77777777" w:rsidR="00EF2FAE" w:rsidRPr="003B7D80" w:rsidRDefault="00EF2FAE" w:rsidP="00EF2FAE">
          <w:pPr>
            <w:spacing w:after="220" w:line="220" w:lineRule="exact"/>
            <w:jc w:val="both"/>
          </w:pPr>
          <w:r w:rsidRPr="003B7D80">
            <w:t>Vaikutukset asiakkaisiin, omaisiin, henkilöstön työhyvinvointiin ja palvelujärjestelmään kokonaisuutena</w:t>
          </w:r>
        </w:p>
        <w:p w14:paraId="3A72975E" w14:textId="77777777" w:rsidR="00EF2FAE" w:rsidRDefault="00EF2FAE" w:rsidP="00EF2FAE">
          <w:pPr>
            <w:spacing w:after="220" w:line="220" w:lineRule="exact"/>
            <w:jc w:val="both"/>
          </w:pPr>
          <w:r w:rsidRPr="00823CE7">
            <w:t xml:space="preserve">Henkilöstömitoituksen säätämiseen johtaneessa hallituksen esityksessä HE 4/2020 vp </w:t>
          </w:r>
          <w:r w:rsidRPr="003B7D80">
            <w:t xml:space="preserve">on kuvattu tutkimustietoon perustuen, millaisia vaikutuksia henkilöstömitoituksen nostolla on asiakkaisiin, omaisiin ja henkilöstön työhyvinvointiin. </w:t>
          </w:r>
          <w:r>
            <w:t>Sen mukaan henkilöstömäärän nostolla on yleisesti positiivisia vaikutuksia asiakkaiden palvelujen laatuun ja henkilöstön työhyvinvointiin, mutta se ei pelkästään riitä, vaan myös esimerkiksi johtamisella voidaan merkittävästi vaikuttaa molempiin asioihin.</w:t>
          </w:r>
        </w:p>
        <w:p w14:paraId="5925BAE0" w14:textId="77777777" w:rsidR="00EF2FAE" w:rsidRPr="003B7D80" w:rsidRDefault="00EF2FAE" w:rsidP="00EF2FAE">
          <w:pPr>
            <w:spacing w:after="220" w:line="220" w:lineRule="exact"/>
            <w:jc w:val="both"/>
          </w:pPr>
          <w:r>
            <w:t xml:space="preserve">Mitoituksen siirto siirtää osittain lakisääteisen täyden mitoituksen ja siten myös sillä tavoiteltujen täysien vaikutusten toteutumista. </w:t>
          </w:r>
          <w:r w:rsidRPr="003B7D80">
            <w:t xml:space="preserve">Mitoituksen siirron vuoksi iäkkäiden ympärivuorokautisen hoidon henkilöstömäärä on kahdeksan kuukauden ajan </w:t>
          </w:r>
          <w:r>
            <w:t xml:space="preserve">enintään </w:t>
          </w:r>
          <w:r w:rsidRPr="003B7D80">
            <w:t xml:space="preserve">1 900 työntekijän työpanosta vastaavaa määrää pienempi, kuin se olisi ilman siirtoa. </w:t>
          </w:r>
          <w:r>
            <w:t>Edellä on todettu, että käytännössä tämä työntekijöiden työpanoksen erotus olisi tätä pienempi, joten toteutuma olisi suhteellisen</w:t>
          </w:r>
          <w:r w:rsidRPr="003B7D80">
            <w:t xml:space="preserve"> pieni määrä suhte</w:t>
          </w:r>
          <w:r w:rsidRPr="0064611C">
            <w:t xml:space="preserve">utettuna koko iäkkäiden ympärivuorokautisen hoidon työntekijämäärään (37 600) ja </w:t>
          </w:r>
          <w:r>
            <w:t xml:space="preserve">lisäksi </w:t>
          </w:r>
          <w:r w:rsidRPr="0064611C">
            <w:t>väliaikainen</w:t>
          </w:r>
          <w:r w:rsidRPr="003B7D80">
            <w:t xml:space="preserve">. </w:t>
          </w:r>
        </w:p>
        <w:p w14:paraId="177F1964" w14:textId="77777777" w:rsidR="00EF2FAE" w:rsidRDefault="00EF2FAE" w:rsidP="00EF2FAE">
          <w:pPr>
            <w:spacing w:after="220" w:line="220" w:lineRule="exact"/>
            <w:jc w:val="both"/>
          </w:pPr>
          <w:r>
            <w:t>Kuten työllisyysvaikutukset -luvussa on todettu, mitoituksen siirto antaa lisäaikaa iäkkäiden palveluiden toisessa vaiheessa tehtyjen uudistusten henkilöstön riittävyyttä parantaville vaikutuksille. Henkilöstön riittävyyttä voi esimerkiksi osaltaan parantaa mainitun uudistuksen tavoitteena oleva palvelurakenteen monimuotoistuminen (esimerkiksi yhteisöllisen asumisen ja vuorokaudenajasta riippumattoman kotihoidon lisääntyminen). Nämä muutokset</w:t>
          </w:r>
          <w:r w:rsidRPr="00BD3DC0">
            <w:t xml:space="preserve"> mahdollistavat palveluvalikoiman monipuolistamisen ja siten tarpeita vastaavan palvelun osalle niistä</w:t>
          </w:r>
          <w:r>
            <w:t xml:space="preserve"> asiakkaista</w:t>
          </w:r>
          <w:r w:rsidRPr="00BD3DC0">
            <w:t xml:space="preserve">, jotka nyt vaihtoehtojen puutteessa sijoitetaan ympärivuorokautiseen hoitoon. </w:t>
          </w:r>
          <w:r>
            <w:t xml:space="preserve">Yhtä aikaa henkilöstömitoituksen kanssa vuonna 2020 säädettiin RAI-arviointijärjestelmän käyttöönotosta. </w:t>
          </w:r>
          <w:r>
            <w:lastRenderedPageBreak/>
            <w:t xml:space="preserve">Kun RAI-järjestelmä on 1.4.2023 lähtien käytössä kattavasti kaikissa iäkkäiden palveluissa ja koko maassa, se mahdollistaa palvelujen kohdentamisen paremmin asiakkaiden tarpeiden mukaan. Kokonaisuudessaan näiden iäkkäiden palvelujen uudistusten odotetaan johtavan paremmin asiakkaiden tarpeita vastaavaan palvelurakenteeseen, jonka myötä myös henkilöstömäärä saadaan paremmin optimoitua. </w:t>
          </w:r>
        </w:p>
        <w:p w14:paraId="01FDC808" w14:textId="77777777" w:rsidR="00EF2FAE" w:rsidRDefault="00EF2FAE" w:rsidP="00EF2FAE">
          <w:pPr>
            <w:spacing w:after="220" w:line="220" w:lineRule="exact"/>
            <w:jc w:val="both"/>
          </w:pPr>
          <w:r>
            <w:t>Mitoituksen siirto antaa lisäaikaa myös muille henkilöstön riittävyyttä parantaville toimille, muun muassa koulutuspaikkojen lisäämisen vaikutuksille, joten</w:t>
          </w:r>
          <w:r w:rsidRPr="003B7D80">
            <w:t xml:space="preserve"> siirto helpottaa</w:t>
          </w:r>
          <w:r>
            <w:t xml:space="preserve"> </w:t>
          </w:r>
          <w:r w:rsidRPr="003B7D80">
            <w:t>henkilöstön saatavuustilannetta vanhuspalveluissa ja voi esimerkiksi vähentää esimiesten rekrytointiin käyttämää työaikaa</w:t>
          </w:r>
          <w:r>
            <w:t>, kun täyden 0,7 mitoituksen saavuttamiseen on käytettävissä hieman pidempi aika</w:t>
          </w:r>
          <w:r w:rsidRPr="003B7D80">
            <w:t>.</w:t>
          </w:r>
          <w:r>
            <w:t xml:space="preserve"> </w:t>
          </w:r>
        </w:p>
        <w:p w14:paraId="7FEF7EF1" w14:textId="21C3B6C6" w:rsidR="00EF2FAE" w:rsidRDefault="00EF2FAE" w:rsidP="00EF2FAE">
          <w:pPr>
            <w:spacing w:after="220" w:line="220" w:lineRule="exact"/>
            <w:jc w:val="both"/>
          </w:pPr>
          <w:r>
            <w:t>Samalla vaikutukset muiden palvelujen henkilöstön saatavuuteen, esimerkiksi kotihoitoon tai terveydenhuoltoon vähenevät</w:t>
          </w:r>
          <w:r w:rsidR="00C837C7">
            <w:t xml:space="preserve"> ainakin väliaikaisesti</w:t>
          </w:r>
          <w:r>
            <w:t>. Lisäksi, h</w:t>
          </w:r>
          <w:r w:rsidRPr="003B7D80">
            <w:t>enkilöstön saatavuusongelmat johtavat tavallisesti ylitöiden tekemiseen tai vajaalla henkilöstöllä toimimiseen</w:t>
          </w:r>
          <w:r>
            <w:t>. M</w:t>
          </w:r>
          <w:r w:rsidRPr="003B7D80">
            <w:t>itoituksen siirto voi ainakin väliaikaisesti myös tuoda helpotusta</w:t>
          </w:r>
          <w:r>
            <w:t xml:space="preserve"> tähän, millä olisi positiivisia vaikutuksia sekä asiakkaisiin että henkilöstöön. </w:t>
          </w:r>
          <w:proofErr w:type="spellStart"/>
          <w:r w:rsidRPr="003B7D80">
            <w:t>THL:n</w:t>
          </w:r>
          <w:proofErr w:type="spellEnd"/>
          <w:r w:rsidRPr="003B7D80">
            <w:t xml:space="preserve"> Vanhuspalvelujen tila -seurannassa kotihoidossa noin joka kymmenes toimintayksikkö raportoi oman henkilöstön tekevän ylitöitä päivittäin tai lähes päivittäin. Vajaalla henkilöstöllä on toiminut noin neljännes yksiköistä joka viikko tai sitä useammin.</w:t>
          </w:r>
          <w:r>
            <w:t xml:space="preserve"> </w:t>
          </w:r>
          <w:r w:rsidRPr="003B7D80">
            <w:t>Ympärivuorokautisessa hoidossa ylitöitä tehdään kahdessa prosentissa yksiköitä päivittäin tai lähes päivittäin. Vajaalla henkilöstöllä toimiminen on lisääntynyt mitoitusvaatimuksen noustessa. Toukokuussa kahdeksan prosenttia yksiköistä ilmoitti toimivansa vajaalla henkilöstöllä vähintään viikoittain.</w:t>
          </w:r>
        </w:p>
        <w:p w14:paraId="2552A66C" w14:textId="6C4795FB" w:rsidR="00AF3149" w:rsidRDefault="00EF2FAE" w:rsidP="00EF2FAE">
          <w:pPr>
            <w:spacing w:after="220" w:line="220" w:lineRule="exact"/>
            <w:jc w:val="both"/>
            <w:rPr>
              <w:color w:val="FF0000"/>
            </w:rPr>
          </w:pPr>
          <w:r w:rsidRPr="00823CE7">
            <w:t xml:space="preserve">Henkilöstömitoituksen säätämiseen johtaneessa hallituksen esityksessä HE 4/2020 vp </w:t>
          </w:r>
          <w:r>
            <w:t>arvioitiin uudistuksen riskejä ja yhtenä riskinä tunnistettiin, että pääsy y</w:t>
          </w:r>
          <w:r w:rsidRPr="00DE0572">
            <w:t xml:space="preserve">mpärivuorokautisiin palveluihin </w:t>
          </w:r>
          <w:r>
            <w:t>saattaisi</w:t>
          </w:r>
          <w:r w:rsidRPr="00DE0572">
            <w:t xml:space="preserve"> vaikeutua</w:t>
          </w:r>
          <w:r>
            <w:t xml:space="preserve">. Palveluntuottajilta ja hyvinvointialueilta saatujen viestien mukaan asiakaspaikkoja on jouduttu vähentämään henkilöstön saatavuuden vuoksi. </w:t>
          </w:r>
          <w:r w:rsidRPr="006E5435">
            <w:t xml:space="preserve">Mitoituksen siirto </w:t>
          </w:r>
          <w:r w:rsidR="00C837C7">
            <w:t xml:space="preserve">saattaisi </w:t>
          </w:r>
          <w:r w:rsidRPr="006E5435">
            <w:t>helpotta</w:t>
          </w:r>
          <w:r w:rsidR="00C837C7">
            <w:t>a</w:t>
          </w:r>
          <w:r w:rsidRPr="006E5435">
            <w:t xml:space="preserve"> osaltaan ainakin lyhyellä aikavälillä </w:t>
          </w:r>
          <w:r>
            <w:t xml:space="preserve">ympärivuorokautisiin </w:t>
          </w:r>
          <w:r w:rsidRPr="006E5435">
            <w:t>palveluihin pääsyä</w:t>
          </w:r>
          <w:r>
            <w:t>,</w:t>
          </w:r>
          <w:r w:rsidRPr="006E5435">
            <w:t xml:space="preserve"> kun </w:t>
          </w:r>
          <w:r>
            <w:t xml:space="preserve">0,7 työntekijän </w:t>
          </w:r>
          <w:r w:rsidRPr="006E5435">
            <w:t>henkilöstömitoituksen toteuttamiseen on enemmän aikaa</w:t>
          </w:r>
          <w:r>
            <w:t>. Pitkäaikaispaikkojen lisäksi l</w:t>
          </w:r>
          <w:r w:rsidRPr="00E939FE">
            <w:t xml:space="preserve">isäaika </w:t>
          </w:r>
          <w:r w:rsidR="00C837C7">
            <w:t xml:space="preserve">voisi </w:t>
          </w:r>
          <w:r w:rsidRPr="00E939FE">
            <w:t>helpottaa painetta vähentää lyhytaika</w:t>
          </w:r>
          <w:r>
            <w:t>is</w:t>
          </w:r>
          <w:r w:rsidRPr="00E939FE">
            <w:t>hoidon paikkoja, j</w:t>
          </w:r>
          <w:r>
            <w:t>olloin</w:t>
          </w:r>
          <w:r w:rsidRPr="00E939FE">
            <w:t xml:space="preserve"> esimerkiksi omaishoidon vapaat ja sairaalajakson jälkeinen kuntoutus voivat toteutua paremmin.   </w:t>
          </w:r>
          <w:r>
            <w:t xml:space="preserve"> </w:t>
          </w:r>
        </w:p>
        <w:p w14:paraId="31F2BF9F" w14:textId="77777777" w:rsidR="00AF3149" w:rsidRPr="00D5469F" w:rsidRDefault="00AF3149" w:rsidP="00A939B2">
          <w:pPr>
            <w:pStyle w:val="LLPerustelujenkappalejako"/>
            <w:rPr>
              <w:color w:val="FF0000"/>
            </w:rPr>
          </w:pPr>
        </w:p>
        <w:p w14:paraId="73A684A7" w14:textId="77777777" w:rsidR="00A939B2" w:rsidRDefault="00A939B2" w:rsidP="00A939B2">
          <w:pPr>
            <w:pStyle w:val="LLP1Otsikkotaso"/>
          </w:pPr>
          <w:bookmarkStart w:id="10" w:name="_Toc116892983"/>
          <w:r>
            <w:t>Muut toteuttamisvaihtoehdot</w:t>
          </w:r>
          <w:bookmarkEnd w:id="10"/>
        </w:p>
        <w:p w14:paraId="563BE60A" w14:textId="1CE7C74E" w:rsidR="00AE1223" w:rsidRDefault="00AE1223" w:rsidP="00AE1223">
          <w:pPr>
            <w:pStyle w:val="LLPerustelujenkappalejako"/>
          </w:pPr>
          <w:r>
            <w:t xml:space="preserve">Henkilöstömitoituksen säätämisen päätavoitteena on ollut toteuttaa iäkkäiden henkilöiden perustuslain mukaista oikeutta välttämättömään huolenpitoon ja riittäviin </w:t>
          </w:r>
          <w:proofErr w:type="spellStart"/>
          <w:r>
            <w:t>sosiaali</w:t>
          </w:r>
          <w:proofErr w:type="spellEnd"/>
          <w:r>
            <w:t>- ja terveyspalveluihin. Tavoitteena on ollut turvata iäkkäiden ympärivuorokautisen hoidon ja huolenpidon asiakkaille laadukkaat palvelut, jotka mahdollistavat arvokkaan ja mielekkään elämän. Tavoitteena on ollut myös parantaa asiakas- ja potilasturvallisuutta varmistamalla riittävä hoidosta ja huolenpidosta vastaava henkilöstö tehtävien huolelliseen toteuttamiseen.</w:t>
          </w:r>
          <w:r w:rsidR="005B6132">
            <w:t xml:space="preserve"> Nämä tavoitteet eivät ole muuttuneet, joten valmistelussa ei ole käsitelty esimerkiksi henkilöstömitoituksen ja sen laskutavan muuttamista.</w:t>
          </w:r>
        </w:p>
        <w:p w14:paraId="03BC1330" w14:textId="4EAC3438" w:rsidR="00315CA3" w:rsidRDefault="00315CA3" w:rsidP="00AE1223">
          <w:pPr>
            <w:pStyle w:val="LLPerustelujenkappalejako"/>
          </w:pPr>
          <w:r>
            <w:t xml:space="preserve">Jos laissa säädetyn henkilöstömitoituksen toteuttaminen </w:t>
          </w:r>
          <w:r w:rsidR="00FC13CE">
            <w:t>ei ole kaikissa toimintayksiköissä mahdollista, s</w:t>
          </w:r>
          <w:r>
            <w:t xml:space="preserve">iihen tulisi </w:t>
          </w:r>
          <w:r w:rsidR="00FC13CE">
            <w:t xml:space="preserve">kuitenkin </w:t>
          </w:r>
          <w:r>
            <w:t xml:space="preserve">valvonnassa </w:t>
          </w:r>
          <w:r w:rsidR="00E92139">
            <w:t xml:space="preserve">hallinnon lainalaisuusperiaatteen mukaisesti </w:t>
          </w:r>
          <w:r>
            <w:t xml:space="preserve">puuttua. </w:t>
          </w:r>
          <w:r w:rsidR="00E92139">
            <w:t>Toisaalta v</w:t>
          </w:r>
          <w:r>
            <w:t>alvonna</w:t>
          </w:r>
          <w:r w:rsidR="00E92139">
            <w:t xml:space="preserve">lla </w:t>
          </w:r>
          <w:r w:rsidR="00FC13CE">
            <w:t xml:space="preserve">tai siinä edellytetyillä toimilla </w:t>
          </w:r>
          <w:r w:rsidR="00E92139">
            <w:t xml:space="preserve">ei voitaisi kuitenkaan korjata tilannetta. </w:t>
          </w:r>
          <w:r w:rsidR="00952760">
            <w:t>Tässä suhteessa lainsäädännön muuttamiselle ei nähty olevan vaihtoehtoja.</w:t>
          </w:r>
          <w:r w:rsidR="00E92139">
            <w:t xml:space="preserve">  </w:t>
          </w:r>
          <w:r>
            <w:t xml:space="preserve"> </w:t>
          </w:r>
        </w:p>
        <w:p w14:paraId="5ABD7447" w14:textId="448C94AC" w:rsidR="00A939B2" w:rsidRDefault="00AE1223" w:rsidP="00AE1223">
          <w:pPr>
            <w:pStyle w:val="LLPerustelujenkappalejako"/>
          </w:pPr>
          <w:r>
            <w:lastRenderedPageBreak/>
            <w:t>Hallituksen esityksessä HE 4/2020 vp on käsitelty muun muassa henkilökunnan palkkaamista terveydenhuollon ja sosiaalihuollon työvoimatarpeisiin ulkomailta</w:t>
          </w:r>
          <w:r w:rsidR="00952760">
            <w:t xml:space="preserve"> ja hoitajamitoituksen toteuttamisen eriyttämistä alueittain. Nämä vaihtoehdot eivät tässäkään tilanteessa olisi ratkaisseet esillä olevaa ongelmaa. </w:t>
          </w:r>
        </w:p>
        <w:p w14:paraId="6030576F" w14:textId="55EDEA5F" w:rsidR="00952760" w:rsidRDefault="00952760" w:rsidP="00AE1223">
          <w:pPr>
            <w:pStyle w:val="LLPerustelujenkappalejako"/>
          </w:pPr>
          <w:r>
            <w:t>Kun valmistelussa arvioitiin käytettävissä olevia keinoja, parhaaksi ratkaisuksi jäi malli, jossa vähintään 0,7 työntekijän henkilöstömitoituksen toteuttamista jatkettaisiin kuluvan vuoden loppupuolelle ja alkuperäisen vaatimuksen toteuttamisajankohtaan eli 1.4.2023 säädettäisiin vaatimus vähintään 0,65 työntekijän mitoituksesta. Olennainen osa muutosta on, että alkuperäisen vaatimuksen toteuttamiseksi varattu rahoitus toteutetaan siitä huolimatta jo 1.4.2023 lukien.</w:t>
          </w:r>
        </w:p>
        <w:p w14:paraId="23452863" w14:textId="77777777" w:rsidR="00A17E00" w:rsidRPr="00952760" w:rsidRDefault="00A17E00" w:rsidP="00AE1223">
          <w:pPr>
            <w:pStyle w:val="LLPerustelujenkappalejako"/>
          </w:pPr>
        </w:p>
        <w:p w14:paraId="221AD7A9" w14:textId="77777777" w:rsidR="00A939B2" w:rsidRDefault="007E0CB1" w:rsidP="007E0CB1">
          <w:pPr>
            <w:pStyle w:val="LLP1Otsikkotaso"/>
          </w:pPr>
          <w:bookmarkStart w:id="11" w:name="_Toc116892984"/>
          <w:r>
            <w:t>Lausuntopalaute</w:t>
          </w:r>
          <w:bookmarkEnd w:id="11"/>
        </w:p>
        <w:p w14:paraId="7AD02444" w14:textId="77777777" w:rsidR="007E0CB1" w:rsidRDefault="007E0CB1" w:rsidP="007E0CB1">
          <w:pPr>
            <w:pStyle w:val="LLPerustelujenkappalejako"/>
          </w:pPr>
        </w:p>
        <w:p w14:paraId="556F049D" w14:textId="77777777" w:rsidR="007E0CB1" w:rsidRDefault="007E0CB1" w:rsidP="007E0CB1">
          <w:pPr>
            <w:pStyle w:val="LLPerustelujenkappalejako"/>
          </w:pPr>
        </w:p>
        <w:p w14:paraId="20DE11DE" w14:textId="77777777" w:rsidR="007E0CB1" w:rsidRDefault="007E0CB1" w:rsidP="007E0CB1">
          <w:pPr>
            <w:pStyle w:val="LLP1Otsikkotaso"/>
          </w:pPr>
          <w:bookmarkStart w:id="12" w:name="_Toc116892985"/>
          <w:r>
            <w:t>Voimaantulo</w:t>
          </w:r>
          <w:bookmarkEnd w:id="12"/>
        </w:p>
        <w:p w14:paraId="07A05C0A" w14:textId="4E1279F2" w:rsidR="00952760" w:rsidRDefault="00952760" w:rsidP="00952760">
          <w:pPr>
            <w:pStyle w:val="LLPerustelujenkappalejako"/>
          </w:pPr>
          <w:r>
            <w:t xml:space="preserve">Ehdotetun lain on tarkoitus tulla voimaan </w:t>
          </w:r>
          <w:r w:rsidR="00FC13CE">
            <w:t>mahdollisuuksien mukaan vuoden 2023 alusta, kuitenkin viimeistään 1.4.2023.</w:t>
          </w:r>
        </w:p>
        <w:p w14:paraId="35DD1AEC" w14:textId="77777777" w:rsidR="00A17E00" w:rsidRPr="00952760" w:rsidRDefault="00A17E00" w:rsidP="00952760">
          <w:pPr>
            <w:pStyle w:val="LLPerustelujenkappalejako"/>
          </w:pPr>
        </w:p>
        <w:p w14:paraId="40B8E90D" w14:textId="1F96BA9D" w:rsidR="007E0CB1" w:rsidRDefault="003D729C" w:rsidP="007E0CB1">
          <w:pPr>
            <w:pStyle w:val="LLP1Otsikkotaso"/>
          </w:pPr>
          <w:bookmarkStart w:id="13" w:name="_Toc116892986"/>
          <w:r>
            <w:t>Toimeenpano ja seurant</w:t>
          </w:r>
          <w:r w:rsidR="00952760">
            <w:t>a</w:t>
          </w:r>
          <w:bookmarkEnd w:id="13"/>
        </w:p>
        <w:p w14:paraId="693F007B" w14:textId="77777777" w:rsidR="00FC13CE" w:rsidRDefault="00FC13CE" w:rsidP="00FC13CE">
          <w:pPr>
            <w:pStyle w:val="LLPerustelujenkappalejako"/>
          </w:pPr>
          <w:r>
            <w:t xml:space="preserve">Vanhuspalvelulaissa säädetyn henkilöstömitoituksen toimeenpano kuuluu vuoden 2023 alusta </w:t>
          </w:r>
          <w:r w:rsidRPr="00FC13CE">
            <w:t>hyvinvointialueille sekä yksityisten sosiaalipalvelujen tuottajille.</w:t>
          </w:r>
          <w:r>
            <w:t xml:space="preserve"> </w:t>
          </w:r>
        </w:p>
        <w:p w14:paraId="231381A3" w14:textId="617D6DEA" w:rsidR="00663774" w:rsidRDefault="00663774" w:rsidP="00663774">
          <w:pPr>
            <w:pStyle w:val="LLPerustelujenkappalejako"/>
          </w:pPr>
          <w:r>
            <w:t xml:space="preserve">Vanhuspalvelulakiin on lisätty 1.1.2023 voimaan tuleva säännös </w:t>
          </w:r>
          <w:r w:rsidR="00FC13CE">
            <w:t>palvelujen laadun seuran</w:t>
          </w:r>
          <w:r>
            <w:t>nasta. Lain</w:t>
          </w:r>
          <w:r w:rsidR="000805C8">
            <w:t xml:space="preserve"> 24 a §:n 1 momentissa (_/ 2022) </w:t>
          </w:r>
          <w:r>
            <w:t xml:space="preserve">todetaan </w:t>
          </w:r>
          <w:r w:rsidR="000805C8">
            <w:t xml:space="preserve">Terveyden ja hyvinvoinnin laitoksen velvollisuus seurata iäkkäille henkilöille tuotettujen </w:t>
          </w:r>
          <w:proofErr w:type="spellStart"/>
          <w:r w:rsidR="000805C8">
            <w:t>sosiaali</w:t>
          </w:r>
          <w:proofErr w:type="spellEnd"/>
          <w:r w:rsidR="000805C8">
            <w:t xml:space="preserve">- ja terveyspalvelujen laatua, oikeus saada seurantaa varten välttämättömät tiedot palvelujen järjestäjiltä ja tuottajilta sekä tietojen luovuttamisvelvollisuutta ja keräämistä koskeva velvollisuus. </w:t>
          </w:r>
          <w:r>
            <w:t xml:space="preserve">THL seuraa </w:t>
          </w:r>
          <w:r w:rsidR="000805C8">
            <w:t xml:space="preserve"> </w:t>
          </w:r>
          <w:r w:rsidR="00FC13CE">
            <w:t xml:space="preserve"> </w:t>
          </w:r>
          <w:r>
            <w:t xml:space="preserve">palvelujen laatua ja muun muassa henkilöstömitoituksen riittävyyttä kaksi kertaa vuodessa ja jatkossa tiheämminkin. </w:t>
          </w:r>
          <w:r w:rsidR="00B1323F">
            <w:t>Lain voimaantulon jälkeen ensimmäinen</w:t>
          </w:r>
          <w:r w:rsidR="004F45E3">
            <w:t xml:space="preserve"> seuranta tehdään toukokuussa 2023. </w:t>
          </w:r>
          <w:r>
            <w:t>Seurannan avulla kertyy säännöllisesti koko maan kattavaa tietoa iäkkäiden palvelujen tilanteesta. Lisäksi THL toteuttaa asiakaskyselyjä joka toinen vuosi. Seurantatietoa voidaan hyödyntää esimerkiksi palvelujen hankinnassa ja valvonnassa.</w:t>
          </w:r>
        </w:p>
        <w:p w14:paraId="1513480F" w14:textId="00D669C2" w:rsidR="00663774" w:rsidRPr="00FC13CE" w:rsidRDefault="00663774" w:rsidP="00663774">
          <w:pPr>
            <w:pStyle w:val="LLPerustelujenkappalejako"/>
          </w:pPr>
          <w:r>
            <w:t>Säännöllisen ja yhtenäisen seurantatiedon saaminen helpottaa myös valvontaviranomaisten tekemää valvontaa sekä hyvinvointialueiden ja palveluntuottajien omavalvontaa. Lisäksi se mahdollistaa tiedon saannin palvelujen laadusta myös iäkkäille henkilöille ja heidän läheisilleen.</w:t>
          </w:r>
        </w:p>
        <w:p w14:paraId="10D17384" w14:textId="14A1FFA4" w:rsidR="003D729C" w:rsidRDefault="00663774" w:rsidP="003D729C">
          <w:pPr>
            <w:pStyle w:val="LLPerustelujenkappalejako"/>
          </w:pPr>
          <w:r>
            <w:t xml:space="preserve">Valtioneuvosto ja THL </w:t>
          </w:r>
          <w:r w:rsidR="004F45E3">
            <w:t>seuraavat henkilöstömitoitukseen tarkoitetun rahoituksen käyttöä</w:t>
          </w:r>
          <w:r w:rsidR="00B1323F">
            <w:t xml:space="preserve"> ja henkilöstömitoituksen toteutumista</w:t>
          </w:r>
          <w:r w:rsidR="004F45E3">
            <w:t xml:space="preserve"> vuonna 2023. L</w:t>
          </w:r>
          <w:r w:rsidRPr="00663774">
            <w:t xml:space="preserve">isärahoitusta </w:t>
          </w:r>
          <w:r w:rsidR="004F45E3">
            <w:t xml:space="preserve">kyseiseen tehtävään </w:t>
          </w:r>
          <w:r w:rsidRPr="00663774">
            <w:t xml:space="preserve">ei osoiteta kyseisiin tehtäviin enää 1.12.2023. </w:t>
          </w:r>
        </w:p>
        <w:p w14:paraId="7D60497D" w14:textId="72E0EABF" w:rsidR="003D729C" w:rsidRDefault="003D729C" w:rsidP="00952760">
          <w:pPr>
            <w:pStyle w:val="LLP1Otsikkotaso"/>
          </w:pPr>
          <w:bookmarkStart w:id="14" w:name="_Toc116892987"/>
          <w:r>
            <w:lastRenderedPageBreak/>
            <w:t xml:space="preserve">Suhde </w:t>
          </w:r>
          <w:r w:rsidR="00952760">
            <w:t>talousarvioesitykseen</w:t>
          </w:r>
          <w:bookmarkEnd w:id="14"/>
          <w:r w:rsidR="00952760">
            <w:t xml:space="preserve"> </w:t>
          </w:r>
        </w:p>
        <w:p w14:paraId="1F3DEC31" w14:textId="71EB9710" w:rsidR="00663774" w:rsidRPr="00663774" w:rsidRDefault="00FC13CE" w:rsidP="00663774">
          <w:pPr>
            <w:pStyle w:val="LLPerustelujenkappalejako"/>
          </w:pPr>
          <w:r>
            <w:t xml:space="preserve">Voimassa olevan siirtymäsäännöksen mukaisesta henkilöstömitoituksesta </w:t>
          </w:r>
          <w:r w:rsidRPr="00FC13CE">
            <w:t xml:space="preserve">johtuva hyvinvointialueiden rahoitustason korotus </w:t>
          </w:r>
          <w:r>
            <w:t xml:space="preserve">on vuoden 2023 talousarvioesityksessä </w:t>
          </w:r>
          <w:r w:rsidRPr="00FC13CE">
            <w:t>128</w:t>
          </w:r>
          <w:r w:rsidR="00465D7B">
            <w:t>,2</w:t>
          </w:r>
          <w:r w:rsidRPr="00FC13CE">
            <w:t xml:space="preserve"> miljoonaa euroa. </w:t>
          </w:r>
          <w:r w:rsidR="00663774" w:rsidRPr="00663774">
            <w:t>Esityksen mukaan henkilöstömitoituksen siirtymäaikaa jatkettaisiin, mutta rahoitusta ei poikkeuksellisesti ehdoteta vähennettäväksi tätä vastaavasti. Lakisääteisen tehtävämuutoksen rahoitusosuus hyvinvointialueille olisi 71,2 milj</w:t>
          </w:r>
          <w:r w:rsidR="006F51F3">
            <w:t>oonaa</w:t>
          </w:r>
          <w:r w:rsidR="00663774" w:rsidRPr="00663774">
            <w:t xml:space="preserve"> euroa. Lisäksi hyvinvointialueiden rahoitukseen osoitettaisiin henkilöstömitoituksen muutokseen valmistautumiseen 57 milj</w:t>
          </w:r>
          <w:r w:rsidR="006F51F3">
            <w:t>oonaa</w:t>
          </w:r>
          <w:r w:rsidR="00663774" w:rsidRPr="00663774">
            <w:t xml:space="preserve"> euroa.</w:t>
          </w:r>
        </w:p>
        <w:p w14:paraId="1DC22876" w14:textId="1FCFF604" w:rsidR="00663774" w:rsidRPr="00FC13CE" w:rsidRDefault="00663774" w:rsidP="00FC13CE">
          <w:pPr>
            <w:pStyle w:val="LLPerustelujenkappalejako"/>
          </w:pPr>
        </w:p>
        <w:p w14:paraId="068A9D8D" w14:textId="49070837" w:rsidR="000C13C6" w:rsidRPr="000C13C6" w:rsidRDefault="006461AD" w:rsidP="0007388F">
          <w:pPr>
            <w:pStyle w:val="LLP1Otsikkotaso"/>
          </w:pPr>
          <w:bookmarkStart w:id="15" w:name="_Toc116892988"/>
          <w:r>
            <w:t>Suhde perustuslakiin ja säätämisjärjestys</w:t>
          </w:r>
          <w:bookmarkEnd w:id="15"/>
        </w:p>
        <w:p w14:paraId="07E6A36C" w14:textId="753D1501" w:rsidR="00C31AE9" w:rsidRPr="00387266" w:rsidRDefault="00C31AE9" w:rsidP="00755878">
          <w:pPr>
            <w:pStyle w:val="LLPerustelujenkappalejako"/>
          </w:pPr>
          <w:r w:rsidRPr="00C31AE9">
            <w:t xml:space="preserve">Sääntelyllä on kiinteä yhteys perustuslain 19 </w:t>
          </w:r>
          <w:proofErr w:type="gramStart"/>
          <w:r w:rsidRPr="00C31AE9">
            <w:t>§:</w:t>
          </w:r>
          <w:proofErr w:type="spellStart"/>
          <w:r w:rsidRPr="00C31AE9">
            <w:t>ään</w:t>
          </w:r>
          <w:proofErr w:type="spellEnd"/>
          <w:proofErr w:type="gramEnd"/>
          <w:r w:rsidRPr="00C31AE9">
            <w:t xml:space="preserve">, jossa säädetään oikeudesta sosiaaliturvaan. Lakisääteisellä henkilöstömitoituksella </w:t>
          </w:r>
          <w:r w:rsidR="007A61E1" w:rsidRPr="00755878">
            <w:t>turvata</w:t>
          </w:r>
          <w:r w:rsidR="00895837">
            <w:t>an</w:t>
          </w:r>
          <w:r w:rsidRPr="00C31AE9">
            <w:t xml:space="preserve"> iäkkäiden henkilöiden oikeutta välttämättömään huolenpitoon ja riittäviin sekä laadultaan hyviin </w:t>
          </w:r>
          <w:proofErr w:type="spellStart"/>
          <w:r w:rsidRPr="00C31AE9">
            <w:t>sosiaali</w:t>
          </w:r>
          <w:proofErr w:type="spellEnd"/>
          <w:r w:rsidRPr="00C31AE9">
            <w:t>- ja terveyspalveluihin ympärivuorokautisen hoidon ja huolenpidon palveluissa. Lakisääteisellä henkilöstömitoituksella</w:t>
          </w:r>
          <w:r w:rsidR="00AC0C78">
            <w:rPr>
              <w:b/>
            </w:rPr>
            <w:t xml:space="preserve"> </w:t>
          </w:r>
          <w:r w:rsidR="00AC0C78" w:rsidRPr="00755878">
            <w:t>toteut</w:t>
          </w:r>
          <w:r w:rsidR="00895837">
            <w:t>etaan</w:t>
          </w:r>
          <w:r w:rsidR="00387266" w:rsidRPr="00755878">
            <w:t xml:space="preserve"> myös</w:t>
          </w:r>
          <w:r w:rsidRPr="00C31AE9">
            <w:t xml:space="preserve"> perustuslain 7 §:n 1 momentissa turvattua oikeutta elämään sekä henkilökohtaiseen vapauteen, koskemattomuuteen ja turvallisuuteen. </w:t>
          </w:r>
          <w:r w:rsidR="00A131AF" w:rsidRPr="00755878">
            <w:t>Lakisääteisen m</w:t>
          </w:r>
          <w:r w:rsidRPr="00755878">
            <w:t>itoituksen</w:t>
          </w:r>
          <w:r w:rsidRPr="00C31AE9">
            <w:t xml:space="preserve"> tavoitteena on parantaa asiakas- ja potilasturvallisuutta varmistamalla riittävä hoidosta ja huolenpidosta vastaava henkilöstö</w:t>
          </w:r>
          <w:r w:rsidR="004A0D5E">
            <w:t>.</w:t>
          </w:r>
          <w:r w:rsidR="004A0D5E">
            <w:rPr>
              <w:b/>
            </w:rPr>
            <w:t xml:space="preserve"> </w:t>
          </w:r>
          <w:r w:rsidR="004A0D5E">
            <w:t xml:space="preserve">Lainsäädännöllä ei voida tässä tilanteessa ratkaista edellä esitettyjä </w:t>
          </w:r>
          <w:r w:rsidR="00005D22">
            <w:t xml:space="preserve">henkilöstön riittävyyteen liittyviä </w:t>
          </w:r>
          <w:r w:rsidR="004A0D5E">
            <w:t xml:space="preserve">ongelmia alkuperäisen siirtymäajan loppuun eli 1.4.2023 mennessä, mutta esityksen tavoitteena on minimoida </w:t>
          </w:r>
          <w:r w:rsidR="008B7F54">
            <w:t>siirtymäajan jatkamisesta aiheutuvat negatiiviset vaikutukset.</w:t>
          </w:r>
          <w:r w:rsidR="000805C8">
            <w:t xml:space="preserve"> </w:t>
          </w:r>
          <w:r w:rsidRPr="00C31AE9">
            <w:t xml:space="preserve">Siirtymäajan jatkamisesta huolimatta tarkoitus on </w:t>
          </w:r>
          <w:r w:rsidR="00005D22">
            <w:t xml:space="preserve">monin eri toimin </w:t>
          </w:r>
          <w:r w:rsidRPr="00C31AE9">
            <w:t>saada henkilöstön määrä nousemaan mahdollisimman nopeasti mahdollisimman lähelle alkuperäistä tavoitetta.</w:t>
          </w:r>
        </w:p>
        <w:p w14:paraId="64CB82EE" w14:textId="2275450C" w:rsidR="000C13C6" w:rsidRPr="000C13C6" w:rsidRDefault="000C13C6" w:rsidP="000C13C6">
          <w:pPr>
            <w:pStyle w:val="LLPerustelujenkappalejako"/>
          </w:pPr>
          <w:r w:rsidRPr="000C13C6">
            <w:t xml:space="preserve">Perustuslakivaliokunta on lausunnossaan </w:t>
          </w:r>
          <w:proofErr w:type="spellStart"/>
          <w:r w:rsidRPr="000C13C6">
            <w:t>PeVL</w:t>
          </w:r>
          <w:proofErr w:type="spellEnd"/>
          <w:r w:rsidRPr="000C13C6">
            <w:t xml:space="preserve"> 15/2020 </w:t>
          </w:r>
          <w:r w:rsidR="001A69B9">
            <w:t xml:space="preserve">vp </w:t>
          </w:r>
          <w:r w:rsidRPr="000C13C6">
            <w:t>käsitellyt kunnille säädettyjen lisätehtävien edellyttämiä rahoituspäätöksiä.  Perustuslakivaliokunta on kuntien itsehallintoa koskevassa vakiintuneessa käytännössä korostanut, että kuntien tehtävistä säädettäessä on huolehdittava rahoitusperiaatteen mukaisesti kuntien tosiasiallisista edellytyksistä suoriutua velvoitteistaan. Valiokunta on myös katsonut, että kunnille osoitettavat rahoitustehtävät eivät itsehallinnon perustuslain suojan takia saa suuruutensa puolesta heikentää kuntien toimintaedellytyksiä tavalla, joka vaarantaisi kuntien mahdollisuuksia päättää itsenäisesti taloudestaan ja sit</w:t>
          </w:r>
          <w:r>
            <w:t xml:space="preserve">en myös omasta hallinnostaan.  </w:t>
          </w:r>
        </w:p>
        <w:p w14:paraId="1382FA13" w14:textId="5076C0B9" w:rsidR="000C13C6" w:rsidRPr="000C13C6" w:rsidRDefault="000C13C6" w:rsidP="000C13C6">
          <w:pPr>
            <w:pStyle w:val="LLPerustelujenkappalejako"/>
          </w:pPr>
          <w:r w:rsidRPr="000C13C6">
            <w:t>Rahoitusperiaate sisältyy myös Euroopan paikallisen itsehallinnon peruskirjan 9 (2) artiklaan. Sen mukaan paikallisviranomaisten voimavarojen tulee olla riittävät suhteessa niihin velvoitteisiin, jotka niille on annettu pe</w:t>
          </w:r>
          <w:r>
            <w:t>rustuslaissa ja muissa laeissa.</w:t>
          </w:r>
        </w:p>
        <w:p w14:paraId="32271512" w14:textId="7153AFF5" w:rsidR="008A7697" w:rsidRDefault="000C13C6" w:rsidP="000C13C6">
          <w:pPr>
            <w:pStyle w:val="LLPerustelujenkappalejako"/>
          </w:pPr>
          <w:r w:rsidRPr="000C13C6">
            <w:t>Perustuslakivaliokunta katsoi</w:t>
          </w:r>
          <w:r w:rsidR="001A69B9">
            <w:t xml:space="preserve"> lausunnossaan</w:t>
          </w:r>
          <w:r w:rsidRPr="000C13C6">
            <w:t>, että henkilöstömitoituksen ja sen toteuttamiseen liittyvien rahoitusratkaisujen yhteensovittamiseksi lain siirtymäsäännöstä oli täsmennettävä siten, että siitä käyvät selkeästi ilmi henkilöstömitoituksen määräytymisen perusteet ja sen aiheuttamien kustannusten korvattavuus valtionosuusjärjestelmän puitteissa myös siirtymäaikana siten, että lakiehdotuksen mukaiset velvoitteet ja rahoitusperiaatteen edellyttämä rahoitus niiden toteuttamiseen ovat ajallisesti yhteneväisiä. Tämä täsmentäminen oli edellytyksenä lakiehdotuksen käsittelemiselle tavallise</w:t>
          </w:r>
          <w:r>
            <w:t xml:space="preserve">n lain säätämisjärjestyksessä. </w:t>
          </w:r>
          <w:r w:rsidR="001A69B9">
            <w:t>Sosiaali- ja terveysvaliokun</w:t>
          </w:r>
          <w:r w:rsidR="00E00C78">
            <w:t xml:space="preserve">nan </w:t>
          </w:r>
          <w:r w:rsidR="00DD2FFA">
            <w:t>ehdotuksesta siirtymäsäännöstä s</w:t>
          </w:r>
          <w:r w:rsidR="001A69B9">
            <w:t>elkeyt</w:t>
          </w:r>
          <w:r w:rsidR="00DD2FFA">
            <w:t>ettiin s</w:t>
          </w:r>
          <w:r w:rsidR="00E00C78">
            <w:t xml:space="preserve">iten, että henkilöstömitoitus </w:t>
          </w:r>
          <w:r w:rsidR="00CD1F9B">
            <w:t xml:space="preserve">ja sen toteuttamiseen liittyvä rahoitus </w:t>
          </w:r>
          <w:r w:rsidR="00E00C78">
            <w:t>o</w:t>
          </w:r>
          <w:r w:rsidR="00CD1F9B">
            <w:t>vat</w:t>
          </w:r>
          <w:r w:rsidR="00E00C78">
            <w:t xml:space="preserve"> nouss</w:t>
          </w:r>
          <w:r w:rsidR="00CD1F9B">
            <w:t>ee</w:t>
          </w:r>
          <w:r w:rsidR="00E00C78">
            <w:t xml:space="preserve">t asteittain lain voimaantulon jälkeen kahdessa vaiheessa. </w:t>
          </w:r>
        </w:p>
        <w:p w14:paraId="05080100" w14:textId="6A79F3BE" w:rsidR="00CD1F9B" w:rsidRDefault="00217080" w:rsidP="000C13C6">
          <w:pPr>
            <w:pStyle w:val="LLPerustelujenkappalejako"/>
          </w:pPr>
          <w:r w:rsidRPr="00DD2FFA">
            <w:t xml:space="preserve">Iäkkäiden henkilöiden </w:t>
          </w:r>
          <w:r w:rsidRPr="00DD2FFA" w:rsidDel="006718FD">
            <w:t xml:space="preserve">tehostetun </w:t>
          </w:r>
          <w:r w:rsidRPr="00DD2FFA">
            <w:t>palveluasumisen ja pitkäaikaisen laitoshoidon järjestämisvastuu siirtyy 1.1.2023 hyvinvointialueille, joilla on hyvinvointialue</w:t>
          </w:r>
          <w:r w:rsidR="00DD2FFA">
            <w:t>e</w:t>
          </w:r>
          <w:r w:rsidRPr="00DD2FFA">
            <w:t>sta annetun lain (</w:t>
          </w:r>
          <w:r w:rsidR="00DD2FFA">
            <w:t>611/2021</w:t>
          </w:r>
          <w:r w:rsidR="006718FD">
            <w:t xml:space="preserve">) </w:t>
          </w:r>
          <w:r w:rsidR="00DD2FFA">
            <w:t>2</w:t>
          </w:r>
          <w:r w:rsidRPr="00DD2FFA">
            <w:t xml:space="preserve"> §:n mukaan</w:t>
          </w:r>
          <w:r w:rsidR="00DD2FFA" w:rsidRPr="00DD2FFA">
            <w:t xml:space="preserve"> itsehallinto</w:t>
          </w:r>
          <w:r w:rsidR="00DD2FFA">
            <w:t xml:space="preserve"> alueellaan siten kuin mainitussa laissa säädetään.</w:t>
          </w:r>
          <w:r w:rsidR="00DD2FFA" w:rsidRPr="00DD2FFA">
            <w:t xml:space="preserve"> </w:t>
          </w:r>
          <w:r w:rsidRPr="00DD2FFA">
            <w:t xml:space="preserve"> </w:t>
          </w:r>
        </w:p>
        <w:p w14:paraId="4E13A4BD" w14:textId="5CE45250" w:rsidR="00DD2FFA" w:rsidRPr="00DD2FFA" w:rsidRDefault="00217080" w:rsidP="000C13C6">
          <w:pPr>
            <w:pStyle w:val="LLPerustelujenkappalejako"/>
          </w:pPr>
          <w:r w:rsidRPr="00DD2FFA">
            <w:lastRenderedPageBreak/>
            <w:t>Itsehallinnosta kuntia suuremmilla hallintoalueilla säädetään perustuslain 121 §:n 4 momentin nojalla lailla. </w:t>
          </w:r>
          <w:r>
            <w:t xml:space="preserve">Perustuslakivaliokunta on katsonut, että </w:t>
          </w:r>
          <w:r w:rsidRPr="00DD2FFA">
            <w:t xml:space="preserve">perustuslain 22 §:n mukaiseen perusoikeuksien toteuttamisvelvoitteeseen kuuluu valtion vastuu huolehtia siitä, että </w:t>
          </w:r>
          <w:r w:rsidR="008A7697">
            <w:t>perustuslain 121 §:n 4 momentissa tarkoitetuilla alueilla</w:t>
          </w:r>
          <w:r w:rsidRPr="00DD2FFA">
            <w:t xml:space="preserve"> on käytännön edellytykset suoriutua tehtävistään</w:t>
          </w:r>
          <w:r w:rsidR="00CD1F9B">
            <w:t>. P</w:t>
          </w:r>
          <w:r w:rsidR="00CD1F9B" w:rsidRPr="00CD1F9B">
            <w:t>erustuslakivaliokunta on lisäksi katsonut, että budjettirajoitteella ei voida rajoittaa lakisääteisten palvelujen saatavuutta</w:t>
          </w:r>
          <w:r w:rsidR="00CD1F9B">
            <w:t>.</w:t>
          </w:r>
          <w:r w:rsidR="00CD1F9B" w:rsidRPr="00CD1F9B">
            <w:t xml:space="preserve"> Sosiaali- ja terveyspalveluissa rahoitusperiaatteen merkitystä korostaa perustuslain 19 §:n 3 momentin ja 22 §:n mukainen turvaamisvelvollisuus</w:t>
          </w:r>
          <w:r w:rsidR="00B167C7">
            <w:t xml:space="preserve"> (</w:t>
          </w:r>
          <w:proofErr w:type="spellStart"/>
          <w:r w:rsidR="00B167C7">
            <w:t>PeVL</w:t>
          </w:r>
          <w:proofErr w:type="spellEnd"/>
          <w:r w:rsidR="00B167C7">
            <w:t xml:space="preserve"> 17/2021 vp)</w:t>
          </w:r>
          <w:r w:rsidRPr="00DD2FFA">
            <w:t xml:space="preserve">. </w:t>
          </w:r>
        </w:p>
        <w:p w14:paraId="1B47AA34" w14:textId="1EC59A8E" w:rsidR="001A69B9" w:rsidRDefault="00B167C7" w:rsidP="000C13C6">
          <w:pPr>
            <w:pStyle w:val="LLPerustelujenkappalejako"/>
          </w:pPr>
          <w:r>
            <w:t xml:space="preserve">Hyvinvointialueiden </w:t>
          </w:r>
          <w:r w:rsidR="00DD2FFA" w:rsidRPr="00DD2FFA">
            <w:t xml:space="preserve">mahdollisuudet sopeuttaa talouttaan ja selviytyä lakisääteisistä velvoitteista ovat </w:t>
          </w:r>
          <w:r>
            <w:t xml:space="preserve">kuntiakin </w:t>
          </w:r>
          <w:r w:rsidR="00DD2FFA" w:rsidRPr="00DD2FFA">
            <w:t>raja</w:t>
          </w:r>
          <w:r>
            <w:t>llisemmat</w:t>
          </w:r>
          <w:r w:rsidR="00DD2FFA" w:rsidRPr="00DD2FFA">
            <w:t xml:space="preserve">, sillä </w:t>
          </w:r>
          <w:r>
            <w:t>ratkaisevassa asemassa on nimenomaan valtion rahoitus.</w:t>
          </w:r>
          <w:r w:rsidR="00CD1F9B">
            <w:t xml:space="preserve"> Lakiehdotuksen antamiseen liittyvät syyt eivät kuitenkaan ole liittyneet puutteelliseen rahoitukseen, vaan muihin henkilöstömitoituksen toteuttamiseen liittyviin esteisiin. Samalla, kun </w:t>
          </w:r>
          <w:r w:rsidR="00440007">
            <w:t xml:space="preserve">tässä esityksessä mainituista syistä </w:t>
          </w:r>
          <w:r w:rsidR="0083721A">
            <w:t xml:space="preserve">vähintään </w:t>
          </w:r>
          <w:r w:rsidR="00CD1F9B">
            <w:t xml:space="preserve">0,7 työntekijän henkilöstömitoituksen toteuttamisen siirtymäaikaa pidennettäisiin kahdeksalla kuukaudella, säädettäisiin </w:t>
          </w:r>
          <w:r w:rsidR="0083721A">
            <w:t xml:space="preserve">samalla vähintään </w:t>
          </w:r>
          <w:r w:rsidR="00CD1F9B">
            <w:t xml:space="preserve">0,65 työntekijän velvoittava henkilöstömitoitus 1.4.2023 lukien </w:t>
          </w:r>
          <w:r w:rsidR="00F13B0C">
            <w:t xml:space="preserve">siten, että </w:t>
          </w:r>
          <w:r w:rsidR="00CD1F9B">
            <w:t>alkuperäinen rahoitus vastaisi silti 0,7 työntekijän mitoitusta va</w:t>
          </w:r>
          <w:r w:rsidR="00440007">
            <w:t xml:space="preserve">staavia kustannuksia. </w:t>
          </w:r>
        </w:p>
        <w:p w14:paraId="205F5F26" w14:textId="26F17484" w:rsidR="0083721A" w:rsidRPr="000C13C6" w:rsidRDefault="0083721A" w:rsidP="000C13C6">
          <w:pPr>
            <w:pStyle w:val="LLPerustelujenkappalejako"/>
          </w:pPr>
          <w:r>
            <w:t xml:space="preserve">Näin toimien hyvinvointialueiden rahoitus olisi vuonna 2023 vähintään 0,7 työntekijän mitoituksen </w:t>
          </w:r>
          <w:r w:rsidR="00005D22">
            <w:t xml:space="preserve">tavoitteen aikatauluun </w:t>
          </w:r>
          <w:r>
            <w:t xml:space="preserve">nähden poikkeuksellisesti etupainotteista ja järjestelyn nimenomaisena tarkoituksena olisi mahdollistaa se, että tämä taso voitaisiin </w:t>
          </w:r>
          <w:r w:rsidR="00005D22">
            <w:t xml:space="preserve">budjettirajoitteen estämättä </w:t>
          </w:r>
          <w:r>
            <w:t xml:space="preserve">saavuttaa mahdollisimman </w:t>
          </w:r>
          <w:r w:rsidR="000006ED">
            <w:t xml:space="preserve">kattavasti </w:t>
          </w:r>
          <w:r w:rsidR="000D4755">
            <w:t>jo ennen siirtymäajan päättymistä</w:t>
          </w:r>
          <w:r>
            <w:t>.</w:t>
          </w:r>
        </w:p>
        <w:p w14:paraId="7B6ABD28" w14:textId="77777777" w:rsidR="00F96B53" w:rsidRPr="00F96B53" w:rsidRDefault="00B167C7" w:rsidP="000C13C6">
          <w:pPr>
            <w:pStyle w:val="LLPerustelujenkappalejako"/>
          </w:pPr>
          <w:r w:rsidRPr="0083721A">
            <w:t>Edellä</w:t>
          </w:r>
          <w:r w:rsidRPr="00F96B53">
            <w:t xml:space="preserve"> </w:t>
          </w:r>
          <w:r w:rsidRPr="00B167C7">
            <w:t>mainituilla</w:t>
          </w:r>
          <w:r w:rsidRPr="00F96B53">
            <w:t xml:space="preserve"> perusteilla </w:t>
          </w:r>
          <w:r w:rsidRPr="00F13B0C">
            <w:t>lakiehdotus</w:t>
          </w:r>
          <w:r w:rsidRPr="00F96B53">
            <w:t xml:space="preserve"> voidaan käsitellä tavallisessa lainsäätämisjärjestyksessä.</w:t>
          </w:r>
        </w:p>
        <w:p w14:paraId="28813DA5" w14:textId="17578083" w:rsidR="008414FE" w:rsidRPr="000C13C6" w:rsidRDefault="00166E48" w:rsidP="000C13C6">
          <w:pPr>
            <w:pStyle w:val="LLPerustelujenkappalejako"/>
            <w:rPr>
              <w:color w:val="FF0000"/>
            </w:rPr>
          </w:pPr>
        </w:p>
      </w:sdtContent>
    </w:sdt>
    <w:p w14:paraId="0126A302" w14:textId="77777777" w:rsidR="004A648F" w:rsidRDefault="004A648F" w:rsidP="004A648F">
      <w:pPr>
        <w:pStyle w:val="LLNormaali"/>
      </w:pPr>
    </w:p>
    <w:p w14:paraId="424842D1" w14:textId="77777777" w:rsidR="0022764C" w:rsidRPr="00257518" w:rsidRDefault="0022764C" w:rsidP="00257518">
      <w:pPr>
        <w:pStyle w:val="LLPonsi"/>
        <w:rPr>
          <w:i/>
        </w:rPr>
      </w:pPr>
      <w:r w:rsidRPr="00257518">
        <w:rPr>
          <w:i/>
        </w:rPr>
        <w:t>Ponsi</w:t>
      </w:r>
    </w:p>
    <w:p w14:paraId="69382384" w14:textId="2BF35D14" w:rsidR="00370114" w:rsidRDefault="00944981" w:rsidP="009C4545">
      <w:pPr>
        <w:pStyle w:val="LLPonsi"/>
      </w:pPr>
      <w:r>
        <w:t>Edellä esitetyn peruste</w:t>
      </w:r>
      <w:r w:rsidR="002D7B09">
        <w:t>e</w:t>
      </w:r>
      <w:r>
        <w:t xml:space="preserve">lla annetaan eduskunnan hyväksyttäväksi </w:t>
      </w:r>
      <w:r w:rsidR="006461AD">
        <w:t>seuraava lakiehdotus:</w:t>
      </w:r>
    </w:p>
    <w:p w14:paraId="29B77138" w14:textId="77777777" w:rsidR="004A648F" w:rsidRDefault="004A648F" w:rsidP="00370114">
      <w:pPr>
        <w:pStyle w:val="LLNormaali"/>
      </w:pPr>
    </w:p>
    <w:p w14:paraId="7D7F4B41" w14:textId="77777777" w:rsidR="00393B53" w:rsidRPr="009C4545" w:rsidRDefault="00EA5FF7" w:rsidP="00370114">
      <w:pPr>
        <w:pStyle w:val="LLNormaali"/>
      </w:pPr>
      <w:r w:rsidRPr="009C4545">
        <w:br w:type="page"/>
      </w:r>
    </w:p>
    <w:bookmarkStart w:id="16" w:name="_Toc116892989"/>
    <w:p w14:paraId="1776FB9F" w14:textId="45B85AD4" w:rsidR="00646DE3" w:rsidRDefault="00166E48" w:rsidP="00646DE3">
      <w:pPr>
        <w:pStyle w:val="LLLakiehdotukset"/>
      </w:pPr>
      <w:sdt>
        <w:sdtPr>
          <w:alias w:val="Lakiehdotukset"/>
          <w:tag w:val="CCLakiehdotukset"/>
          <w:id w:val="1834638829"/>
          <w:placeholder>
            <w:docPart w:val="AF74CF05B5914AA1938B93A1D39660E3"/>
          </w:placeholder>
          <w15:color w:val="00FFFF"/>
          <w:dropDownList>
            <w:listItem w:value="Valitse kohde."/>
            <w:listItem w:displayText="Lakiehdotus" w:value="Lakiehdotus"/>
            <w:listItem w:displayText="Lakiehdotukset" w:value="Lakiehdotukset"/>
          </w:dropDownList>
        </w:sdtPr>
        <w:sdtEndPr/>
        <w:sdtContent>
          <w:r w:rsidR="00805B4C">
            <w:t>Lakiehdotus</w:t>
          </w:r>
        </w:sdtContent>
      </w:sdt>
      <w:bookmarkEnd w:id="16"/>
    </w:p>
    <w:sdt>
      <w:sdtPr>
        <w:alias w:val="Lakiehdotus"/>
        <w:tag w:val="CCLakiehdotus"/>
        <w:id w:val="1695884352"/>
        <w:placeholder>
          <w:docPart w:val="5919B7FC0B954A89A4D1026E91ED91EE"/>
        </w:placeholder>
        <w15:color w:val="00FFFF"/>
      </w:sdtPr>
      <w:sdtEndPr/>
      <w:sdtContent>
        <w:p w14:paraId="4A9FB1BE" w14:textId="77777777" w:rsidR="009167E1" w:rsidRPr="009167E1" w:rsidRDefault="009167E1" w:rsidP="00534B1F">
          <w:pPr>
            <w:pStyle w:val="LLNormaali"/>
          </w:pPr>
        </w:p>
        <w:p w14:paraId="6B729B97" w14:textId="77777777" w:rsidR="009167E1" w:rsidRPr="00F36633" w:rsidRDefault="009167E1" w:rsidP="009732F5">
          <w:pPr>
            <w:pStyle w:val="LLLaki"/>
          </w:pPr>
          <w:r w:rsidRPr="00F36633">
            <w:t>Laki</w:t>
          </w:r>
        </w:p>
        <w:p w14:paraId="26C7DA55" w14:textId="2FA4BD7A" w:rsidR="009167E1" w:rsidRPr="009167E1" w:rsidRDefault="00805B4C" w:rsidP="0082264A">
          <w:pPr>
            <w:pStyle w:val="LLSaadoksenNimi"/>
          </w:pPr>
          <w:bookmarkStart w:id="17" w:name="_Toc116892990"/>
          <w:r w:rsidRPr="00805B4C">
            <w:t xml:space="preserve">ikääntyneen väestön toimintakyvyn tukemisesta sekä iäkkäiden </w:t>
          </w:r>
          <w:proofErr w:type="spellStart"/>
          <w:r w:rsidRPr="00805B4C">
            <w:t>sosiaali</w:t>
          </w:r>
          <w:proofErr w:type="spellEnd"/>
          <w:r w:rsidRPr="00805B4C">
            <w:t>- ja terveyspalveluista annetun lain muuttamisesta annetun lain voimaantulosäännöksen muuttamisesta</w:t>
          </w:r>
          <w:bookmarkEnd w:id="17"/>
        </w:p>
        <w:p w14:paraId="5F7B073A" w14:textId="77777777" w:rsidR="009167E1" w:rsidRPr="009167E1" w:rsidRDefault="009167E1" w:rsidP="009167E1">
          <w:pPr>
            <w:pStyle w:val="LLJohtolauseKappaleet"/>
          </w:pPr>
          <w:r w:rsidRPr="009167E1">
            <w:t xml:space="preserve">Eduskunnan päätöksen mukaisesti </w:t>
          </w:r>
        </w:p>
        <w:p w14:paraId="6F153FD2" w14:textId="0FC9CD78" w:rsidR="0000497A" w:rsidRPr="00805B4C" w:rsidRDefault="009167E1" w:rsidP="00805B4C">
          <w:pPr>
            <w:pStyle w:val="LLJohtolauseKappaleet"/>
            <w:rPr>
              <w:i/>
            </w:rPr>
          </w:pPr>
          <w:r w:rsidRPr="009167E1">
            <w:rPr>
              <w:i/>
            </w:rPr>
            <w:t>muutetaan</w:t>
          </w:r>
          <w:r w:rsidR="00805B4C">
            <w:rPr>
              <w:i/>
            </w:rPr>
            <w:t xml:space="preserve"> </w:t>
          </w:r>
          <w:r w:rsidR="00805B4C" w:rsidRPr="00805B4C">
            <w:t xml:space="preserve">ikääntyneen väestön toimintakyvyn tukemisesta sekä iäkkäiden </w:t>
          </w:r>
          <w:proofErr w:type="spellStart"/>
          <w:r w:rsidR="00805B4C" w:rsidRPr="00805B4C">
            <w:t>sosiaali</w:t>
          </w:r>
          <w:proofErr w:type="spellEnd"/>
          <w:r w:rsidR="00805B4C" w:rsidRPr="00805B4C">
            <w:t>- ja terveyspalveluista annetun lain m</w:t>
          </w:r>
          <w:r w:rsidR="00805B4C">
            <w:t xml:space="preserve">uuttamisesta annetun lain </w:t>
          </w:r>
          <w:proofErr w:type="gramStart"/>
          <w:r w:rsidR="00805B4C">
            <w:t xml:space="preserve">( </w:t>
          </w:r>
          <w:r w:rsidR="00805B4C" w:rsidRPr="00805B4C">
            <w:t>/</w:t>
          </w:r>
          <w:proofErr w:type="gramEnd"/>
          <w:r w:rsidR="00805B4C" w:rsidRPr="00805B4C">
            <w:t>2022) voimaantulosäännöksen 4 momentti seuraavasti:</w:t>
          </w:r>
        </w:p>
        <w:p w14:paraId="1D3E5C18" w14:textId="6D3D9FD4" w:rsidR="009167E1" w:rsidRDefault="00A92874" w:rsidP="00BA71BD">
          <w:pPr>
            <w:pStyle w:val="LLPykala"/>
          </w:pPr>
          <w:r>
            <w:t xml:space="preserve"> </w:t>
          </w:r>
        </w:p>
        <w:p w14:paraId="7C5FC17B" w14:textId="77777777" w:rsidR="00B31211" w:rsidRDefault="00B31211" w:rsidP="00B31211">
          <w:pPr>
            <w:pStyle w:val="LLNormaali"/>
          </w:pPr>
        </w:p>
        <w:p w14:paraId="22C6A3D1" w14:textId="19DB8431" w:rsidR="00805B4C" w:rsidRPr="009167E1" w:rsidRDefault="00805B4C" w:rsidP="00BA71BD">
          <w:pPr>
            <w:pStyle w:val="LLNormaali"/>
          </w:pPr>
          <w:r w:rsidRPr="009167E1">
            <w:t>— — — — — — — — — — — — — — — — — — — — — — — — — — — — — —</w:t>
          </w:r>
        </w:p>
        <w:p w14:paraId="008E97CE" w14:textId="07B781B1" w:rsidR="009167E1" w:rsidRDefault="00805B4C" w:rsidP="00F06DEC">
          <w:pPr>
            <w:pStyle w:val="LLKappalejako"/>
          </w:pPr>
          <w:r w:rsidRPr="00805B4C">
            <w:t>Lain 20 §:n 2 momentissa säädettyä henkilöstömitoitusta sovelletaan 1 päivästä joulukuuta 2023. Sitä ennen henkilöstömitoituksen on oltava vähintään 0,6 työntekijää asiakasta kohti ja 1 päivästä huhtikuuta 2023 vähintään 0,65 työntekijää asiakasta kohti.</w:t>
          </w:r>
        </w:p>
        <w:p w14:paraId="7A1D9622" w14:textId="77777777" w:rsidR="00805B4C" w:rsidRPr="009167E1" w:rsidRDefault="00805B4C" w:rsidP="00BA71BD">
          <w:pPr>
            <w:pStyle w:val="LLNormaali"/>
          </w:pPr>
          <w:r w:rsidRPr="009167E1">
            <w:t>— — — — — — — — — — — — — — — — — — — — — — — — — — — — — —</w:t>
          </w:r>
        </w:p>
        <w:p w14:paraId="25F729CF" w14:textId="77777777" w:rsidR="00805B4C" w:rsidRDefault="00805B4C" w:rsidP="00F06DEC">
          <w:pPr>
            <w:pStyle w:val="LLKappalejako"/>
          </w:pPr>
        </w:p>
        <w:p w14:paraId="796260B8" w14:textId="77777777" w:rsidR="00BA71BD" w:rsidRPr="009167E1" w:rsidRDefault="00BA71BD" w:rsidP="00BA71BD">
          <w:pPr>
            <w:pStyle w:val="LLNormaali"/>
            <w:jc w:val="center"/>
          </w:pPr>
          <w:r>
            <w:t>———</w:t>
          </w:r>
        </w:p>
        <w:p w14:paraId="4E257D76"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0F4AFE99" w14:textId="77777777" w:rsidR="003E4E0F" w:rsidRDefault="00BA71BD" w:rsidP="00BA71BD">
          <w:pPr>
            <w:pStyle w:val="LLNormaali"/>
            <w:jc w:val="center"/>
          </w:pPr>
          <w:r>
            <w:t>—————</w:t>
          </w:r>
        </w:p>
        <w:p w14:paraId="4B15E82E" w14:textId="77777777" w:rsidR="004A648F" w:rsidRDefault="00166E48" w:rsidP="003E4E0F">
          <w:pPr>
            <w:pStyle w:val="LLNormaali"/>
          </w:pPr>
        </w:p>
      </w:sdtContent>
    </w:sdt>
    <w:p w14:paraId="22791A2F" w14:textId="77777777" w:rsidR="00B0425D" w:rsidRDefault="00B0425D" w:rsidP="004A648F">
      <w:pPr>
        <w:pStyle w:val="LLNormaali"/>
      </w:pPr>
    </w:p>
    <w:p w14:paraId="1AEE3F04" w14:textId="77777777" w:rsidR="00196A1D" w:rsidRPr="00302A46" w:rsidRDefault="00196A1D" w:rsidP="004A648F">
      <w:pPr>
        <w:pStyle w:val="LLNormaali"/>
      </w:pPr>
    </w:p>
    <w:p w14:paraId="40F429EF" w14:textId="77777777" w:rsidR="004A648F" w:rsidRPr="00302A46" w:rsidRDefault="004A648F" w:rsidP="007435F3">
      <w:pPr>
        <w:pStyle w:val="LLNormaali"/>
      </w:pPr>
    </w:p>
    <w:p w14:paraId="71F9997A" w14:textId="77777777" w:rsidR="00137260" w:rsidRPr="00302A46" w:rsidRDefault="00137260" w:rsidP="007435F3">
      <w:pPr>
        <w:pStyle w:val="LLNormaali"/>
      </w:pPr>
    </w:p>
    <w:sdt>
      <w:sdtPr>
        <w:alias w:val="Päiväys"/>
        <w:tag w:val="CCPaivays"/>
        <w:id w:val="-857742363"/>
        <w:lock w:val="sdtLocked"/>
        <w:placeholder>
          <w:docPart w:val="681132CBB95B44E1940E0900344FAD89"/>
        </w:placeholder>
        <w15:color w:val="33CCCC"/>
        <w:text/>
      </w:sdtPr>
      <w:sdtEndPr/>
      <w:sdtContent>
        <w:p w14:paraId="0F81CD7E"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01B50B1B" w14:textId="77777777" w:rsidR="005F6E65" w:rsidRPr="00030BA9" w:rsidRDefault="005F6E65" w:rsidP="00267E16">
      <w:pPr>
        <w:pStyle w:val="LLNormaali"/>
      </w:pPr>
    </w:p>
    <w:sdt>
      <w:sdtPr>
        <w:alias w:val="Allekirjoittajan asema"/>
        <w:tag w:val="CCAllekirjoitus"/>
        <w:id w:val="1565067034"/>
        <w:lock w:val="sdtLocked"/>
        <w:placeholder>
          <w:docPart w:val="681132CBB95B44E1940E0900344FAD89"/>
        </w:placeholder>
        <w15:color w:val="00FFFF"/>
      </w:sdtPr>
      <w:sdtEndPr/>
      <w:sdtContent>
        <w:p w14:paraId="1977C45B" w14:textId="77777777" w:rsidR="005F6E65" w:rsidRPr="008D7BC7" w:rsidRDefault="0087446D" w:rsidP="005F6E65">
          <w:pPr>
            <w:pStyle w:val="LLAllekirjoitus"/>
          </w:pPr>
          <w:r>
            <w:t>Pääministeri</w:t>
          </w:r>
        </w:p>
      </w:sdtContent>
    </w:sdt>
    <w:p w14:paraId="22B49DB8" w14:textId="77777777" w:rsidR="005F6E65" w:rsidRPr="00385A06" w:rsidRDefault="00746B85" w:rsidP="00385A06">
      <w:pPr>
        <w:pStyle w:val="LLNimenselvennys"/>
      </w:pPr>
      <w:r>
        <w:t>Sanna Marin</w:t>
      </w:r>
    </w:p>
    <w:p w14:paraId="06137157" w14:textId="77777777" w:rsidR="005F6E65" w:rsidRPr="00385A06" w:rsidRDefault="005F6E65" w:rsidP="00267E16">
      <w:pPr>
        <w:pStyle w:val="LLNormaali"/>
      </w:pPr>
    </w:p>
    <w:p w14:paraId="32EFD3C0" w14:textId="77777777" w:rsidR="005F6E65" w:rsidRPr="00385A06" w:rsidRDefault="005F6E65" w:rsidP="00267E16">
      <w:pPr>
        <w:pStyle w:val="LLNormaali"/>
      </w:pPr>
    </w:p>
    <w:p w14:paraId="359B289E" w14:textId="77777777" w:rsidR="005F6E65" w:rsidRPr="00385A06" w:rsidRDefault="005F6E65" w:rsidP="00267E16">
      <w:pPr>
        <w:pStyle w:val="LLNormaali"/>
      </w:pPr>
    </w:p>
    <w:p w14:paraId="1C721443" w14:textId="77777777" w:rsidR="005F6E65" w:rsidRPr="00385A06" w:rsidRDefault="005F6E65" w:rsidP="00267E16">
      <w:pPr>
        <w:pStyle w:val="LLNormaali"/>
      </w:pPr>
    </w:p>
    <w:p w14:paraId="5F80002A"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4C934371" w14:textId="77777777" w:rsidR="004B1827" w:rsidRDefault="000A334A" w:rsidP="003920F1">
      <w:pPr>
        <w:pStyle w:val="LLNormaali"/>
        <w:sectPr w:rsidR="004B1827" w:rsidSect="00C85EB5">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formProt w:val="0"/>
          <w:titlePg/>
          <w:docGrid w:linePitch="360"/>
        </w:sectPr>
      </w:pPr>
      <w:r w:rsidRPr="001401B3">
        <w:br w:type="page"/>
      </w:r>
    </w:p>
    <w:bookmarkStart w:id="18" w:name="_Toc116892991" w:displacedByCustomXml="next"/>
    <w:sdt>
      <w:sdtPr>
        <w:alias w:val="Liitteet"/>
        <w:tag w:val="CCLiitteet"/>
        <w:id w:val="-100575990"/>
        <w:placeholder>
          <w:docPart w:val="D5AED7A6275747F2B71D1ABC06F9F12C"/>
        </w:placeholder>
        <w15:color w:val="33CCCC"/>
        <w:comboBox>
          <w:listItem w:value="Valitse kohde."/>
          <w:listItem w:displayText="Liite" w:value="Liite"/>
          <w:listItem w:displayText="Liitteet" w:value="Liitteet"/>
        </w:comboBox>
      </w:sdtPr>
      <w:sdtEndPr/>
      <w:sdtContent>
        <w:p w14:paraId="488F2D60" w14:textId="2294C964" w:rsidR="000A334A" w:rsidRDefault="0031488F" w:rsidP="004B1827">
          <w:pPr>
            <w:pStyle w:val="LLLiite"/>
          </w:pPr>
          <w:r>
            <w:t>Liite</w:t>
          </w:r>
        </w:p>
      </w:sdtContent>
    </w:sdt>
    <w:bookmarkEnd w:id="18" w:displacedByCustomXml="prev"/>
    <w:bookmarkStart w:id="19" w:name="_Toc116892992" w:displacedByCustomXml="next"/>
    <w:sdt>
      <w:sdtPr>
        <w:rPr>
          <w:lang w:val="en-US"/>
        </w:rPr>
        <w:alias w:val="Rinnakkaistekstit"/>
        <w:tag w:val="CCRinnakkaistekstit"/>
        <w:id w:val="-1936507279"/>
        <w:placeholder>
          <w:docPart w:val="D5AED7A6275747F2B71D1ABC06F9F12C"/>
        </w:placeholder>
        <w15:color w:val="00FFFF"/>
        <w:dropDownList>
          <w:listItem w:value="Valitse kohde."/>
          <w:listItem w:displayText="Rinnakkaisteksti" w:value="Rinnakkaisteksti"/>
          <w:listItem w:displayText="Rinnakkaistekstit" w:value="Rinnakkaistekstit"/>
        </w:dropDownList>
      </w:sdtPr>
      <w:sdtEndPr/>
      <w:sdtContent>
        <w:p w14:paraId="37CCA839" w14:textId="4C6C06C1" w:rsidR="00B34684" w:rsidRPr="002D1FC4" w:rsidRDefault="0031488F" w:rsidP="00B34684">
          <w:pPr>
            <w:pStyle w:val="LLRinnakkaistekstit"/>
            <w:rPr>
              <w:lang w:val="en-US"/>
            </w:rPr>
          </w:pPr>
          <w:r>
            <w:rPr>
              <w:lang w:val="en-US"/>
            </w:rPr>
            <w:t>Rinnakkaisteksti</w:t>
          </w:r>
        </w:p>
      </w:sdtContent>
    </w:sdt>
    <w:bookmarkEnd w:id="19" w:displacedByCustomXml="prev"/>
    <w:p w14:paraId="415E5F36"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681132CBB95B44E1940E0900344FAD89"/>
        </w:placeholder>
        <w15:color w:val="33CCCC"/>
      </w:sdtPr>
      <w:sdtEndPr>
        <w:rPr>
          <w:rFonts w:eastAsia="Calibri"/>
          <w:sz w:val="22"/>
          <w:szCs w:val="22"/>
          <w:lang w:eastAsia="en-US"/>
        </w:rPr>
      </w:sdtEndPr>
      <w:sdtContent>
        <w:p w14:paraId="5C775F8D" w14:textId="77777777" w:rsidR="008A3DB3" w:rsidRPr="000A334A" w:rsidRDefault="008A3DB3" w:rsidP="00B34684">
          <w:pPr>
            <w:pStyle w:val="LLNormaali"/>
            <w:rPr>
              <w:rFonts w:eastAsia="Times New Roman"/>
              <w:szCs w:val="24"/>
              <w:lang w:eastAsia="fi-FI"/>
            </w:rPr>
          </w:pPr>
        </w:p>
        <w:p w14:paraId="6A998241" w14:textId="77777777" w:rsidR="001B2357" w:rsidRPr="00F36633" w:rsidRDefault="001B2357" w:rsidP="001B2357">
          <w:pPr>
            <w:pStyle w:val="LLLaki"/>
          </w:pPr>
          <w:r w:rsidRPr="00F36633">
            <w:t>Laki</w:t>
          </w:r>
        </w:p>
        <w:p w14:paraId="1E26F63F" w14:textId="42925BD4" w:rsidR="001B2357" w:rsidRPr="009167E1" w:rsidRDefault="00B0669C" w:rsidP="00B0669C">
          <w:pPr>
            <w:pStyle w:val="LLSaadoksenNimi"/>
          </w:pPr>
          <w:bookmarkStart w:id="20" w:name="_Toc116892993"/>
          <w:r w:rsidRPr="00805B4C">
            <w:t xml:space="preserve">ikääntyneen väestön toimintakyvyn tukemisesta sekä iäkkäiden </w:t>
          </w:r>
          <w:proofErr w:type="spellStart"/>
          <w:r w:rsidRPr="00805B4C">
            <w:t>sosiaali</w:t>
          </w:r>
          <w:proofErr w:type="spellEnd"/>
          <w:r w:rsidRPr="00805B4C">
            <w:t>- ja terveyspalveluista annetun lain muuttamisesta annetun lain voimaantulosäännöksen muuttamisesta</w:t>
          </w:r>
          <w:bookmarkEnd w:id="20"/>
          <w:r w:rsidR="001B2357" w:rsidRPr="009167E1">
            <w:t xml:space="preserve"> </w:t>
          </w:r>
        </w:p>
        <w:p w14:paraId="57C18150" w14:textId="77777777" w:rsidR="008A3DB3" w:rsidRDefault="001B2357" w:rsidP="001B2357">
          <w:pPr>
            <w:pStyle w:val="LLJohtolauseKappaleet"/>
          </w:pPr>
          <w:r w:rsidRPr="009167E1">
            <w:t>Eduskunnan päätöksen mukaisesti säädetään:</w:t>
          </w:r>
        </w:p>
        <w:p w14:paraId="358ABD45"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12D2D12B" w14:textId="77777777" w:rsidTr="00C059CE">
            <w:trPr>
              <w:tblHeader/>
            </w:trPr>
            <w:tc>
              <w:tcPr>
                <w:tcW w:w="4243" w:type="dxa"/>
                <w:shd w:val="clear" w:color="auto" w:fill="auto"/>
              </w:tcPr>
              <w:p w14:paraId="268BC66D" w14:textId="16DB535D" w:rsidR="008A3DB3" w:rsidRDefault="00E661B7" w:rsidP="002A0B5D">
                <w:pPr>
                  <w:rPr>
                    <w:i/>
                    <w:lang w:eastAsia="fi-FI"/>
                  </w:rPr>
                </w:pPr>
                <w:r>
                  <w:rPr>
                    <w:i/>
                    <w:lang w:eastAsia="fi-FI"/>
                  </w:rPr>
                  <w:t>1.1.2023 voimaan tuleva laki</w:t>
                </w:r>
              </w:p>
              <w:p w14:paraId="5B480C94" w14:textId="77777777" w:rsidR="0013779E" w:rsidRPr="0013779E" w:rsidRDefault="0013779E" w:rsidP="002A0B5D">
                <w:pPr>
                  <w:rPr>
                    <w:rFonts w:eastAsia="Times New Roman"/>
                    <w:szCs w:val="24"/>
                    <w:lang w:eastAsia="fi-FI"/>
                  </w:rPr>
                </w:pPr>
              </w:p>
            </w:tc>
            <w:tc>
              <w:tcPr>
                <w:tcW w:w="4243" w:type="dxa"/>
                <w:shd w:val="clear" w:color="auto" w:fill="auto"/>
              </w:tcPr>
              <w:p w14:paraId="76176074" w14:textId="77777777" w:rsidR="008A3DB3" w:rsidRDefault="008A3DB3" w:rsidP="002A0B5D">
                <w:pPr>
                  <w:rPr>
                    <w:i/>
                    <w:lang w:eastAsia="fi-FI"/>
                  </w:rPr>
                </w:pPr>
                <w:r w:rsidRPr="00CB7AA5">
                  <w:rPr>
                    <w:i/>
                    <w:lang w:eastAsia="fi-FI"/>
                  </w:rPr>
                  <w:t>Ehdotus</w:t>
                </w:r>
              </w:p>
              <w:p w14:paraId="79DC4869" w14:textId="77777777" w:rsidR="0013779E" w:rsidRPr="0013779E" w:rsidRDefault="0013779E" w:rsidP="002A0B5D">
                <w:pPr>
                  <w:rPr>
                    <w:lang w:eastAsia="fi-FI"/>
                  </w:rPr>
                </w:pPr>
              </w:p>
            </w:tc>
          </w:tr>
          <w:tr w:rsidR="002D62BF" w:rsidRPr="000A334A" w14:paraId="529C338C" w14:textId="77777777" w:rsidTr="00C059CE">
            <w:tc>
              <w:tcPr>
                <w:tcW w:w="4243" w:type="dxa"/>
                <w:shd w:val="clear" w:color="auto" w:fill="auto"/>
              </w:tcPr>
              <w:p w14:paraId="0EB0DE80" w14:textId="11A0675A" w:rsidR="00656C8A" w:rsidRDefault="00656C8A" w:rsidP="00656C8A">
                <w:pPr>
                  <w:pStyle w:val="LLKappalejako"/>
                </w:pPr>
                <w:r>
                  <w:t xml:space="preserve">Tämä laki tulee voimaan 1 päivänä tammikuuta 2023. </w:t>
                </w:r>
              </w:p>
              <w:p w14:paraId="735B2C2D" w14:textId="6EA0A625" w:rsidR="00656C8A" w:rsidRDefault="00656C8A" w:rsidP="00656C8A">
                <w:pPr>
                  <w:pStyle w:val="LLKappalejako"/>
                </w:pPr>
                <w:r>
                  <w:t xml:space="preserve">Lain 3 a §:n 1 momentti, 14 §:n 1 momentti sekä 14 a ja 15 b § tulevat kuitenkin voimaan vasta 1 päivänä tammikuuta 2028. </w:t>
                </w:r>
              </w:p>
              <w:p w14:paraId="0BBAA0EE" w14:textId="6E5D0324" w:rsidR="00656C8A" w:rsidRDefault="00656C8A" w:rsidP="00656C8A">
                <w:pPr>
                  <w:pStyle w:val="LLKappalejako"/>
                </w:pPr>
                <w:r>
                  <w:t xml:space="preserve">Sen estämättä, mitä 3 a §:n 1 momentin 11 kohdassa säädetään, henkilöön, joka toimii kotiavustajana tai hoitoapulaisena tämän lain voimaan tullessa, sovelletaan tämän lain voimaan tullessa voimassa olleita säännöksiä. </w:t>
                </w:r>
              </w:p>
              <w:p w14:paraId="4C6E3CF0" w14:textId="7C128932" w:rsidR="00325E50" w:rsidRDefault="00656C8A" w:rsidP="00F456E8">
                <w:pPr>
                  <w:pStyle w:val="LLKappalejako"/>
                </w:pPr>
                <w:r>
                  <w:t xml:space="preserve">Lain 20 §:n 2 momentissa säädettyä henkilöstömitoitusta sovelletaan 1 päivästä huhtikuuta 2023. Sitä ennen henkilöstömitoituksen on oltava vähintään 0,6 työntekijää asiakasta kohti. </w:t>
                </w:r>
              </w:p>
              <w:p w14:paraId="4D61EED1" w14:textId="11B42742" w:rsidR="00656C8A" w:rsidRDefault="00656C8A" w:rsidP="00656C8A">
                <w:pPr>
                  <w:pStyle w:val="LLKappalejako"/>
                </w:pPr>
                <w:r>
                  <w:t xml:space="preserve">Lain 20 §:n 2 momenttia sovelletaan pitkäaikaisen laitoshoidon toimintayksiköihin 31 päivään joulukuuta 2027. </w:t>
                </w:r>
              </w:p>
              <w:p w14:paraId="24FF879E" w14:textId="4102BFEB" w:rsidR="00656C8A" w:rsidRPr="00B20FDD" w:rsidRDefault="00656C8A" w:rsidP="00656C8A">
                <w:pPr>
                  <w:pStyle w:val="LLKappalejako"/>
                </w:pPr>
                <w:r>
                  <w:t>Lain 24 a §:n 2 momentissa tarkoitettu asiakaskysely toteutetaan ensimmäisen kerran vuonna 2024.</w:t>
                </w:r>
              </w:p>
            </w:tc>
            <w:tc>
              <w:tcPr>
                <w:tcW w:w="4243" w:type="dxa"/>
                <w:shd w:val="clear" w:color="auto" w:fill="auto"/>
              </w:tcPr>
              <w:p w14:paraId="2E4BF2F9" w14:textId="5E72C725" w:rsidR="00656C8A" w:rsidRDefault="00656C8A" w:rsidP="00656C8A">
                <w:pPr>
                  <w:pStyle w:val="LLKappalejako"/>
                </w:pPr>
                <w:r w:rsidRPr="00656C8A">
                  <w:t>Tämä laki tulee voi</w:t>
                </w:r>
                <w:r>
                  <w:t>maan 1 päivänä tammikuuta 2023.</w:t>
                </w:r>
              </w:p>
              <w:p w14:paraId="46E79A7E" w14:textId="12FE9FFA" w:rsidR="00656C8A" w:rsidRPr="00656C8A" w:rsidRDefault="00656C8A" w:rsidP="00656C8A">
                <w:pPr>
                  <w:pStyle w:val="LLKappalejako"/>
                </w:pPr>
                <w:r w:rsidRPr="00656C8A">
                  <w:t xml:space="preserve">Lain 3 a §:n 1 momentti, 14 §:n 1 momentti sekä 14 a ja 15 b § tulevat kuitenkin voimaan vasta 1 päivänä tammikuuta 2028. </w:t>
                </w:r>
              </w:p>
              <w:p w14:paraId="3E1EBA5A" w14:textId="6FF49F77" w:rsidR="00656C8A" w:rsidRDefault="00656C8A" w:rsidP="00656C8A">
                <w:pPr>
                  <w:pStyle w:val="LLKappalejako"/>
                </w:pPr>
                <w:r w:rsidRPr="00656C8A">
                  <w:t xml:space="preserve">Sen estämättä, mitä 3 a §:n 1 momentin 11 kohdassa säädetään, henkilöön, joka toimii kotiavustajana tai hoitoapulaisena tämän lain voimaan tullessa, sovelletaan tämän lain voimaan tullessa voimassa olleita säännöksiä. </w:t>
                </w:r>
              </w:p>
              <w:p w14:paraId="16967F8F" w14:textId="2DE7317D" w:rsidR="003501F6" w:rsidRPr="00656C8A" w:rsidRDefault="003501F6" w:rsidP="003501F6">
                <w:pPr>
                  <w:pStyle w:val="LLKappalejako"/>
                </w:pPr>
                <w:r w:rsidRPr="003501F6">
                  <w:t xml:space="preserve">Lain 20 §:n 2 momentissa säädettyä henkilöstömitoitusta sovelletaan 1 päivästä </w:t>
                </w:r>
                <w:r w:rsidRPr="00F25273">
                  <w:rPr>
                    <w:i/>
                  </w:rPr>
                  <w:t>joulukuuta</w:t>
                </w:r>
                <w:r w:rsidRPr="003501F6">
                  <w:t xml:space="preserve"> 2023. Sitä ennen henkilöstömitoituksen on oltava vähintään 0,6 työntekijää asiakasta kohti </w:t>
                </w:r>
                <w:r w:rsidRPr="00F25273">
                  <w:rPr>
                    <w:i/>
                  </w:rPr>
                  <w:t>ja 1 päivästä huhtikuuta 2023 vähintään 0,65 työntekijää asiakasta kohti</w:t>
                </w:r>
                <w:r w:rsidRPr="003501F6">
                  <w:t>.</w:t>
                </w:r>
              </w:p>
              <w:p w14:paraId="15FD178F" w14:textId="77777777" w:rsidR="00656C8A" w:rsidRPr="00656C8A" w:rsidRDefault="00656C8A" w:rsidP="00656C8A">
                <w:pPr>
                  <w:pStyle w:val="LLKappalejako"/>
                </w:pPr>
                <w:r w:rsidRPr="00656C8A">
                  <w:t xml:space="preserve">Lain 20 §:n 2 momenttia sovelletaan pitkäaikaisen laitoshoidon toimintayksiköihin 31 päivään joulukuuta 2027. </w:t>
                </w:r>
              </w:p>
              <w:p w14:paraId="7A2F21D9" w14:textId="07285A5C" w:rsidR="00656C8A" w:rsidRDefault="00656C8A" w:rsidP="00656C8A">
                <w:pPr>
                  <w:pStyle w:val="LLKappalejako"/>
                </w:pPr>
                <w:r w:rsidRPr="00656C8A">
                  <w:t>Lain 24 a §:n 2 momentissa tarkoitettu asiakaskysely toteutetaan ensimmäisen kerran vuonna 2024.</w:t>
                </w:r>
              </w:p>
              <w:p w14:paraId="321F2C5A" w14:textId="4976631F" w:rsidR="00656C8A" w:rsidRDefault="00656C8A" w:rsidP="00656C8A">
                <w:pPr>
                  <w:pStyle w:val="LLKappalejako"/>
                </w:pPr>
              </w:p>
              <w:p w14:paraId="70A3DC9F" w14:textId="5A3C5764" w:rsidR="00656C8A" w:rsidRDefault="00656C8A" w:rsidP="00656C8A">
                <w:pPr>
                  <w:pStyle w:val="LLNormaali"/>
                  <w:jc w:val="center"/>
                </w:pPr>
                <w:r>
                  <w:t>———</w:t>
                </w:r>
              </w:p>
              <w:p w14:paraId="2DF73C56" w14:textId="5F8052C5" w:rsidR="002D62BF" w:rsidRPr="00325E50" w:rsidRDefault="00B20FDD" w:rsidP="00656C8A">
                <w:pPr>
                  <w:pStyle w:val="LLPykala"/>
                  <w:rPr>
                    <w:i/>
                  </w:rPr>
                </w:pPr>
                <w:r w:rsidRPr="00325E50">
                  <w:rPr>
                    <w:i/>
                  </w:rPr>
                  <w:t xml:space="preserve">Tämä laki tulee voimaan </w:t>
                </w:r>
                <w:r w:rsidR="00656C8A" w:rsidRPr="00325E50">
                  <w:rPr>
                    <w:i/>
                  </w:rPr>
                  <w:t xml:space="preserve">päivänä   kuuta </w:t>
                </w:r>
                <w:proofErr w:type="gramStart"/>
                <w:r w:rsidR="00656C8A" w:rsidRPr="00325E50">
                  <w:rPr>
                    <w:i/>
                  </w:rPr>
                  <w:t>20  .</w:t>
                </w:r>
                <w:proofErr w:type="gramEnd"/>
              </w:p>
              <w:p w14:paraId="1DD6C04E" w14:textId="2EBA2B3A" w:rsidR="00656C8A" w:rsidRPr="00656C8A" w:rsidRDefault="003501F6" w:rsidP="003501F6">
                <w:pPr>
                  <w:pStyle w:val="LLNormaali"/>
                  <w:jc w:val="center"/>
                </w:pPr>
                <w:r>
                  <w:t>—————</w:t>
                </w:r>
              </w:p>
            </w:tc>
          </w:tr>
        </w:tbl>
        <w:p w14:paraId="4D725913" w14:textId="77777777" w:rsidR="00247DAA" w:rsidRDefault="00166E48"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B574" w14:textId="77777777" w:rsidR="00166E48" w:rsidRDefault="00166E48">
      <w:r>
        <w:separator/>
      </w:r>
    </w:p>
  </w:endnote>
  <w:endnote w:type="continuationSeparator" w:id="0">
    <w:p w14:paraId="12449E8D" w14:textId="77777777" w:rsidR="00166E48" w:rsidRDefault="00166E48">
      <w:r>
        <w:continuationSeparator/>
      </w:r>
    </w:p>
  </w:endnote>
  <w:endnote w:type="continuationNotice" w:id="1">
    <w:p w14:paraId="6218CC8A" w14:textId="77777777" w:rsidR="00166E48" w:rsidRDefault="00166E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E2A1" w14:textId="77777777" w:rsidR="00783860" w:rsidRDefault="0078386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A0E0544" w14:textId="77777777" w:rsidR="00783860" w:rsidRDefault="007838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86" w:type="dxa"/>
      <w:tblBorders>
        <w:insideH w:val="single" w:sz="4" w:space="0" w:color="auto"/>
      </w:tblBorders>
      <w:tblLayout w:type="fixed"/>
      <w:tblLook w:val="01E0" w:firstRow="1" w:lastRow="1" w:firstColumn="1" w:lastColumn="1" w:noHBand="0" w:noVBand="0"/>
    </w:tblPr>
    <w:tblGrid>
      <w:gridCol w:w="2828"/>
      <w:gridCol w:w="2829"/>
      <w:gridCol w:w="2829"/>
    </w:tblGrid>
    <w:tr w:rsidR="00783860" w14:paraId="301FEE94" w14:textId="77777777" w:rsidTr="00305851">
      <w:trPr>
        <w:trHeight w:hRule="exact" w:val="356"/>
      </w:trPr>
      <w:tc>
        <w:tcPr>
          <w:tcW w:w="2828" w:type="dxa"/>
          <w:shd w:val="clear" w:color="auto" w:fill="auto"/>
          <w:vAlign w:val="bottom"/>
        </w:tcPr>
        <w:p w14:paraId="394762CE" w14:textId="77777777" w:rsidR="00783860" w:rsidRPr="000C5020" w:rsidRDefault="00783860" w:rsidP="001310B9">
          <w:pPr>
            <w:pStyle w:val="Alatunniste"/>
            <w:rPr>
              <w:sz w:val="18"/>
              <w:szCs w:val="18"/>
            </w:rPr>
          </w:pPr>
        </w:p>
      </w:tc>
      <w:tc>
        <w:tcPr>
          <w:tcW w:w="2829" w:type="dxa"/>
          <w:shd w:val="clear" w:color="auto" w:fill="auto"/>
          <w:vAlign w:val="bottom"/>
        </w:tcPr>
        <w:p w14:paraId="02A6487D" w14:textId="616FA426" w:rsidR="00783860" w:rsidRPr="000C5020" w:rsidRDefault="0078386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029E2">
            <w:rPr>
              <w:rStyle w:val="Sivunumero"/>
              <w:noProof/>
              <w:sz w:val="22"/>
            </w:rPr>
            <w:t>2</w:t>
          </w:r>
          <w:r w:rsidRPr="000C5020">
            <w:rPr>
              <w:rStyle w:val="Sivunumero"/>
              <w:sz w:val="22"/>
            </w:rPr>
            <w:fldChar w:fldCharType="end"/>
          </w:r>
        </w:p>
      </w:tc>
      <w:tc>
        <w:tcPr>
          <w:tcW w:w="2829" w:type="dxa"/>
          <w:shd w:val="clear" w:color="auto" w:fill="auto"/>
          <w:vAlign w:val="bottom"/>
        </w:tcPr>
        <w:p w14:paraId="40379A1C" w14:textId="77777777" w:rsidR="00783860" w:rsidRPr="000C5020" w:rsidRDefault="00783860" w:rsidP="001310B9">
          <w:pPr>
            <w:pStyle w:val="Alatunniste"/>
            <w:rPr>
              <w:sz w:val="18"/>
              <w:szCs w:val="18"/>
            </w:rPr>
          </w:pPr>
        </w:p>
      </w:tc>
    </w:tr>
  </w:tbl>
  <w:p w14:paraId="5CC0FC52" w14:textId="77777777" w:rsidR="00783860" w:rsidRDefault="0078386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83860" w14:paraId="245F6C7A" w14:textId="77777777" w:rsidTr="000C5020">
      <w:trPr>
        <w:trHeight w:val="841"/>
      </w:trPr>
      <w:tc>
        <w:tcPr>
          <w:tcW w:w="2829" w:type="dxa"/>
          <w:shd w:val="clear" w:color="auto" w:fill="auto"/>
        </w:tcPr>
        <w:p w14:paraId="2AA1558D" w14:textId="77777777" w:rsidR="00783860" w:rsidRPr="000C5020" w:rsidRDefault="00783860" w:rsidP="005224A0">
          <w:pPr>
            <w:pStyle w:val="Alatunniste"/>
            <w:rPr>
              <w:sz w:val="17"/>
              <w:szCs w:val="18"/>
            </w:rPr>
          </w:pPr>
        </w:p>
      </w:tc>
      <w:tc>
        <w:tcPr>
          <w:tcW w:w="2829" w:type="dxa"/>
          <w:shd w:val="clear" w:color="auto" w:fill="auto"/>
          <w:vAlign w:val="bottom"/>
        </w:tcPr>
        <w:p w14:paraId="0A5BCAE8" w14:textId="77777777" w:rsidR="00783860" w:rsidRPr="000C5020" w:rsidRDefault="00783860" w:rsidP="000C5020">
          <w:pPr>
            <w:pStyle w:val="Alatunniste"/>
            <w:jc w:val="center"/>
            <w:rPr>
              <w:sz w:val="22"/>
              <w:szCs w:val="22"/>
            </w:rPr>
          </w:pPr>
        </w:p>
      </w:tc>
      <w:tc>
        <w:tcPr>
          <w:tcW w:w="2829" w:type="dxa"/>
          <w:shd w:val="clear" w:color="auto" w:fill="auto"/>
        </w:tcPr>
        <w:p w14:paraId="7E83E119" w14:textId="77777777" w:rsidR="00783860" w:rsidRPr="000C5020" w:rsidRDefault="00783860" w:rsidP="005224A0">
          <w:pPr>
            <w:pStyle w:val="Alatunniste"/>
            <w:rPr>
              <w:sz w:val="17"/>
              <w:szCs w:val="18"/>
            </w:rPr>
          </w:pPr>
        </w:p>
      </w:tc>
    </w:tr>
  </w:tbl>
  <w:p w14:paraId="7BD1497A" w14:textId="77777777" w:rsidR="00783860" w:rsidRPr="001310B9" w:rsidRDefault="00783860">
    <w:pPr>
      <w:pStyle w:val="Alatunniste"/>
      <w:rPr>
        <w:sz w:val="22"/>
        <w:szCs w:val="22"/>
      </w:rPr>
    </w:pPr>
  </w:p>
  <w:p w14:paraId="26FCC043" w14:textId="77777777" w:rsidR="00783860" w:rsidRDefault="007838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F75F" w14:textId="77777777" w:rsidR="00166E48" w:rsidRDefault="00166E48">
      <w:r>
        <w:separator/>
      </w:r>
    </w:p>
  </w:footnote>
  <w:footnote w:type="continuationSeparator" w:id="0">
    <w:p w14:paraId="202EA503" w14:textId="77777777" w:rsidR="00166E48" w:rsidRDefault="00166E48">
      <w:r>
        <w:continuationSeparator/>
      </w:r>
    </w:p>
  </w:footnote>
  <w:footnote w:type="continuationNotice" w:id="1">
    <w:p w14:paraId="3550C111" w14:textId="77777777" w:rsidR="00166E48" w:rsidRDefault="00166E48">
      <w:pPr>
        <w:spacing w:line="240" w:lineRule="auto"/>
      </w:pPr>
    </w:p>
  </w:footnote>
  <w:footnote w:id="2">
    <w:p w14:paraId="13FF714A" w14:textId="7B700912" w:rsidR="00783860" w:rsidRDefault="00783860">
      <w:pPr>
        <w:pStyle w:val="Alaviitteenteksti"/>
      </w:pPr>
      <w:r>
        <w:rPr>
          <w:rStyle w:val="Alaviitteenviite"/>
        </w:rPr>
        <w:footnoteRef/>
      </w:r>
      <w:r>
        <w:t xml:space="preserve"> </w:t>
      </w:r>
      <w:r w:rsidRPr="00783860">
        <w:t xml:space="preserve">https://thl.fi/fi/-/thl-n-seuranta-vanhusten-ymparivuorokautiseen-hoitoon-tarvittaisiin-kevaaseen-mennessa-3-400-hoitajaa-lisaa-rekrytointi-vaikeaa   </w:t>
      </w:r>
    </w:p>
  </w:footnote>
  <w:footnote w:id="3">
    <w:p w14:paraId="28E521EF" w14:textId="5D430724" w:rsidR="00783860" w:rsidRDefault="00783860">
      <w:pPr>
        <w:pStyle w:val="Alaviitteenteksti"/>
      </w:pPr>
      <w:r>
        <w:rPr>
          <w:rStyle w:val="Alaviitteenviite"/>
        </w:rPr>
        <w:footnoteRef/>
      </w:r>
      <w:r>
        <w:t xml:space="preserve"> </w:t>
      </w:r>
      <w:r w:rsidRPr="00783860">
        <w:t>https://www.ttl.fi/tyoelaman-suunta/politiikkasuositukset/politiikkasuositus-vanhustyon-eettinen-kuormitus-vahenee-panostamalla-tyohyvinvointiin</w:t>
      </w:r>
    </w:p>
  </w:footnote>
  <w:footnote w:id="4">
    <w:p w14:paraId="18D56576" w14:textId="77777777" w:rsidR="00783860" w:rsidRDefault="00783860" w:rsidP="00EF2FAE">
      <w:pPr>
        <w:pStyle w:val="Alaviitteenteksti"/>
      </w:pPr>
      <w:r>
        <w:rPr>
          <w:rStyle w:val="Alaviitteenviite"/>
        </w:rPr>
        <w:footnoteRef/>
      </w:r>
      <w:r>
        <w:t xml:space="preserve"> </w:t>
      </w:r>
      <w:r w:rsidRPr="002935AF">
        <w:t xml:space="preserve">Esimerkiksi 0,68 mitoituksen toteuttaneen toimintayksikön lisähenkilöstötarve = laskennallinen lisätyöpanos, jota tarvitaan nostamaan mitoitusta 0,02:lla. Lisätarve lasketaan välittömästä </w:t>
      </w:r>
      <w:r>
        <w:t>asiakas</w:t>
      </w:r>
      <w:r w:rsidRPr="002935AF">
        <w:t xml:space="preserve">työstä ja pyöristetään yksikkötasolla seuraavaan 0,5 laskennalliseen henkilöön. Kun yksiköiden pyöristetyt lisätarpeet summataan yhteen, saadaan välittömän </w:t>
      </w:r>
      <w:r>
        <w:t>asiakas</w:t>
      </w:r>
      <w:r w:rsidRPr="002935AF">
        <w:t xml:space="preserve">työn kokonaislisäystarve kaikille mitoituksen alittaville yksiköille </w:t>
      </w:r>
    </w:p>
  </w:footnote>
  <w:footnote w:id="5">
    <w:p w14:paraId="4DA20DA6" w14:textId="77777777" w:rsidR="00783860" w:rsidRDefault="00783860" w:rsidP="00EF2FAE">
      <w:pPr>
        <w:pStyle w:val="Alaviitteenteksti"/>
      </w:pPr>
      <w:r>
        <w:rPr>
          <w:rStyle w:val="Alaviitteenviite"/>
        </w:rPr>
        <w:footnoteRef/>
      </w:r>
      <w:r>
        <w:t xml:space="preserve"> Myös alkuperäisessä laskelmassa kustannukset laskettiin erikseen julkisen ja yksityisen sektorin osalta. On kuitenkin mahdollista, että kovassa kilpailutilanteessa palkat eri sektoreilla tasaantuisivat.</w:t>
      </w:r>
    </w:p>
  </w:footnote>
  <w:footnote w:id="6">
    <w:p w14:paraId="5CF27278" w14:textId="77777777" w:rsidR="00783860" w:rsidRPr="003B7D80" w:rsidRDefault="00783860" w:rsidP="00EF2FAE">
      <w:pPr>
        <w:pStyle w:val="Alaviitteenteksti"/>
      </w:pPr>
      <w:r w:rsidRPr="003B7D80">
        <w:rPr>
          <w:rStyle w:val="Alaviitteenviite"/>
        </w:rPr>
        <w:footnoteRef/>
      </w:r>
      <w:r w:rsidRPr="003B7D80">
        <w:t xml:space="preserve"> Julkisen sektorin ammattikohtaiset palkat syksyltä 2021 perustuvat Tilastokeskuksen Kuntasektorin palkkatilastoon. Laskentaan tarvittavat tiedot (ml. tiedot sivukuluista ja sopimuskorotuksista) on saatu </w:t>
      </w:r>
      <w:proofErr w:type="spellStart"/>
      <w:r w:rsidRPr="003B7D80">
        <w:t>KT:lta</w:t>
      </w:r>
      <w:proofErr w:type="spellEnd"/>
      <w:r w:rsidRPr="003B7D80">
        <w:t xml:space="preserve">. Tiedot koskevat toimialoja Ikääntyneiden hoitolaitokset ja Ikääntyneiden palveluasuminen (koodit 87101 ja 87301).  </w:t>
      </w:r>
      <w:r>
        <w:t xml:space="preserve">Yksityisen sektorin palkkatiedot vuodelta 2021 on saatu </w:t>
      </w:r>
      <w:r w:rsidRPr="00AD2591">
        <w:t>Hyvinvointiala HALI ry</w:t>
      </w:r>
      <w:r>
        <w:t>:ltä (koskevat koko sosiaalialaa).</w:t>
      </w:r>
    </w:p>
  </w:footnote>
  <w:footnote w:id="7">
    <w:p w14:paraId="5C1E4547" w14:textId="77777777" w:rsidR="00783860" w:rsidRPr="001704EF" w:rsidRDefault="00783860" w:rsidP="00EF2FAE">
      <w:pPr>
        <w:pStyle w:val="Alaviitteenteksti"/>
      </w:pPr>
      <w:r>
        <w:rPr>
          <w:rStyle w:val="Alaviitteenviite"/>
        </w:rPr>
        <w:footnoteRef/>
      </w:r>
      <w:r>
        <w:t xml:space="preserve"> Peruspalvelujen hintaindeksi on julkaistu </w:t>
      </w:r>
      <w:r w:rsidRPr="001704EF">
        <w:t>Kuntatalousohjelma</w:t>
      </w:r>
      <w:r>
        <w:t>ssa (</w:t>
      </w:r>
      <w:hyperlink r:id="rId1" w:history="1">
        <w:r w:rsidRPr="005B5155">
          <w:rPr>
            <w:rStyle w:val="Hyperlinkki"/>
          </w:rPr>
          <w:t>https://julkaisut.valtioneuvosto.fi/bitstream/handle/10024/164342/VM_2022_57.pdf?sequence=11&amp;isAllowed=y</w:t>
        </w:r>
      </w:hyperlink>
      <w:r>
        <w:t xml:space="preserve">) ja hyvinvointialueiden hintaindeksi </w:t>
      </w:r>
      <w:r w:rsidRPr="001704EF">
        <w:t>v</w:t>
      </w:r>
      <w:r>
        <w:t>uoden</w:t>
      </w:r>
      <w:r w:rsidRPr="001704EF">
        <w:t xml:space="preserve"> 2023 talousarvioesity</w:t>
      </w:r>
      <w:r>
        <w:t>ksessä (</w:t>
      </w:r>
      <w:hyperlink r:id="rId2" w:history="1">
        <w:r w:rsidRPr="005B5155">
          <w:rPr>
            <w:rStyle w:val="Hyperlinkki"/>
          </w:rPr>
          <w:t>https://budjetti.vm.fi/indox/sisalto.jsp?year=2023&amp;lang=fi&amp;maindoc=/2023/tae/hallituksenEsitys/hallituksenEsitys.xml&amp;opennode=0:1:3:79:81</w:t>
        </w:r>
      </w:hyperlink>
      <w:r w:rsidRPr="001704EF">
        <w:t>:</w:t>
      </w:r>
      <w:r>
        <w:t xml:space="preserve">) </w:t>
      </w:r>
    </w:p>
    <w:p w14:paraId="10548CE9" w14:textId="77777777" w:rsidR="00783860" w:rsidRPr="001704EF" w:rsidRDefault="00783860" w:rsidP="00EF2FAE">
      <w:pPr>
        <w:pStyle w:val="Alaviitteenteksti"/>
      </w:pPr>
    </w:p>
  </w:footnote>
  <w:footnote w:id="8">
    <w:p w14:paraId="16AE9180" w14:textId="77777777" w:rsidR="00783860" w:rsidRPr="003B7D80" w:rsidRDefault="00783860" w:rsidP="00EF2FAE">
      <w:pPr>
        <w:pStyle w:val="Alaviitteenteksti"/>
      </w:pPr>
      <w:r>
        <w:rPr>
          <w:rStyle w:val="Alaviitteenviite"/>
        </w:rPr>
        <w:footnoteRef/>
      </w:r>
      <w:r w:rsidRPr="003B7D80">
        <w:t xml:space="preserve"> HE 4/2020 ja HE 231/2021.</w:t>
      </w:r>
    </w:p>
  </w:footnote>
  <w:footnote w:id="9">
    <w:p w14:paraId="4210A096" w14:textId="77777777" w:rsidR="00783860" w:rsidRDefault="00783860" w:rsidP="00EF2FAE">
      <w:pPr>
        <w:pStyle w:val="Alaviitteenteksti"/>
      </w:pPr>
      <w:r>
        <w:rPr>
          <w:rStyle w:val="Alaviitteenviite"/>
        </w:rPr>
        <w:footnoteRef/>
      </w:r>
      <w:r>
        <w:t xml:space="preserve"> </w:t>
      </w:r>
      <w:r w:rsidRPr="003B7D80">
        <w:t>https://www.keva.fi/uutiset-ja-artikkelit/kuntien-tyovoimaennuste-2030-hoitajissa-sosiaalityontekijoissa-ja-lastentarhanopettajissa-suurin-osaa-japula-nyt-ja-tulevaisuudessa/.</w:t>
      </w:r>
    </w:p>
  </w:footnote>
  <w:footnote w:id="10">
    <w:p w14:paraId="12ED601B" w14:textId="77777777" w:rsidR="00783860" w:rsidRDefault="00783860" w:rsidP="00EF2FAE">
      <w:pPr>
        <w:pStyle w:val="Alaviitteenteksti"/>
      </w:pPr>
      <w:r>
        <w:rPr>
          <w:rStyle w:val="Alaviitteenviite"/>
        </w:rPr>
        <w:footnoteRef/>
      </w:r>
      <w:r>
        <w:t xml:space="preserve"> </w:t>
      </w:r>
      <w:r w:rsidRPr="003B7D80">
        <w:t>https://www.kt.fi/uutiset-ja-tiedotteet/2020/sote-alan-henkiloston-alanvaihto-vahaista</w:t>
      </w:r>
    </w:p>
  </w:footnote>
  <w:footnote w:id="11">
    <w:p w14:paraId="378C9578" w14:textId="77777777" w:rsidR="00783860" w:rsidRDefault="00783860" w:rsidP="00EF2FAE">
      <w:pPr>
        <w:pStyle w:val="Alaviitteenteksti"/>
      </w:pPr>
      <w:r>
        <w:rPr>
          <w:rStyle w:val="Alaviitteenviite"/>
        </w:rPr>
        <w:footnoteRef/>
      </w:r>
      <w:r>
        <w:t xml:space="preserve"> Helsinki GSE on tekemässä tutkimusta, mutta sitä ei ole vielä julkistettu.</w:t>
      </w:r>
    </w:p>
  </w:footnote>
  <w:footnote w:id="12">
    <w:p w14:paraId="274EF623" w14:textId="77777777" w:rsidR="00783860" w:rsidRDefault="00783860" w:rsidP="00EF2FAE">
      <w:pPr>
        <w:pStyle w:val="Alaviitteenteksti"/>
      </w:pPr>
      <w:r>
        <w:rPr>
          <w:rStyle w:val="Alaviitteenviite"/>
        </w:rPr>
        <w:footnoteRef/>
      </w:r>
      <w:r>
        <w:t xml:space="preserve"> </w:t>
      </w:r>
      <w:r w:rsidRPr="00A2555B">
        <w:t>https://stm.fi/-/sosiaali-ja-terveydenhuollon-henkiloston-riittavyyden-ja-saatavuuden-ohjelma-alkaa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83860" w14:paraId="32F40A1C" w14:textId="77777777" w:rsidTr="00C95716">
      <w:tc>
        <w:tcPr>
          <w:tcW w:w="2140" w:type="dxa"/>
        </w:tcPr>
        <w:p w14:paraId="37761240" w14:textId="77777777" w:rsidR="00783860" w:rsidRDefault="00783860" w:rsidP="00C95716">
          <w:pPr>
            <w:rPr>
              <w:lang w:val="en-US"/>
            </w:rPr>
          </w:pPr>
        </w:p>
      </w:tc>
      <w:tc>
        <w:tcPr>
          <w:tcW w:w="4281" w:type="dxa"/>
          <w:gridSpan w:val="2"/>
        </w:tcPr>
        <w:p w14:paraId="47A6E19D" w14:textId="10E1445C" w:rsidR="00783860" w:rsidRDefault="002029E2" w:rsidP="00C95716">
          <w:pPr>
            <w:jc w:val="center"/>
          </w:pPr>
          <w:r>
            <w:t>LUONNOS 17.10.2022</w:t>
          </w:r>
        </w:p>
      </w:tc>
      <w:tc>
        <w:tcPr>
          <w:tcW w:w="2141" w:type="dxa"/>
        </w:tcPr>
        <w:p w14:paraId="682A1EFF" w14:textId="77777777" w:rsidR="00783860" w:rsidRDefault="00783860" w:rsidP="00C95716">
          <w:pPr>
            <w:rPr>
              <w:lang w:val="en-US"/>
            </w:rPr>
          </w:pPr>
        </w:p>
      </w:tc>
    </w:tr>
    <w:tr w:rsidR="00783860" w14:paraId="2C28711C" w14:textId="77777777" w:rsidTr="00C95716">
      <w:tc>
        <w:tcPr>
          <w:tcW w:w="4281" w:type="dxa"/>
          <w:gridSpan w:val="2"/>
        </w:tcPr>
        <w:p w14:paraId="5734961C" w14:textId="77777777" w:rsidR="00783860" w:rsidRPr="00AC3BA6" w:rsidRDefault="00783860" w:rsidP="00C95716">
          <w:pPr>
            <w:rPr>
              <w:i/>
            </w:rPr>
          </w:pPr>
        </w:p>
      </w:tc>
      <w:tc>
        <w:tcPr>
          <w:tcW w:w="4281" w:type="dxa"/>
          <w:gridSpan w:val="2"/>
        </w:tcPr>
        <w:p w14:paraId="176F8405" w14:textId="77777777" w:rsidR="00783860" w:rsidRPr="00AC3BA6" w:rsidRDefault="00783860" w:rsidP="00C95716">
          <w:pPr>
            <w:rPr>
              <w:i/>
            </w:rPr>
          </w:pPr>
        </w:p>
      </w:tc>
    </w:tr>
  </w:tbl>
  <w:p w14:paraId="268808FA" w14:textId="77777777" w:rsidR="00783860" w:rsidRDefault="0078386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83860" w14:paraId="33D9023D" w14:textId="77777777" w:rsidTr="00F674CC">
      <w:tc>
        <w:tcPr>
          <w:tcW w:w="2140" w:type="dxa"/>
        </w:tcPr>
        <w:p w14:paraId="0326C157" w14:textId="1713CBA3" w:rsidR="00783860" w:rsidRPr="00A34F4E" w:rsidRDefault="00783860" w:rsidP="00F674CC"/>
      </w:tc>
      <w:tc>
        <w:tcPr>
          <w:tcW w:w="4281" w:type="dxa"/>
          <w:gridSpan w:val="2"/>
        </w:tcPr>
        <w:p w14:paraId="00D3E314" w14:textId="27ABAC21" w:rsidR="00783860" w:rsidRDefault="002029E2" w:rsidP="00F674CC">
          <w:pPr>
            <w:jc w:val="center"/>
          </w:pPr>
          <w:r>
            <w:t>LUONNOS 17.10.2022</w:t>
          </w:r>
        </w:p>
      </w:tc>
      <w:tc>
        <w:tcPr>
          <w:tcW w:w="2141" w:type="dxa"/>
        </w:tcPr>
        <w:p w14:paraId="5BBB19C8" w14:textId="77777777" w:rsidR="00783860" w:rsidRPr="00A34F4E" w:rsidRDefault="00783860" w:rsidP="00F674CC"/>
      </w:tc>
    </w:tr>
    <w:tr w:rsidR="00783860" w14:paraId="44668F54" w14:textId="77777777" w:rsidTr="00F674CC">
      <w:tc>
        <w:tcPr>
          <w:tcW w:w="4281" w:type="dxa"/>
          <w:gridSpan w:val="2"/>
        </w:tcPr>
        <w:p w14:paraId="2737BD2C" w14:textId="77777777" w:rsidR="00783860" w:rsidRPr="00AC3BA6" w:rsidRDefault="00783860" w:rsidP="00F674CC">
          <w:pPr>
            <w:rPr>
              <w:i/>
            </w:rPr>
          </w:pPr>
        </w:p>
      </w:tc>
      <w:tc>
        <w:tcPr>
          <w:tcW w:w="4281" w:type="dxa"/>
          <w:gridSpan w:val="2"/>
        </w:tcPr>
        <w:p w14:paraId="206100C0" w14:textId="77777777" w:rsidR="00783860" w:rsidRPr="00AC3BA6" w:rsidRDefault="00783860" w:rsidP="00F674CC">
          <w:pPr>
            <w:rPr>
              <w:i/>
            </w:rPr>
          </w:pPr>
        </w:p>
      </w:tc>
    </w:tr>
  </w:tbl>
  <w:p w14:paraId="2D957198" w14:textId="77777777" w:rsidR="00783860" w:rsidRDefault="0078386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1F46E0"/>
    <w:multiLevelType w:val="hybridMultilevel"/>
    <w:tmpl w:val="9154BBD8"/>
    <w:lvl w:ilvl="0" w:tplc="5A0E2DEE">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134CB07E">
      <w:numFmt w:val="bullet"/>
      <w:lvlText w:val=""/>
      <w:lvlJc w:val="left"/>
      <w:pPr>
        <w:ind w:left="1800" w:hanging="360"/>
      </w:pPr>
      <w:rPr>
        <w:rFonts w:ascii="Wingdings" w:eastAsia="Times New Roman" w:hAnsi="Wingdings" w:cs="Times New Roman"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3A86FD3"/>
    <w:multiLevelType w:val="multilevel"/>
    <w:tmpl w:val="76AC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523B2"/>
    <w:multiLevelType w:val="hybridMultilevel"/>
    <w:tmpl w:val="4C56114C"/>
    <w:lvl w:ilvl="0" w:tplc="8C7CD7E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B611716"/>
    <w:multiLevelType w:val="hybridMultilevel"/>
    <w:tmpl w:val="9E50CDDC"/>
    <w:lvl w:ilvl="0" w:tplc="D96C8CF2">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5"/>
  </w:num>
  <w:num w:numId="16">
    <w:abstractNumId w:val="5"/>
    <w:lvlOverride w:ilvl="0">
      <w:startOverride w:val="1"/>
    </w:lvlOverride>
  </w:num>
  <w:num w:numId="17">
    <w:abstractNumId w:val="7"/>
    <w:lvlOverride w:ilvl="0">
      <w:startOverride w:val="1"/>
    </w:lvlOverride>
  </w:num>
  <w:num w:numId="18">
    <w:abstractNumId w:val="6"/>
  </w:num>
  <w:num w:numId="19">
    <w:abstractNumId w:val="8"/>
  </w:num>
  <w:num w:numId="20">
    <w:abstractNumId w:val="13"/>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4"/>
  </w:num>
  <w:num w:numId="24">
    <w:abstractNumId w:val="3"/>
  </w:num>
  <w:num w:numId="25">
    <w:abstractNumId w:val="1"/>
  </w:num>
  <w:num w:numId="2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E5"/>
    <w:rsid w:val="000006ED"/>
    <w:rsid w:val="00000B13"/>
    <w:rsid w:val="00000D79"/>
    <w:rsid w:val="00001C65"/>
    <w:rsid w:val="000026A6"/>
    <w:rsid w:val="00002765"/>
    <w:rsid w:val="00003D02"/>
    <w:rsid w:val="000046E8"/>
    <w:rsid w:val="0000497A"/>
    <w:rsid w:val="00005736"/>
    <w:rsid w:val="00005D22"/>
    <w:rsid w:val="00007C03"/>
    <w:rsid w:val="00007EA2"/>
    <w:rsid w:val="00012145"/>
    <w:rsid w:val="000131D0"/>
    <w:rsid w:val="0001433B"/>
    <w:rsid w:val="00014461"/>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4FF0"/>
    <w:rsid w:val="0003652F"/>
    <w:rsid w:val="000370C8"/>
    <w:rsid w:val="00040D23"/>
    <w:rsid w:val="0004360C"/>
    <w:rsid w:val="00043723"/>
    <w:rsid w:val="00043F6F"/>
    <w:rsid w:val="00044A1B"/>
    <w:rsid w:val="00044AC1"/>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05C8"/>
    <w:rsid w:val="000811EC"/>
    <w:rsid w:val="00081D3F"/>
    <w:rsid w:val="00081E1D"/>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3C0"/>
    <w:rsid w:val="000A75CB"/>
    <w:rsid w:val="000B0F5F"/>
    <w:rsid w:val="000B2410"/>
    <w:rsid w:val="000B43F5"/>
    <w:rsid w:val="000B6D79"/>
    <w:rsid w:val="000C13BA"/>
    <w:rsid w:val="000C13C6"/>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755"/>
    <w:rsid w:val="000D4882"/>
    <w:rsid w:val="000D4C28"/>
    <w:rsid w:val="000D5454"/>
    <w:rsid w:val="000D550A"/>
    <w:rsid w:val="000D6D2C"/>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23"/>
    <w:rsid w:val="00103ACA"/>
    <w:rsid w:val="00103C5F"/>
    <w:rsid w:val="001044A0"/>
    <w:rsid w:val="00104BDC"/>
    <w:rsid w:val="001063A9"/>
    <w:rsid w:val="00106FD6"/>
    <w:rsid w:val="0010701E"/>
    <w:rsid w:val="00107C32"/>
    <w:rsid w:val="00107FEC"/>
    <w:rsid w:val="00110E18"/>
    <w:rsid w:val="00111DE6"/>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392"/>
    <w:rsid w:val="00164B49"/>
    <w:rsid w:val="00165F63"/>
    <w:rsid w:val="00166459"/>
    <w:rsid w:val="00166E48"/>
    <w:rsid w:val="00167060"/>
    <w:rsid w:val="00167E6A"/>
    <w:rsid w:val="00170B5F"/>
    <w:rsid w:val="00171AEB"/>
    <w:rsid w:val="001729CF"/>
    <w:rsid w:val="00172F9D"/>
    <w:rsid w:val="0017311E"/>
    <w:rsid w:val="001737ED"/>
    <w:rsid w:val="00173F89"/>
    <w:rsid w:val="00174FCA"/>
    <w:rsid w:val="00175AD6"/>
    <w:rsid w:val="0017699B"/>
    <w:rsid w:val="00177976"/>
    <w:rsid w:val="0018022A"/>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2CF"/>
    <w:rsid w:val="001A5FE9"/>
    <w:rsid w:val="001A69B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0E8"/>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1109"/>
    <w:rsid w:val="001F2163"/>
    <w:rsid w:val="001F5DBC"/>
    <w:rsid w:val="001F6E1A"/>
    <w:rsid w:val="001F7A9D"/>
    <w:rsid w:val="00201395"/>
    <w:rsid w:val="002013EA"/>
    <w:rsid w:val="002029E2"/>
    <w:rsid w:val="0020339D"/>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080"/>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990"/>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A5D"/>
    <w:rsid w:val="00272D80"/>
    <w:rsid w:val="002733B9"/>
    <w:rsid w:val="00273F65"/>
    <w:rsid w:val="0027666C"/>
    <w:rsid w:val="002767A8"/>
    <w:rsid w:val="0027698E"/>
    <w:rsid w:val="00276C0A"/>
    <w:rsid w:val="00280153"/>
    <w:rsid w:val="00280A74"/>
    <w:rsid w:val="00283256"/>
    <w:rsid w:val="002836BD"/>
    <w:rsid w:val="0028520A"/>
    <w:rsid w:val="00285C56"/>
    <w:rsid w:val="00285F21"/>
    <w:rsid w:val="00286629"/>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5C1B"/>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E7FE5"/>
    <w:rsid w:val="002F036A"/>
    <w:rsid w:val="002F0B5A"/>
    <w:rsid w:val="002F0DA6"/>
    <w:rsid w:val="002F3ECD"/>
    <w:rsid w:val="002F47BF"/>
    <w:rsid w:val="002F486D"/>
    <w:rsid w:val="002F5A3F"/>
    <w:rsid w:val="002F690F"/>
    <w:rsid w:val="002F6F1C"/>
    <w:rsid w:val="0030010F"/>
    <w:rsid w:val="00301CFC"/>
    <w:rsid w:val="00302945"/>
    <w:rsid w:val="00302A04"/>
    <w:rsid w:val="00302A46"/>
    <w:rsid w:val="0030338C"/>
    <w:rsid w:val="00303A94"/>
    <w:rsid w:val="003042E3"/>
    <w:rsid w:val="0030433D"/>
    <w:rsid w:val="00304948"/>
    <w:rsid w:val="0030512D"/>
    <w:rsid w:val="00305851"/>
    <w:rsid w:val="00310D16"/>
    <w:rsid w:val="003115B9"/>
    <w:rsid w:val="00311A68"/>
    <w:rsid w:val="00312ED2"/>
    <w:rsid w:val="00313379"/>
    <w:rsid w:val="00313AF9"/>
    <w:rsid w:val="003141AB"/>
    <w:rsid w:val="0031475A"/>
    <w:rsid w:val="00314807"/>
    <w:rsid w:val="0031488F"/>
    <w:rsid w:val="00315799"/>
    <w:rsid w:val="00315CA3"/>
    <w:rsid w:val="0031770D"/>
    <w:rsid w:val="00317836"/>
    <w:rsid w:val="003206A2"/>
    <w:rsid w:val="0032557F"/>
    <w:rsid w:val="00325E50"/>
    <w:rsid w:val="00326029"/>
    <w:rsid w:val="0032663D"/>
    <w:rsid w:val="00327C20"/>
    <w:rsid w:val="0033013E"/>
    <w:rsid w:val="00331079"/>
    <w:rsid w:val="00332AFA"/>
    <w:rsid w:val="00334260"/>
    <w:rsid w:val="0033438A"/>
    <w:rsid w:val="00334B89"/>
    <w:rsid w:val="00334D23"/>
    <w:rsid w:val="00335B8E"/>
    <w:rsid w:val="00335E45"/>
    <w:rsid w:val="00336539"/>
    <w:rsid w:val="00336569"/>
    <w:rsid w:val="00337046"/>
    <w:rsid w:val="00337B35"/>
    <w:rsid w:val="00342547"/>
    <w:rsid w:val="00343148"/>
    <w:rsid w:val="003433C2"/>
    <w:rsid w:val="00343EC6"/>
    <w:rsid w:val="003501F6"/>
    <w:rsid w:val="0035308D"/>
    <w:rsid w:val="00353702"/>
    <w:rsid w:val="003540B1"/>
    <w:rsid w:val="003545B7"/>
    <w:rsid w:val="003569FE"/>
    <w:rsid w:val="00360341"/>
    <w:rsid w:val="00360460"/>
    <w:rsid w:val="00360578"/>
    <w:rsid w:val="00360E69"/>
    <w:rsid w:val="00361E8A"/>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0C"/>
    <w:rsid w:val="00381294"/>
    <w:rsid w:val="0038158D"/>
    <w:rsid w:val="0038398A"/>
    <w:rsid w:val="00384BEB"/>
    <w:rsid w:val="00385A06"/>
    <w:rsid w:val="00387266"/>
    <w:rsid w:val="0039043F"/>
    <w:rsid w:val="00390BBF"/>
    <w:rsid w:val="003920F1"/>
    <w:rsid w:val="00392B9C"/>
    <w:rsid w:val="00392BB4"/>
    <w:rsid w:val="0039392F"/>
    <w:rsid w:val="00393B53"/>
    <w:rsid w:val="00394176"/>
    <w:rsid w:val="003952E5"/>
    <w:rsid w:val="00396469"/>
    <w:rsid w:val="003972A4"/>
    <w:rsid w:val="00397A87"/>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1CB"/>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2C9"/>
    <w:rsid w:val="003D1C5B"/>
    <w:rsid w:val="003D6403"/>
    <w:rsid w:val="003D729C"/>
    <w:rsid w:val="003D7447"/>
    <w:rsid w:val="003E10C5"/>
    <w:rsid w:val="003E1A35"/>
    <w:rsid w:val="003E2774"/>
    <w:rsid w:val="003E3888"/>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3ED5"/>
    <w:rsid w:val="004340A9"/>
    <w:rsid w:val="004341D8"/>
    <w:rsid w:val="004348C9"/>
    <w:rsid w:val="004357BA"/>
    <w:rsid w:val="00436A88"/>
    <w:rsid w:val="00436DE1"/>
    <w:rsid w:val="00437F5E"/>
    <w:rsid w:val="00440007"/>
    <w:rsid w:val="00440C37"/>
    <w:rsid w:val="004417F1"/>
    <w:rsid w:val="00442197"/>
    <w:rsid w:val="00442C18"/>
    <w:rsid w:val="0044376A"/>
    <w:rsid w:val="00443949"/>
    <w:rsid w:val="00445534"/>
    <w:rsid w:val="00445B1B"/>
    <w:rsid w:val="00446423"/>
    <w:rsid w:val="004465E7"/>
    <w:rsid w:val="0045072D"/>
    <w:rsid w:val="00451B3B"/>
    <w:rsid w:val="00452280"/>
    <w:rsid w:val="00455041"/>
    <w:rsid w:val="004556A2"/>
    <w:rsid w:val="004558C8"/>
    <w:rsid w:val="00455974"/>
    <w:rsid w:val="00456368"/>
    <w:rsid w:val="0045667E"/>
    <w:rsid w:val="00456803"/>
    <w:rsid w:val="00457C55"/>
    <w:rsid w:val="00457D8E"/>
    <w:rsid w:val="00460201"/>
    <w:rsid w:val="0046089E"/>
    <w:rsid w:val="00460B8E"/>
    <w:rsid w:val="004612E9"/>
    <w:rsid w:val="004629A9"/>
    <w:rsid w:val="00463249"/>
    <w:rsid w:val="00463FD2"/>
    <w:rsid w:val="00465D7B"/>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5F2D"/>
    <w:rsid w:val="004967AF"/>
    <w:rsid w:val="004A089D"/>
    <w:rsid w:val="004A09D9"/>
    <w:rsid w:val="004A0D39"/>
    <w:rsid w:val="004A0D5E"/>
    <w:rsid w:val="004A0F88"/>
    <w:rsid w:val="004A1C19"/>
    <w:rsid w:val="004A20F3"/>
    <w:rsid w:val="004A2472"/>
    <w:rsid w:val="004A2A42"/>
    <w:rsid w:val="004A4DAB"/>
    <w:rsid w:val="004A58F9"/>
    <w:rsid w:val="004A5CEA"/>
    <w:rsid w:val="004A648F"/>
    <w:rsid w:val="004A6E42"/>
    <w:rsid w:val="004B1827"/>
    <w:rsid w:val="004B2C46"/>
    <w:rsid w:val="004B472D"/>
    <w:rsid w:val="004B4B00"/>
    <w:rsid w:val="004B5A50"/>
    <w:rsid w:val="004B7136"/>
    <w:rsid w:val="004B741F"/>
    <w:rsid w:val="004C0D8D"/>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CC7"/>
    <w:rsid w:val="004E0F73"/>
    <w:rsid w:val="004E2153"/>
    <w:rsid w:val="004E232B"/>
    <w:rsid w:val="004E5CEA"/>
    <w:rsid w:val="004E6355"/>
    <w:rsid w:val="004E6FF5"/>
    <w:rsid w:val="004F0FC8"/>
    <w:rsid w:val="004F1386"/>
    <w:rsid w:val="004F3408"/>
    <w:rsid w:val="004F37CF"/>
    <w:rsid w:val="004F4065"/>
    <w:rsid w:val="004F45E3"/>
    <w:rsid w:val="004F45F5"/>
    <w:rsid w:val="004F6D83"/>
    <w:rsid w:val="0050389C"/>
    <w:rsid w:val="005045AC"/>
    <w:rsid w:val="00505460"/>
    <w:rsid w:val="00507067"/>
    <w:rsid w:val="005078C4"/>
    <w:rsid w:val="00507AB7"/>
    <w:rsid w:val="00510785"/>
    <w:rsid w:val="005112AE"/>
    <w:rsid w:val="005121CA"/>
    <w:rsid w:val="0051296F"/>
    <w:rsid w:val="00512DBE"/>
    <w:rsid w:val="00513B2F"/>
    <w:rsid w:val="00513BE7"/>
    <w:rsid w:val="00515ED7"/>
    <w:rsid w:val="00516C58"/>
    <w:rsid w:val="0051737D"/>
    <w:rsid w:val="0051743C"/>
    <w:rsid w:val="00517AA6"/>
    <w:rsid w:val="00521077"/>
    <w:rsid w:val="005222A3"/>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7427"/>
    <w:rsid w:val="00550702"/>
    <w:rsid w:val="00551096"/>
    <w:rsid w:val="00552E1D"/>
    <w:rsid w:val="00553833"/>
    <w:rsid w:val="00553E1A"/>
    <w:rsid w:val="0055413D"/>
    <w:rsid w:val="005546EC"/>
    <w:rsid w:val="00554D30"/>
    <w:rsid w:val="00555017"/>
    <w:rsid w:val="00556BBA"/>
    <w:rsid w:val="00564047"/>
    <w:rsid w:val="00564DEC"/>
    <w:rsid w:val="005662AC"/>
    <w:rsid w:val="00567228"/>
    <w:rsid w:val="0057267A"/>
    <w:rsid w:val="005747C4"/>
    <w:rsid w:val="00574A50"/>
    <w:rsid w:val="005771EA"/>
    <w:rsid w:val="005815B1"/>
    <w:rsid w:val="005815CB"/>
    <w:rsid w:val="00581CED"/>
    <w:rsid w:val="005853E6"/>
    <w:rsid w:val="0058679B"/>
    <w:rsid w:val="005868EC"/>
    <w:rsid w:val="00587CD7"/>
    <w:rsid w:val="00590362"/>
    <w:rsid w:val="0059124A"/>
    <w:rsid w:val="00591464"/>
    <w:rsid w:val="00591743"/>
    <w:rsid w:val="0059209E"/>
    <w:rsid w:val="005926F7"/>
    <w:rsid w:val="00592912"/>
    <w:rsid w:val="00593173"/>
    <w:rsid w:val="00594ADA"/>
    <w:rsid w:val="00595AFC"/>
    <w:rsid w:val="005969C7"/>
    <w:rsid w:val="00597D82"/>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6132"/>
    <w:rsid w:val="005B7A21"/>
    <w:rsid w:val="005C021A"/>
    <w:rsid w:val="005C0F59"/>
    <w:rsid w:val="005C2199"/>
    <w:rsid w:val="005C28BF"/>
    <w:rsid w:val="005C2EC4"/>
    <w:rsid w:val="005C349C"/>
    <w:rsid w:val="005C4FE0"/>
    <w:rsid w:val="005C5D46"/>
    <w:rsid w:val="005C67D1"/>
    <w:rsid w:val="005C6E54"/>
    <w:rsid w:val="005C7BB3"/>
    <w:rsid w:val="005C7E83"/>
    <w:rsid w:val="005C7F12"/>
    <w:rsid w:val="005D03E4"/>
    <w:rsid w:val="005D0466"/>
    <w:rsid w:val="005D047B"/>
    <w:rsid w:val="005D15B5"/>
    <w:rsid w:val="005D1D26"/>
    <w:rsid w:val="005D2389"/>
    <w:rsid w:val="005D3BA2"/>
    <w:rsid w:val="005D443C"/>
    <w:rsid w:val="005D46A7"/>
    <w:rsid w:val="005D569A"/>
    <w:rsid w:val="005D5B30"/>
    <w:rsid w:val="005D752A"/>
    <w:rsid w:val="005E079F"/>
    <w:rsid w:val="005E0C8A"/>
    <w:rsid w:val="005E2844"/>
    <w:rsid w:val="005E491F"/>
    <w:rsid w:val="005E7444"/>
    <w:rsid w:val="005F248A"/>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5DB5"/>
    <w:rsid w:val="0062665A"/>
    <w:rsid w:val="0062698C"/>
    <w:rsid w:val="00627EE3"/>
    <w:rsid w:val="00630648"/>
    <w:rsid w:val="006309A0"/>
    <w:rsid w:val="0063318C"/>
    <w:rsid w:val="0063467F"/>
    <w:rsid w:val="00635303"/>
    <w:rsid w:val="006359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56C8A"/>
    <w:rsid w:val="0066014E"/>
    <w:rsid w:val="00660696"/>
    <w:rsid w:val="00660FA6"/>
    <w:rsid w:val="00661C40"/>
    <w:rsid w:val="00661CDA"/>
    <w:rsid w:val="00663774"/>
    <w:rsid w:val="006639E8"/>
    <w:rsid w:val="00664184"/>
    <w:rsid w:val="006652DD"/>
    <w:rsid w:val="0066592E"/>
    <w:rsid w:val="0066688F"/>
    <w:rsid w:val="006669BF"/>
    <w:rsid w:val="00670496"/>
    <w:rsid w:val="00671503"/>
    <w:rsid w:val="006718FD"/>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0"/>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4974"/>
    <w:rsid w:val="006C6BDE"/>
    <w:rsid w:val="006C7D1F"/>
    <w:rsid w:val="006D177C"/>
    <w:rsid w:val="006D225C"/>
    <w:rsid w:val="006D26D2"/>
    <w:rsid w:val="006D2EC0"/>
    <w:rsid w:val="006D3C8B"/>
    <w:rsid w:val="006D3E8F"/>
    <w:rsid w:val="006D4C55"/>
    <w:rsid w:val="006D642E"/>
    <w:rsid w:val="006D72D8"/>
    <w:rsid w:val="006E02F8"/>
    <w:rsid w:val="006E0967"/>
    <w:rsid w:val="006E0F42"/>
    <w:rsid w:val="006E17ED"/>
    <w:rsid w:val="006E45DD"/>
    <w:rsid w:val="006E498A"/>
    <w:rsid w:val="006E4E45"/>
    <w:rsid w:val="006E5405"/>
    <w:rsid w:val="006E56A2"/>
    <w:rsid w:val="006E5D8F"/>
    <w:rsid w:val="006E640F"/>
    <w:rsid w:val="006E6C84"/>
    <w:rsid w:val="006E6F46"/>
    <w:rsid w:val="006E7E9F"/>
    <w:rsid w:val="006F0B1A"/>
    <w:rsid w:val="006F0FE3"/>
    <w:rsid w:val="006F1114"/>
    <w:rsid w:val="006F1A2F"/>
    <w:rsid w:val="006F20FD"/>
    <w:rsid w:val="006F29B2"/>
    <w:rsid w:val="006F3115"/>
    <w:rsid w:val="006F3FB1"/>
    <w:rsid w:val="006F51F3"/>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0CB"/>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5878"/>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3860"/>
    <w:rsid w:val="007845C1"/>
    <w:rsid w:val="00784F86"/>
    <w:rsid w:val="00785D7E"/>
    <w:rsid w:val="00786460"/>
    <w:rsid w:val="007914C8"/>
    <w:rsid w:val="00796058"/>
    <w:rsid w:val="007961ED"/>
    <w:rsid w:val="0079674C"/>
    <w:rsid w:val="00797CFD"/>
    <w:rsid w:val="007A1F5B"/>
    <w:rsid w:val="007A452D"/>
    <w:rsid w:val="007A4A61"/>
    <w:rsid w:val="007A5B7D"/>
    <w:rsid w:val="007A5C1E"/>
    <w:rsid w:val="007A5C3B"/>
    <w:rsid w:val="007A5F41"/>
    <w:rsid w:val="007A61E1"/>
    <w:rsid w:val="007A669F"/>
    <w:rsid w:val="007A6BD2"/>
    <w:rsid w:val="007A700B"/>
    <w:rsid w:val="007A7D26"/>
    <w:rsid w:val="007B0AD9"/>
    <w:rsid w:val="007B2660"/>
    <w:rsid w:val="007B29BB"/>
    <w:rsid w:val="007B2DFB"/>
    <w:rsid w:val="007B3513"/>
    <w:rsid w:val="007B4171"/>
    <w:rsid w:val="007B47C4"/>
    <w:rsid w:val="007B52B9"/>
    <w:rsid w:val="007B5D24"/>
    <w:rsid w:val="007B6F03"/>
    <w:rsid w:val="007B6F82"/>
    <w:rsid w:val="007C05F6"/>
    <w:rsid w:val="007C1B99"/>
    <w:rsid w:val="007C3721"/>
    <w:rsid w:val="007C4D61"/>
    <w:rsid w:val="007C5DA4"/>
    <w:rsid w:val="007C6E98"/>
    <w:rsid w:val="007C7399"/>
    <w:rsid w:val="007C74D8"/>
    <w:rsid w:val="007C7A83"/>
    <w:rsid w:val="007D151B"/>
    <w:rsid w:val="007D16AC"/>
    <w:rsid w:val="007D1BDD"/>
    <w:rsid w:val="007D277B"/>
    <w:rsid w:val="007D28F1"/>
    <w:rsid w:val="007D331F"/>
    <w:rsid w:val="007D3A96"/>
    <w:rsid w:val="007D3C45"/>
    <w:rsid w:val="007D46F9"/>
    <w:rsid w:val="007D4C94"/>
    <w:rsid w:val="007D4DF4"/>
    <w:rsid w:val="007D4E10"/>
    <w:rsid w:val="007D7028"/>
    <w:rsid w:val="007D7967"/>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844"/>
    <w:rsid w:val="007F197F"/>
    <w:rsid w:val="007F260B"/>
    <w:rsid w:val="007F394E"/>
    <w:rsid w:val="007F46A7"/>
    <w:rsid w:val="007F5302"/>
    <w:rsid w:val="007F6115"/>
    <w:rsid w:val="007F6E4D"/>
    <w:rsid w:val="00800ADC"/>
    <w:rsid w:val="00801EDC"/>
    <w:rsid w:val="00803E18"/>
    <w:rsid w:val="00805B4C"/>
    <w:rsid w:val="00807643"/>
    <w:rsid w:val="008130D3"/>
    <w:rsid w:val="00814E3D"/>
    <w:rsid w:val="00815458"/>
    <w:rsid w:val="00815D87"/>
    <w:rsid w:val="00816AFB"/>
    <w:rsid w:val="008208B7"/>
    <w:rsid w:val="00820D4A"/>
    <w:rsid w:val="00821567"/>
    <w:rsid w:val="00822509"/>
    <w:rsid w:val="0082264A"/>
    <w:rsid w:val="008230FF"/>
    <w:rsid w:val="00825DF1"/>
    <w:rsid w:val="00826432"/>
    <w:rsid w:val="0083016B"/>
    <w:rsid w:val="00831EC7"/>
    <w:rsid w:val="008326D0"/>
    <w:rsid w:val="00832A4D"/>
    <w:rsid w:val="008335B6"/>
    <w:rsid w:val="00833E01"/>
    <w:rsid w:val="008357B3"/>
    <w:rsid w:val="00835ED2"/>
    <w:rsid w:val="0083721A"/>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782"/>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77820"/>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5837"/>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A7697"/>
    <w:rsid w:val="008B0045"/>
    <w:rsid w:val="008B0F37"/>
    <w:rsid w:val="008B10BB"/>
    <w:rsid w:val="008B1700"/>
    <w:rsid w:val="008B2208"/>
    <w:rsid w:val="008B26BA"/>
    <w:rsid w:val="008B26DF"/>
    <w:rsid w:val="008B5067"/>
    <w:rsid w:val="008B6AF2"/>
    <w:rsid w:val="008B7338"/>
    <w:rsid w:val="008B782B"/>
    <w:rsid w:val="008B79F7"/>
    <w:rsid w:val="008B7B4B"/>
    <w:rsid w:val="008B7F54"/>
    <w:rsid w:val="008C059B"/>
    <w:rsid w:val="008C085F"/>
    <w:rsid w:val="008C1A09"/>
    <w:rsid w:val="008C2174"/>
    <w:rsid w:val="008C2AFC"/>
    <w:rsid w:val="008C45A8"/>
    <w:rsid w:val="008C46F4"/>
    <w:rsid w:val="008C475A"/>
    <w:rsid w:val="008C4A4D"/>
    <w:rsid w:val="008C4C15"/>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EB"/>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3DAF"/>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6AE"/>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0722"/>
    <w:rsid w:val="00951B10"/>
    <w:rsid w:val="009524A4"/>
    <w:rsid w:val="0095254D"/>
    <w:rsid w:val="00952760"/>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3CB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B5A"/>
    <w:rsid w:val="009B0E3F"/>
    <w:rsid w:val="009B0F48"/>
    <w:rsid w:val="009B1141"/>
    <w:rsid w:val="009B3382"/>
    <w:rsid w:val="009B3478"/>
    <w:rsid w:val="009B4CFF"/>
    <w:rsid w:val="009B5946"/>
    <w:rsid w:val="009B70A2"/>
    <w:rsid w:val="009B717E"/>
    <w:rsid w:val="009B71AB"/>
    <w:rsid w:val="009C06C0"/>
    <w:rsid w:val="009C06D4"/>
    <w:rsid w:val="009C17FA"/>
    <w:rsid w:val="009C1B7F"/>
    <w:rsid w:val="009C4257"/>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31AF"/>
    <w:rsid w:val="00A14CBE"/>
    <w:rsid w:val="00A17195"/>
    <w:rsid w:val="00A172DE"/>
    <w:rsid w:val="00A173AE"/>
    <w:rsid w:val="00A17E00"/>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866"/>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3C9"/>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2ECB"/>
    <w:rsid w:val="00A83834"/>
    <w:rsid w:val="00A83C7D"/>
    <w:rsid w:val="00A84112"/>
    <w:rsid w:val="00A844AA"/>
    <w:rsid w:val="00A8672B"/>
    <w:rsid w:val="00A87584"/>
    <w:rsid w:val="00A877C7"/>
    <w:rsid w:val="00A90D5A"/>
    <w:rsid w:val="00A9153D"/>
    <w:rsid w:val="00A92286"/>
    <w:rsid w:val="00A92874"/>
    <w:rsid w:val="00A92F29"/>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0C78"/>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1223"/>
    <w:rsid w:val="00AE3490"/>
    <w:rsid w:val="00AE3D34"/>
    <w:rsid w:val="00AE46AD"/>
    <w:rsid w:val="00AE4750"/>
    <w:rsid w:val="00AE4FD7"/>
    <w:rsid w:val="00AE580E"/>
    <w:rsid w:val="00AE6790"/>
    <w:rsid w:val="00AE728D"/>
    <w:rsid w:val="00AF04EA"/>
    <w:rsid w:val="00AF0995"/>
    <w:rsid w:val="00AF19A1"/>
    <w:rsid w:val="00AF3149"/>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669C"/>
    <w:rsid w:val="00B10593"/>
    <w:rsid w:val="00B11D1A"/>
    <w:rsid w:val="00B1236E"/>
    <w:rsid w:val="00B12E8B"/>
    <w:rsid w:val="00B131FB"/>
    <w:rsid w:val="00B1323F"/>
    <w:rsid w:val="00B14081"/>
    <w:rsid w:val="00B140DF"/>
    <w:rsid w:val="00B146BB"/>
    <w:rsid w:val="00B14807"/>
    <w:rsid w:val="00B16728"/>
    <w:rsid w:val="00B167C7"/>
    <w:rsid w:val="00B20077"/>
    <w:rsid w:val="00B206FB"/>
    <w:rsid w:val="00B207DD"/>
    <w:rsid w:val="00B20B4D"/>
    <w:rsid w:val="00B20FDD"/>
    <w:rsid w:val="00B21AB5"/>
    <w:rsid w:val="00B220CC"/>
    <w:rsid w:val="00B233CE"/>
    <w:rsid w:val="00B236F7"/>
    <w:rsid w:val="00B23E78"/>
    <w:rsid w:val="00B24747"/>
    <w:rsid w:val="00B25B2C"/>
    <w:rsid w:val="00B26DDF"/>
    <w:rsid w:val="00B2742B"/>
    <w:rsid w:val="00B27533"/>
    <w:rsid w:val="00B305CC"/>
    <w:rsid w:val="00B30909"/>
    <w:rsid w:val="00B31116"/>
    <w:rsid w:val="00B31211"/>
    <w:rsid w:val="00B3164E"/>
    <w:rsid w:val="00B31E54"/>
    <w:rsid w:val="00B32CCB"/>
    <w:rsid w:val="00B334B4"/>
    <w:rsid w:val="00B34089"/>
    <w:rsid w:val="00B34684"/>
    <w:rsid w:val="00B356D4"/>
    <w:rsid w:val="00B35B11"/>
    <w:rsid w:val="00B35E88"/>
    <w:rsid w:val="00B36A40"/>
    <w:rsid w:val="00B37620"/>
    <w:rsid w:val="00B37C2C"/>
    <w:rsid w:val="00B40308"/>
    <w:rsid w:val="00B4051A"/>
    <w:rsid w:val="00B40531"/>
    <w:rsid w:val="00B40D6E"/>
    <w:rsid w:val="00B411FF"/>
    <w:rsid w:val="00B416B5"/>
    <w:rsid w:val="00B42D9C"/>
    <w:rsid w:val="00B433F9"/>
    <w:rsid w:val="00B43BC5"/>
    <w:rsid w:val="00B468A5"/>
    <w:rsid w:val="00B46941"/>
    <w:rsid w:val="00B50676"/>
    <w:rsid w:val="00B50B98"/>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4B7"/>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150"/>
    <w:rsid w:val="00B858FE"/>
    <w:rsid w:val="00B872D6"/>
    <w:rsid w:val="00B9042C"/>
    <w:rsid w:val="00B93603"/>
    <w:rsid w:val="00B93F5E"/>
    <w:rsid w:val="00B9420D"/>
    <w:rsid w:val="00B9434E"/>
    <w:rsid w:val="00B94AB5"/>
    <w:rsid w:val="00B95FAB"/>
    <w:rsid w:val="00B966B4"/>
    <w:rsid w:val="00B96D33"/>
    <w:rsid w:val="00B9791C"/>
    <w:rsid w:val="00BA2B10"/>
    <w:rsid w:val="00BA4220"/>
    <w:rsid w:val="00BA564D"/>
    <w:rsid w:val="00BA6605"/>
    <w:rsid w:val="00BA68CA"/>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21A8"/>
    <w:rsid w:val="00BD39D7"/>
    <w:rsid w:val="00BD465D"/>
    <w:rsid w:val="00BD55AF"/>
    <w:rsid w:val="00BE009D"/>
    <w:rsid w:val="00BE014A"/>
    <w:rsid w:val="00BE03B1"/>
    <w:rsid w:val="00BE0BC3"/>
    <w:rsid w:val="00BE0FDC"/>
    <w:rsid w:val="00BE3F31"/>
    <w:rsid w:val="00BE415C"/>
    <w:rsid w:val="00BE60DA"/>
    <w:rsid w:val="00BE6279"/>
    <w:rsid w:val="00BE6FA0"/>
    <w:rsid w:val="00BF1E83"/>
    <w:rsid w:val="00BF1F0D"/>
    <w:rsid w:val="00BF28A9"/>
    <w:rsid w:val="00BF29D9"/>
    <w:rsid w:val="00BF42DA"/>
    <w:rsid w:val="00BF51C5"/>
    <w:rsid w:val="00BF7B61"/>
    <w:rsid w:val="00C00C97"/>
    <w:rsid w:val="00C0187E"/>
    <w:rsid w:val="00C01DCD"/>
    <w:rsid w:val="00C02835"/>
    <w:rsid w:val="00C033FF"/>
    <w:rsid w:val="00C03B8E"/>
    <w:rsid w:val="00C04029"/>
    <w:rsid w:val="00C0479F"/>
    <w:rsid w:val="00C059CE"/>
    <w:rsid w:val="00C06840"/>
    <w:rsid w:val="00C10016"/>
    <w:rsid w:val="00C1045B"/>
    <w:rsid w:val="00C113FC"/>
    <w:rsid w:val="00C11523"/>
    <w:rsid w:val="00C11A03"/>
    <w:rsid w:val="00C1237C"/>
    <w:rsid w:val="00C12FFC"/>
    <w:rsid w:val="00C131FF"/>
    <w:rsid w:val="00C13E48"/>
    <w:rsid w:val="00C17116"/>
    <w:rsid w:val="00C20617"/>
    <w:rsid w:val="00C21082"/>
    <w:rsid w:val="00C21C59"/>
    <w:rsid w:val="00C227C1"/>
    <w:rsid w:val="00C22CBF"/>
    <w:rsid w:val="00C26932"/>
    <w:rsid w:val="00C31695"/>
    <w:rsid w:val="00C31A7D"/>
    <w:rsid w:val="00C31AE9"/>
    <w:rsid w:val="00C32B61"/>
    <w:rsid w:val="00C33176"/>
    <w:rsid w:val="00C341C0"/>
    <w:rsid w:val="00C363DF"/>
    <w:rsid w:val="00C36E9A"/>
    <w:rsid w:val="00C3764E"/>
    <w:rsid w:val="00C40B87"/>
    <w:rsid w:val="00C4269D"/>
    <w:rsid w:val="00C4277D"/>
    <w:rsid w:val="00C43D48"/>
    <w:rsid w:val="00C44A6E"/>
    <w:rsid w:val="00C46E51"/>
    <w:rsid w:val="00C504B5"/>
    <w:rsid w:val="00C51846"/>
    <w:rsid w:val="00C5185A"/>
    <w:rsid w:val="00C528C8"/>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0A"/>
    <w:rsid w:val="00C752A5"/>
    <w:rsid w:val="00C76363"/>
    <w:rsid w:val="00C76996"/>
    <w:rsid w:val="00C802FF"/>
    <w:rsid w:val="00C80B0A"/>
    <w:rsid w:val="00C81A4F"/>
    <w:rsid w:val="00C820E8"/>
    <w:rsid w:val="00C82C17"/>
    <w:rsid w:val="00C82FE7"/>
    <w:rsid w:val="00C837C7"/>
    <w:rsid w:val="00C854FD"/>
    <w:rsid w:val="00C8577D"/>
    <w:rsid w:val="00C85ADE"/>
    <w:rsid w:val="00C85BA8"/>
    <w:rsid w:val="00C85EB5"/>
    <w:rsid w:val="00C864A9"/>
    <w:rsid w:val="00C87843"/>
    <w:rsid w:val="00C87A0E"/>
    <w:rsid w:val="00C903B4"/>
    <w:rsid w:val="00C90859"/>
    <w:rsid w:val="00C912AD"/>
    <w:rsid w:val="00C92843"/>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A7BFE"/>
    <w:rsid w:val="00CB06D2"/>
    <w:rsid w:val="00CB16B7"/>
    <w:rsid w:val="00CB2440"/>
    <w:rsid w:val="00CB2B32"/>
    <w:rsid w:val="00CB4A03"/>
    <w:rsid w:val="00CB506B"/>
    <w:rsid w:val="00CB6579"/>
    <w:rsid w:val="00CB711F"/>
    <w:rsid w:val="00CB7AA5"/>
    <w:rsid w:val="00CC16DD"/>
    <w:rsid w:val="00CC1BB0"/>
    <w:rsid w:val="00CC25E7"/>
    <w:rsid w:val="00CC265D"/>
    <w:rsid w:val="00CC3AC0"/>
    <w:rsid w:val="00CC4542"/>
    <w:rsid w:val="00CC4DA8"/>
    <w:rsid w:val="00CC55DD"/>
    <w:rsid w:val="00CC5A11"/>
    <w:rsid w:val="00CC6107"/>
    <w:rsid w:val="00CC7214"/>
    <w:rsid w:val="00CC7C08"/>
    <w:rsid w:val="00CD0C80"/>
    <w:rsid w:val="00CD1909"/>
    <w:rsid w:val="00CD1F9B"/>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2797"/>
    <w:rsid w:val="00CF561D"/>
    <w:rsid w:val="00D00070"/>
    <w:rsid w:val="00D00BD0"/>
    <w:rsid w:val="00D013B6"/>
    <w:rsid w:val="00D0171F"/>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0EDF"/>
    <w:rsid w:val="00D43329"/>
    <w:rsid w:val="00D441EB"/>
    <w:rsid w:val="00D44217"/>
    <w:rsid w:val="00D44710"/>
    <w:rsid w:val="00D44FBB"/>
    <w:rsid w:val="00D46B7E"/>
    <w:rsid w:val="00D46C06"/>
    <w:rsid w:val="00D4753B"/>
    <w:rsid w:val="00D47CF2"/>
    <w:rsid w:val="00D50343"/>
    <w:rsid w:val="00D50D0E"/>
    <w:rsid w:val="00D52659"/>
    <w:rsid w:val="00D5469F"/>
    <w:rsid w:val="00D54D11"/>
    <w:rsid w:val="00D55EC0"/>
    <w:rsid w:val="00D56791"/>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0710"/>
    <w:rsid w:val="00D81152"/>
    <w:rsid w:val="00D81538"/>
    <w:rsid w:val="00D82045"/>
    <w:rsid w:val="00D8216E"/>
    <w:rsid w:val="00D840F4"/>
    <w:rsid w:val="00D8452E"/>
    <w:rsid w:val="00D84B29"/>
    <w:rsid w:val="00D85034"/>
    <w:rsid w:val="00D85324"/>
    <w:rsid w:val="00D85ED8"/>
    <w:rsid w:val="00D87C47"/>
    <w:rsid w:val="00D91793"/>
    <w:rsid w:val="00D92136"/>
    <w:rsid w:val="00D943D2"/>
    <w:rsid w:val="00D95134"/>
    <w:rsid w:val="00D95FAF"/>
    <w:rsid w:val="00D95FE3"/>
    <w:rsid w:val="00DA0D8E"/>
    <w:rsid w:val="00DA122D"/>
    <w:rsid w:val="00DA2D5A"/>
    <w:rsid w:val="00DA35B5"/>
    <w:rsid w:val="00DA3F48"/>
    <w:rsid w:val="00DA6196"/>
    <w:rsid w:val="00DA6FE4"/>
    <w:rsid w:val="00DA77AE"/>
    <w:rsid w:val="00DB1223"/>
    <w:rsid w:val="00DB2956"/>
    <w:rsid w:val="00DB487F"/>
    <w:rsid w:val="00DB58F3"/>
    <w:rsid w:val="00DB6247"/>
    <w:rsid w:val="00DB7FAE"/>
    <w:rsid w:val="00DC1FC8"/>
    <w:rsid w:val="00DC2CAB"/>
    <w:rsid w:val="00DC3CC6"/>
    <w:rsid w:val="00DC50D4"/>
    <w:rsid w:val="00DC604D"/>
    <w:rsid w:val="00DC6FEF"/>
    <w:rsid w:val="00DD0576"/>
    <w:rsid w:val="00DD09E5"/>
    <w:rsid w:val="00DD2F75"/>
    <w:rsid w:val="00DD2FFA"/>
    <w:rsid w:val="00DD46C1"/>
    <w:rsid w:val="00DD5A56"/>
    <w:rsid w:val="00DD66BB"/>
    <w:rsid w:val="00DD7346"/>
    <w:rsid w:val="00DD74A7"/>
    <w:rsid w:val="00DD7657"/>
    <w:rsid w:val="00DE20E2"/>
    <w:rsid w:val="00DE2CAD"/>
    <w:rsid w:val="00DE32DD"/>
    <w:rsid w:val="00DE44E1"/>
    <w:rsid w:val="00DE49FF"/>
    <w:rsid w:val="00DF2516"/>
    <w:rsid w:val="00DF3BBD"/>
    <w:rsid w:val="00DF5083"/>
    <w:rsid w:val="00DF5087"/>
    <w:rsid w:val="00DF655E"/>
    <w:rsid w:val="00DF7B6A"/>
    <w:rsid w:val="00E00C78"/>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2722"/>
    <w:rsid w:val="00E53FCD"/>
    <w:rsid w:val="00E54355"/>
    <w:rsid w:val="00E562BB"/>
    <w:rsid w:val="00E5659F"/>
    <w:rsid w:val="00E565CE"/>
    <w:rsid w:val="00E56A47"/>
    <w:rsid w:val="00E574F2"/>
    <w:rsid w:val="00E61EED"/>
    <w:rsid w:val="00E61F6B"/>
    <w:rsid w:val="00E63A86"/>
    <w:rsid w:val="00E63CDA"/>
    <w:rsid w:val="00E6442F"/>
    <w:rsid w:val="00E649AC"/>
    <w:rsid w:val="00E661B7"/>
    <w:rsid w:val="00E66659"/>
    <w:rsid w:val="00E70B03"/>
    <w:rsid w:val="00E70EDE"/>
    <w:rsid w:val="00E7135D"/>
    <w:rsid w:val="00E72ED5"/>
    <w:rsid w:val="00E735EF"/>
    <w:rsid w:val="00E745DA"/>
    <w:rsid w:val="00E7545F"/>
    <w:rsid w:val="00E767F3"/>
    <w:rsid w:val="00E7689F"/>
    <w:rsid w:val="00E77DDD"/>
    <w:rsid w:val="00E8048E"/>
    <w:rsid w:val="00E81D6E"/>
    <w:rsid w:val="00E82D11"/>
    <w:rsid w:val="00E8300F"/>
    <w:rsid w:val="00E846FF"/>
    <w:rsid w:val="00E91332"/>
    <w:rsid w:val="00E91477"/>
    <w:rsid w:val="00E9174C"/>
    <w:rsid w:val="00E92139"/>
    <w:rsid w:val="00E92368"/>
    <w:rsid w:val="00E92D87"/>
    <w:rsid w:val="00E940ED"/>
    <w:rsid w:val="00E94730"/>
    <w:rsid w:val="00E94855"/>
    <w:rsid w:val="00E94EAB"/>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403"/>
    <w:rsid w:val="00EB6C57"/>
    <w:rsid w:val="00EB75FE"/>
    <w:rsid w:val="00EB7B56"/>
    <w:rsid w:val="00EC0BFA"/>
    <w:rsid w:val="00EC103C"/>
    <w:rsid w:val="00EC4B73"/>
    <w:rsid w:val="00EC603C"/>
    <w:rsid w:val="00EC74CD"/>
    <w:rsid w:val="00EC781D"/>
    <w:rsid w:val="00ED0809"/>
    <w:rsid w:val="00ED0D5F"/>
    <w:rsid w:val="00ED164A"/>
    <w:rsid w:val="00ED179F"/>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3BB"/>
    <w:rsid w:val="00EE4232"/>
    <w:rsid w:val="00EE4362"/>
    <w:rsid w:val="00EE56E6"/>
    <w:rsid w:val="00EE6326"/>
    <w:rsid w:val="00EE6422"/>
    <w:rsid w:val="00EE6EBE"/>
    <w:rsid w:val="00EE75D5"/>
    <w:rsid w:val="00EF0861"/>
    <w:rsid w:val="00EF0CF0"/>
    <w:rsid w:val="00EF2FAE"/>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3B0C"/>
    <w:rsid w:val="00F15900"/>
    <w:rsid w:val="00F1713A"/>
    <w:rsid w:val="00F173B7"/>
    <w:rsid w:val="00F175B6"/>
    <w:rsid w:val="00F17954"/>
    <w:rsid w:val="00F17A72"/>
    <w:rsid w:val="00F20720"/>
    <w:rsid w:val="00F208B1"/>
    <w:rsid w:val="00F21707"/>
    <w:rsid w:val="00F2300D"/>
    <w:rsid w:val="00F23A79"/>
    <w:rsid w:val="00F25273"/>
    <w:rsid w:val="00F268D9"/>
    <w:rsid w:val="00F302C0"/>
    <w:rsid w:val="00F33148"/>
    <w:rsid w:val="00F33CB8"/>
    <w:rsid w:val="00F34CBB"/>
    <w:rsid w:val="00F352E3"/>
    <w:rsid w:val="00F36633"/>
    <w:rsid w:val="00F36AFD"/>
    <w:rsid w:val="00F36C8E"/>
    <w:rsid w:val="00F3745E"/>
    <w:rsid w:val="00F375D7"/>
    <w:rsid w:val="00F37C8E"/>
    <w:rsid w:val="00F40066"/>
    <w:rsid w:val="00F41E98"/>
    <w:rsid w:val="00F4286A"/>
    <w:rsid w:val="00F428FC"/>
    <w:rsid w:val="00F43A27"/>
    <w:rsid w:val="00F443A3"/>
    <w:rsid w:val="00F44F7B"/>
    <w:rsid w:val="00F456E8"/>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2A88"/>
    <w:rsid w:val="00F651F0"/>
    <w:rsid w:val="00F674CC"/>
    <w:rsid w:val="00F7032E"/>
    <w:rsid w:val="00F7047E"/>
    <w:rsid w:val="00F739BA"/>
    <w:rsid w:val="00F76660"/>
    <w:rsid w:val="00F770B4"/>
    <w:rsid w:val="00F77563"/>
    <w:rsid w:val="00F77ECC"/>
    <w:rsid w:val="00F80067"/>
    <w:rsid w:val="00F830A8"/>
    <w:rsid w:val="00F83C56"/>
    <w:rsid w:val="00F854A8"/>
    <w:rsid w:val="00F86862"/>
    <w:rsid w:val="00F86B93"/>
    <w:rsid w:val="00F87108"/>
    <w:rsid w:val="00F87EEB"/>
    <w:rsid w:val="00F90715"/>
    <w:rsid w:val="00F9097C"/>
    <w:rsid w:val="00F9114B"/>
    <w:rsid w:val="00F93111"/>
    <w:rsid w:val="00F9318B"/>
    <w:rsid w:val="00F93578"/>
    <w:rsid w:val="00F95229"/>
    <w:rsid w:val="00F9534B"/>
    <w:rsid w:val="00F9586C"/>
    <w:rsid w:val="00F95AD1"/>
    <w:rsid w:val="00F96B53"/>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3CE"/>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8CBB31"/>
  <w15:docId w15:val="{5E449B65-EAE4-46CA-92D2-FD34E997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semiHidden/>
    <w:rsid w:val="00F375D7"/>
  </w:style>
  <w:style w:type="paragraph" w:customStyle="1" w:styleId="Default">
    <w:name w:val="Default"/>
    <w:rsid w:val="005C67D1"/>
    <w:pPr>
      <w:autoSpaceDE w:val="0"/>
      <w:autoSpaceDN w:val="0"/>
      <w:adjustRightInd w:val="0"/>
    </w:pPr>
    <w:rPr>
      <w:rFonts w:eastAsiaTheme="minorHAnsi"/>
      <w:color w:val="000000"/>
      <w:sz w:val="24"/>
      <w:szCs w:val="24"/>
      <w:lang w:eastAsia="en-US"/>
    </w:rPr>
  </w:style>
  <w:style w:type="character" w:customStyle="1" w:styleId="AlaviitteentekstiChar">
    <w:name w:val="Alaviitteen teksti Char"/>
    <w:basedOn w:val="Kappaleenoletusfontti"/>
    <w:link w:val="Alaviitteenteksti"/>
    <w:uiPriority w:val="99"/>
    <w:semiHidden/>
    <w:rsid w:val="005C67D1"/>
  </w:style>
  <w:style w:type="paragraph" w:styleId="NormaaliWWW">
    <w:name w:val="Normal (Web)"/>
    <w:basedOn w:val="Normaali"/>
    <w:semiHidden/>
    <w:unhideWhenUsed/>
    <w:rsid w:val="000144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4256">
      <w:bodyDiv w:val="1"/>
      <w:marLeft w:val="0"/>
      <w:marRight w:val="0"/>
      <w:marTop w:val="0"/>
      <w:marBottom w:val="0"/>
      <w:divBdr>
        <w:top w:val="none" w:sz="0" w:space="0" w:color="auto"/>
        <w:left w:val="none" w:sz="0" w:space="0" w:color="auto"/>
        <w:bottom w:val="none" w:sz="0" w:space="0" w:color="auto"/>
        <w:right w:val="none" w:sz="0" w:space="0" w:color="auto"/>
      </w:divBdr>
    </w:div>
    <w:div w:id="78323233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751899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42096398">
      <w:bodyDiv w:val="1"/>
      <w:marLeft w:val="0"/>
      <w:marRight w:val="0"/>
      <w:marTop w:val="0"/>
      <w:marBottom w:val="0"/>
      <w:divBdr>
        <w:top w:val="none" w:sz="0" w:space="0" w:color="auto"/>
        <w:left w:val="none" w:sz="0" w:space="0" w:color="auto"/>
        <w:bottom w:val="none" w:sz="0" w:space="0" w:color="auto"/>
        <w:right w:val="none" w:sz="0" w:space="0" w:color="auto"/>
      </w:divBdr>
    </w:div>
    <w:div w:id="17538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mattibarometri.f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udjetti.vm.fi/indox/sisalto.jsp?year=2023&amp;lang=fi&amp;maindoc=/2023/tae/hallituksenEsitys/hallituksenEsitys.xml&amp;opennode=0:1:3:79:81" TargetMode="External"/><Relationship Id="rId1" Type="http://schemas.openxmlformats.org/officeDocument/2006/relationships/hyperlink" Target="https://julkaisut.valtioneuvosto.fi/bitstream/handle/10024/164342/VM_2022_57.pdf?sequence=11&amp;isAllowe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08831\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1132CBB95B44E1940E0900344FAD89"/>
        <w:category>
          <w:name w:val="Yleiset"/>
          <w:gallery w:val="placeholder"/>
        </w:category>
        <w:types>
          <w:type w:val="bbPlcHdr"/>
        </w:types>
        <w:behaviors>
          <w:behavior w:val="content"/>
        </w:behaviors>
        <w:guid w:val="{9941C67D-24C9-4198-BE49-C4C77E0877BD}"/>
      </w:docPartPr>
      <w:docPartBody>
        <w:p w:rsidR="00CC3D4C" w:rsidRDefault="00450C86">
          <w:pPr>
            <w:pStyle w:val="681132CBB95B44E1940E0900344FAD89"/>
          </w:pPr>
          <w:r w:rsidRPr="005D3E42">
            <w:rPr>
              <w:rStyle w:val="Paikkamerkkiteksti"/>
            </w:rPr>
            <w:t>Click or tap here to enter text.</w:t>
          </w:r>
        </w:p>
      </w:docPartBody>
    </w:docPart>
    <w:docPart>
      <w:docPartPr>
        <w:name w:val="D13964D0939B4A2583BA106A02DC45E4"/>
        <w:category>
          <w:name w:val="Yleiset"/>
          <w:gallery w:val="placeholder"/>
        </w:category>
        <w:types>
          <w:type w:val="bbPlcHdr"/>
        </w:types>
        <w:behaviors>
          <w:behavior w:val="content"/>
        </w:behaviors>
        <w:guid w:val="{3123B6B5-3FEC-4C49-8B9A-C2F928650095}"/>
      </w:docPartPr>
      <w:docPartBody>
        <w:p w:rsidR="00CC3D4C" w:rsidRDefault="00450C86">
          <w:pPr>
            <w:pStyle w:val="D13964D0939B4A2583BA106A02DC45E4"/>
          </w:pPr>
          <w:r w:rsidRPr="005D3E42">
            <w:rPr>
              <w:rStyle w:val="Paikkamerkkiteksti"/>
            </w:rPr>
            <w:t>Click or tap here to enter text.</w:t>
          </w:r>
        </w:p>
      </w:docPartBody>
    </w:docPart>
    <w:docPart>
      <w:docPartPr>
        <w:name w:val="B3D7273523C840668E5123DCD0D2B8F7"/>
        <w:category>
          <w:name w:val="Yleiset"/>
          <w:gallery w:val="placeholder"/>
        </w:category>
        <w:types>
          <w:type w:val="bbPlcHdr"/>
        </w:types>
        <w:behaviors>
          <w:behavior w:val="content"/>
        </w:behaviors>
        <w:guid w:val="{944D9449-F602-4A29-8FC1-D3951E1F8686}"/>
      </w:docPartPr>
      <w:docPartBody>
        <w:p w:rsidR="00CC3D4C" w:rsidRDefault="00450C86">
          <w:pPr>
            <w:pStyle w:val="B3D7273523C840668E5123DCD0D2B8F7"/>
          </w:pPr>
          <w:r w:rsidRPr="002B458A">
            <w:rPr>
              <w:rStyle w:val="Paikkamerkkiteksti"/>
            </w:rPr>
            <w:t>Kirjoita tekstiä napsauttamalla tai napauttamalla tätä.</w:t>
          </w:r>
        </w:p>
      </w:docPartBody>
    </w:docPart>
    <w:docPart>
      <w:docPartPr>
        <w:name w:val="AF74CF05B5914AA1938B93A1D39660E3"/>
        <w:category>
          <w:name w:val="Yleiset"/>
          <w:gallery w:val="placeholder"/>
        </w:category>
        <w:types>
          <w:type w:val="bbPlcHdr"/>
        </w:types>
        <w:behaviors>
          <w:behavior w:val="content"/>
        </w:behaviors>
        <w:guid w:val="{726E0157-834D-46B4-9689-A530C35A89FD}"/>
      </w:docPartPr>
      <w:docPartBody>
        <w:p w:rsidR="00CC3D4C" w:rsidRDefault="00450C86">
          <w:pPr>
            <w:pStyle w:val="AF74CF05B5914AA1938B93A1D39660E3"/>
          </w:pPr>
          <w:r w:rsidRPr="00E27C6D">
            <w:t>Valitse kohde.</w:t>
          </w:r>
        </w:p>
      </w:docPartBody>
    </w:docPart>
    <w:docPart>
      <w:docPartPr>
        <w:name w:val="5919B7FC0B954A89A4D1026E91ED91EE"/>
        <w:category>
          <w:name w:val="Yleiset"/>
          <w:gallery w:val="placeholder"/>
        </w:category>
        <w:types>
          <w:type w:val="bbPlcHdr"/>
        </w:types>
        <w:behaviors>
          <w:behavior w:val="content"/>
        </w:behaviors>
        <w:guid w:val="{28E83F02-33CA-421E-953E-8E04F394127A}"/>
      </w:docPartPr>
      <w:docPartBody>
        <w:p w:rsidR="00CC3D4C" w:rsidRDefault="00450C86">
          <w:pPr>
            <w:pStyle w:val="5919B7FC0B954A89A4D1026E91ED91EE"/>
          </w:pPr>
          <w:r w:rsidRPr="005D3E42">
            <w:rPr>
              <w:rStyle w:val="Paikkamerkkiteksti"/>
            </w:rPr>
            <w:t>Click or tap here to enter text.</w:t>
          </w:r>
        </w:p>
      </w:docPartBody>
    </w:docPart>
    <w:docPart>
      <w:docPartPr>
        <w:name w:val="D5AED7A6275747F2B71D1ABC06F9F12C"/>
        <w:category>
          <w:name w:val="Yleiset"/>
          <w:gallery w:val="placeholder"/>
        </w:category>
        <w:types>
          <w:type w:val="bbPlcHdr"/>
        </w:types>
        <w:behaviors>
          <w:behavior w:val="content"/>
        </w:behaviors>
        <w:guid w:val="{54BFC470-D00B-4FB0-BFAB-F8BCA9273B7C}"/>
      </w:docPartPr>
      <w:docPartBody>
        <w:p w:rsidR="00CC3D4C" w:rsidRDefault="00450C86">
          <w:pPr>
            <w:pStyle w:val="D5AED7A6275747F2B71D1ABC06F9F12C"/>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86"/>
    <w:rsid w:val="000221EB"/>
    <w:rsid w:val="00232CD0"/>
    <w:rsid w:val="00243052"/>
    <w:rsid w:val="00363D92"/>
    <w:rsid w:val="00364532"/>
    <w:rsid w:val="00450C86"/>
    <w:rsid w:val="004F3DC7"/>
    <w:rsid w:val="006305D2"/>
    <w:rsid w:val="00CC3D4C"/>
    <w:rsid w:val="00CC407D"/>
    <w:rsid w:val="00D834B7"/>
    <w:rsid w:val="00DC2D7E"/>
    <w:rsid w:val="00E40234"/>
    <w:rsid w:val="00EB2D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81132CBB95B44E1940E0900344FAD89">
    <w:name w:val="681132CBB95B44E1940E0900344FAD89"/>
  </w:style>
  <w:style w:type="paragraph" w:customStyle="1" w:styleId="D13964D0939B4A2583BA106A02DC45E4">
    <w:name w:val="D13964D0939B4A2583BA106A02DC45E4"/>
  </w:style>
  <w:style w:type="paragraph" w:customStyle="1" w:styleId="B3D7273523C840668E5123DCD0D2B8F7">
    <w:name w:val="B3D7273523C840668E5123DCD0D2B8F7"/>
  </w:style>
  <w:style w:type="paragraph" w:customStyle="1" w:styleId="AF74CF05B5914AA1938B93A1D39660E3">
    <w:name w:val="AF74CF05B5914AA1938B93A1D39660E3"/>
  </w:style>
  <w:style w:type="paragraph" w:customStyle="1" w:styleId="5919B7FC0B954A89A4D1026E91ED91EE">
    <w:name w:val="5919B7FC0B954A89A4D1026E91ED91EE"/>
  </w:style>
  <w:style w:type="paragraph" w:customStyle="1" w:styleId="D5AED7A6275747F2B71D1ABC06F9F12C">
    <w:name w:val="D5AED7A6275747F2B71D1ABC06F9F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FACA-92B6-4EED-B55C-4640F43AA41B}">
  <ds:schemaRefs>
    <ds:schemaRef ds:uri="http://schemas.microsoft.com/sharepoint/v3/contenttype/forms"/>
  </ds:schemaRefs>
</ds:datastoreItem>
</file>

<file path=customXml/itemProps2.xml><?xml version="1.0" encoding="utf-8"?>
<ds:datastoreItem xmlns:ds="http://schemas.openxmlformats.org/officeDocument/2006/customXml" ds:itemID="{597154D8-FF07-442D-ABB2-B317EE3AD0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434CC-C0AC-40E8-9597-E8B49AFF5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9216-56A2-4FF6-A4C9-1515640E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TotalTime>
  <Pages>21</Pages>
  <Words>5727</Words>
  <Characters>46393</Characters>
  <Application>Microsoft Office Word</Application>
  <DocSecurity>0</DocSecurity>
  <Lines>386</Lines>
  <Paragraphs>104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Hakanen Ida (STM)</dc:creator>
  <cp:keywords/>
  <dc:description/>
  <cp:lastModifiedBy>Tuokko Kaarina (STM)</cp:lastModifiedBy>
  <cp:revision>3</cp:revision>
  <cp:lastPrinted>2022-10-11T16:10:00Z</cp:lastPrinted>
  <dcterms:created xsi:type="dcterms:W3CDTF">2022-10-17T07:14:00Z</dcterms:created>
  <dcterms:modified xsi:type="dcterms:W3CDTF">2022-10-17T07:24:00Z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