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CDDD9" w14:textId="77777777" w:rsidR="00D42924" w:rsidRDefault="00D42924" w:rsidP="000C3BD0">
      <w:pPr>
        <w:pStyle w:val="Otsikko1"/>
        <w:shd w:val="clear" w:color="auto" w:fill="FFFFFF"/>
        <w:spacing w:after="120"/>
        <w:textAlignment w:val="baseline"/>
        <w:rPr>
          <w:rFonts w:ascii="Georgia" w:hAnsi="Georgia"/>
          <w:b w:val="0"/>
          <w:color w:val="000000"/>
          <w:sz w:val="50"/>
        </w:rPr>
      </w:pPr>
      <w:r>
        <w:rPr>
          <w:rFonts w:ascii="Georgia" w:hAnsi="Georgia"/>
          <w:b w:val="0"/>
          <w:color w:val="000000"/>
          <w:sz w:val="50"/>
        </w:rPr>
        <w:t>Utkastet 7.11.2022</w:t>
      </w:r>
    </w:p>
    <w:p w14:paraId="188FBE81" w14:textId="77777777" w:rsidR="00D42924" w:rsidRDefault="00D42924" w:rsidP="000C3BD0">
      <w:pPr>
        <w:pStyle w:val="Otsikko1"/>
        <w:shd w:val="clear" w:color="auto" w:fill="FFFFFF"/>
        <w:spacing w:after="120"/>
        <w:textAlignment w:val="baseline"/>
        <w:rPr>
          <w:rFonts w:ascii="Georgia" w:hAnsi="Georgia"/>
          <w:b w:val="0"/>
          <w:color w:val="000000"/>
          <w:sz w:val="50"/>
        </w:rPr>
      </w:pPr>
    </w:p>
    <w:p w14:paraId="13750DE8" w14:textId="5E37AA5E" w:rsidR="000C3BD0" w:rsidRPr="00422F7B" w:rsidRDefault="000C3BD0" w:rsidP="000C3BD0">
      <w:pPr>
        <w:pStyle w:val="Otsikko1"/>
        <w:shd w:val="clear" w:color="auto" w:fill="FFFFFF"/>
        <w:spacing w:after="120"/>
        <w:textAlignment w:val="baseline"/>
        <w:rPr>
          <w:rFonts w:ascii="Georgia" w:hAnsi="Georgia"/>
          <w:b w:val="0"/>
          <w:bCs w:val="0"/>
          <w:color w:val="000000"/>
          <w:sz w:val="50"/>
          <w:szCs w:val="50"/>
        </w:rPr>
      </w:pPr>
      <w:r>
        <w:rPr>
          <w:rFonts w:ascii="Georgia" w:hAnsi="Georgia"/>
          <w:b w:val="0"/>
          <w:color w:val="000000"/>
          <w:sz w:val="50"/>
        </w:rPr>
        <w:t xml:space="preserve">Social- och hälsovårdsministeriets förordning om avgifter som ska </w:t>
      </w:r>
      <w:r w:rsidR="00C519CD">
        <w:rPr>
          <w:rFonts w:ascii="Georgia" w:hAnsi="Georgia"/>
          <w:b w:val="0"/>
          <w:color w:val="000000"/>
          <w:sz w:val="50"/>
        </w:rPr>
        <w:t>tas ut</w:t>
      </w:r>
      <w:r>
        <w:rPr>
          <w:rFonts w:ascii="Georgia" w:hAnsi="Georgia"/>
          <w:b w:val="0"/>
          <w:color w:val="000000"/>
          <w:sz w:val="50"/>
        </w:rPr>
        <w:t xml:space="preserve"> </w:t>
      </w:r>
      <w:r w:rsidR="00A555DF">
        <w:rPr>
          <w:rFonts w:ascii="Georgia" w:hAnsi="Georgia"/>
          <w:b w:val="0"/>
          <w:color w:val="000000"/>
          <w:sz w:val="50"/>
        </w:rPr>
        <w:t xml:space="preserve">2023−2024 </w:t>
      </w:r>
      <w:r>
        <w:rPr>
          <w:rFonts w:ascii="Georgia" w:hAnsi="Georgia"/>
          <w:b w:val="0"/>
          <w:color w:val="000000"/>
          <w:sz w:val="50"/>
        </w:rPr>
        <w:t>för Strålsäkerhetscentralens prestationer</w:t>
      </w:r>
    </w:p>
    <w:p w14:paraId="0CA347C3" w14:textId="0B35F20D"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Fonts w:ascii="inherit" w:hAnsi="inherit"/>
          <w:color w:val="000000"/>
          <w:sz w:val="27"/>
        </w:rPr>
        <w:t>I enlighet med social- och hälsovårdsministeriets beslut föreskrivs med stöd av 8 § i lagen om grunderna för avgifter till staten </w:t>
      </w:r>
      <w:r>
        <w:rPr>
          <w:rFonts w:ascii="inherit" w:hAnsi="inherit"/>
          <w:sz w:val="27"/>
          <w:bdr w:val="none" w:sz="0" w:space="0" w:color="auto" w:frame="1"/>
        </w:rPr>
        <w:t>(150/1992)</w:t>
      </w:r>
      <w:r>
        <w:rPr>
          <w:rFonts w:ascii="inherit" w:hAnsi="inherit"/>
          <w:color w:val="000000"/>
          <w:sz w:val="27"/>
        </w:rPr>
        <w:t>, sådan paragrafen lyder i lag 348/1994:</w:t>
      </w:r>
    </w:p>
    <w:p w14:paraId="6F04CC71" w14:textId="64072907"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0" w:name="P1"/>
      <w:r>
        <w:rPr>
          <w:rFonts w:ascii="Georgia" w:hAnsi="Georgia"/>
          <w:b w:val="0"/>
          <w:color w:val="000000"/>
          <w:sz w:val="39"/>
          <w:bdr w:val="none" w:sz="0" w:space="0" w:color="auto" w:frame="1"/>
        </w:rPr>
        <w:t>1 §</w:t>
      </w:r>
      <w:bookmarkEnd w:id="0"/>
    </w:p>
    <w:p w14:paraId="26240BA1"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Tillämpningsområde</w:t>
      </w:r>
    </w:p>
    <w:p w14:paraId="4FDEEDA3" w14:textId="4F0F5F39"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I denna förordning föreskrivs om när Strålsäkerhetscentralens prestationer ska vara avgiftsbelagda och om avgiftsgrunderna.</w:t>
      </w:r>
    </w:p>
    <w:p w14:paraId="364F715D" w14:textId="148D4A82" w:rsidR="000C3BD0" w:rsidRPr="00422F7B" w:rsidRDefault="000C3BD0" w:rsidP="000C3BD0">
      <w:pPr>
        <w:pStyle w:val="py"/>
        <w:shd w:val="clear" w:color="auto" w:fill="FFFFFF"/>
        <w:spacing w:before="0" w:after="0"/>
        <w:textAlignment w:val="baseline"/>
        <w:rPr>
          <w:rFonts w:ascii="inherit" w:hAnsi="inherit"/>
          <w:color w:val="000000"/>
          <w:sz w:val="27"/>
          <w:szCs w:val="27"/>
        </w:rPr>
      </w:pPr>
      <w:r>
        <w:rPr>
          <w:rFonts w:ascii="inherit" w:hAnsi="inherit"/>
          <w:color w:val="000000"/>
          <w:sz w:val="27"/>
        </w:rPr>
        <w:t>Om den tillsynsavgift som avses i strålsäkerhetslagen </w:t>
      </w:r>
      <w:r>
        <w:rPr>
          <w:rFonts w:ascii="inherit" w:hAnsi="inherit"/>
          <w:sz w:val="27"/>
          <w:bdr w:val="none" w:sz="0" w:space="0" w:color="auto" w:frame="1"/>
        </w:rPr>
        <w:t>(859/2018)</w:t>
      </w:r>
      <w:r>
        <w:rPr>
          <w:rFonts w:ascii="inherit" w:hAnsi="inherit"/>
          <w:color w:val="000000"/>
          <w:sz w:val="27"/>
        </w:rPr>
        <w:t> föreskrivs i nämnda lag.</w:t>
      </w:r>
    </w:p>
    <w:p w14:paraId="20BCCCE3"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Huruvida prestationer som baserar sig på kärnsäkerhetstillsynen ska vara avgiftsbelagda föreskrivs det om separat.</w:t>
      </w:r>
    </w:p>
    <w:p w14:paraId="060CDA9D" w14:textId="57C305CE"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1" w:name="P2"/>
      <w:r>
        <w:rPr>
          <w:rFonts w:ascii="Georgia" w:hAnsi="Georgia"/>
          <w:b w:val="0"/>
          <w:color w:val="000000"/>
          <w:sz w:val="39"/>
          <w:bdr w:val="none" w:sz="0" w:space="0" w:color="auto" w:frame="1"/>
        </w:rPr>
        <w:t>2 §</w:t>
      </w:r>
      <w:bookmarkEnd w:id="1"/>
    </w:p>
    <w:p w14:paraId="362B6AB7"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Avgiftsbelagda offentligrättsliga prestationer</w:t>
      </w:r>
    </w:p>
    <w:p w14:paraId="3AA9B25E" w14:textId="482A8DED"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För offentligrättsliga prestationer </w:t>
      </w:r>
      <w:r w:rsidR="00C519CD">
        <w:rPr>
          <w:rFonts w:ascii="inherit" w:hAnsi="inherit"/>
          <w:color w:val="000000"/>
          <w:sz w:val="27"/>
        </w:rPr>
        <w:t>tas det ut</w:t>
      </w:r>
      <w:r>
        <w:rPr>
          <w:rFonts w:ascii="inherit" w:hAnsi="inherit"/>
          <w:color w:val="000000"/>
          <w:sz w:val="27"/>
        </w:rPr>
        <w:t xml:space="preserve"> en avgift som motsvarar beloppet av de totalkostnader som staten föranletts av att utföra en prestation.</w:t>
      </w:r>
    </w:p>
    <w:p w14:paraId="79BDD69D" w14:textId="0DC76AB5" w:rsidR="008D4D8D" w:rsidRPr="00422F7B" w:rsidRDefault="008D4D8D" w:rsidP="008D4D8D">
      <w:pPr>
        <w:autoSpaceDE w:val="0"/>
        <w:autoSpaceDN w:val="0"/>
        <w:adjustRightInd w:val="0"/>
        <w:rPr>
          <w:rFonts w:ascii="inherit" w:hAnsi="inherit"/>
          <w:color w:val="000000"/>
          <w:sz w:val="27"/>
          <w:szCs w:val="27"/>
        </w:rPr>
      </w:pPr>
      <w:r>
        <w:rPr>
          <w:rFonts w:ascii="inherit" w:hAnsi="inherit"/>
          <w:color w:val="000000"/>
          <w:sz w:val="27"/>
        </w:rPr>
        <w:t>När arbetstiden eller en tilläggsavgift utgör grund för avgiften, är minimidebiteringen en timme. En tilläggsavgift enligt avgiftstabellen tas ut för varje påbörjad timme.</w:t>
      </w:r>
    </w:p>
    <w:p w14:paraId="169E2D4C" w14:textId="23939A3C"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På begäran kan prestationen behandlas snabbare om det finns en grundad anledning till påskyndad behandling som hänger samman med organiseringen av arbetet eller verksamheten hos den som beställer eller tar emot prestationen, och den påskyndade behandlingen inte har någon nämnvärd inverkan på behandlingen av andra ärenden. I detta fall </w:t>
      </w:r>
      <w:r w:rsidR="00C519CD">
        <w:rPr>
          <w:rFonts w:ascii="inherit" w:hAnsi="inherit"/>
          <w:color w:val="000000"/>
          <w:sz w:val="27"/>
        </w:rPr>
        <w:t>tas</w:t>
      </w:r>
      <w:r>
        <w:rPr>
          <w:rFonts w:ascii="inherit" w:hAnsi="inherit"/>
          <w:color w:val="000000"/>
          <w:sz w:val="27"/>
        </w:rPr>
        <w:t xml:space="preserve"> en avgift förhöjd med 50 procent </w:t>
      </w:r>
      <w:r w:rsidR="00C519CD">
        <w:rPr>
          <w:rFonts w:ascii="inherit" w:hAnsi="inherit"/>
          <w:color w:val="000000"/>
          <w:sz w:val="27"/>
        </w:rPr>
        <w:t xml:space="preserve">ut </w:t>
      </w:r>
      <w:r>
        <w:rPr>
          <w:rFonts w:ascii="inherit" w:hAnsi="inherit"/>
          <w:color w:val="000000"/>
          <w:sz w:val="27"/>
        </w:rPr>
        <w:t>för prestationen.</w:t>
      </w:r>
    </w:p>
    <w:p w14:paraId="21B35888" w14:textId="0EE8774A" w:rsidR="000C3BD0" w:rsidRPr="00422F7B" w:rsidRDefault="00C519CD" w:rsidP="000C3BD0">
      <w:pPr>
        <w:pStyle w:val="py"/>
        <w:shd w:val="clear" w:color="auto" w:fill="FFFFFF"/>
        <w:textAlignment w:val="baseline"/>
        <w:rPr>
          <w:rFonts w:ascii="inherit" w:hAnsi="inherit"/>
          <w:color w:val="000000"/>
          <w:sz w:val="27"/>
          <w:szCs w:val="27"/>
        </w:rPr>
      </w:pPr>
      <w:r>
        <w:rPr>
          <w:rFonts w:ascii="inherit" w:hAnsi="inherit"/>
          <w:color w:val="000000"/>
          <w:sz w:val="27"/>
        </w:rPr>
        <w:t>Om utförandet av en offentligrättslig prestation i ett enskilt fall orsakar staten klart högre kostnader än den grundavgift som tas ut för prestationen, kan Strålsäkerhets</w:t>
      </w:r>
      <w:r w:rsidR="00ED6B13">
        <w:rPr>
          <w:rFonts w:ascii="inherit" w:hAnsi="inherit"/>
          <w:color w:val="000000"/>
          <w:sz w:val="27"/>
        </w:rPr>
        <w:t>centralen</w:t>
      </w:r>
      <w:r>
        <w:rPr>
          <w:rFonts w:ascii="inherit" w:hAnsi="inherit"/>
          <w:color w:val="000000"/>
          <w:sz w:val="27"/>
        </w:rPr>
        <w:t xml:space="preserve"> vid påförandet av avgiften utöver grundavgiften använda en tilläggsavgift. Den som beställer eller </w:t>
      </w:r>
      <w:r>
        <w:rPr>
          <w:rFonts w:ascii="inherit" w:hAnsi="inherit"/>
          <w:color w:val="000000"/>
          <w:sz w:val="27"/>
        </w:rPr>
        <w:lastRenderedPageBreak/>
        <w:t xml:space="preserve">tar emot prestationen ska underrättas om att en tilläggsavgift används. </w:t>
      </w:r>
      <w:r w:rsidR="000C3BD0">
        <w:rPr>
          <w:rFonts w:ascii="inherit" w:hAnsi="inherit"/>
          <w:color w:val="000000"/>
          <w:sz w:val="27"/>
        </w:rPr>
        <w:t>Avgifterna anges i bilagan.</w:t>
      </w:r>
    </w:p>
    <w:p w14:paraId="78580D54" w14:textId="31F875D3"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2" w:name="P3"/>
      <w:r>
        <w:rPr>
          <w:rFonts w:ascii="Georgia" w:hAnsi="Georgia"/>
          <w:b w:val="0"/>
          <w:color w:val="000000"/>
          <w:sz w:val="39"/>
          <w:bdr w:val="none" w:sz="0" w:space="0" w:color="auto" w:frame="1"/>
        </w:rPr>
        <w:t>3 §</w:t>
      </w:r>
      <w:bookmarkEnd w:id="2"/>
    </w:p>
    <w:p w14:paraId="65044AFF"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Avgifter för begäranden om information</w:t>
      </w:r>
    </w:p>
    <w:p w14:paraId="70BDFFA9" w14:textId="085B7628" w:rsidR="000C3BD0" w:rsidRPr="00422F7B" w:rsidRDefault="000C3BD0" w:rsidP="000C3BD0">
      <w:pPr>
        <w:pStyle w:val="py"/>
        <w:shd w:val="clear" w:color="auto" w:fill="FFFFFF"/>
        <w:spacing w:before="0" w:after="0"/>
        <w:textAlignment w:val="baseline"/>
        <w:rPr>
          <w:rFonts w:ascii="inherit" w:hAnsi="inherit"/>
          <w:color w:val="000000"/>
          <w:sz w:val="27"/>
          <w:szCs w:val="27"/>
        </w:rPr>
      </w:pPr>
      <w:r>
        <w:rPr>
          <w:rFonts w:ascii="inherit" w:hAnsi="inherit"/>
          <w:sz w:val="27"/>
        </w:rPr>
        <w:t>Strålsäkerhetscentralen fattar beslut om de avgifter som ska tas ut för framtagande av en uppgift som avses i 34 § 2 mom. i lagen om offentlighet i myndigheternas verksamhet (621/1999) och för givande av kopior och utskrifter som avses i 34 § 3 mom. i den lagen, med beaktande av vad som föreskrivs i 34 § i den lagen.</w:t>
      </w:r>
    </w:p>
    <w:p w14:paraId="4405ED3B" w14:textId="6075327C"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3" w:name="P4"/>
      <w:r>
        <w:rPr>
          <w:rFonts w:ascii="Georgia" w:hAnsi="Georgia"/>
          <w:b w:val="0"/>
          <w:color w:val="000000"/>
          <w:sz w:val="39"/>
          <w:bdr w:val="none" w:sz="0" w:space="0" w:color="auto" w:frame="1"/>
        </w:rPr>
        <w:t>4 §</w:t>
      </w:r>
      <w:bookmarkEnd w:id="3"/>
    </w:p>
    <w:p w14:paraId="326ACD92"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Inverkan på avgiften av beslutet i ett ärende</w:t>
      </w:r>
    </w:p>
    <w:p w14:paraId="465D2B69" w14:textId="0734FCD2"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Beslutet i ett ärende inverkar inte på den avgift som </w:t>
      </w:r>
      <w:r w:rsidR="00C519CD">
        <w:rPr>
          <w:rFonts w:ascii="inherit" w:hAnsi="inherit"/>
          <w:color w:val="000000"/>
          <w:sz w:val="27"/>
        </w:rPr>
        <w:t>tas ut</w:t>
      </w:r>
      <w:r>
        <w:rPr>
          <w:rFonts w:ascii="inherit" w:hAnsi="inherit"/>
          <w:color w:val="000000"/>
          <w:sz w:val="27"/>
        </w:rPr>
        <w:t xml:space="preserve"> för en offentligrättslig prestation.</w:t>
      </w:r>
    </w:p>
    <w:p w14:paraId="7F573F05" w14:textId="16D3BAD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Om det ärende som ligger till grund för en offentligrättslig prestation förfaller eller lämnas utan prövning, </w:t>
      </w:r>
      <w:r w:rsidR="00C519CD">
        <w:rPr>
          <w:rFonts w:ascii="inherit" w:hAnsi="inherit"/>
          <w:color w:val="000000"/>
          <w:sz w:val="27"/>
        </w:rPr>
        <w:t xml:space="preserve">tas det </w:t>
      </w:r>
      <w:r>
        <w:rPr>
          <w:rFonts w:ascii="inherit" w:hAnsi="inherit"/>
          <w:color w:val="000000"/>
          <w:sz w:val="27"/>
        </w:rPr>
        <w:t xml:space="preserve">emellertid </w:t>
      </w:r>
      <w:r w:rsidR="00C519CD">
        <w:rPr>
          <w:rFonts w:ascii="inherit" w:hAnsi="inherit"/>
          <w:color w:val="000000"/>
          <w:sz w:val="27"/>
        </w:rPr>
        <w:t xml:space="preserve">ut </w:t>
      </w:r>
      <w:r>
        <w:rPr>
          <w:rFonts w:ascii="inherit" w:hAnsi="inherit"/>
          <w:color w:val="000000"/>
          <w:sz w:val="27"/>
        </w:rPr>
        <w:t>en avgift endast om Strålsäkerhetscentralen har vidtagit mer än ringa åtgärder vid beredningen av ärendet.</w:t>
      </w:r>
    </w:p>
    <w:p w14:paraId="5119A7E3" w14:textId="53B38692"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Ingen avgift </w:t>
      </w:r>
      <w:r w:rsidR="00C519CD">
        <w:rPr>
          <w:rFonts w:ascii="inherit" w:hAnsi="inherit"/>
          <w:color w:val="000000"/>
          <w:sz w:val="27"/>
        </w:rPr>
        <w:t xml:space="preserve">tas </w:t>
      </w:r>
      <w:r>
        <w:rPr>
          <w:rFonts w:ascii="inherit" w:hAnsi="inherit"/>
          <w:color w:val="000000"/>
          <w:sz w:val="27"/>
        </w:rPr>
        <w:t xml:space="preserve">heller </w:t>
      </w:r>
      <w:r w:rsidR="00C519CD">
        <w:rPr>
          <w:rFonts w:ascii="inherit" w:hAnsi="inherit"/>
          <w:color w:val="000000"/>
          <w:sz w:val="27"/>
        </w:rPr>
        <w:t xml:space="preserve">ut </w:t>
      </w:r>
      <w:r>
        <w:rPr>
          <w:rFonts w:ascii="inherit" w:hAnsi="inherit"/>
          <w:color w:val="000000"/>
          <w:sz w:val="27"/>
        </w:rPr>
        <w:t>om ärendet avgörs genom att ett yrkande genast förkastas som grundlöst.</w:t>
      </w:r>
    </w:p>
    <w:p w14:paraId="604AA015" w14:textId="310D853B"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4" w:name="P5"/>
      <w:r>
        <w:rPr>
          <w:rFonts w:ascii="Georgia" w:hAnsi="Georgia"/>
          <w:b w:val="0"/>
          <w:color w:val="000000"/>
          <w:sz w:val="39"/>
          <w:bdr w:val="none" w:sz="0" w:space="0" w:color="auto" w:frame="1"/>
        </w:rPr>
        <w:t>5 §</w:t>
      </w:r>
      <w:bookmarkEnd w:id="4"/>
    </w:p>
    <w:p w14:paraId="29EC1FB2"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Avgift för ett ärende som återförvisas för behandling</w:t>
      </w:r>
    </w:p>
    <w:p w14:paraId="6288AFE0" w14:textId="293E7F49"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För behandling av ett ärende som återförvisats av domstol och för ett ärende som gäller sådan rättelse av sakfel som avses i 50 § i förvaltningslagen </w:t>
      </w:r>
      <w:r w:rsidR="00C519CD">
        <w:rPr>
          <w:rFonts w:ascii="inherit" w:hAnsi="inherit"/>
          <w:color w:val="000000"/>
          <w:sz w:val="27"/>
        </w:rPr>
        <w:t xml:space="preserve">tas </w:t>
      </w:r>
      <w:r>
        <w:rPr>
          <w:rFonts w:ascii="inherit" w:hAnsi="inherit"/>
          <w:color w:val="000000"/>
          <w:sz w:val="27"/>
        </w:rPr>
        <w:t>ingen ny avgift</w:t>
      </w:r>
      <w:r w:rsidR="00C519CD">
        <w:rPr>
          <w:rFonts w:ascii="inherit" w:hAnsi="inherit"/>
          <w:color w:val="000000"/>
          <w:sz w:val="27"/>
        </w:rPr>
        <w:t xml:space="preserve"> ut</w:t>
      </w:r>
      <w:r>
        <w:rPr>
          <w:rFonts w:ascii="inherit" w:hAnsi="inherit"/>
          <w:color w:val="000000"/>
          <w:sz w:val="27"/>
        </w:rPr>
        <w:t>. Vid behov justeras avgiften i konsekvens med den fortsatta behandlingsprocessen och slutresultatet.</w:t>
      </w:r>
    </w:p>
    <w:p w14:paraId="30D017C4" w14:textId="60F519CD"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5" w:name="P6"/>
      <w:r>
        <w:rPr>
          <w:rFonts w:ascii="Georgia" w:hAnsi="Georgia"/>
          <w:b w:val="0"/>
          <w:color w:val="000000"/>
          <w:sz w:val="39"/>
          <w:bdr w:val="none" w:sz="0" w:space="0" w:color="auto" w:frame="1"/>
        </w:rPr>
        <w:t>6 §</w:t>
      </w:r>
      <w:bookmarkEnd w:id="5"/>
    </w:p>
    <w:p w14:paraId="3A2C898E"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Avgiftsfria offentligrättsliga prestationer</w:t>
      </w:r>
    </w:p>
    <w:p w14:paraId="59A5CDC6" w14:textId="4A82EC89" w:rsidR="000C3BD0" w:rsidRPr="00422F7B" w:rsidRDefault="000C3BD0" w:rsidP="000C3BD0">
      <w:pPr>
        <w:pStyle w:val="py"/>
        <w:shd w:val="clear" w:color="auto" w:fill="FFFFFF"/>
        <w:spacing w:before="0" w:after="0"/>
        <w:textAlignment w:val="baseline"/>
        <w:rPr>
          <w:rFonts w:ascii="inherit" w:hAnsi="inherit"/>
          <w:color w:val="000000"/>
          <w:sz w:val="27"/>
          <w:szCs w:val="27"/>
        </w:rPr>
      </w:pPr>
      <w:r>
        <w:rPr>
          <w:rFonts w:ascii="inherit" w:hAnsi="inherit"/>
          <w:sz w:val="27"/>
        </w:rPr>
        <w:t>Avgiftsfria offentligrättsliga prestationer är sådana prestationer som avses i 5 § i lagen om grunderna för avgifter till staten (150/1992).</w:t>
      </w:r>
    </w:p>
    <w:p w14:paraId="48D3FFD1" w14:textId="5DA5CABD"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Ingen avgift </w:t>
      </w:r>
      <w:r w:rsidR="00C519CD">
        <w:rPr>
          <w:rFonts w:ascii="inherit" w:hAnsi="inherit"/>
          <w:color w:val="000000"/>
          <w:sz w:val="27"/>
        </w:rPr>
        <w:t>tas</w:t>
      </w:r>
      <w:r>
        <w:rPr>
          <w:rFonts w:ascii="inherit" w:hAnsi="inherit"/>
          <w:color w:val="000000"/>
          <w:sz w:val="27"/>
        </w:rPr>
        <w:t xml:space="preserve"> heller </w:t>
      </w:r>
      <w:r w:rsidR="00C519CD">
        <w:rPr>
          <w:rFonts w:ascii="inherit" w:hAnsi="inherit"/>
          <w:color w:val="000000"/>
          <w:sz w:val="27"/>
        </w:rPr>
        <w:t xml:space="preserve">ut </w:t>
      </w:r>
      <w:r>
        <w:rPr>
          <w:rFonts w:ascii="inherit" w:hAnsi="inherit"/>
          <w:color w:val="000000"/>
          <w:sz w:val="27"/>
        </w:rPr>
        <w:t>för att ta en strålkälla ur bruk, för att helt eller delvis upphöra med strålningsverksamhet, för ändring av kontaktuppgifter till innehavare av säkerhetstillstånd eller innehavare av tillstånd för högeffektslaser eller för att upphöra med en dosimetritjänst. Huruvida tillsynen av dessa prestationer ska vara avgiftsbelagd fastställs dock i enlighet med 2 § i denna förordning.</w:t>
      </w:r>
    </w:p>
    <w:p w14:paraId="0809DB6E" w14:textId="3C5FAFD8"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 xml:space="preserve">För behandling av begäran om omprövning som avses i 196 § i strålsäkerhetslagen </w:t>
      </w:r>
      <w:r w:rsidR="00C519CD">
        <w:rPr>
          <w:rFonts w:ascii="inherit" w:hAnsi="inherit"/>
          <w:color w:val="000000"/>
          <w:sz w:val="27"/>
        </w:rPr>
        <w:t xml:space="preserve">tas det </w:t>
      </w:r>
      <w:r>
        <w:rPr>
          <w:rFonts w:ascii="inherit" w:hAnsi="inherit"/>
          <w:color w:val="000000"/>
          <w:sz w:val="27"/>
        </w:rPr>
        <w:t xml:space="preserve">inte heller </w:t>
      </w:r>
      <w:r w:rsidR="00C519CD">
        <w:rPr>
          <w:rFonts w:ascii="inherit" w:hAnsi="inherit"/>
          <w:color w:val="000000"/>
          <w:sz w:val="27"/>
        </w:rPr>
        <w:t xml:space="preserve">ut </w:t>
      </w:r>
      <w:r>
        <w:rPr>
          <w:rFonts w:ascii="inherit" w:hAnsi="inherit"/>
          <w:color w:val="000000"/>
          <w:sz w:val="27"/>
        </w:rPr>
        <w:t>någon avgift.</w:t>
      </w:r>
    </w:p>
    <w:p w14:paraId="7D33D104" w14:textId="29248AAA"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6" w:name="P7"/>
      <w:r>
        <w:rPr>
          <w:rFonts w:ascii="Georgia" w:hAnsi="Georgia"/>
          <w:b w:val="0"/>
          <w:color w:val="000000"/>
          <w:sz w:val="39"/>
          <w:bdr w:val="none" w:sz="0" w:space="0" w:color="auto" w:frame="1"/>
        </w:rPr>
        <w:t>7 §</w:t>
      </w:r>
      <w:bookmarkEnd w:id="6"/>
    </w:p>
    <w:p w14:paraId="47E68049"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Övriga avgiftsbelagda prestationer</w:t>
      </w:r>
    </w:p>
    <w:p w14:paraId="70D457D8"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Strålsäkerhetscentralen prissätter övriga avgiftsbelagda prestationer enligt företagsekonomiska grunder.</w:t>
      </w:r>
    </w:p>
    <w:p w14:paraId="1D3AE5D1"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Grupper av prestationer som avses i denna paragraf är</w:t>
      </w:r>
    </w:p>
    <w:p w14:paraId="778F4F93"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1) tillsyn som görs på kundens begäran, strålningsmätningar, kalibreringar, tester, bestrålningar och fastställande av radioaktiva ämnen,</w:t>
      </w:r>
    </w:p>
    <w:p w14:paraId="4FECB3A3"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2) utbildningar och övningar,</w:t>
      </w:r>
    </w:p>
    <w:p w14:paraId="46B44A28"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3) hyra för apparater och lokaler,</w:t>
      </w:r>
    </w:p>
    <w:p w14:paraId="0D8DC77C"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4) informationstjänster,</w:t>
      </w:r>
    </w:p>
    <w:p w14:paraId="132AA98E"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5) dokumentkopior som getts ut på begäran,</w:t>
      </w:r>
    </w:p>
    <w:p w14:paraId="66B76754" w14:textId="59BC9EA6"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6) sakkunnigtjänster samt andra tjänster än de prestationer som avses i 8 §.</w:t>
      </w:r>
    </w:p>
    <w:p w14:paraId="2503EAF1" w14:textId="2AA56024" w:rsidR="000C3BD0" w:rsidRPr="00422F7B" w:rsidRDefault="000C3BD0" w:rsidP="000C3BD0">
      <w:pPr>
        <w:pStyle w:val="Otsikko3"/>
        <w:shd w:val="clear" w:color="auto" w:fill="FFFFFF"/>
        <w:spacing w:after="0"/>
        <w:textAlignment w:val="baseline"/>
        <w:rPr>
          <w:rFonts w:ascii="Georgia" w:hAnsi="Georgia"/>
          <w:b w:val="0"/>
          <w:bCs w:val="0"/>
          <w:color w:val="000000"/>
          <w:sz w:val="39"/>
          <w:szCs w:val="39"/>
        </w:rPr>
      </w:pPr>
      <w:bookmarkStart w:id="7" w:name="P8"/>
      <w:r>
        <w:rPr>
          <w:rFonts w:ascii="Georgia" w:hAnsi="Georgia"/>
          <w:b w:val="0"/>
          <w:color w:val="000000"/>
          <w:sz w:val="39"/>
          <w:bdr w:val="none" w:sz="0" w:space="0" w:color="auto" w:frame="1"/>
        </w:rPr>
        <w:t>8 §</w:t>
      </w:r>
      <w:bookmarkEnd w:id="7"/>
    </w:p>
    <w:p w14:paraId="2258E8D5"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Avgiftsfria övriga prestationer</w:t>
      </w:r>
    </w:p>
    <w:p w14:paraId="47E8FF95"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Avgiftsfria övriga prestationsgrupper är</w:t>
      </w:r>
    </w:p>
    <w:p w14:paraId="50A1C68D"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1) internationellt och nationellt samarbete för att vidmakthålla och främja strålsäkerheten och säkerheten vid användning av kärnenergi,</w:t>
      </w:r>
    </w:p>
    <w:p w14:paraId="694AFDBD"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2) utbildningar och övningar som är viktiga med hänsyn till behovet att trygga den övergripande säkerheten i samhället.</w:t>
      </w:r>
    </w:p>
    <w:p w14:paraId="7CF538C9" w14:textId="77777777" w:rsidR="000C3BD0" w:rsidRPr="00422F7B" w:rsidRDefault="000C3BD0" w:rsidP="000C3BD0">
      <w:pPr>
        <w:pStyle w:val="py"/>
        <w:shd w:val="clear" w:color="auto" w:fill="FFFFFF"/>
        <w:textAlignment w:val="baseline"/>
        <w:rPr>
          <w:rFonts w:ascii="inherit" w:hAnsi="inherit"/>
          <w:color w:val="000000"/>
          <w:sz w:val="27"/>
          <w:szCs w:val="27"/>
        </w:rPr>
      </w:pPr>
      <w:bookmarkStart w:id="8" w:name="_Hlk113612285"/>
      <w:r>
        <w:rPr>
          <w:rFonts w:ascii="inherit" w:hAnsi="inherit"/>
          <w:color w:val="000000"/>
          <w:sz w:val="27"/>
        </w:rPr>
        <w:t>Med övriga avgiftsfria prestationer avses även myndigheters rådgivning, anvisningar, handledning och delgivning, om det föranleder endast ringa kostnader.</w:t>
      </w:r>
    </w:p>
    <w:bookmarkEnd w:id="8"/>
    <w:p w14:paraId="66908442" w14:textId="77777777"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Hur kostnader i samband med en prestation ska fördelas och ersättas kan det avtalas om separat, dock högst till utgifternas självkostnadsvärde.</w:t>
      </w:r>
    </w:p>
    <w:p w14:paraId="512EC0F3"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9 §</w:t>
      </w:r>
    </w:p>
    <w:p w14:paraId="09AD167A" w14:textId="77777777" w:rsidR="000C3BD0" w:rsidRPr="00422F7B" w:rsidRDefault="000C3BD0" w:rsidP="000C3BD0">
      <w:pPr>
        <w:pStyle w:val="Otsikko3"/>
        <w:shd w:val="clear" w:color="auto" w:fill="FFFFFF"/>
        <w:spacing w:after="120"/>
        <w:textAlignment w:val="baseline"/>
        <w:rPr>
          <w:rFonts w:ascii="Georgia" w:hAnsi="Georgia"/>
          <w:b w:val="0"/>
          <w:bCs w:val="0"/>
          <w:color w:val="000000"/>
          <w:sz w:val="39"/>
          <w:szCs w:val="39"/>
        </w:rPr>
      </w:pPr>
      <w:r>
        <w:rPr>
          <w:rFonts w:ascii="Georgia" w:hAnsi="Georgia"/>
          <w:b w:val="0"/>
          <w:color w:val="000000"/>
          <w:sz w:val="39"/>
        </w:rPr>
        <w:t>Ikraftträdande och övergångsbestämmelser</w:t>
      </w:r>
    </w:p>
    <w:p w14:paraId="504404E3" w14:textId="4CE530EE" w:rsidR="000C3BD0" w:rsidRPr="00422F7B" w:rsidRDefault="000C3BD0" w:rsidP="000C3BD0">
      <w:pPr>
        <w:pStyle w:val="py"/>
        <w:shd w:val="clear" w:color="auto" w:fill="FFFFFF"/>
        <w:textAlignment w:val="baseline"/>
        <w:rPr>
          <w:rFonts w:ascii="inherit" w:hAnsi="inherit"/>
          <w:color w:val="000000"/>
          <w:sz w:val="27"/>
          <w:szCs w:val="27"/>
        </w:rPr>
      </w:pPr>
      <w:r>
        <w:rPr>
          <w:rFonts w:ascii="inherit" w:hAnsi="inherit"/>
          <w:color w:val="000000"/>
          <w:sz w:val="27"/>
        </w:rPr>
        <w:t>Denna förordning träder i kraft den 1 januari 2023 och gäller till och med den 31 december 2024.</w:t>
      </w:r>
    </w:p>
    <w:p w14:paraId="5C7C45A4" w14:textId="3D2F33A3" w:rsidR="000C3BD0" w:rsidRDefault="000C3BD0" w:rsidP="000C3BD0">
      <w:pPr>
        <w:pStyle w:val="py"/>
        <w:shd w:val="clear" w:color="auto" w:fill="FFFFFF"/>
        <w:textAlignment w:val="baseline"/>
        <w:rPr>
          <w:rFonts w:ascii="inherit" w:hAnsi="inherit"/>
          <w:color w:val="000000"/>
          <w:sz w:val="27"/>
        </w:rPr>
      </w:pPr>
      <w:r>
        <w:rPr>
          <w:rFonts w:ascii="inherit" w:hAnsi="inherit"/>
          <w:color w:val="000000"/>
          <w:sz w:val="27"/>
        </w:rPr>
        <w:t>För prestationer som hänför sig till ärenden som har blivit anhängiga före ikraftträdandet av denna förordning tas avgift ut enligt de bestämmelser som gällde vid ikraftträdandet.</w:t>
      </w:r>
    </w:p>
    <w:p w14:paraId="56DCC643" w14:textId="25B9A40E" w:rsidR="004D08F8" w:rsidRDefault="004D08F8" w:rsidP="000C3BD0">
      <w:pPr>
        <w:pStyle w:val="py"/>
        <w:shd w:val="clear" w:color="auto" w:fill="FFFFFF"/>
        <w:textAlignment w:val="baseline"/>
        <w:rPr>
          <w:rFonts w:ascii="inherit" w:hAnsi="inherit"/>
          <w:color w:val="000000"/>
          <w:sz w:val="27"/>
        </w:rPr>
      </w:pPr>
      <w:r>
        <w:rPr>
          <w:rFonts w:ascii="inherit" w:hAnsi="inherit"/>
          <w:color w:val="000000"/>
          <w:sz w:val="27"/>
        </w:rPr>
        <w:t>Helsingfors den  december 2022</w:t>
      </w:r>
    </w:p>
    <w:p w14:paraId="0C994D4F" w14:textId="6D324A3B" w:rsidR="004D08F8" w:rsidRDefault="004D08F8" w:rsidP="000C3BD0">
      <w:pPr>
        <w:pStyle w:val="py"/>
        <w:shd w:val="clear" w:color="auto" w:fill="FFFFFF"/>
        <w:textAlignment w:val="baseline"/>
        <w:rPr>
          <w:rFonts w:ascii="inherit" w:hAnsi="inherit"/>
          <w:color w:val="000000"/>
          <w:sz w:val="27"/>
        </w:rPr>
      </w:pPr>
      <w:r>
        <w:rPr>
          <w:rFonts w:ascii="inherit" w:hAnsi="inherit"/>
          <w:color w:val="000000"/>
          <w:sz w:val="27"/>
        </w:rPr>
        <w:t>Familje- och omsorgsminister</w:t>
      </w:r>
      <w:r>
        <w:rPr>
          <w:rFonts w:ascii="inherit" w:hAnsi="inherit"/>
          <w:color w:val="000000"/>
          <w:sz w:val="27"/>
        </w:rPr>
        <w:tab/>
      </w:r>
      <w:r>
        <w:rPr>
          <w:rFonts w:ascii="inherit" w:hAnsi="inherit"/>
          <w:color w:val="000000"/>
          <w:sz w:val="27"/>
        </w:rPr>
        <w:tab/>
        <w:t>Krista Kiuru</w:t>
      </w:r>
    </w:p>
    <w:p w14:paraId="16709511" w14:textId="14C13AEC" w:rsidR="004D08F8" w:rsidRPr="00422F7B" w:rsidRDefault="004D08F8" w:rsidP="000C3BD0">
      <w:pPr>
        <w:pStyle w:val="py"/>
        <w:shd w:val="clear" w:color="auto" w:fill="FFFFFF"/>
        <w:textAlignment w:val="baseline"/>
        <w:rPr>
          <w:rFonts w:ascii="inherit" w:hAnsi="inherit"/>
          <w:color w:val="000000"/>
          <w:sz w:val="27"/>
          <w:szCs w:val="27"/>
        </w:rPr>
      </w:pPr>
      <w:r>
        <w:rPr>
          <w:rFonts w:ascii="inherit" w:hAnsi="inherit"/>
          <w:color w:val="000000"/>
          <w:sz w:val="27"/>
        </w:rPr>
        <w:t>Regeringss</w:t>
      </w:r>
      <w:bookmarkStart w:id="9" w:name="_GoBack"/>
      <w:bookmarkEnd w:id="9"/>
      <w:r>
        <w:rPr>
          <w:rFonts w:ascii="inherit" w:hAnsi="inherit"/>
          <w:color w:val="000000"/>
          <w:sz w:val="27"/>
        </w:rPr>
        <w:t>ekreterare</w:t>
      </w:r>
      <w:r>
        <w:rPr>
          <w:rFonts w:ascii="inherit" w:hAnsi="inherit"/>
          <w:color w:val="000000"/>
          <w:sz w:val="27"/>
        </w:rPr>
        <w:tab/>
      </w:r>
      <w:r>
        <w:rPr>
          <w:rFonts w:ascii="inherit" w:hAnsi="inherit"/>
          <w:color w:val="000000"/>
          <w:sz w:val="27"/>
        </w:rPr>
        <w:tab/>
      </w:r>
      <w:r>
        <w:rPr>
          <w:rFonts w:ascii="inherit" w:hAnsi="inherit"/>
          <w:color w:val="000000"/>
          <w:sz w:val="27"/>
        </w:rPr>
        <w:tab/>
        <w:t>Helena Korpinen</w:t>
      </w:r>
    </w:p>
    <w:p w14:paraId="268881DE" w14:textId="1EF65E37" w:rsidR="000C3BD0" w:rsidRPr="00422F7B" w:rsidRDefault="000C3BD0" w:rsidP="000C3BD0">
      <w:pPr>
        <w:pStyle w:val="NormaaliWWW"/>
        <w:shd w:val="clear" w:color="auto" w:fill="FFFFFF"/>
        <w:spacing w:before="0" w:after="0"/>
        <w:textAlignment w:val="baseline"/>
        <w:rPr>
          <w:rStyle w:val="Korostus"/>
          <w:rFonts w:ascii="inherit" w:eastAsiaTheme="majorEastAsia" w:hAnsi="inherit"/>
          <w:color w:val="000000"/>
          <w:sz w:val="27"/>
          <w:szCs w:val="27"/>
          <w:bdr w:val="none" w:sz="0" w:space="0" w:color="auto" w:frame="1"/>
        </w:rPr>
      </w:pPr>
      <w:r>
        <w:rPr>
          <w:rStyle w:val="Korostus"/>
          <w:rFonts w:ascii="inherit" w:hAnsi="inherit"/>
          <w:color w:val="000000"/>
          <w:sz w:val="27"/>
          <w:bdr w:val="none" w:sz="0" w:space="0" w:color="auto" w:frame="1"/>
        </w:rPr>
        <w:t>Bilaga</w:t>
      </w:r>
    </w:p>
    <w:p w14:paraId="365B4E55" w14:textId="77777777" w:rsidR="008D4D8D" w:rsidRPr="00422F7B" w:rsidRDefault="008D4D8D" w:rsidP="000C3BD0">
      <w:pPr>
        <w:pStyle w:val="NormaaliWWW"/>
        <w:shd w:val="clear" w:color="auto" w:fill="FFFFFF"/>
        <w:spacing w:before="0" w:after="0"/>
        <w:textAlignment w:val="baseline"/>
        <w:rPr>
          <w:rFonts w:ascii="inherit" w:hAnsi="inherit"/>
          <w:color w:val="000000"/>
          <w:sz w:val="27"/>
          <w:szCs w:val="27"/>
        </w:rPr>
      </w:pPr>
    </w:p>
    <w:p w14:paraId="5DEADA98"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1. Säkerhetstillstånd</w:t>
      </w:r>
    </w:p>
    <w:p w14:paraId="15D0D4DC" w14:textId="168FDD63"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1.1.</w:t>
      </w:r>
      <w:r>
        <w:rPr>
          <w:rFonts w:ascii="inherit" w:hAnsi="inherit"/>
          <w:color w:val="000000"/>
          <w:sz w:val="27"/>
        </w:rPr>
        <w:t> Avgifterna för beslut om säkerhetstillstånd för strålningsanvändning och för verksamhet som medför exponering för naturlig strålning.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2"/>
        <w:gridCol w:w="1979"/>
        <w:gridCol w:w="1633"/>
        <w:gridCol w:w="2761"/>
      </w:tblGrid>
      <w:tr w:rsidR="000E54B8" w:rsidRPr="00422F7B" w14:paraId="652FD7CC" w14:textId="77777777" w:rsidTr="00422F7B">
        <w:tc>
          <w:tcPr>
            <w:tcW w:w="1875" w:type="pct"/>
            <w:tcMar>
              <w:top w:w="75" w:type="dxa"/>
              <w:left w:w="150" w:type="dxa"/>
              <w:bottom w:w="75" w:type="dxa"/>
              <w:right w:w="150" w:type="dxa"/>
            </w:tcMar>
            <w:hideMark/>
          </w:tcPr>
          <w:p w14:paraId="0782B505" w14:textId="77777777" w:rsidR="000E54B8" w:rsidRPr="00422F7B" w:rsidRDefault="000E54B8">
            <w:pPr>
              <w:rPr>
                <w:rFonts w:ascii="inherit" w:hAnsi="inherit"/>
                <w:sz w:val="24"/>
                <w:szCs w:val="24"/>
              </w:rPr>
            </w:pPr>
            <w:bookmarkStart w:id="10" w:name="_Hlk111726361"/>
            <w:r>
              <w:rPr>
                <w:rStyle w:val="Voimakas"/>
                <w:rFonts w:ascii="inherit" w:hAnsi="inherit"/>
                <w:bdr w:val="none" w:sz="0" w:space="0" w:color="auto" w:frame="1"/>
              </w:rPr>
              <w:t>Prestation</w:t>
            </w:r>
          </w:p>
        </w:tc>
        <w:tc>
          <w:tcPr>
            <w:tcW w:w="971" w:type="pct"/>
            <w:tcMar>
              <w:top w:w="75" w:type="dxa"/>
              <w:left w:w="150" w:type="dxa"/>
              <w:bottom w:w="75" w:type="dxa"/>
              <w:right w:w="150" w:type="dxa"/>
            </w:tcMar>
            <w:hideMark/>
          </w:tcPr>
          <w:p w14:paraId="3C674407" w14:textId="282CDE6E" w:rsidR="000E54B8" w:rsidRPr="00422F7B" w:rsidRDefault="000E54B8">
            <w:pPr>
              <w:rPr>
                <w:rFonts w:ascii="inherit" w:hAnsi="inherit"/>
              </w:rPr>
            </w:pPr>
            <w:r>
              <w:rPr>
                <w:rStyle w:val="Voimakas"/>
                <w:rFonts w:ascii="inherit" w:hAnsi="inherit"/>
                <w:bdr w:val="none" w:sz="0" w:space="0" w:color="auto" w:frame="1"/>
              </w:rPr>
              <w:t>Grundavgift, €</w:t>
            </w:r>
          </w:p>
        </w:tc>
        <w:tc>
          <w:tcPr>
            <w:tcW w:w="800" w:type="pct"/>
            <w:tcMar>
              <w:top w:w="74" w:type="dxa"/>
              <w:left w:w="147" w:type="dxa"/>
              <w:bottom w:w="74" w:type="dxa"/>
              <w:right w:w="147" w:type="dxa"/>
            </w:tcMar>
          </w:tcPr>
          <w:p w14:paraId="2A902B2A" w14:textId="609653CA" w:rsidR="000E54B8" w:rsidRPr="00422F7B" w:rsidDel="008D4D8D" w:rsidRDefault="000E54B8">
            <w:pPr>
              <w:rPr>
                <w:rStyle w:val="Voimakas"/>
                <w:rFonts w:ascii="inherit" w:hAnsi="inherit"/>
                <w:bdr w:val="none" w:sz="0" w:space="0" w:color="auto" w:frame="1"/>
              </w:rPr>
            </w:pPr>
            <w:r>
              <w:rPr>
                <w:rStyle w:val="Voimakas"/>
                <w:rFonts w:ascii="inherit" w:hAnsi="inherit"/>
                <w:bdr w:val="none" w:sz="0" w:space="0" w:color="auto" w:frame="1"/>
              </w:rPr>
              <w:t>Tilläggsavgift, €/h</w:t>
            </w:r>
          </w:p>
        </w:tc>
        <w:tc>
          <w:tcPr>
            <w:tcW w:w="1426" w:type="pct"/>
            <w:tcMar>
              <w:top w:w="75" w:type="dxa"/>
              <w:left w:w="150" w:type="dxa"/>
              <w:bottom w:w="75" w:type="dxa"/>
              <w:right w:w="150" w:type="dxa"/>
            </w:tcMar>
          </w:tcPr>
          <w:p w14:paraId="60A997C2" w14:textId="1BB4631B" w:rsidR="000E54B8" w:rsidRPr="00422F7B" w:rsidRDefault="000E54B8">
            <w:pPr>
              <w:rPr>
                <w:rFonts w:ascii="inherit" w:hAnsi="inherit"/>
              </w:rPr>
            </w:pPr>
          </w:p>
        </w:tc>
      </w:tr>
      <w:tr w:rsidR="000E54B8" w:rsidRPr="00422F7B" w14:paraId="526393E0" w14:textId="77777777" w:rsidTr="00422F7B">
        <w:tc>
          <w:tcPr>
            <w:tcW w:w="1875" w:type="pct"/>
            <w:tcMar>
              <w:top w:w="75" w:type="dxa"/>
              <w:left w:w="150" w:type="dxa"/>
              <w:bottom w:w="75" w:type="dxa"/>
              <w:right w:w="150" w:type="dxa"/>
            </w:tcMar>
            <w:hideMark/>
          </w:tcPr>
          <w:p w14:paraId="7776A3A5" w14:textId="77777777" w:rsidR="000E54B8" w:rsidRPr="00422F7B" w:rsidRDefault="000E54B8">
            <w:pPr>
              <w:rPr>
                <w:rFonts w:ascii="inherit" w:hAnsi="inherit"/>
              </w:rPr>
            </w:pPr>
            <w:r>
              <w:rPr>
                <w:rFonts w:ascii="inherit" w:hAnsi="inherit"/>
              </w:rPr>
              <w:t>Nytt tillstånd – kategori 3 eller E</w:t>
            </w:r>
          </w:p>
        </w:tc>
        <w:tc>
          <w:tcPr>
            <w:tcW w:w="971" w:type="pct"/>
            <w:tcMar>
              <w:top w:w="75" w:type="dxa"/>
              <w:left w:w="150" w:type="dxa"/>
              <w:bottom w:w="75" w:type="dxa"/>
              <w:right w:w="150" w:type="dxa"/>
            </w:tcMar>
            <w:hideMark/>
          </w:tcPr>
          <w:p w14:paraId="1D70D86B" w14:textId="724AC03F" w:rsidR="000E54B8" w:rsidRPr="00422F7B" w:rsidRDefault="00216AEE">
            <w:pPr>
              <w:rPr>
                <w:rFonts w:ascii="inherit" w:hAnsi="inherit"/>
              </w:rPr>
            </w:pPr>
            <w:r>
              <w:rPr>
                <w:rFonts w:ascii="inherit" w:hAnsi="inherit"/>
              </w:rPr>
              <w:t>735</w:t>
            </w:r>
          </w:p>
        </w:tc>
        <w:tc>
          <w:tcPr>
            <w:tcW w:w="728" w:type="pct"/>
            <w:tcMar>
              <w:top w:w="74" w:type="dxa"/>
              <w:left w:w="147" w:type="dxa"/>
              <w:bottom w:w="74" w:type="dxa"/>
              <w:right w:w="147" w:type="dxa"/>
            </w:tcMar>
          </w:tcPr>
          <w:p w14:paraId="347FF247" w14:textId="738D0763"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0D2B54DE" w14:textId="731D94B8" w:rsidR="000E54B8" w:rsidRPr="00422F7B" w:rsidRDefault="000E54B8">
            <w:pPr>
              <w:rPr>
                <w:rFonts w:ascii="inherit" w:hAnsi="inherit"/>
              </w:rPr>
            </w:pPr>
          </w:p>
        </w:tc>
      </w:tr>
      <w:tr w:rsidR="000E54B8" w:rsidRPr="00422F7B" w14:paraId="33A834CC" w14:textId="77777777" w:rsidTr="00422F7B">
        <w:tc>
          <w:tcPr>
            <w:tcW w:w="1875" w:type="pct"/>
            <w:tcMar>
              <w:top w:w="75" w:type="dxa"/>
              <w:left w:w="150" w:type="dxa"/>
              <w:bottom w:w="75" w:type="dxa"/>
              <w:right w:w="150" w:type="dxa"/>
            </w:tcMar>
            <w:hideMark/>
          </w:tcPr>
          <w:p w14:paraId="512CE04D" w14:textId="77777777" w:rsidR="000E54B8" w:rsidRPr="00422F7B" w:rsidRDefault="000E54B8">
            <w:pPr>
              <w:rPr>
                <w:rFonts w:ascii="inherit" w:hAnsi="inherit"/>
              </w:rPr>
            </w:pPr>
            <w:r>
              <w:rPr>
                <w:rFonts w:ascii="inherit" w:hAnsi="inherit"/>
              </w:rPr>
              <w:t>Nytt tillstånd – kategori 2</w:t>
            </w:r>
          </w:p>
        </w:tc>
        <w:tc>
          <w:tcPr>
            <w:tcW w:w="971" w:type="pct"/>
            <w:tcMar>
              <w:top w:w="75" w:type="dxa"/>
              <w:left w:w="150" w:type="dxa"/>
              <w:bottom w:w="75" w:type="dxa"/>
              <w:right w:w="150" w:type="dxa"/>
            </w:tcMar>
            <w:hideMark/>
          </w:tcPr>
          <w:p w14:paraId="41A5C157" w14:textId="2420CD6A" w:rsidR="000E54B8" w:rsidRPr="00422F7B" w:rsidRDefault="00216AEE">
            <w:pPr>
              <w:rPr>
                <w:rFonts w:ascii="inherit" w:hAnsi="inherit"/>
              </w:rPr>
            </w:pPr>
            <w:r>
              <w:rPr>
                <w:rFonts w:ascii="inherit" w:hAnsi="inherit"/>
              </w:rPr>
              <w:t>1 055</w:t>
            </w:r>
          </w:p>
        </w:tc>
        <w:tc>
          <w:tcPr>
            <w:tcW w:w="728" w:type="pct"/>
            <w:tcMar>
              <w:top w:w="74" w:type="dxa"/>
              <w:left w:w="147" w:type="dxa"/>
              <w:bottom w:w="74" w:type="dxa"/>
              <w:right w:w="147" w:type="dxa"/>
            </w:tcMar>
          </w:tcPr>
          <w:p w14:paraId="2A3B1075" w14:textId="73B1D09C"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0EF6F881" w14:textId="19752517" w:rsidR="000E54B8" w:rsidRPr="00422F7B" w:rsidRDefault="000E54B8">
            <w:pPr>
              <w:rPr>
                <w:rFonts w:ascii="inherit" w:hAnsi="inherit"/>
              </w:rPr>
            </w:pPr>
          </w:p>
        </w:tc>
      </w:tr>
      <w:tr w:rsidR="000E54B8" w:rsidRPr="00422F7B" w14:paraId="617F6289" w14:textId="77777777" w:rsidTr="00422F7B">
        <w:tc>
          <w:tcPr>
            <w:tcW w:w="1875" w:type="pct"/>
            <w:tcMar>
              <w:top w:w="75" w:type="dxa"/>
              <w:left w:w="150" w:type="dxa"/>
              <w:bottom w:w="75" w:type="dxa"/>
              <w:right w:w="150" w:type="dxa"/>
            </w:tcMar>
            <w:hideMark/>
          </w:tcPr>
          <w:p w14:paraId="56FE37F8" w14:textId="77777777" w:rsidR="000E54B8" w:rsidRPr="00422F7B" w:rsidRDefault="000E54B8">
            <w:pPr>
              <w:rPr>
                <w:rFonts w:ascii="inherit" w:hAnsi="inherit"/>
              </w:rPr>
            </w:pPr>
            <w:r>
              <w:rPr>
                <w:rFonts w:ascii="inherit" w:hAnsi="inherit"/>
              </w:rPr>
              <w:t>Nytt tillstånd – kategori 1</w:t>
            </w:r>
          </w:p>
        </w:tc>
        <w:tc>
          <w:tcPr>
            <w:tcW w:w="971" w:type="pct"/>
            <w:tcMar>
              <w:top w:w="75" w:type="dxa"/>
              <w:left w:w="150" w:type="dxa"/>
              <w:bottom w:w="75" w:type="dxa"/>
              <w:right w:w="150" w:type="dxa"/>
            </w:tcMar>
            <w:hideMark/>
          </w:tcPr>
          <w:p w14:paraId="71B61855" w14:textId="6BF5627A" w:rsidR="000E54B8" w:rsidRPr="00422F7B" w:rsidRDefault="000E54B8">
            <w:pPr>
              <w:rPr>
                <w:rFonts w:ascii="inherit" w:hAnsi="inherit"/>
              </w:rPr>
            </w:pPr>
            <w:r>
              <w:rPr>
                <w:rFonts w:ascii="inherit" w:hAnsi="inherit"/>
              </w:rPr>
              <w:t>1 495</w:t>
            </w:r>
          </w:p>
        </w:tc>
        <w:tc>
          <w:tcPr>
            <w:tcW w:w="728" w:type="pct"/>
            <w:tcMar>
              <w:top w:w="74" w:type="dxa"/>
              <w:left w:w="147" w:type="dxa"/>
              <w:bottom w:w="74" w:type="dxa"/>
              <w:right w:w="147" w:type="dxa"/>
            </w:tcMar>
          </w:tcPr>
          <w:p w14:paraId="29527D7D" w14:textId="079CE138"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71D05CA7" w14:textId="3FCFD257" w:rsidR="000E54B8" w:rsidRPr="00422F7B" w:rsidRDefault="000E54B8">
            <w:pPr>
              <w:rPr>
                <w:rFonts w:ascii="inherit" w:hAnsi="inherit"/>
              </w:rPr>
            </w:pPr>
          </w:p>
        </w:tc>
      </w:tr>
      <w:tr w:rsidR="000E54B8" w:rsidRPr="00422F7B" w14:paraId="124DB985" w14:textId="77777777" w:rsidTr="00422F7B">
        <w:tc>
          <w:tcPr>
            <w:tcW w:w="1875" w:type="pct"/>
            <w:tcMar>
              <w:top w:w="75" w:type="dxa"/>
              <w:left w:w="150" w:type="dxa"/>
              <w:bottom w:w="75" w:type="dxa"/>
              <w:right w:w="150" w:type="dxa"/>
            </w:tcMar>
            <w:hideMark/>
          </w:tcPr>
          <w:p w14:paraId="6EF402F3" w14:textId="2CEC4F3C" w:rsidR="000E54B8" w:rsidRPr="00422F7B" w:rsidRDefault="000E54B8">
            <w:pPr>
              <w:rPr>
                <w:rFonts w:ascii="inherit" w:hAnsi="inherit"/>
              </w:rPr>
            </w:pPr>
            <w:r>
              <w:rPr>
                <w:rFonts w:ascii="inherit" w:hAnsi="inherit"/>
              </w:rPr>
              <w:t>Nytt tillstånd – odontologisk röntgenverksamhet som använder panoramatomografiröntgenapparater eller tandröntgenapparater med vilka bilden tas på en intraoral bildreceptor.</w:t>
            </w:r>
          </w:p>
        </w:tc>
        <w:tc>
          <w:tcPr>
            <w:tcW w:w="971" w:type="pct"/>
            <w:tcMar>
              <w:top w:w="75" w:type="dxa"/>
              <w:left w:w="150" w:type="dxa"/>
              <w:bottom w:w="75" w:type="dxa"/>
              <w:right w:w="150" w:type="dxa"/>
            </w:tcMar>
            <w:hideMark/>
          </w:tcPr>
          <w:p w14:paraId="222214AC" w14:textId="7EDDDD92" w:rsidR="000E54B8" w:rsidRPr="00422F7B" w:rsidRDefault="000E54B8">
            <w:pPr>
              <w:rPr>
                <w:rFonts w:ascii="inherit" w:hAnsi="inherit"/>
              </w:rPr>
            </w:pPr>
            <w:r>
              <w:rPr>
                <w:rFonts w:ascii="inherit" w:hAnsi="inherit"/>
              </w:rPr>
              <w:t>260</w:t>
            </w:r>
          </w:p>
        </w:tc>
        <w:tc>
          <w:tcPr>
            <w:tcW w:w="728" w:type="pct"/>
            <w:tcMar>
              <w:top w:w="74" w:type="dxa"/>
              <w:left w:w="147" w:type="dxa"/>
              <w:bottom w:w="74" w:type="dxa"/>
              <w:right w:w="147" w:type="dxa"/>
            </w:tcMar>
          </w:tcPr>
          <w:p w14:paraId="3FA6BB56" w14:textId="2878CE3A"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107FCFA5" w14:textId="6C86C0AB" w:rsidR="000E54B8" w:rsidRPr="00422F7B" w:rsidRDefault="000E54B8">
            <w:pPr>
              <w:rPr>
                <w:rFonts w:ascii="inherit" w:hAnsi="inherit"/>
              </w:rPr>
            </w:pPr>
          </w:p>
        </w:tc>
      </w:tr>
      <w:tr w:rsidR="000E54B8" w:rsidRPr="00422F7B" w14:paraId="449927AB" w14:textId="77777777" w:rsidTr="00422F7B">
        <w:tc>
          <w:tcPr>
            <w:tcW w:w="1875" w:type="pct"/>
            <w:tcMar>
              <w:top w:w="75" w:type="dxa"/>
              <w:left w:w="150" w:type="dxa"/>
              <w:bottom w:w="75" w:type="dxa"/>
              <w:right w:w="150" w:type="dxa"/>
            </w:tcMar>
            <w:hideMark/>
          </w:tcPr>
          <w:p w14:paraId="4AD2EF38" w14:textId="089A5683" w:rsidR="000E54B8" w:rsidRPr="00422F7B" w:rsidRDefault="000E54B8">
            <w:pPr>
              <w:rPr>
                <w:rFonts w:ascii="inherit" w:hAnsi="inherit"/>
              </w:rPr>
            </w:pPr>
            <w:r>
              <w:rPr>
                <w:rFonts w:ascii="inherit" w:hAnsi="inherit"/>
              </w:rPr>
              <w:t>Nytt tillstånd – verksamhet som medför exponering för naturlig strålning</w:t>
            </w:r>
          </w:p>
        </w:tc>
        <w:tc>
          <w:tcPr>
            <w:tcW w:w="971" w:type="pct"/>
            <w:tcMar>
              <w:top w:w="75" w:type="dxa"/>
              <w:left w:w="150" w:type="dxa"/>
              <w:bottom w:w="75" w:type="dxa"/>
              <w:right w:w="150" w:type="dxa"/>
            </w:tcMar>
            <w:hideMark/>
          </w:tcPr>
          <w:p w14:paraId="19301143" w14:textId="23F592C5" w:rsidR="000E54B8" w:rsidRPr="00422F7B" w:rsidRDefault="00C404C6">
            <w:pPr>
              <w:rPr>
                <w:rFonts w:ascii="inherit" w:hAnsi="inherit"/>
              </w:rPr>
            </w:pPr>
            <w:r>
              <w:rPr>
                <w:rFonts w:ascii="inherit" w:hAnsi="inherit"/>
              </w:rPr>
              <w:t>2 760</w:t>
            </w:r>
          </w:p>
        </w:tc>
        <w:tc>
          <w:tcPr>
            <w:tcW w:w="728" w:type="pct"/>
            <w:tcMar>
              <w:top w:w="74" w:type="dxa"/>
              <w:left w:w="147" w:type="dxa"/>
              <w:bottom w:w="74" w:type="dxa"/>
              <w:right w:w="147" w:type="dxa"/>
            </w:tcMar>
          </w:tcPr>
          <w:p w14:paraId="5E2A1F62" w14:textId="3D8C5958"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6412E99D" w14:textId="1F0C455E" w:rsidR="000E54B8" w:rsidRPr="00422F7B" w:rsidRDefault="000E54B8">
            <w:pPr>
              <w:rPr>
                <w:rFonts w:ascii="inherit" w:hAnsi="inherit"/>
              </w:rPr>
            </w:pPr>
          </w:p>
        </w:tc>
      </w:tr>
      <w:tr w:rsidR="000E54B8" w:rsidRPr="00422F7B" w14:paraId="0BFAA5FE" w14:textId="77777777" w:rsidTr="00422F7B">
        <w:tc>
          <w:tcPr>
            <w:tcW w:w="1875" w:type="pct"/>
            <w:tcMar>
              <w:top w:w="75" w:type="dxa"/>
              <w:left w:w="150" w:type="dxa"/>
              <w:bottom w:w="75" w:type="dxa"/>
              <w:right w:w="150" w:type="dxa"/>
            </w:tcMar>
            <w:hideMark/>
          </w:tcPr>
          <w:p w14:paraId="429399B9" w14:textId="3DCE344A" w:rsidR="000E54B8" w:rsidRPr="00422F7B" w:rsidRDefault="000E54B8">
            <w:pPr>
              <w:rPr>
                <w:rFonts w:ascii="inherit" w:hAnsi="inherit"/>
              </w:rPr>
            </w:pPr>
            <w:r>
              <w:rPr>
                <w:rFonts w:ascii="inherit" w:hAnsi="inherit"/>
              </w:rPr>
              <w:t>Behandling av ändringsansökan, ändring av tillstånd som gäller kategori 3 eller E och ändring till större kategori eller till kategori E.</w:t>
            </w:r>
          </w:p>
        </w:tc>
        <w:tc>
          <w:tcPr>
            <w:tcW w:w="971" w:type="pct"/>
            <w:tcMar>
              <w:top w:w="75" w:type="dxa"/>
              <w:left w:w="150" w:type="dxa"/>
              <w:bottom w:w="75" w:type="dxa"/>
              <w:right w:w="150" w:type="dxa"/>
            </w:tcMar>
            <w:hideMark/>
          </w:tcPr>
          <w:p w14:paraId="337D1670" w14:textId="0E0802EE" w:rsidR="000E54B8" w:rsidRPr="00422F7B" w:rsidRDefault="000E54B8">
            <w:pPr>
              <w:rPr>
                <w:rFonts w:ascii="inherit" w:hAnsi="inherit"/>
              </w:rPr>
            </w:pPr>
            <w:r>
              <w:rPr>
                <w:rFonts w:ascii="inherit" w:hAnsi="inherit"/>
              </w:rPr>
              <w:t>240</w:t>
            </w:r>
          </w:p>
        </w:tc>
        <w:tc>
          <w:tcPr>
            <w:tcW w:w="728" w:type="pct"/>
            <w:tcMar>
              <w:top w:w="74" w:type="dxa"/>
              <w:left w:w="147" w:type="dxa"/>
              <w:bottom w:w="74" w:type="dxa"/>
              <w:right w:w="147" w:type="dxa"/>
            </w:tcMar>
          </w:tcPr>
          <w:p w14:paraId="35F93F3D" w14:textId="4C4C4961"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60D2A46C" w14:textId="64650A13" w:rsidR="000E54B8" w:rsidRPr="00422F7B" w:rsidRDefault="000E54B8">
            <w:pPr>
              <w:rPr>
                <w:rFonts w:ascii="inherit" w:hAnsi="inherit"/>
              </w:rPr>
            </w:pPr>
          </w:p>
        </w:tc>
      </w:tr>
      <w:tr w:rsidR="000E54B8" w:rsidRPr="00422F7B" w14:paraId="45C54D1F" w14:textId="77777777" w:rsidTr="00422F7B">
        <w:tc>
          <w:tcPr>
            <w:tcW w:w="1875" w:type="pct"/>
            <w:tcMar>
              <w:top w:w="75" w:type="dxa"/>
              <w:left w:w="150" w:type="dxa"/>
              <w:bottom w:w="75" w:type="dxa"/>
              <w:right w:w="150" w:type="dxa"/>
            </w:tcMar>
            <w:hideMark/>
          </w:tcPr>
          <w:p w14:paraId="29BEC430" w14:textId="270E028A" w:rsidR="000E54B8" w:rsidRPr="00422F7B" w:rsidRDefault="000E54B8">
            <w:pPr>
              <w:rPr>
                <w:rFonts w:ascii="inherit" w:hAnsi="inherit"/>
              </w:rPr>
            </w:pPr>
            <w:r>
              <w:rPr>
                <w:rFonts w:ascii="inherit" w:hAnsi="inherit"/>
              </w:rPr>
              <w:t>Ändring av tillstånd i kategori 2</w:t>
            </w:r>
          </w:p>
        </w:tc>
        <w:tc>
          <w:tcPr>
            <w:tcW w:w="971" w:type="pct"/>
            <w:tcMar>
              <w:top w:w="75" w:type="dxa"/>
              <w:left w:w="150" w:type="dxa"/>
              <w:bottom w:w="75" w:type="dxa"/>
              <w:right w:w="150" w:type="dxa"/>
            </w:tcMar>
            <w:hideMark/>
          </w:tcPr>
          <w:p w14:paraId="167920C9" w14:textId="5F843DC6" w:rsidR="000E54B8" w:rsidRPr="00422F7B" w:rsidRDefault="00216AEE">
            <w:pPr>
              <w:rPr>
                <w:rFonts w:ascii="inherit" w:hAnsi="inherit"/>
              </w:rPr>
            </w:pPr>
            <w:r>
              <w:rPr>
                <w:rFonts w:ascii="inherit" w:hAnsi="inherit"/>
              </w:rPr>
              <w:t>720</w:t>
            </w:r>
          </w:p>
        </w:tc>
        <w:tc>
          <w:tcPr>
            <w:tcW w:w="728" w:type="pct"/>
            <w:tcMar>
              <w:top w:w="74" w:type="dxa"/>
              <w:left w:w="147" w:type="dxa"/>
              <w:bottom w:w="74" w:type="dxa"/>
              <w:right w:w="147" w:type="dxa"/>
            </w:tcMar>
          </w:tcPr>
          <w:p w14:paraId="180DF00A" w14:textId="25A7E1DC"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3FEB6D1A" w14:textId="6F42C65E" w:rsidR="000E54B8" w:rsidRPr="00422F7B" w:rsidRDefault="000E54B8">
            <w:pPr>
              <w:rPr>
                <w:rFonts w:ascii="inherit" w:hAnsi="inherit"/>
              </w:rPr>
            </w:pPr>
          </w:p>
        </w:tc>
      </w:tr>
      <w:tr w:rsidR="000E54B8" w:rsidRPr="00422F7B" w14:paraId="26F96764" w14:textId="77777777" w:rsidTr="00422F7B">
        <w:tc>
          <w:tcPr>
            <w:tcW w:w="1875" w:type="pct"/>
            <w:tcMar>
              <w:top w:w="75" w:type="dxa"/>
              <w:left w:w="150" w:type="dxa"/>
              <w:bottom w:w="75" w:type="dxa"/>
              <w:right w:w="150" w:type="dxa"/>
            </w:tcMar>
            <w:hideMark/>
          </w:tcPr>
          <w:p w14:paraId="3D2C6D76" w14:textId="5AD6822F" w:rsidR="000E54B8" w:rsidRPr="00422F7B" w:rsidRDefault="000E54B8">
            <w:pPr>
              <w:rPr>
                <w:rFonts w:ascii="inherit" w:hAnsi="inherit"/>
              </w:rPr>
            </w:pPr>
            <w:r>
              <w:rPr>
                <w:rFonts w:ascii="inherit" w:hAnsi="inherit"/>
              </w:rPr>
              <w:t>Ändring av tillstånd i kategori 1</w:t>
            </w:r>
          </w:p>
        </w:tc>
        <w:tc>
          <w:tcPr>
            <w:tcW w:w="971" w:type="pct"/>
            <w:tcMar>
              <w:top w:w="75" w:type="dxa"/>
              <w:left w:w="150" w:type="dxa"/>
              <w:bottom w:w="75" w:type="dxa"/>
              <w:right w:w="150" w:type="dxa"/>
            </w:tcMar>
            <w:hideMark/>
          </w:tcPr>
          <w:p w14:paraId="6C70217B" w14:textId="724D1D43" w:rsidR="000E54B8" w:rsidRPr="00422F7B" w:rsidRDefault="00216AEE">
            <w:pPr>
              <w:rPr>
                <w:rFonts w:ascii="inherit" w:hAnsi="inherit"/>
              </w:rPr>
            </w:pPr>
            <w:r>
              <w:rPr>
                <w:rFonts w:ascii="inherit" w:hAnsi="inherit"/>
              </w:rPr>
              <w:t>1 040</w:t>
            </w:r>
          </w:p>
        </w:tc>
        <w:tc>
          <w:tcPr>
            <w:tcW w:w="728" w:type="pct"/>
            <w:tcMar>
              <w:top w:w="74" w:type="dxa"/>
              <w:left w:w="147" w:type="dxa"/>
              <w:bottom w:w="74" w:type="dxa"/>
              <w:right w:w="147" w:type="dxa"/>
            </w:tcMar>
          </w:tcPr>
          <w:p w14:paraId="4BF7CC49" w14:textId="349083AC"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24C14ED1" w14:textId="13688B87" w:rsidR="000E54B8" w:rsidRPr="00422F7B" w:rsidRDefault="000E54B8">
            <w:pPr>
              <w:rPr>
                <w:rFonts w:ascii="inherit" w:hAnsi="inherit"/>
              </w:rPr>
            </w:pPr>
          </w:p>
        </w:tc>
      </w:tr>
      <w:tr w:rsidR="000E54B8" w:rsidRPr="00422F7B" w14:paraId="3294F9D4" w14:textId="77777777" w:rsidTr="00422F7B">
        <w:tc>
          <w:tcPr>
            <w:tcW w:w="1875" w:type="pct"/>
            <w:tcMar>
              <w:top w:w="75" w:type="dxa"/>
              <w:left w:w="150" w:type="dxa"/>
              <w:bottom w:w="75" w:type="dxa"/>
              <w:right w:w="150" w:type="dxa"/>
            </w:tcMar>
            <w:hideMark/>
          </w:tcPr>
          <w:p w14:paraId="49003B66" w14:textId="77777777" w:rsidR="000E54B8" w:rsidRPr="00422F7B" w:rsidRDefault="000E54B8">
            <w:pPr>
              <w:rPr>
                <w:rFonts w:ascii="inherit" w:hAnsi="inherit"/>
              </w:rPr>
            </w:pPr>
            <w:r>
              <w:rPr>
                <w:rFonts w:ascii="inherit" w:hAnsi="inherit"/>
              </w:rPr>
              <w:t>Byte av verksamhetsutövare</w:t>
            </w:r>
          </w:p>
        </w:tc>
        <w:tc>
          <w:tcPr>
            <w:tcW w:w="971" w:type="pct"/>
            <w:tcMar>
              <w:top w:w="75" w:type="dxa"/>
              <w:left w:w="150" w:type="dxa"/>
              <w:bottom w:w="75" w:type="dxa"/>
              <w:right w:w="150" w:type="dxa"/>
            </w:tcMar>
            <w:hideMark/>
          </w:tcPr>
          <w:p w14:paraId="28F38A41" w14:textId="2CBD7B02" w:rsidR="000E54B8" w:rsidRPr="00422F7B" w:rsidRDefault="00216AEE">
            <w:pPr>
              <w:rPr>
                <w:rFonts w:ascii="inherit" w:hAnsi="inherit"/>
              </w:rPr>
            </w:pPr>
            <w:r>
              <w:rPr>
                <w:rFonts w:ascii="inherit" w:hAnsi="inherit"/>
              </w:rPr>
              <w:t>240</w:t>
            </w:r>
          </w:p>
        </w:tc>
        <w:tc>
          <w:tcPr>
            <w:tcW w:w="728" w:type="pct"/>
            <w:tcMar>
              <w:top w:w="74" w:type="dxa"/>
              <w:left w:w="147" w:type="dxa"/>
              <w:bottom w:w="74" w:type="dxa"/>
              <w:right w:w="147" w:type="dxa"/>
            </w:tcMar>
          </w:tcPr>
          <w:p w14:paraId="47B7D425" w14:textId="271833A7"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220B9D0E" w14:textId="7C24C1B5" w:rsidR="000E54B8" w:rsidRPr="00422F7B" w:rsidRDefault="000E54B8">
            <w:pPr>
              <w:rPr>
                <w:rFonts w:ascii="inherit" w:hAnsi="inherit"/>
              </w:rPr>
            </w:pPr>
          </w:p>
        </w:tc>
      </w:tr>
      <w:tr w:rsidR="000E54B8" w:rsidRPr="00422F7B" w14:paraId="4FDAC7DB" w14:textId="77777777" w:rsidTr="00422F7B">
        <w:tc>
          <w:tcPr>
            <w:tcW w:w="1875" w:type="pct"/>
            <w:tcMar>
              <w:top w:w="75" w:type="dxa"/>
              <w:left w:w="150" w:type="dxa"/>
              <w:bottom w:w="75" w:type="dxa"/>
              <w:right w:w="150" w:type="dxa"/>
            </w:tcMar>
            <w:hideMark/>
          </w:tcPr>
          <w:p w14:paraId="18410865" w14:textId="77777777" w:rsidR="000E54B8" w:rsidRPr="00422F7B" w:rsidRDefault="000E54B8">
            <w:pPr>
              <w:rPr>
                <w:rFonts w:ascii="inherit" w:hAnsi="inherit"/>
              </w:rPr>
            </w:pPr>
            <w:r>
              <w:rPr>
                <w:rFonts w:ascii="inherit" w:hAnsi="inherit"/>
              </w:rPr>
              <w:t>Byte av strålsäkerhetsansvarig</w:t>
            </w:r>
          </w:p>
        </w:tc>
        <w:tc>
          <w:tcPr>
            <w:tcW w:w="971" w:type="pct"/>
            <w:tcMar>
              <w:top w:w="75" w:type="dxa"/>
              <w:left w:w="150" w:type="dxa"/>
              <w:bottom w:w="75" w:type="dxa"/>
              <w:right w:w="150" w:type="dxa"/>
            </w:tcMar>
            <w:hideMark/>
          </w:tcPr>
          <w:p w14:paraId="11EBBE05" w14:textId="29282F9F" w:rsidR="000E54B8" w:rsidRPr="00422F7B" w:rsidRDefault="00216AEE">
            <w:pPr>
              <w:rPr>
                <w:rFonts w:ascii="inherit" w:hAnsi="inherit"/>
              </w:rPr>
            </w:pPr>
            <w:r>
              <w:rPr>
                <w:rFonts w:ascii="inherit" w:hAnsi="inherit"/>
              </w:rPr>
              <w:t>240</w:t>
            </w:r>
          </w:p>
        </w:tc>
        <w:tc>
          <w:tcPr>
            <w:tcW w:w="728" w:type="pct"/>
            <w:tcMar>
              <w:top w:w="74" w:type="dxa"/>
              <w:left w:w="147" w:type="dxa"/>
              <w:bottom w:w="74" w:type="dxa"/>
              <w:right w:w="147" w:type="dxa"/>
            </w:tcMar>
          </w:tcPr>
          <w:p w14:paraId="5C3C5C3E" w14:textId="66826329"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1BE5898E" w14:textId="05B7ABC6" w:rsidR="000E54B8" w:rsidRPr="00422F7B" w:rsidRDefault="000E54B8">
            <w:pPr>
              <w:rPr>
                <w:rFonts w:ascii="inherit" w:hAnsi="inherit"/>
              </w:rPr>
            </w:pPr>
          </w:p>
        </w:tc>
      </w:tr>
      <w:tr w:rsidR="000E54B8" w:rsidRPr="00422F7B" w14:paraId="10890A24" w14:textId="77777777" w:rsidTr="00422F7B">
        <w:tc>
          <w:tcPr>
            <w:tcW w:w="1875" w:type="pct"/>
            <w:tcMar>
              <w:top w:w="75" w:type="dxa"/>
              <w:left w:w="150" w:type="dxa"/>
              <w:bottom w:w="75" w:type="dxa"/>
              <w:right w:w="150" w:type="dxa"/>
            </w:tcMar>
            <w:hideMark/>
          </w:tcPr>
          <w:p w14:paraId="1731EA0A" w14:textId="77777777" w:rsidR="000E54B8" w:rsidRPr="00422F7B" w:rsidRDefault="000E54B8">
            <w:pPr>
              <w:rPr>
                <w:rFonts w:ascii="inherit" w:hAnsi="inherit"/>
              </w:rPr>
            </w:pPr>
            <w:r>
              <w:rPr>
                <w:rFonts w:ascii="inherit" w:hAnsi="inherit"/>
              </w:rPr>
              <w:t>Befrielse från säkerhetstillstånd</w:t>
            </w:r>
          </w:p>
        </w:tc>
        <w:tc>
          <w:tcPr>
            <w:tcW w:w="971" w:type="pct"/>
            <w:tcMar>
              <w:top w:w="75" w:type="dxa"/>
              <w:left w:w="150" w:type="dxa"/>
              <w:bottom w:w="75" w:type="dxa"/>
              <w:right w:w="150" w:type="dxa"/>
            </w:tcMar>
            <w:hideMark/>
          </w:tcPr>
          <w:p w14:paraId="70EC2E10" w14:textId="70BB7A2E" w:rsidR="000E54B8" w:rsidRPr="00422F7B" w:rsidRDefault="00216AEE">
            <w:pPr>
              <w:rPr>
                <w:rFonts w:ascii="inherit" w:hAnsi="inherit"/>
              </w:rPr>
            </w:pPr>
            <w:r>
              <w:rPr>
                <w:rFonts w:ascii="inherit" w:hAnsi="inherit"/>
              </w:rPr>
              <w:t>735</w:t>
            </w:r>
          </w:p>
        </w:tc>
        <w:tc>
          <w:tcPr>
            <w:tcW w:w="728" w:type="pct"/>
            <w:tcMar>
              <w:top w:w="74" w:type="dxa"/>
              <w:left w:w="147" w:type="dxa"/>
              <w:bottom w:w="74" w:type="dxa"/>
              <w:right w:w="147" w:type="dxa"/>
            </w:tcMar>
          </w:tcPr>
          <w:p w14:paraId="5F34DEC2" w14:textId="3322FF67"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2FB01100" w14:textId="634B3650" w:rsidR="000E54B8" w:rsidRPr="00422F7B" w:rsidRDefault="000E54B8">
            <w:pPr>
              <w:rPr>
                <w:rFonts w:ascii="inherit" w:hAnsi="inherit"/>
              </w:rPr>
            </w:pPr>
          </w:p>
        </w:tc>
      </w:tr>
      <w:tr w:rsidR="000E54B8" w:rsidRPr="00422F7B" w14:paraId="53FB4955" w14:textId="77777777" w:rsidTr="00422F7B">
        <w:tc>
          <w:tcPr>
            <w:tcW w:w="1875" w:type="pct"/>
            <w:tcMar>
              <w:top w:w="75" w:type="dxa"/>
              <w:left w:w="150" w:type="dxa"/>
              <w:bottom w:w="75" w:type="dxa"/>
              <w:right w:w="150" w:type="dxa"/>
            </w:tcMar>
            <w:hideMark/>
          </w:tcPr>
          <w:p w14:paraId="7456B216" w14:textId="77777777" w:rsidR="000E54B8" w:rsidRPr="00422F7B" w:rsidRDefault="000E54B8">
            <w:pPr>
              <w:rPr>
                <w:rFonts w:ascii="inherit" w:hAnsi="inherit"/>
              </w:rPr>
            </w:pPr>
            <w:r>
              <w:rPr>
                <w:rFonts w:ascii="inherit" w:hAnsi="inherit"/>
              </w:rPr>
              <w:t>Separat godkännande av säkerhetsbedömning –kategori 3 eller E</w:t>
            </w:r>
          </w:p>
        </w:tc>
        <w:tc>
          <w:tcPr>
            <w:tcW w:w="971" w:type="pct"/>
            <w:tcMar>
              <w:top w:w="75" w:type="dxa"/>
              <w:left w:w="150" w:type="dxa"/>
              <w:bottom w:w="75" w:type="dxa"/>
              <w:right w:w="150" w:type="dxa"/>
            </w:tcMar>
            <w:hideMark/>
          </w:tcPr>
          <w:p w14:paraId="3CFAD9DF" w14:textId="576F81CA" w:rsidR="000E54B8" w:rsidRPr="00422F7B" w:rsidRDefault="00216AEE">
            <w:pPr>
              <w:rPr>
                <w:rFonts w:ascii="inherit" w:hAnsi="inherit"/>
              </w:rPr>
            </w:pPr>
            <w:r>
              <w:rPr>
                <w:rFonts w:ascii="inherit" w:hAnsi="inherit"/>
              </w:rPr>
              <w:t>240</w:t>
            </w:r>
          </w:p>
        </w:tc>
        <w:tc>
          <w:tcPr>
            <w:tcW w:w="728" w:type="pct"/>
            <w:tcMar>
              <w:top w:w="74" w:type="dxa"/>
              <w:left w:w="147" w:type="dxa"/>
              <w:bottom w:w="74" w:type="dxa"/>
              <w:right w:w="147" w:type="dxa"/>
            </w:tcMar>
          </w:tcPr>
          <w:p w14:paraId="21D184E7" w14:textId="60ACCE49"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7E851ECB" w14:textId="6BD2FD58" w:rsidR="000E54B8" w:rsidRPr="00422F7B" w:rsidRDefault="000E54B8">
            <w:pPr>
              <w:rPr>
                <w:rFonts w:ascii="inherit" w:hAnsi="inherit"/>
              </w:rPr>
            </w:pPr>
          </w:p>
        </w:tc>
      </w:tr>
      <w:tr w:rsidR="000E54B8" w:rsidRPr="00422F7B" w14:paraId="541A3BA6" w14:textId="77777777" w:rsidTr="00422F7B">
        <w:tc>
          <w:tcPr>
            <w:tcW w:w="1875" w:type="pct"/>
            <w:tcMar>
              <w:top w:w="75" w:type="dxa"/>
              <w:left w:w="150" w:type="dxa"/>
              <w:bottom w:w="75" w:type="dxa"/>
              <w:right w:w="150" w:type="dxa"/>
            </w:tcMar>
            <w:hideMark/>
          </w:tcPr>
          <w:p w14:paraId="6A3917D2" w14:textId="77777777" w:rsidR="000E54B8" w:rsidRPr="00422F7B" w:rsidRDefault="000E54B8">
            <w:pPr>
              <w:rPr>
                <w:rFonts w:ascii="inherit" w:hAnsi="inherit"/>
              </w:rPr>
            </w:pPr>
            <w:r>
              <w:rPr>
                <w:rFonts w:ascii="inherit" w:hAnsi="inherit"/>
              </w:rPr>
              <w:t>Separat godkännande av säkerhetsbedömning –kategori 2</w:t>
            </w:r>
          </w:p>
        </w:tc>
        <w:tc>
          <w:tcPr>
            <w:tcW w:w="971" w:type="pct"/>
            <w:tcMar>
              <w:top w:w="75" w:type="dxa"/>
              <w:left w:w="150" w:type="dxa"/>
              <w:bottom w:w="75" w:type="dxa"/>
              <w:right w:w="150" w:type="dxa"/>
            </w:tcMar>
            <w:hideMark/>
          </w:tcPr>
          <w:p w14:paraId="2B53BA3E" w14:textId="184E0671" w:rsidR="000E54B8" w:rsidRPr="00422F7B" w:rsidRDefault="00216AEE">
            <w:pPr>
              <w:rPr>
                <w:rFonts w:ascii="inherit" w:hAnsi="inherit"/>
              </w:rPr>
            </w:pPr>
            <w:r>
              <w:rPr>
                <w:rFonts w:ascii="inherit" w:hAnsi="inherit"/>
              </w:rPr>
              <w:t>720</w:t>
            </w:r>
          </w:p>
        </w:tc>
        <w:tc>
          <w:tcPr>
            <w:tcW w:w="728" w:type="pct"/>
            <w:tcMar>
              <w:top w:w="74" w:type="dxa"/>
              <w:left w:w="147" w:type="dxa"/>
              <w:bottom w:w="74" w:type="dxa"/>
              <w:right w:w="147" w:type="dxa"/>
            </w:tcMar>
          </w:tcPr>
          <w:p w14:paraId="3D015A6D" w14:textId="6072A561"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461CA607" w14:textId="0459DF11" w:rsidR="000E54B8" w:rsidRPr="00422F7B" w:rsidRDefault="000E54B8">
            <w:pPr>
              <w:rPr>
                <w:rFonts w:ascii="inherit" w:hAnsi="inherit"/>
              </w:rPr>
            </w:pPr>
          </w:p>
        </w:tc>
      </w:tr>
      <w:tr w:rsidR="000E54B8" w:rsidRPr="00422F7B" w14:paraId="44FE1B93" w14:textId="77777777" w:rsidTr="00422F7B">
        <w:tc>
          <w:tcPr>
            <w:tcW w:w="1875" w:type="pct"/>
            <w:tcMar>
              <w:top w:w="75" w:type="dxa"/>
              <w:left w:w="150" w:type="dxa"/>
              <w:bottom w:w="75" w:type="dxa"/>
              <w:right w:w="150" w:type="dxa"/>
            </w:tcMar>
            <w:hideMark/>
          </w:tcPr>
          <w:p w14:paraId="0D6F38BB" w14:textId="77777777" w:rsidR="000E54B8" w:rsidRPr="00422F7B" w:rsidRDefault="000E54B8">
            <w:pPr>
              <w:rPr>
                <w:rFonts w:ascii="inherit" w:hAnsi="inherit"/>
              </w:rPr>
            </w:pPr>
            <w:r>
              <w:rPr>
                <w:rFonts w:ascii="inherit" w:hAnsi="inherit"/>
              </w:rPr>
              <w:t>Separat godkännande av säkerhetsbedömning –kategori 1</w:t>
            </w:r>
          </w:p>
        </w:tc>
        <w:tc>
          <w:tcPr>
            <w:tcW w:w="971" w:type="pct"/>
            <w:tcMar>
              <w:top w:w="75" w:type="dxa"/>
              <w:left w:w="150" w:type="dxa"/>
              <w:bottom w:w="75" w:type="dxa"/>
              <w:right w:w="150" w:type="dxa"/>
            </w:tcMar>
            <w:hideMark/>
          </w:tcPr>
          <w:p w14:paraId="7EE02736" w14:textId="06CF43A1" w:rsidR="000E54B8" w:rsidRPr="00422F7B" w:rsidRDefault="00216AEE">
            <w:pPr>
              <w:rPr>
                <w:rFonts w:ascii="inherit" w:hAnsi="inherit"/>
              </w:rPr>
            </w:pPr>
            <w:r>
              <w:rPr>
                <w:rFonts w:ascii="inherit" w:hAnsi="inherit"/>
              </w:rPr>
              <w:t>1 040</w:t>
            </w:r>
          </w:p>
        </w:tc>
        <w:tc>
          <w:tcPr>
            <w:tcW w:w="728" w:type="pct"/>
            <w:tcMar>
              <w:top w:w="74" w:type="dxa"/>
              <w:left w:w="147" w:type="dxa"/>
              <w:bottom w:w="74" w:type="dxa"/>
              <w:right w:w="147" w:type="dxa"/>
            </w:tcMar>
          </w:tcPr>
          <w:p w14:paraId="571641A2" w14:textId="293F526E" w:rsidR="000E54B8" w:rsidRPr="00422F7B" w:rsidRDefault="00216AEE">
            <w:pPr>
              <w:rPr>
                <w:rFonts w:ascii="inherit" w:hAnsi="inherit"/>
              </w:rPr>
            </w:pPr>
            <w:r>
              <w:rPr>
                <w:rFonts w:ascii="inherit" w:hAnsi="inherit"/>
              </w:rPr>
              <w:t>160</w:t>
            </w:r>
          </w:p>
        </w:tc>
        <w:tc>
          <w:tcPr>
            <w:tcW w:w="1426" w:type="pct"/>
            <w:tcMar>
              <w:top w:w="75" w:type="dxa"/>
              <w:left w:w="150" w:type="dxa"/>
              <w:bottom w:w="75" w:type="dxa"/>
              <w:right w:w="150" w:type="dxa"/>
            </w:tcMar>
          </w:tcPr>
          <w:p w14:paraId="784D352E" w14:textId="586230A8" w:rsidR="000E54B8" w:rsidRPr="00422F7B" w:rsidRDefault="000E54B8">
            <w:pPr>
              <w:rPr>
                <w:rFonts w:ascii="inherit" w:hAnsi="inherit"/>
              </w:rPr>
            </w:pPr>
          </w:p>
        </w:tc>
      </w:tr>
    </w:tbl>
    <w:bookmarkEnd w:id="10"/>
    <w:p w14:paraId="6374A59A" w14:textId="3DE9BC9F"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Fonts w:ascii="inherit" w:hAnsi="inherit"/>
          <w:sz w:val="27"/>
        </w:rPr>
        <w:t>Kategorierna för strålexponering och strålkälla fastställs med stöd av statsrådets förordning om joniserande strålning (1034/2018).</w:t>
      </w:r>
      <w:r>
        <w:rPr>
          <w:rFonts w:ascii="inherit" w:hAnsi="inherit"/>
          <w:color w:val="000000"/>
          <w:sz w:val="27"/>
        </w:rPr>
        <w:t xml:space="preserve"> I tillståndsärenden fastställs avgiften på basis av den kategori för vilken den största avgiften </w:t>
      </w:r>
      <w:r w:rsidR="00C519CD">
        <w:rPr>
          <w:rFonts w:ascii="inherit" w:hAnsi="inherit"/>
          <w:color w:val="000000"/>
          <w:sz w:val="27"/>
        </w:rPr>
        <w:t>tas ut</w:t>
      </w:r>
      <w:r>
        <w:rPr>
          <w:rFonts w:ascii="inherit" w:hAnsi="inherit"/>
          <w:color w:val="000000"/>
          <w:sz w:val="27"/>
        </w:rPr>
        <w:t>. Om en verksamhetsutövare har flera tillstånd som omfattas av samma ändring tas det ut en avgift enligt ovan för ett av tillstånden och 48 € för varje följande tillstånd som omfattas av ändringen.</w:t>
      </w:r>
    </w:p>
    <w:p w14:paraId="0D01DE90" w14:textId="40CDF61B"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1.2.</w:t>
      </w:r>
      <w:r>
        <w:rPr>
          <w:rFonts w:ascii="inherit" w:hAnsi="inherit"/>
          <w:color w:val="000000"/>
          <w:sz w:val="27"/>
        </w:rPr>
        <w:t> Avgifterna för inspektioner vid beviljande och vid ändring av säkerhetstillstånd eller vid upphörande med verksamhet.</w:t>
      </w: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8"/>
        <w:gridCol w:w="4230"/>
        <w:gridCol w:w="2126"/>
      </w:tblGrid>
      <w:tr w:rsidR="00845342" w:rsidRPr="00422F7B" w14:paraId="013B89B1" w14:textId="77777777" w:rsidTr="00422F7B">
        <w:tc>
          <w:tcPr>
            <w:tcW w:w="1701" w:type="pct"/>
            <w:tcMar>
              <w:top w:w="75" w:type="dxa"/>
              <w:left w:w="150" w:type="dxa"/>
              <w:bottom w:w="75" w:type="dxa"/>
              <w:right w:w="150" w:type="dxa"/>
            </w:tcMar>
            <w:hideMark/>
          </w:tcPr>
          <w:p w14:paraId="1BC3F715" w14:textId="77777777" w:rsidR="00845342" w:rsidRPr="00422F7B" w:rsidRDefault="00845342">
            <w:pPr>
              <w:rPr>
                <w:rFonts w:ascii="inherit" w:hAnsi="inherit"/>
                <w:sz w:val="24"/>
                <w:szCs w:val="24"/>
              </w:rPr>
            </w:pPr>
            <w:r>
              <w:rPr>
                <w:rStyle w:val="Voimakas"/>
                <w:rFonts w:ascii="inherit" w:hAnsi="inherit"/>
                <w:bdr w:val="none" w:sz="0" w:space="0" w:color="auto" w:frame="1"/>
              </w:rPr>
              <w:t>Verksamhetskategori eller verksamhet</w:t>
            </w:r>
          </w:p>
        </w:tc>
        <w:tc>
          <w:tcPr>
            <w:tcW w:w="2195" w:type="pct"/>
            <w:tcMar>
              <w:top w:w="75" w:type="dxa"/>
              <w:left w:w="150" w:type="dxa"/>
              <w:bottom w:w="75" w:type="dxa"/>
              <w:right w:w="150" w:type="dxa"/>
            </w:tcMar>
            <w:hideMark/>
          </w:tcPr>
          <w:p w14:paraId="47EAA005" w14:textId="386742D3" w:rsidR="00845342" w:rsidRPr="00422F7B" w:rsidRDefault="00845342">
            <w:pPr>
              <w:rPr>
                <w:rFonts w:ascii="inherit" w:hAnsi="inherit"/>
              </w:rPr>
            </w:pPr>
            <w:r>
              <w:rPr>
                <w:rStyle w:val="Voimakas"/>
                <w:rFonts w:ascii="inherit" w:hAnsi="inherit"/>
                <w:bdr w:val="none" w:sz="0" w:space="0" w:color="auto" w:frame="1"/>
              </w:rPr>
              <w:t>Grundavgift, €</w:t>
            </w:r>
          </w:p>
        </w:tc>
        <w:tc>
          <w:tcPr>
            <w:tcW w:w="1103" w:type="pct"/>
            <w:tcMar>
              <w:top w:w="74" w:type="dxa"/>
              <w:left w:w="147" w:type="dxa"/>
              <w:bottom w:w="74" w:type="dxa"/>
              <w:right w:w="147" w:type="dxa"/>
            </w:tcMar>
          </w:tcPr>
          <w:p w14:paraId="38CFDBFB" w14:textId="0EF62CB3" w:rsidR="00845342" w:rsidRPr="00422F7B" w:rsidRDefault="00845342">
            <w:pPr>
              <w:rPr>
                <w:rStyle w:val="Voimakas"/>
                <w:rFonts w:ascii="inherit" w:hAnsi="inherit"/>
                <w:bdr w:val="none" w:sz="0" w:space="0" w:color="auto" w:frame="1"/>
              </w:rPr>
            </w:pPr>
            <w:r>
              <w:rPr>
                <w:rStyle w:val="Voimakas"/>
                <w:rFonts w:ascii="inherit" w:hAnsi="inherit"/>
                <w:bdr w:val="none" w:sz="0" w:space="0" w:color="auto" w:frame="1"/>
              </w:rPr>
              <w:t>Tilläggsavgift, €/h</w:t>
            </w:r>
          </w:p>
        </w:tc>
      </w:tr>
      <w:tr w:rsidR="00845342" w:rsidRPr="00422F7B" w14:paraId="33B393CE" w14:textId="77777777" w:rsidTr="00422F7B">
        <w:tc>
          <w:tcPr>
            <w:tcW w:w="1701" w:type="pct"/>
            <w:tcMar>
              <w:top w:w="75" w:type="dxa"/>
              <w:left w:w="150" w:type="dxa"/>
              <w:bottom w:w="75" w:type="dxa"/>
              <w:right w:w="150" w:type="dxa"/>
            </w:tcMar>
            <w:hideMark/>
          </w:tcPr>
          <w:p w14:paraId="641E085E" w14:textId="77777777" w:rsidR="00845342" w:rsidRPr="00422F7B" w:rsidRDefault="00845342">
            <w:pPr>
              <w:rPr>
                <w:rFonts w:ascii="inherit" w:hAnsi="inherit"/>
              </w:rPr>
            </w:pPr>
            <w:r>
              <w:rPr>
                <w:rFonts w:ascii="inherit" w:hAnsi="inherit"/>
              </w:rPr>
              <w:t>3</w:t>
            </w:r>
          </w:p>
        </w:tc>
        <w:tc>
          <w:tcPr>
            <w:tcW w:w="2195" w:type="pct"/>
            <w:tcMar>
              <w:top w:w="75" w:type="dxa"/>
              <w:left w:w="150" w:type="dxa"/>
              <w:bottom w:w="75" w:type="dxa"/>
              <w:right w:w="150" w:type="dxa"/>
            </w:tcMar>
            <w:hideMark/>
          </w:tcPr>
          <w:p w14:paraId="6F33D969" w14:textId="55ADAB69" w:rsidR="00845342" w:rsidRPr="00422F7B" w:rsidRDefault="00845342">
            <w:pPr>
              <w:rPr>
                <w:rFonts w:ascii="inherit" w:hAnsi="inherit"/>
              </w:rPr>
            </w:pPr>
            <w:r>
              <w:rPr>
                <w:rFonts w:ascii="inherit" w:hAnsi="inherit"/>
              </w:rPr>
              <w:t>810</w:t>
            </w:r>
          </w:p>
        </w:tc>
        <w:tc>
          <w:tcPr>
            <w:tcW w:w="1103" w:type="pct"/>
            <w:tcMar>
              <w:top w:w="74" w:type="dxa"/>
              <w:left w:w="147" w:type="dxa"/>
              <w:bottom w:w="74" w:type="dxa"/>
              <w:right w:w="147" w:type="dxa"/>
            </w:tcMar>
          </w:tcPr>
          <w:p w14:paraId="6E25AEE7" w14:textId="2843A89A" w:rsidR="00845342" w:rsidRPr="00422F7B" w:rsidRDefault="00845342">
            <w:pPr>
              <w:rPr>
                <w:rFonts w:ascii="inherit" w:hAnsi="inherit"/>
              </w:rPr>
            </w:pPr>
            <w:r>
              <w:rPr>
                <w:rFonts w:ascii="inherit" w:hAnsi="inherit"/>
              </w:rPr>
              <w:t>160</w:t>
            </w:r>
          </w:p>
        </w:tc>
      </w:tr>
      <w:tr w:rsidR="00845342" w:rsidRPr="00422F7B" w14:paraId="6EBB9E4F" w14:textId="77777777" w:rsidTr="00422F7B">
        <w:tc>
          <w:tcPr>
            <w:tcW w:w="1701" w:type="pct"/>
            <w:tcMar>
              <w:top w:w="75" w:type="dxa"/>
              <w:left w:w="150" w:type="dxa"/>
              <w:bottom w:w="75" w:type="dxa"/>
              <w:right w:w="150" w:type="dxa"/>
            </w:tcMar>
            <w:hideMark/>
          </w:tcPr>
          <w:p w14:paraId="0B3A1869" w14:textId="77777777" w:rsidR="00845342" w:rsidRPr="00422F7B" w:rsidRDefault="00845342">
            <w:pPr>
              <w:rPr>
                <w:rFonts w:ascii="inherit" w:hAnsi="inherit"/>
              </w:rPr>
            </w:pPr>
            <w:r>
              <w:rPr>
                <w:rFonts w:ascii="inherit" w:hAnsi="inherit"/>
              </w:rPr>
              <w:t>2</w:t>
            </w:r>
          </w:p>
        </w:tc>
        <w:tc>
          <w:tcPr>
            <w:tcW w:w="2195" w:type="pct"/>
            <w:tcMar>
              <w:top w:w="75" w:type="dxa"/>
              <w:left w:w="150" w:type="dxa"/>
              <w:bottom w:w="75" w:type="dxa"/>
              <w:right w:w="150" w:type="dxa"/>
            </w:tcMar>
            <w:hideMark/>
          </w:tcPr>
          <w:p w14:paraId="4EC72E10" w14:textId="47B6D1E7" w:rsidR="00845342" w:rsidRPr="00422F7B" w:rsidRDefault="00845342">
            <w:pPr>
              <w:rPr>
                <w:rFonts w:ascii="inherit" w:hAnsi="inherit"/>
              </w:rPr>
            </w:pPr>
            <w:r>
              <w:rPr>
                <w:rFonts w:ascii="inherit" w:hAnsi="inherit"/>
              </w:rPr>
              <w:t>1 125</w:t>
            </w:r>
          </w:p>
        </w:tc>
        <w:tc>
          <w:tcPr>
            <w:tcW w:w="1103" w:type="pct"/>
            <w:tcMar>
              <w:top w:w="74" w:type="dxa"/>
              <w:left w:w="147" w:type="dxa"/>
              <w:bottom w:w="74" w:type="dxa"/>
              <w:right w:w="147" w:type="dxa"/>
            </w:tcMar>
          </w:tcPr>
          <w:p w14:paraId="29091B9A" w14:textId="0CA590CC" w:rsidR="00845342" w:rsidRPr="00422F7B" w:rsidRDefault="00845342">
            <w:pPr>
              <w:rPr>
                <w:rFonts w:ascii="inherit" w:hAnsi="inherit"/>
              </w:rPr>
            </w:pPr>
            <w:r>
              <w:rPr>
                <w:rFonts w:ascii="inherit" w:hAnsi="inherit"/>
              </w:rPr>
              <w:t>160</w:t>
            </w:r>
          </w:p>
        </w:tc>
      </w:tr>
      <w:tr w:rsidR="00845342" w:rsidRPr="00422F7B" w14:paraId="2C9777FD" w14:textId="77777777" w:rsidTr="00422F7B">
        <w:tc>
          <w:tcPr>
            <w:tcW w:w="1701" w:type="pct"/>
            <w:tcMar>
              <w:top w:w="75" w:type="dxa"/>
              <w:left w:w="150" w:type="dxa"/>
              <w:bottom w:w="75" w:type="dxa"/>
              <w:right w:w="150" w:type="dxa"/>
            </w:tcMar>
            <w:hideMark/>
          </w:tcPr>
          <w:p w14:paraId="2EB52B25" w14:textId="77777777" w:rsidR="00845342" w:rsidRPr="00422F7B" w:rsidRDefault="00845342">
            <w:pPr>
              <w:rPr>
                <w:rFonts w:ascii="inherit" w:hAnsi="inherit"/>
              </w:rPr>
            </w:pPr>
            <w:r>
              <w:rPr>
                <w:rFonts w:ascii="inherit" w:hAnsi="inherit"/>
              </w:rPr>
              <w:t>1</w:t>
            </w:r>
          </w:p>
        </w:tc>
        <w:tc>
          <w:tcPr>
            <w:tcW w:w="2195" w:type="pct"/>
            <w:tcMar>
              <w:top w:w="75" w:type="dxa"/>
              <w:left w:w="150" w:type="dxa"/>
              <w:bottom w:w="75" w:type="dxa"/>
              <w:right w:w="150" w:type="dxa"/>
            </w:tcMar>
            <w:hideMark/>
          </w:tcPr>
          <w:p w14:paraId="7744FA63" w14:textId="3ED1F92B" w:rsidR="00845342" w:rsidRPr="00422F7B" w:rsidRDefault="00845342">
            <w:pPr>
              <w:rPr>
                <w:rFonts w:ascii="inherit" w:hAnsi="inherit"/>
              </w:rPr>
            </w:pPr>
            <w:r>
              <w:rPr>
                <w:rFonts w:ascii="inherit" w:hAnsi="inherit"/>
              </w:rPr>
              <w:t>1 765</w:t>
            </w:r>
          </w:p>
        </w:tc>
        <w:tc>
          <w:tcPr>
            <w:tcW w:w="1103" w:type="pct"/>
            <w:tcMar>
              <w:top w:w="74" w:type="dxa"/>
              <w:left w:w="147" w:type="dxa"/>
              <w:bottom w:w="74" w:type="dxa"/>
              <w:right w:w="147" w:type="dxa"/>
            </w:tcMar>
          </w:tcPr>
          <w:p w14:paraId="5E1D0EFF" w14:textId="46B0A65E" w:rsidR="00845342" w:rsidRPr="00422F7B" w:rsidRDefault="00845342">
            <w:pPr>
              <w:rPr>
                <w:rFonts w:ascii="inherit" w:hAnsi="inherit"/>
              </w:rPr>
            </w:pPr>
            <w:r>
              <w:rPr>
                <w:rFonts w:ascii="inherit" w:hAnsi="inherit"/>
              </w:rPr>
              <w:t>160</w:t>
            </w:r>
          </w:p>
        </w:tc>
      </w:tr>
      <w:tr w:rsidR="00845342" w:rsidRPr="00422F7B" w14:paraId="6AEE5827" w14:textId="77777777" w:rsidTr="00422F7B">
        <w:tc>
          <w:tcPr>
            <w:tcW w:w="1701" w:type="pct"/>
            <w:tcMar>
              <w:top w:w="75" w:type="dxa"/>
              <w:left w:w="150" w:type="dxa"/>
              <w:bottom w:w="75" w:type="dxa"/>
              <w:right w:w="150" w:type="dxa"/>
            </w:tcMar>
          </w:tcPr>
          <w:p w14:paraId="3C22A2ED" w14:textId="58A6B5BF" w:rsidR="00845342" w:rsidRPr="00422F7B" w:rsidRDefault="00845342">
            <w:pPr>
              <w:rPr>
                <w:rFonts w:ascii="inherit" w:hAnsi="inherit"/>
              </w:rPr>
            </w:pPr>
            <w:r>
              <w:rPr>
                <w:rFonts w:ascii="inherit" w:hAnsi="inherit"/>
              </w:rPr>
              <w:t>Inspektion av strålbehandlingsapparat</w:t>
            </w:r>
          </w:p>
        </w:tc>
        <w:tc>
          <w:tcPr>
            <w:tcW w:w="2195" w:type="pct"/>
            <w:tcMar>
              <w:top w:w="75" w:type="dxa"/>
              <w:left w:w="150" w:type="dxa"/>
              <w:bottom w:w="75" w:type="dxa"/>
              <w:right w:w="150" w:type="dxa"/>
            </w:tcMar>
          </w:tcPr>
          <w:p w14:paraId="17D139BD" w14:textId="7FF62F87" w:rsidR="00845342" w:rsidRPr="00422F7B" w:rsidRDefault="00845342">
            <w:pPr>
              <w:rPr>
                <w:rFonts w:ascii="inherit" w:hAnsi="inherit"/>
              </w:rPr>
            </w:pPr>
            <w:r>
              <w:rPr>
                <w:rFonts w:ascii="inherit" w:hAnsi="inherit"/>
              </w:rPr>
              <w:t>5 265</w:t>
            </w:r>
          </w:p>
        </w:tc>
        <w:tc>
          <w:tcPr>
            <w:tcW w:w="1103" w:type="pct"/>
            <w:tcMar>
              <w:top w:w="74" w:type="dxa"/>
              <w:left w:w="147" w:type="dxa"/>
              <w:bottom w:w="74" w:type="dxa"/>
              <w:right w:w="147" w:type="dxa"/>
            </w:tcMar>
          </w:tcPr>
          <w:p w14:paraId="50A0C0C1" w14:textId="73752F18" w:rsidR="00845342" w:rsidRPr="00422F7B" w:rsidRDefault="00845342">
            <w:pPr>
              <w:rPr>
                <w:rFonts w:ascii="inherit" w:hAnsi="inherit"/>
              </w:rPr>
            </w:pPr>
            <w:r>
              <w:rPr>
                <w:rFonts w:ascii="inherit" w:hAnsi="inherit"/>
              </w:rPr>
              <w:t>160</w:t>
            </w:r>
          </w:p>
        </w:tc>
      </w:tr>
    </w:tbl>
    <w:p w14:paraId="77A31B46" w14:textId="4AF600B8" w:rsidR="000C3BD0" w:rsidRPr="00422F7B" w:rsidRDefault="000C3BD0" w:rsidP="000C3BD0">
      <w:pPr>
        <w:pStyle w:val="NormaaliWWW"/>
        <w:shd w:val="clear" w:color="auto" w:fill="FFFFFF"/>
        <w:textAlignment w:val="baseline"/>
        <w:rPr>
          <w:rFonts w:ascii="inherit" w:hAnsi="inherit"/>
          <w:color w:val="000000"/>
          <w:sz w:val="27"/>
          <w:szCs w:val="27"/>
        </w:rPr>
      </w:pPr>
      <w:r>
        <w:rPr>
          <w:rFonts w:ascii="inherit" w:hAnsi="inherit"/>
          <w:color w:val="000000"/>
          <w:sz w:val="27"/>
        </w:rPr>
        <w:t xml:space="preserve">Kategorierna för strålexponering och strålkälla fastställs i enlighet med statsrådets förordning om joniserande strålning. I tillståndsärenden fastställs avgiften på basis av den kategori för vilken den största avgiften </w:t>
      </w:r>
      <w:r w:rsidR="00C519CD">
        <w:rPr>
          <w:rFonts w:ascii="inherit" w:hAnsi="inherit"/>
          <w:color w:val="000000"/>
          <w:sz w:val="27"/>
        </w:rPr>
        <w:t>tas ut</w:t>
      </w:r>
      <w:r>
        <w:rPr>
          <w:rFonts w:ascii="inherit" w:hAnsi="inherit"/>
          <w:color w:val="000000"/>
          <w:sz w:val="27"/>
        </w:rPr>
        <w:t>.</w:t>
      </w:r>
    </w:p>
    <w:p w14:paraId="3153BE0A"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2. Dosregister för arbetstagare</w:t>
      </w:r>
    </w:p>
    <w:p w14:paraId="74AE5461"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2.1.</w:t>
      </w:r>
      <w:r>
        <w:rPr>
          <w:rFonts w:ascii="inherit" w:hAnsi="inherit"/>
          <w:color w:val="000000"/>
          <w:sz w:val="27"/>
        </w:rPr>
        <w:t> Avgifter för prestationer gällande dosregister för arbetstagare.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1"/>
        <w:gridCol w:w="2384"/>
        <w:gridCol w:w="1633"/>
        <w:gridCol w:w="2947"/>
      </w:tblGrid>
      <w:tr w:rsidR="008D47D3" w:rsidRPr="00422F7B" w14:paraId="164A40A8" w14:textId="77777777" w:rsidTr="00272703">
        <w:tc>
          <w:tcPr>
            <w:tcW w:w="1597" w:type="pct"/>
            <w:tcMar>
              <w:top w:w="75" w:type="dxa"/>
              <w:left w:w="150" w:type="dxa"/>
              <w:bottom w:w="75" w:type="dxa"/>
              <w:right w:w="150" w:type="dxa"/>
            </w:tcMar>
            <w:hideMark/>
          </w:tcPr>
          <w:p w14:paraId="5EE809C4" w14:textId="77777777" w:rsidR="008D47D3" w:rsidRPr="00422F7B" w:rsidRDefault="008D47D3">
            <w:pPr>
              <w:rPr>
                <w:rFonts w:ascii="inherit" w:hAnsi="inherit"/>
                <w:sz w:val="24"/>
                <w:szCs w:val="24"/>
              </w:rPr>
            </w:pPr>
            <w:r>
              <w:rPr>
                <w:rStyle w:val="Voimakas"/>
                <w:rFonts w:ascii="inherit" w:hAnsi="inherit"/>
                <w:bdr w:val="none" w:sz="0" w:space="0" w:color="auto" w:frame="1"/>
              </w:rPr>
              <w:t>Prestation</w:t>
            </w:r>
          </w:p>
        </w:tc>
        <w:tc>
          <w:tcPr>
            <w:tcW w:w="1181" w:type="pct"/>
            <w:tcMar>
              <w:top w:w="75" w:type="dxa"/>
              <w:left w:w="150" w:type="dxa"/>
              <w:bottom w:w="75" w:type="dxa"/>
              <w:right w:w="150" w:type="dxa"/>
            </w:tcMar>
            <w:hideMark/>
          </w:tcPr>
          <w:p w14:paraId="06CBA037" w14:textId="236693AB" w:rsidR="008D47D3" w:rsidRPr="00422F7B" w:rsidRDefault="008D47D3">
            <w:pPr>
              <w:rPr>
                <w:rFonts w:ascii="inherit" w:hAnsi="inherit"/>
              </w:rPr>
            </w:pPr>
            <w:r>
              <w:rPr>
                <w:rStyle w:val="Voimakas"/>
                <w:rFonts w:ascii="inherit" w:hAnsi="inherit"/>
                <w:bdr w:val="none" w:sz="0" w:space="0" w:color="auto" w:frame="1"/>
              </w:rPr>
              <w:t>Grundavgift, €</w:t>
            </w:r>
          </w:p>
        </w:tc>
        <w:tc>
          <w:tcPr>
            <w:tcW w:w="765" w:type="pct"/>
            <w:tcMar>
              <w:top w:w="74" w:type="dxa"/>
              <w:left w:w="147" w:type="dxa"/>
              <w:bottom w:w="74" w:type="dxa"/>
              <w:right w:w="147" w:type="dxa"/>
            </w:tcMar>
          </w:tcPr>
          <w:p w14:paraId="65A91665" w14:textId="217EF6BD" w:rsidR="008D47D3" w:rsidRPr="00422F7B" w:rsidRDefault="008D47D3">
            <w:pPr>
              <w:rPr>
                <w:rStyle w:val="Voimakas"/>
                <w:rFonts w:ascii="inherit" w:hAnsi="inherit"/>
                <w:bdr w:val="none" w:sz="0" w:space="0" w:color="auto" w:frame="1"/>
              </w:rPr>
            </w:pPr>
            <w:r>
              <w:rPr>
                <w:rStyle w:val="Voimakas"/>
                <w:rFonts w:ascii="inherit" w:hAnsi="inherit"/>
                <w:bdr w:val="none" w:sz="0" w:space="0" w:color="auto" w:frame="1"/>
              </w:rPr>
              <w:t>Tilläggsavgift, €/h</w:t>
            </w:r>
          </w:p>
        </w:tc>
        <w:tc>
          <w:tcPr>
            <w:tcW w:w="1457" w:type="pct"/>
            <w:tcMar>
              <w:top w:w="75" w:type="dxa"/>
              <w:left w:w="150" w:type="dxa"/>
              <w:bottom w:w="75" w:type="dxa"/>
              <w:right w:w="150" w:type="dxa"/>
            </w:tcMar>
            <w:hideMark/>
          </w:tcPr>
          <w:p w14:paraId="4CCE02B2" w14:textId="3E65E258" w:rsidR="008D47D3" w:rsidRPr="00422F7B" w:rsidRDefault="008D47D3">
            <w:pPr>
              <w:rPr>
                <w:rFonts w:ascii="inherit" w:hAnsi="inherit"/>
              </w:rPr>
            </w:pPr>
            <w:r>
              <w:rPr>
                <w:rStyle w:val="Voimakas"/>
                <w:rFonts w:ascii="inherit" w:hAnsi="inherit"/>
                <w:bdr w:val="none" w:sz="0" w:space="0" w:color="auto" w:frame="1"/>
              </w:rPr>
              <w:t>Anmärkning</w:t>
            </w:r>
          </w:p>
        </w:tc>
      </w:tr>
      <w:tr w:rsidR="008D47D3" w:rsidRPr="00422F7B" w14:paraId="28C88DC1" w14:textId="77777777" w:rsidTr="00272703">
        <w:tc>
          <w:tcPr>
            <w:tcW w:w="1597" w:type="pct"/>
            <w:tcMar>
              <w:top w:w="75" w:type="dxa"/>
              <w:left w:w="150" w:type="dxa"/>
              <w:bottom w:w="75" w:type="dxa"/>
              <w:right w:w="150" w:type="dxa"/>
            </w:tcMar>
            <w:hideMark/>
          </w:tcPr>
          <w:p w14:paraId="399F2647" w14:textId="77777777" w:rsidR="008D47D3" w:rsidRPr="00422F7B" w:rsidRDefault="008D47D3">
            <w:pPr>
              <w:rPr>
                <w:rFonts w:ascii="inherit" w:hAnsi="inherit"/>
              </w:rPr>
            </w:pPr>
            <w:r>
              <w:rPr>
                <w:rFonts w:ascii="inherit" w:hAnsi="inherit"/>
              </w:rPr>
              <w:t>Elektronisk registrering av dosuppgifter</w:t>
            </w:r>
          </w:p>
        </w:tc>
        <w:tc>
          <w:tcPr>
            <w:tcW w:w="1181" w:type="pct"/>
            <w:tcMar>
              <w:top w:w="75" w:type="dxa"/>
              <w:left w:w="150" w:type="dxa"/>
              <w:bottom w:w="75" w:type="dxa"/>
              <w:right w:w="150" w:type="dxa"/>
            </w:tcMar>
            <w:hideMark/>
          </w:tcPr>
          <w:p w14:paraId="298C42F1" w14:textId="313BCB75" w:rsidR="008D47D3" w:rsidRPr="00422F7B" w:rsidRDefault="008D47D3">
            <w:pPr>
              <w:rPr>
                <w:rFonts w:ascii="inherit" w:hAnsi="inherit"/>
              </w:rPr>
            </w:pPr>
            <w:r>
              <w:rPr>
                <w:rFonts w:ascii="inherit" w:hAnsi="inherit"/>
              </w:rPr>
              <w:t>6</w:t>
            </w:r>
          </w:p>
        </w:tc>
        <w:tc>
          <w:tcPr>
            <w:tcW w:w="765" w:type="pct"/>
            <w:tcMar>
              <w:top w:w="74" w:type="dxa"/>
              <w:left w:w="147" w:type="dxa"/>
              <w:bottom w:w="74" w:type="dxa"/>
              <w:right w:w="147" w:type="dxa"/>
            </w:tcMar>
          </w:tcPr>
          <w:p w14:paraId="2E4672F9" w14:textId="1ECC761F" w:rsidR="008D47D3" w:rsidRPr="00422F7B" w:rsidRDefault="008D47D3">
            <w:pPr>
              <w:rPr>
                <w:rFonts w:ascii="inherit" w:hAnsi="inherit"/>
              </w:rPr>
            </w:pPr>
            <w:r>
              <w:rPr>
                <w:rFonts w:ascii="inherit" w:hAnsi="inherit"/>
              </w:rPr>
              <w:t>-</w:t>
            </w:r>
          </w:p>
        </w:tc>
        <w:tc>
          <w:tcPr>
            <w:tcW w:w="1457" w:type="pct"/>
            <w:tcMar>
              <w:top w:w="75" w:type="dxa"/>
              <w:left w:w="150" w:type="dxa"/>
              <w:bottom w:w="75" w:type="dxa"/>
              <w:right w:w="150" w:type="dxa"/>
            </w:tcMar>
            <w:hideMark/>
          </w:tcPr>
          <w:p w14:paraId="04F0E687" w14:textId="22CD0506" w:rsidR="008D47D3" w:rsidRPr="00422F7B" w:rsidRDefault="008D47D3">
            <w:pPr>
              <w:rPr>
                <w:rFonts w:ascii="inherit" w:hAnsi="inherit"/>
              </w:rPr>
            </w:pPr>
            <w:r>
              <w:rPr>
                <w:rFonts w:ascii="inherit" w:hAnsi="inherit"/>
              </w:rPr>
              <w:t>Registrering av resultatet av mätningen eller av fastställandet av dosen.</w:t>
            </w:r>
          </w:p>
        </w:tc>
      </w:tr>
      <w:tr w:rsidR="008D47D3" w:rsidRPr="00422F7B" w14:paraId="55BCF94C" w14:textId="77777777" w:rsidTr="00272703">
        <w:tc>
          <w:tcPr>
            <w:tcW w:w="1597" w:type="pct"/>
            <w:tcMar>
              <w:top w:w="75" w:type="dxa"/>
              <w:left w:w="150" w:type="dxa"/>
              <w:bottom w:w="75" w:type="dxa"/>
              <w:right w:w="150" w:type="dxa"/>
            </w:tcMar>
            <w:hideMark/>
          </w:tcPr>
          <w:p w14:paraId="30F2EE3F" w14:textId="77777777" w:rsidR="008D47D3" w:rsidRPr="00422F7B" w:rsidRDefault="008D47D3">
            <w:pPr>
              <w:rPr>
                <w:rFonts w:ascii="inherit" w:hAnsi="inherit"/>
              </w:rPr>
            </w:pPr>
            <w:r>
              <w:rPr>
                <w:rFonts w:ascii="inherit" w:hAnsi="inherit"/>
              </w:rPr>
              <w:t>Manuell registrering av dosuppgifter</w:t>
            </w:r>
          </w:p>
        </w:tc>
        <w:tc>
          <w:tcPr>
            <w:tcW w:w="1181" w:type="pct"/>
            <w:tcMar>
              <w:top w:w="75" w:type="dxa"/>
              <w:left w:w="150" w:type="dxa"/>
              <w:bottom w:w="75" w:type="dxa"/>
              <w:right w:w="150" w:type="dxa"/>
            </w:tcMar>
            <w:hideMark/>
          </w:tcPr>
          <w:p w14:paraId="72AAA526" w14:textId="5DF91427" w:rsidR="008D47D3" w:rsidRPr="00422F7B" w:rsidRDefault="008D47D3">
            <w:pPr>
              <w:rPr>
                <w:rFonts w:ascii="inherit" w:hAnsi="inherit"/>
              </w:rPr>
            </w:pPr>
            <w:r>
              <w:rPr>
                <w:rFonts w:ascii="inherit" w:hAnsi="inherit"/>
              </w:rPr>
              <w:t>32</w:t>
            </w:r>
          </w:p>
        </w:tc>
        <w:tc>
          <w:tcPr>
            <w:tcW w:w="765" w:type="pct"/>
            <w:tcMar>
              <w:top w:w="74" w:type="dxa"/>
              <w:left w:w="147" w:type="dxa"/>
              <w:bottom w:w="74" w:type="dxa"/>
              <w:right w:w="147" w:type="dxa"/>
            </w:tcMar>
          </w:tcPr>
          <w:p w14:paraId="53BC3CA5" w14:textId="24DC455A" w:rsidR="008D47D3" w:rsidRPr="00422F7B" w:rsidRDefault="008D47D3">
            <w:pPr>
              <w:rPr>
                <w:rFonts w:ascii="inherit" w:hAnsi="inherit"/>
              </w:rPr>
            </w:pPr>
            <w:r>
              <w:rPr>
                <w:rFonts w:ascii="inherit" w:hAnsi="inherit"/>
              </w:rPr>
              <w:t>-</w:t>
            </w:r>
          </w:p>
        </w:tc>
        <w:tc>
          <w:tcPr>
            <w:tcW w:w="1457" w:type="pct"/>
            <w:tcMar>
              <w:top w:w="75" w:type="dxa"/>
              <w:left w:w="150" w:type="dxa"/>
              <w:bottom w:w="75" w:type="dxa"/>
              <w:right w:w="150" w:type="dxa"/>
            </w:tcMar>
            <w:hideMark/>
          </w:tcPr>
          <w:p w14:paraId="178EA0D6" w14:textId="5FB59259" w:rsidR="008D47D3" w:rsidRPr="00422F7B" w:rsidRDefault="008D47D3">
            <w:pPr>
              <w:rPr>
                <w:rFonts w:ascii="inherit" w:hAnsi="inherit"/>
              </w:rPr>
            </w:pPr>
            <w:r>
              <w:rPr>
                <w:rFonts w:ascii="inherit" w:hAnsi="inherit"/>
              </w:rPr>
              <w:t>Registrering av resultatet av mätningen eller av fastställandet av dosen.</w:t>
            </w:r>
          </w:p>
        </w:tc>
      </w:tr>
      <w:tr w:rsidR="008D47D3" w:rsidRPr="00422F7B" w14:paraId="1326704F" w14:textId="77777777" w:rsidTr="00272703">
        <w:tc>
          <w:tcPr>
            <w:tcW w:w="1597" w:type="pct"/>
            <w:tcMar>
              <w:top w:w="75" w:type="dxa"/>
              <w:left w:w="150" w:type="dxa"/>
              <w:bottom w:w="75" w:type="dxa"/>
              <w:right w:w="150" w:type="dxa"/>
            </w:tcMar>
            <w:hideMark/>
          </w:tcPr>
          <w:p w14:paraId="4DB4C45B" w14:textId="77777777" w:rsidR="008D47D3" w:rsidRPr="00422F7B" w:rsidRDefault="008D47D3">
            <w:pPr>
              <w:rPr>
                <w:rFonts w:ascii="inherit" w:hAnsi="inherit"/>
              </w:rPr>
            </w:pPr>
            <w:r>
              <w:rPr>
                <w:rFonts w:ascii="inherit" w:hAnsi="inherit"/>
              </w:rPr>
              <w:t>Dosövervakningsdokument</w:t>
            </w:r>
          </w:p>
        </w:tc>
        <w:tc>
          <w:tcPr>
            <w:tcW w:w="1181" w:type="pct"/>
            <w:tcMar>
              <w:top w:w="75" w:type="dxa"/>
              <w:left w:w="150" w:type="dxa"/>
              <w:bottom w:w="75" w:type="dxa"/>
              <w:right w:w="150" w:type="dxa"/>
            </w:tcMar>
            <w:hideMark/>
          </w:tcPr>
          <w:p w14:paraId="2ADDB88B" w14:textId="37871567" w:rsidR="008D47D3" w:rsidRPr="00422F7B" w:rsidRDefault="008D47D3">
            <w:pPr>
              <w:rPr>
                <w:rFonts w:ascii="inherit" w:hAnsi="inherit"/>
              </w:rPr>
            </w:pPr>
            <w:r>
              <w:rPr>
                <w:rFonts w:ascii="inherit" w:hAnsi="inherit"/>
              </w:rPr>
              <w:t>66 €</w:t>
            </w:r>
          </w:p>
        </w:tc>
        <w:tc>
          <w:tcPr>
            <w:tcW w:w="765" w:type="pct"/>
            <w:tcMar>
              <w:top w:w="74" w:type="dxa"/>
              <w:left w:w="147" w:type="dxa"/>
              <w:bottom w:w="74" w:type="dxa"/>
              <w:right w:w="147" w:type="dxa"/>
            </w:tcMar>
          </w:tcPr>
          <w:p w14:paraId="05785BD1" w14:textId="315D491D" w:rsidR="008D47D3" w:rsidRPr="00422F7B" w:rsidRDefault="008D47D3">
            <w:pPr>
              <w:rPr>
                <w:rFonts w:ascii="inherit" w:hAnsi="inherit"/>
              </w:rPr>
            </w:pPr>
            <w:r>
              <w:rPr>
                <w:rFonts w:ascii="inherit" w:hAnsi="inherit"/>
              </w:rPr>
              <w:t>-</w:t>
            </w:r>
          </w:p>
        </w:tc>
        <w:tc>
          <w:tcPr>
            <w:tcW w:w="1457" w:type="pct"/>
            <w:tcMar>
              <w:top w:w="75" w:type="dxa"/>
              <w:left w:w="150" w:type="dxa"/>
              <w:bottom w:w="75" w:type="dxa"/>
              <w:right w:w="150" w:type="dxa"/>
            </w:tcMar>
            <w:hideMark/>
          </w:tcPr>
          <w:p w14:paraId="16FD6C0A" w14:textId="776F5763" w:rsidR="008D47D3" w:rsidRPr="00422F7B" w:rsidRDefault="008D47D3">
            <w:pPr>
              <w:rPr>
                <w:rFonts w:ascii="inherit" w:hAnsi="inherit"/>
              </w:rPr>
            </w:pPr>
            <w:r>
              <w:rPr>
                <w:rFonts w:ascii="inherit" w:hAnsi="inherit"/>
              </w:rPr>
              <w:t> </w:t>
            </w:r>
          </w:p>
        </w:tc>
      </w:tr>
      <w:tr w:rsidR="008D47D3" w:rsidRPr="00422F7B" w14:paraId="34F6BE76" w14:textId="77777777" w:rsidTr="00272703">
        <w:tc>
          <w:tcPr>
            <w:tcW w:w="1597" w:type="pct"/>
            <w:tcMar>
              <w:top w:w="75" w:type="dxa"/>
              <w:left w:w="150" w:type="dxa"/>
              <w:bottom w:w="75" w:type="dxa"/>
              <w:right w:w="150" w:type="dxa"/>
            </w:tcMar>
            <w:hideMark/>
          </w:tcPr>
          <w:p w14:paraId="44AF54C6" w14:textId="77777777" w:rsidR="008D47D3" w:rsidRPr="00422F7B" w:rsidRDefault="008D47D3">
            <w:pPr>
              <w:rPr>
                <w:rFonts w:ascii="inherit" w:hAnsi="inherit"/>
              </w:rPr>
            </w:pPr>
            <w:r>
              <w:rPr>
                <w:rFonts w:ascii="inherit" w:hAnsi="inherit"/>
              </w:rPr>
              <w:t>Dosrapport för arbetstagare</w:t>
            </w:r>
          </w:p>
        </w:tc>
        <w:tc>
          <w:tcPr>
            <w:tcW w:w="1181" w:type="pct"/>
            <w:tcMar>
              <w:top w:w="75" w:type="dxa"/>
              <w:left w:w="150" w:type="dxa"/>
              <w:bottom w:w="75" w:type="dxa"/>
              <w:right w:w="150" w:type="dxa"/>
            </w:tcMar>
            <w:hideMark/>
          </w:tcPr>
          <w:p w14:paraId="1554141D" w14:textId="544CE636" w:rsidR="008D47D3" w:rsidRPr="00422F7B" w:rsidRDefault="008D47D3">
            <w:pPr>
              <w:rPr>
                <w:rFonts w:ascii="inherit" w:hAnsi="inherit"/>
              </w:rPr>
            </w:pPr>
            <w:r>
              <w:rPr>
                <w:rFonts w:ascii="inherit" w:hAnsi="inherit"/>
              </w:rPr>
              <w:t>53 €</w:t>
            </w:r>
          </w:p>
        </w:tc>
        <w:tc>
          <w:tcPr>
            <w:tcW w:w="765" w:type="pct"/>
            <w:tcMar>
              <w:top w:w="74" w:type="dxa"/>
              <w:left w:w="147" w:type="dxa"/>
              <w:bottom w:w="74" w:type="dxa"/>
              <w:right w:w="147" w:type="dxa"/>
            </w:tcMar>
          </w:tcPr>
          <w:p w14:paraId="0EA9038B" w14:textId="62CAB8F2" w:rsidR="008D47D3" w:rsidRPr="00422F7B" w:rsidRDefault="008D47D3">
            <w:pPr>
              <w:rPr>
                <w:rFonts w:ascii="inherit" w:hAnsi="inherit"/>
              </w:rPr>
            </w:pPr>
            <w:r>
              <w:rPr>
                <w:rFonts w:ascii="inherit" w:hAnsi="inherit"/>
              </w:rPr>
              <w:t>-</w:t>
            </w:r>
          </w:p>
        </w:tc>
        <w:tc>
          <w:tcPr>
            <w:tcW w:w="1457" w:type="pct"/>
            <w:tcMar>
              <w:top w:w="75" w:type="dxa"/>
              <w:left w:w="150" w:type="dxa"/>
              <w:bottom w:w="75" w:type="dxa"/>
              <w:right w:w="150" w:type="dxa"/>
            </w:tcMar>
            <w:hideMark/>
          </w:tcPr>
          <w:p w14:paraId="55944A64" w14:textId="7567154C" w:rsidR="008D47D3" w:rsidRPr="00422F7B" w:rsidRDefault="008D47D3">
            <w:pPr>
              <w:rPr>
                <w:rFonts w:ascii="inherit" w:hAnsi="inherit"/>
              </w:rPr>
            </w:pPr>
            <w:r>
              <w:rPr>
                <w:rFonts w:ascii="inherit" w:hAnsi="inherit"/>
              </w:rPr>
              <w:t> </w:t>
            </w:r>
          </w:p>
        </w:tc>
      </w:tr>
    </w:tbl>
    <w:p w14:paraId="78F5906D"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3. Dosimetritjänster</w:t>
      </w:r>
    </w:p>
    <w:p w14:paraId="7FB2A473"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3.1</w:t>
      </w:r>
      <w:r>
        <w:rPr>
          <w:rFonts w:ascii="inherit" w:hAnsi="inherit"/>
          <w:color w:val="000000"/>
          <w:sz w:val="27"/>
        </w:rPr>
        <w:t> Avgifter för prestationer gällande dosimetritjänster.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5"/>
        <w:gridCol w:w="2397"/>
        <w:gridCol w:w="1633"/>
        <w:gridCol w:w="2920"/>
      </w:tblGrid>
      <w:tr w:rsidR="008D47D3" w:rsidRPr="00422F7B" w14:paraId="1446BB84" w14:textId="77777777" w:rsidTr="00272703">
        <w:tc>
          <w:tcPr>
            <w:tcW w:w="1597" w:type="pct"/>
            <w:tcMar>
              <w:top w:w="75" w:type="dxa"/>
              <w:left w:w="150" w:type="dxa"/>
              <w:bottom w:w="75" w:type="dxa"/>
              <w:right w:w="150" w:type="dxa"/>
            </w:tcMar>
            <w:hideMark/>
          </w:tcPr>
          <w:p w14:paraId="035BBD8D" w14:textId="77777777" w:rsidR="008D47D3" w:rsidRPr="00422F7B" w:rsidRDefault="008D47D3">
            <w:pPr>
              <w:rPr>
                <w:rFonts w:ascii="inherit" w:hAnsi="inherit"/>
                <w:sz w:val="24"/>
                <w:szCs w:val="24"/>
              </w:rPr>
            </w:pPr>
            <w:r>
              <w:rPr>
                <w:rStyle w:val="Voimakas"/>
                <w:rFonts w:ascii="inherit" w:hAnsi="inherit"/>
                <w:bdr w:val="none" w:sz="0" w:space="0" w:color="auto" w:frame="1"/>
              </w:rPr>
              <w:t>Prestation</w:t>
            </w:r>
          </w:p>
        </w:tc>
        <w:tc>
          <w:tcPr>
            <w:tcW w:w="1181" w:type="pct"/>
            <w:tcMar>
              <w:top w:w="75" w:type="dxa"/>
              <w:left w:w="150" w:type="dxa"/>
              <w:bottom w:w="75" w:type="dxa"/>
              <w:right w:w="150" w:type="dxa"/>
            </w:tcMar>
            <w:hideMark/>
          </w:tcPr>
          <w:p w14:paraId="718381BE" w14:textId="25287EA2" w:rsidR="008D47D3" w:rsidRPr="00422F7B" w:rsidRDefault="008D47D3">
            <w:pPr>
              <w:rPr>
                <w:rFonts w:ascii="inherit" w:hAnsi="inherit"/>
              </w:rPr>
            </w:pPr>
            <w:r>
              <w:rPr>
                <w:rStyle w:val="Voimakas"/>
                <w:rFonts w:ascii="inherit" w:hAnsi="inherit"/>
                <w:bdr w:val="none" w:sz="0" w:space="0" w:color="auto" w:frame="1"/>
              </w:rPr>
              <w:t>Grundavgift, €</w:t>
            </w:r>
          </w:p>
        </w:tc>
        <w:tc>
          <w:tcPr>
            <w:tcW w:w="785" w:type="pct"/>
            <w:tcMar>
              <w:top w:w="74" w:type="dxa"/>
              <w:left w:w="147" w:type="dxa"/>
              <w:bottom w:w="74" w:type="dxa"/>
              <w:right w:w="147" w:type="dxa"/>
            </w:tcMar>
          </w:tcPr>
          <w:p w14:paraId="4C6904BE" w14:textId="4DA1B535" w:rsidR="008D47D3" w:rsidRPr="00422F7B" w:rsidRDefault="008D47D3">
            <w:pPr>
              <w:rPr>
                <w:rStyle w:val="Voimakas"/>
                <w:rFonts w:ascii="inherit" w:hAnsi="inherit"/>
                <w:bdr w:val="none" w:sz="0" w:space="0" w:color="auto" w:frame="1"/>
              </w:rPr>
            </w:pPr>
            <w:r>
              <w:rPr>
                <w:rStyle w:val="Voimakas"/>
                <w:rFonts w:ascii="inherit" w:hAnsi="inherit"/>
                <w:bdr w:val="none" w:sz="0" w:space="0" w:color="auto" w:frame="1"/>
              </w:rPr>
              <w:t>Tilläggsavgift, €/h</w:t>
            </w:r>
          </w:p>
        </w:tc>
        <w:tc>
          <w:tcPr>
            <w:tcW w:w="1437" w:type="pct"/>
            <w:tcMar>
              <w:top w:w="75" w:type="dxa"/>
              <w:left w:w="150" w:type="dxa"/>
              <w:bottom w:w="75" w:type="dxa"/>
              <w:right w:w="150" w:type="dxa"/>
            </w:tcMar>
            <w:hideMark/>
          </w:tcPr>
          <w:p w14:paraId="5D1546B7" w14:textId="5461F10B" w:rsidR="008D47D3" w:rsidRPr="00422F7B" w:rsidRDefault="008D47D3">
            <w:pPr>
              <w:rPr>
                <w:rFonts w:ascii="inherit" w:hAnsi="inherit"/>
              </w:rPr>
            </w:pPr>
            <w:r>
              <w:rPr>
                <w:rStyle w:val="Voimakas"/>
                <w:rFonts w:ascii="inherit" w:hAnsi="inherit"/>
                <w:bdr w:val="none" w:sz="0" w:space="0" w:color="auto" w:frame="1"/>
              </w:rPr>
              <w:t>Anmärkning</w:t>
            </w:r>
          </w:p>
        </w:tc>
      </w:tr>
      <w:tr w:rsidR="008D47D3" w:rsidRPr="00422F7B" w14:paraId="002E2704" w14:textId="77777777" w:rsidTr="00272703">
        <w:tc>
          <w:tcPr>
            <w:tcW w:w="1597" w:type="pct"/>
            <w:tcMar>
              <w:top w:w="75" w:type="dxa"/>
              <w:left w:w="150" w:type="dxa"/>
              <w:bottom w:w="75" w:type="dxa"/>
              <w:right w:w="150" w:type="dxa"/>
            </w:tcMar>
            <w:hideMark/>
          </w:tcPr>
          <w:p w14:paraId="7894730B" w14:textId="77777777" w:rsidR="008D47D3" w:rsidRPr="00422F7B" w:rsidRDefault="008D47D3">
            <w:pPr>
              <w:rPr>
                <w:rFonts w:ascii="inherit" w:hAnsi="inherit"/>
              </w:rPr>
            </w:pPr>
            <w:r>
              <w:rPr>
                <w:rFonts w:ascii="inherit" w:hAnsi="inherit"/>
              </w:rPr>
              <w:t>Ärende som gäller godkännande av dosimetritjänst och av metoderna för fastställande av stråldosen</w:t>
            </w:r>
          </w:p>
        </w:tc>
        <w:tc>
          <w:tcPr>
            <w:tcW w:w="1181" w:type="pct"/>
            <w:tcMar>
              <w:top w:w="75" w:type="dxa"/>
              <w:left w:w="150" w:type="dxa"/>
              <w:bottom w:w="75" w:type="dxa"/>
              <w:right w:w="150" w:type="dxa"/>
            </w:tcMar>
            <w:hideMark/>
          </w:tcPr>
          <w:p w14:paraId="720E60C2" w14:textId="0CFE73F1" w:rsidR="008D47D3" w:rsidRPr="00422F7B" w:rsidRDefault="006C0552">
            <w:pPr>
              <w:rPr>
                <w:rFonts w:ascii="inherit" w:hAnsi="inherit"/>
              </w:rPr>
            </w:pPr>
            <w:r>
              <w:rPr>
                <w:rFonts w:ascii="inherit" w:hAnsi="inherit"/>
              </w:rPr>
              <w:t>160 /h</w:t>
            </w:r>
          </w:p>
        </w:tc>
        <w:tc>
          <w:tcPr>
            <w:tcW w:w="785" w:type="pct"/>
            <w:tcMar>
              <w:top w:w="74" w:type="dxa"/>
              <w:left w:w="147" w:type="dxa"/>
              <w:bottom w:w="74" w:type="dxa"/>
              <w:right w:w="147" w:type="dxa"/>
            </w:tcMar>
          </w:tcPr>
          <w:p w14:paraId="1EBEF2B5" w14:textId="793B48A6" w:rsidR="008D47D3" w:rsidRPr="00422F7B" w:rsidRDefault="00845342">
            <w:pPr>
              <w:rPr>
                <w:rFonts w:ascii="inherit" w:hAnsi="inherit"/>
              </w:rPr>
            </w:pPr>
            <w:r>
              <w:rPr>
                <w:rFonts w:ascii="inherit" w:hAnsi="inherit"/>
              </w:rPr>
              <w:t>-</w:t>
            </w:r>
          </w:p>
        </w:tc>
        <w:tc>
          <w:tcPr>
            <w:tcW w:w="1437" w:type="pct"/>
            <w:tcMar>
              <w:top w:w="75" w:type="dxa"/>
              <w:left w:w="150" w:type="dxa"/>
              <w:bottom w:w="75" w:type="dxa"/>
              <w:right w:w="150" w:type="dxa"/>
            </w:tcMar>
            <w:hideMark/>
          </w:tcPr>
          <w:p w14:paraId="2CA2E4BE" w14:textId="73E7CD61" w:rsidR="008D47D3" w:rsidRPr="00422F7B" w:rsidRDefault="008D47D3">
            <w:pPr>
              <w:rPr>
                <w:rFonts w:ascii="inherit" w:hAnsi="inherit"/>
              </w:rPr>
            </w:pPr>
            <w:r>
              <w:rPr>
                <w:rFonts w:ascii="inherit" w:hAnsi="inherit"/>
              </w:rPr>
              <w:t>Timantalet uppskattas på förhand och för det enskilda fallet.</w:t>
            </w:r>
          </w:p>
        </w:tc>
      </w:tr>
      <w:tr w:rsidR="008D47D3" w:rsidRPr="00422F7B" w14:paraId="692E0016" w14:textId="77777777" w:rsidTr="00272703">
        <w:tc>
          <w:tcPr>
            <w:tcW w:w="1597" w:type="pct"/>
            <w:tcMar>
              <w:top w:w="75" w:type="dxa"/>
              <w:left w:w="150" w:type="dxa"/>
              <w:bottom w:w="75" w:type="dxa"/>
              <w:right w:w="150" w:type="dxa"/>
            </w:tcMar>
            <w:hideMark/>
          </w:tcPr>
          <w:p w14:paraId="059B7DB4" w14:textId="77777777" w:rsidR="008D47D3" w:rsidRPr="00422F7B" w:rsidRDefault="008D47D3">
            <w:pPr>
              <w:rPr>
                <w:rFonts w:ascii="inherit" w:hAnsi="inherit"/>
              </w:rPr>
            </w:pPr>
            <w:r>
              <w:rPr>
                <w:rFonts w:ascii="inherit" w:hAnsi="inherit"/>
              </w:rPr>
              <w:t>Inspektion av dosimetritjänst</w:t>
            </w:r>
          </w:p>
        </w:tc>
        <w:tc>
          <w:tcPr>
            <w:tcW w:w="1181" w:type="pct"/>
            <w:tcMar>
              <w:top w:w="75" w:type="dxa"/>
              <w:left w:w="150" w:type="dxa"/>
              <w:bottom w:w="75" w:type="dxa"/>
              <w:right w:w="150" w:type="dxa"/>
            </w:tcMar>
            <w:hideMark/>
          </w:tcPr>
          <w:p w14:paraId="39320D2D" w14:textId="19E32F29" w:rsidR="008D47D3" w:rsidRPr="00422F7B" w:rsidRDefault="008D47D3">
            <w:pPr>
              <w:rPr>
                <w:rFonts w:ascii="inherit" w:hAnsi="inherit"/>
              </w:rPr>
            </w:pPr>
            <w:r>
              <w:rPr>
                <w:rFonts w:ascii="inherit" w:hAnsi="inherit"/>
              </w:rPr>
              <w:t>1 800</w:t>
            </w:r>
          </w:p>
        </w:tc>
        <w:tc>
          <w:tcPr>
            <w:tcW w:w="785" w:type="pct"/>
            <w:tcMar>
              <w:top w:w="74" w:type="dxa"/>
              <w:left w:w="147" w:type="dxa"/>
              <w:bottom w:w="74" w:type="dxa"/>
              <w:right w:w="147" w:type="dxa"/>
            </w:tcMar>
          </w:tcPr>
          <w:p w14:paraId="1029E76E" w14:textId="5D949324" w:rsidR="008D47D3" w:rsidRPr="00422F7B" w:rsidRDefault="008D47D3">
            <w:pPr>
              <w:rPr>
                <w:rFonts w:ascii="inherit" w:hAnsi="inherit"/>
              </w:rPr>
            </w:pPr>
            <w:r>
              <w:rPr>
                <w:rFonts w:ascii="inherit" w:hAnsi="inherit"/>
              </w:rPr>
              <w:t>160</w:t>
            </w:r>
          </w:p>
        </w:tc>
        <w:tc>
          <w:tcPr>
            <w:tcW w:w="1437" w:type="pct"/>
            <w:tcMar>
              <w:top w:w="75" w:type="dxa"/>
              <w:left w:w="150" w:type="dxa"/>
              <w:bottom w:w="75" w:type="dxa"/>
              <w:right w:w="150" w:type="dxa"/>
            </w:tcMar>
            <w:hideMark/>
          </w:tcPr>
          <w:p w14:paraId="503054B2" w14:textId="1E71D5F5" w:rsidR="008D47D3" w:rsidRPr="00422F7B" w:rsidRDefault="008D47D3">
            <w:pPr>
              <w:rPr>
                <w:rFonts w:ascii="inherit" w:hAnsi="inherit"/>
              </w:rPr>
            </w:pPr>
            <w:r>
              <w:rPr>
                <w:rFonts w:ascii="inherit" w:hAnsi="inherit"/>
              </w:rPr>
              <w:t> </w:t>
            </w:r>
          </w:p>
        </w:tc>
      </w:tr>
      <w:tr w:rsidR="008D47D3" w:rsidRPr="00422F7B" w14:paraId="146FD8BA" w14:textId="77777777" w:rsidTr="00272703">
        <w:tc>
          <w:tcPr>
            <w:tcW w:w="1597" w:type="pct"/>
            <w:tcMar>
              <w:top w:w="75" w:type="dxa"/>
              <w:left w:w="150" w:type="dxa"/>
              <w:bottom w:w="75" w:type="dxa"/>
              <w:right w:w="150" w:type="dxa"/>
            </w:tcMar>
            <w:hideMark/>
          </w:tcPr>
          <w:p w14:paraId="24C63A83" w14:textId="77777777" w:rsidR="008D47D3" w:rsidRPr="00422F7B" w:rsidRDefault="008D47D3">
            <w:pPr>
              <w:rPr>
                <w:rFonts w:ascii="inherit" w:hAnsi="inherit"/>
              </w:rPr>
            </w:pPr>
            <w:r>
              <w:rPr>
                <w:rFonts w:ascii="inherit" w:hAnsi="inherit"/>
              </w:rPr>
              <w:t>Test av en dosimetritjänsts funktionsförmåga</w:t>
            </w:r>
          </w:p>
        </w:tc>
        <w:tc>
          <w:tcPr>
            <w:tcW w:w="1181" w:type="pct"/>
            <w:tcMar>
              <w:top w:w="75" w:type="dxa"/>
              <w:left w:w="150" w:type="dxa"/>
              <w:bottom w:w="75" w:type="dxa"/>
              <w:right w:w="150" w:type="dxa"/>
            </w:tcMar>
            <w:hideMark/>
          </w:tcPr>
          <w:p w14:paraId="63BF8A5B" w14:textId="5E3B48F9" w:rsidR="008D47D3" w:rsidRPr="00422F7B" w:rsidRDefault="006C0552">
            <w:pPr>
              <w:rPr>
                <w:rFonts w:ascii="inherit" w:hAnsi="inherit"/>
              </w:rPr>
            </w:pPr>
            <w:r>
              <w:rPr>
                <w:rFonts w:ascii="inherit" w:hAnsi="inherit"/>
              </w:rPr>
              <w:t> 160 /h</w:t>
            </w:r>
          </w:p>
        </w:tc>
        <w:tc>
          <w:tcPr>
            <w:tcW w:w="785" w:type="pct"/>
            <w:tcMar>
              <w:top w:w="74" w:type="dxa"/>
              <w:left w:w="147" w:type="dxa"/>
              <w:bottom w:w="74" w:type="dxa"/>
              <w:right w:w="147" w:type="dxa"/>
            </w:tcMar>
          </w:tcPr>
          <w:p w14:paraId="463C68AA" w14:textId="42DBF4B7" w:rsidR="008D47D3" w:rsidRPr="00422F7B" w:rsidRDefault="00845342">
            <w:pPr>
              <w:rPr>
                <w:rFonts w:ascii="inherit" w:hAnsi="inherit"/>
              </w:rPr>
            </w:pPr>
            <w:r>
              <w:rPr>
                <w:rFonts w:ascii="inherit" w:hAnsi="inherit"/>
              </w:rPr>
              <w:t>-</w:t>
            </w:r>
          </w:p>
        </w:tc>
        <w:tc>
          <w:tcPr>
            <w:tcW w:w="1437" w:type="pct"/>
            <w:tcMar>
              <w:top w:w="75" w:type="dxa"/>
              <w:left w:w="150" w:type="dxa"/>
              <w:bottom w:w="75" w:type="dxa"/>
              <w:right w:w="150" w:type="dxa"/>
            </w:tcMar>
            <w:hideMark/>
          </w:tcPr>
          <w:p w14:paraId="462BABEF" w14:textId="32A02F1E" w:rsidR="008D47D3" w:rsidRPr="00422F7B" w:rsidRDefault="008D47D3">
            <w:pPr>
              <w:rPr>
                <w:rFonts w:ascii="inherit" w:hAnsi="inherit"/>
              </w:rPr>
            </w:pPr>
            <w:r>
              <w:rPr>
                <w:rFonts w:ascii="inherit" w:hAnsi="inherit"/>
              </w:rPr>
              <w:t>Timantalet uppskattas på förhand och för det enskilda fallet.</w:t>
            </w:r>
          </w:p>
        </w:tc>
      </w:tr>
    </w:tbl>
    <w:p w14:paraId="21DA1670" w14:textId="59595591"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Fonts w:ascii="inherit" w:hAnsi="inherit"/>
          <w:sz w:val="27"/>
        </w:rPr>
        <w:t>Tabellen 3.1 tillämpas inte på godkännande och tillsyn av sådan verksamhet som avses i kärnenergilagen (990/1987).</w:t>
      </w:r>
    </w:p>
    <w:p w14:paraId="469B8960"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4. Godkännanden, utlåtanden, konstaterande av behörighet och erkännande av yrkeskvalifikationer</w:t>
      </w:r>
    </w:p>
    <w:p w14:paraId="57F1F4AD"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4.1.</w:t>
      </w:r>
      <w:r>
        <w:rPr>
          <w:rFonts w:ascii="inherit" w:hAnsi="inherit"/>
          <w:color w:val="000000"/>
          <w:sz w:val="27"/>
        </w:rPr>
        <w:t> Avgifter för beslut om godkännanden, för utlåtanden om strålskyddsutbildning, konstaterande av behörighet och erkännande av yrkeskvalifikationer.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6"/>
        <w:gridCol w:w="2690"/>
        <w:gridCol w:w="2549"/>
      </w:tblGrid>
      <w:tr w:rsidR="000F3E12" w:rsidRPr="00422F7B" w14:paraId="04A8D3D8" w14:textId="77777777" w:rsidTr="00422F7B">
        <w:tc>
          <w:tcPr>
            <w:tcW w:w="2430" w:type="pct"/>
            <w:tcMar>
              <w:top w:w="75" w:type="dxa"/>
              <w:left w:w="150" w:type="dxa"/>
              <w:bottom w:w="75" w:type="dxa"/>
              <w:right w:w="150" w:type="dxa"/>
            </w:tcMar>
            <w:hideMark/>
          </w:tcPr>
          <w:p w14:paraId="784471A7" w14:textId="77777777" w:rsidR="000F3E12" w:rsidRPr="00422F7B" w:rsidRDefault="000F3E12">
            <w:pPr>
              <w:rPr>
                <w:rFonts w:ascii="inherit" w:hAnsi="inherit"/>
                <w:sz w:val="24"/>
                <w:szCs w:val="24"/>
              </w:rPr>
            </w:pPr>
            <w:r>
              <w:rPr>
                <w:rStyle w:val="Voimakas"/>
                <w:rFonts w:ascii="inherit" w:hAnsi="inherit"/>
                <w:bdr w:val="none" w:sz="0" w:space="0" w:color="auto" w:frame="1"/>
              </w:rPr>
              <w:t>Prestation</w:t>
            </w:r>
          </w:p>
        </w:tc>
        <w:tc>
          <w:tcPr>
            <w:tcW w:w="1319" w:type="pct"/>
            <w:tcMar>
              <w:top w:w="75" w:type="dxa"/>
              <w:left w:w="150" w:type="dxa"/>
              <w:bottom w:w="75" w:type="dxa"/>
              <w:right w:w="150" w:type="dxa"/>
            </w:tcMar>
            <w:hideMark/>
          </w:tcPr>
          <w:p w14:paraId="74C90794" w14:textId="236B4EDA" w:rsidR="000F3E12" w:rsidRPr="00422F7B" w:rsidRDefault="000F3E12">
            <w:pPr>
              <w:rPr>
                <w:rFonts w:ascii="inherit" w:hAnsi="inherit"/>
              </w:rPr>
            </w:pPr>
            <w:r>
              <w:rPr>
                <w:rStyle w:val="Voimakas"/>
                <w:rFonts w:ascii="inherit" w:hAnsi="inherit"/>
                <w:bdr w:val="none" w:sz="0" w:space="0" w:color="auto" w:frame="1"/>
              </w:rPr>
              <w:t>Grundavgift, €</w:t>
            </w:r>
          </w:p>
        </w:tc>
        <w:tc>
          <w:tcPr>
            <w:tcW w:w="1250" w:type="pct"/>
            <w:tcMar>
              <w:top w:w="74" w:type="dxa"/>
              <w:left w:w="147" w:type="dxa"/>
              <w:bottom w:w="74" w:type="dxa"/>
              <w:right w:w="147" w:type="dxa"/>
            </w:tcMar>
          </w:tcPr>
          <w:p w14:paraId="152A459A" w14:textId="71E20C70" w:rsidR="000F3E12" w:rsidRPr="00422F7B" w:rsidRDefault="000F3E12">
            <w:pPr>
              <w:rPr>
                <w:rStyle w:val="Voimakas"/>
                <w:rFonts w:ascii="inherit" w:hAnsi="inherit"/>
                <w:bdr w:val="none" w:sz="0" w:space="0" w:color="auto" w:frame="1"/>
              </w:rPr>
            </w:pPr>
            <w:r>
              <w:rPr>
                <w:rStyle w:val="Voimakas"/>
                <w:rFonts w:ascii="inherit" w:hAnsi="inherit"/>
                <w:bdr w:val="none" w:sz="0" w:space="0" w:color="auto" w:frame="1"/>
              </w:rPr>
              <w:t>Tilläggsavgift, €/h</w:t>
            </w:r>
          </w:p>
        </w:tc>
      </w:tr>
      <w:tr w:rsidR="000F3E12" w:rsidRPr="00422F7B" w14:paraId="703229F7" w14:textId="77777777" w:rsidTr="00422F7B">
        <w:tc>
          <w:tcPr>
            <w:tcW w:w="2430" w:type="pct"/>
            <w:tcMar>
              <w:top w:w="75" w:type="dxa"/>
              <w:left w:w="150" w:type="dxa"/>
              <w:bottom w:w="75" w:type="dxa"/>
              <w:right w:w="150" w:type="dxa"/>
            </w:tcMar>
            <w:hideMark/>
          </w:tcPr>
          <w:p w14:paraId="5BD3BF76" w14:textId="77777777" w:rsidR="000F3E12" w:rsidRPr="00422F7B" w:rsidRDefault="000F3E12">
            <w:pPr>
              <w:rPr>
                <w:rFonts w:ascii="inherit" w:hAnsi="inherit"/>
              </w:rPr>
            </w:pPr>
            <w:r>
              <w:rPr>
                <w:rFonts w:ascii="inherit" w:hAnsi="inherit"/>
              </w:rPr>
              <w:t>Godkännande av strålningsmätningar</w:t>
            </w:r>
          </w:p>
        </w:tc>
        <w:tc>
          <w:tcPr>
            <w:tcW w:w="1319" w:type="pct"/>
            <w:tcMar>
              <w:top w:w="75" w:type="dxa"/>
              <w:left w:w="150" w:type="dxa"/>
              <w:bottom w:w="75" w:type="dxa"/>
              <w:right w:w="150" w:type="dxa"/>
            </w:tcMar>
            <w:hideMark/>
          </w:tcPr>
          <w:p w14:paraId="65650255" w14:textId="66BCC53A" w:rsidR="000F3E12" w:rsidRPr="00422F7B" w:rsidRDefault="000F3E12">
            <w:pPr>
              <w:rPr>
                <w:rFonts w:ascii="inherit" w:hAnsi="inherit"/>
              </w:rPr>
            </w:pPr>
            <w:r>
              <w:rPr>
                <w:rFonts w:ascii="inherit" w:hAnsi="inherit"/>
              </w:rPr>
              <w:t>1 150</w:t>
            </w:r>
          </w:p>
        </w:tc>
        <w:tc>
          <w:tcPr>
            <w:tcW w:w="1250" w:type="pct"/>
            <w:tcMar>
              <w:top w:w="74" w:type="dxa"/>
              <w:left w:w="147" w:type="dxa"/>
              <w:bottom w:w="74" w:type="dxa"/>
              <w:right w:w="147" w:type="dxa"/>
            </w:tcMar>
          </w:tcPr>
          <w:p w14:paraId="16FDBF6F" w14:textId="3694BEC9" w:rsidR="000F3E12" w:rsidRPr="00422F7B" w:rsidRDefault="000F3E12">
            <w:pPr>
              <w:rPr>
                <w:rFonts w:ascii="inherit" w:hAnsi="inherit"/>
              </w:rPr>
            </w:pPr>
            <w:r>
              <w:rPr>
                <w:rFonts w:ascii="inherit" w:hAnsi="inherit"/>
              </w:rPr>
              <w:t>160</w:t>
            </w:r>
          </w:p>
        </w:tc>
      </w:tr>
      <w:tr w:rsidR="000F3E12" w:rsidRPr="00422F7B" w14:paraId="674785A9" w14:textId="77777777" w:rsidTr="00422F7B">
        <w:tc>
          <w:tcPr>
            <w:tcW w:w="2430" w:type="pct"/>
            <w:tcMar>
              <w:top w:w="75" w:type="dxa"/>
              <w:left w:w="150" w:type="dxa"/>
              <w:bottom w:w="75" w:type="dxa"/>
              <w:right w:w="150" w:type="dxa"/>
            </w:tcMar>
            <w:hideMark/>
          </w:tcPr>
          <w:p w14:paraId="4F80DB72" w14:textId="77777777" w:rsidR="000F3E12" w:rsidRPr="00422F7B" w:rsidRDefault="000F3E12">
            <w:pPr>
              <w:rPr>
                <w:rFonts w:ascii="inherit" w:hAnsi="inherit"/>
              </w:rPr>
            </w:pPr>
            <w:r>
              <w:rPr>
                <w:rFonts w:ascii="inherit" w:hAnsi="inherit"/>
              </w:rPr>
              <w:t>Godkännande av strålskyddsutbildning</w:t>
            </w:r>
          </w:p>
        </w:tc>
        <w:tc>
          <w:tcPr>
            <w:tcW w:w="1319" w:type="pct"/>
            <w:tcMar>
              <w:top w:w="75" w:type="dxa"/>
              <w:left w:w="150" w:type="dxa"/>
              <w:bottom w:w="75" w:type="dxa"/>
              <w:right w:w="150" w:type="dxa"/>
            </w:tcMar>
            <w:hideMark/>
          </w:tcPr>
          <w:p w14:paraId="1D6F81DA" w14:textId="72E73F93" w:rsidR="000F3E12" w:rsidRPr="00422F7B" w:rsidRDefault="000F3E12">
            <w:pPr>
              <w:rPr>
                <w:rFonts w:ascii="inherit" w:hAnsi="inherit"/>
              </w:rPr>
            </w:pPr>
            <w:r>
              <w:rPr>
                <w:rFonts w:ascii="inherit" w:hAnsi="inherit"/>
              </w:rPr>
              <w:t>830</w:t>
            </w:r>
          </w:p>
        </w:tc>
        <w:tc>
          <w:tcPr>
            <w:tcW w:w="1250" w:type="pct"/>
            <w:tcMar>
              <w:top w:w="74" w:type="dxa"/>
              <w:left w:w="147" w:type="dxa"/>
              <w:bottom w:w="74" w:type="dxa"/>
              <w:right w:w="147" w:type="dxa"/>
            </w:tcMar>
          </w:tcPr>
          <w:p w14:paraId="32AF8DA8" w14:textId="1C60E9BC" w:rsidR="000F3E12" w:rsidRPr="00422F7B" w:rsidRDefault="000F3E12">
            <w:pPr>
              <w:rPr>
                <w:rFonts w:ascii="inherit" w:hAnsi="inherit"/>
              </w:rPr>
            </w:pPr>
            <w:r>
              <w:rPr>
                <w:rFonts w:ascii="inherit" w:hAnsi="inherit"/>
              </w:rPr>
              <w:t>160</w:t>
            </w:r>
          </w:p>
        </w:tc>
      </w:tr>
      <w:tr w:rsidR="000F3E12" w:rsidRPr="00422F7B" w14:paraId="19F43403" w14:textId="77777777" w:rsidTr="00422F7B">
        <w:tc>
          <w:tcPr>
            <w:tcW w:w="2430" w:type="pct"/>
            <w:tcMar>
              <w:top w:w="75" w:type="dxa"/>
              <w:left w:w="150" w:type="dxa"/>
              <w:bottom w:w="75" w:type="dxa"/>
              <w:right w:w="150" w:type="dxa"/>
            </w:tcMar>
            <w:hideMark/>
          </w:tcPr>
          <w:p w14:paraId="3DDF849A" w14:textId="77777777" w:rsidR="000F3E12" w:rsidRPr="00422F7B" w:rsidRDefault="000F3E12">
            <w:pPr>
              <w:rPr>
                <w:rFonts w:ascii="inherit" w:hAnsi="inherit"/>
              </w:rPr>
            </w:pPr>
            <w:r>
              <w:rPr>
                <w:rFonts w:ascii="inherit" w:hAnsi="inherit"/>
              </w:rPr>
              <w:t>Utlåtande om strålskyddsutbildning</w:t>
            </w:r>
          </w:p>
        </w:tc>
        <w:tc>
          <w:tcPr>
            <w:tcW w:w="1319" w:type="pct"/>
            <w:tcMar>
              <w:top w:w="75" w:type="dxa"/>
              <w:left w:w="150" w:type="dxa"/>
              <w:bottom w:w="75" w:type="dxa"/>
              <w:right w:w="150" w:type="dxa"/>
            </w:tcMar>
            <w:hideMark/>
          </w:tcPr>
          <w:p w14:paraId="42EEEA7A" w14:textId="2C7ECDC2" w:rsidR="000F3E12" w:rsidRPr="00422F7B" w:rsidRDefault="000F3E12">
            <w:pPr>
              <w:rPr>
                <w:rFonts w:ascii="inherit" w:hAnsi="inherit"/>
              </w:rPr>
            </w:pPr>
            <w:r>
              <w:rPr>
                <w:rFonts w:ascii="inherit" w:hAnsi="inherit"/>
              </w:rPr>
              <w:t>830</w:t>
            </w:r>
          </w:p>
        </w:tc>
        <w:tc>
          <w:tcPr>
            <w:tcW w:w="1250" w:type="pct"/>
            <w:tcMar>
              <w:top w:w="74" w:type="dxa"/>
              <w:left w:w="147" w:type="dxa"/>
              <w:bottom w:w="74" w:type="dxa"/>
              <w:right w:w="147" w:type="dxa"/>
            </w:tcMar>
          </w:tcPr>
          <w:p w14:paraId="34391D8F" w14:textId="4CF38A8B" w:rsidR="000F3E12" w:rsidRPr="00422F7B" w:rsidRDefault="000F3E12">
            <w:pPr>
              <w:rPr>
                <w:rFonts w:ascii="inherit" w:hAnsi="inherit"/>
              </w:rPr>
            </w:pPr>
            <w:r>
              <w:rPr>
                <w:rFonts w:ascii="inherit" w:hAnsi="inherit"/>
              </w:rPr>
              <w:t>160</w:t>
            </w:r>
          </w:p>
        </w:tc>
      </w:tr>
      <w:tr w:rsidR="000F3E12" w:rsidRPr="00422F7B" w14:paraId="0B6E76CC" w14:textId="77777777" w:rsidTr="00422F7B">
        <w:tc>
          <w:tcPr>
            <w:tcW w:w="2430" w:type="pct"/>
            <w:tcMar>
              <w:top w:w="75" w:type="dxa"/>
              <w:left w:w="150" w:type="dxa"/>
              <w:bottom w:w="75" w:type="dxa"/>
              <w:right w:w="150" w:type="dxa"/>
            </w:tcMar>
            <w:hideMark/>
          </w:tcPr>
          <w:p w14:paraId="487C040C" w14:textId="77777777" w:rsidR="000F3E12" w:rsidRPr="00422F7B" w:rsidRDefault="000F3E12">
            <w:pPr>
              <w:rPr>
                <w:rFonts w:ascii="inherit" w:hAnsi="inherit"/>
              </w:rPr>
            </w:pPr>
            <w:r>
              <w:rPr>
                <w:rFonts w:ascii="inherit" w:hAnsi="inherit"/>
              </w:rPr>
              <w:t>Godkännande av behörighet för strålsäkerhetsexpert.</w:t>
            </w:r>
          </w:p>
        </w:tc>
        <w:tc>
          <w:tcPr>
            <w:tcW w:w="1319" w:type="pct"/>
            <w:tcMar>
              <w:top w:w="75" w:type="dxa"/>
              <w:left w:w="150" w:type="dxa"/>
              <w:bottom w:w="75" w:type="dxa"/>
              <w:right w:w="150" w:type="dxa"/>
            </w:tcMar>
            <w:hideMark/>
          </w:tcPr>
          <w:p w14:paraId="58B41999" w14:textId="17A85FEC" w:rsidR="000F3E12" w:rsidRPr="00422F7B" w:rsidRDefault="000F3E12">
            <w:pPr>
              <w:rPr>
                <w:rFonts w:ascii="inherit" w:hAnsi="inherit"/>
              </w:rPr>
            </w:pPr>
            <w:r>
              <w:rPr>
                <w:rFonts w:ascii="inherit" w:hAnsi="inherit"/>
              </w:rPr>
              <w:t>830</w:t>
            </w:r>
          </w:p>
        </w:tc>
        <w:tc>
          <w:tcPr>
            <w:tcW w:w="1250" w:type="pct"/>
            <w:tcMar>
              <w:top w:w="74" w:type="dxa"/>
              <w:left w:w="147" w:type="dxa"/>
              <w:bottom w:w="74" w:type="dxa"/>
              <w:right w:w="147" w:type="dxa"/>
            </w:tcMar>
          </w:tcPr>
          <w:p w14:paraId="5A47541E" w14:textId="3616C7A5" w:rsidR="000F3E12" w:rsidRPr="00422F7B" w:rsidRDefault="000F3E12">
            <w:pPr>
              <w:rPr>
                <w:rFonts w:ascii="inherit" w:hAnsi="inherit"/>
              </w:rPr>
            </w:pPr>
            <w:r>
              <w:rPr>
                <w:rFonts w:ascii="inherit" w:hAnsi="inherit"/>
              </w:rPr>
              <w:t>160</w:t>
            </w:r>
          </w:p>
        </w:tc>
      </w:tr>
      <w:tr w:rsidR="000F3E12" w:rsidRPr="00422F7B" w14:paraId="128C0625" w14:textId="77777777" w:rsidTr="00422F7B">
        <w:tc>
          <w:tcPr>
            <w:tcW w:w="2430" w:type="pct"/>
            <w:tcMar>
              <w:top w:w="75" w:type="dxa"/>
              <w:left w:w="150" w:type="dxa"/>
              <w:bottom w:w="75" w:type="dxa"/>
              <w:right w:w="150" w:type="dxa"/>
            </w:tcMar>
            <w:hideMark/>
          </w:tcPr>
          <w:p w14:paraId="27D014FA" w14:textId="20A3C293" w:rsidR="000F3E12" w:rsidRPr="00422F7B" w:rsidRDefault="000F3E12">
            <w:pPr>
              <w:rPr>
                <w:rFonts w:ascii="inherit" w:hAnsi="inherit"/>
              </w:rPr>
            </w:pPr>
            <w:r>
              <w:rPr>
                <w:rFonts w:ascii="inherit" w:hAnsi="inherit"/>
              </w:rPr>
              <w:t>Erkännande av yrkeskvalifikationer för strålsäkerhetsexpert och strålsäkerhetsansvarig med stöd av lagen om erkännande av yrkeskvalifikationer (1384/2015).</w:t>
            </w:r>
          </w:p>
        </w:tc>
        <w:tc>
          <w:tcPr>
            <w:tcW w:w="1319" w:type="pct"/>
            <w:tcMar>
              <w:top w:w="75" w:type="dxa"/>
              <w:left w:w="150" w:type="dxa"/>
              <w:bottom w:w="75" w:type="dxa"/>
              <w:right w:w="150" w:type="dxa"/>
            </w:tcMar>
            <w:hideMark/>
          </w:tcPr>
          <w:p w14:paraId="74C17C61" w14:textId="3174AF69" w:rsidR="000F3E12" w:rsidRPr="00422F7B" w:rsidRDefault="000F3E12">
            <w:pPr>
              <w:rPr>
                <w:rFonts w:ascii="inherit" w:hAnsi="inherit"/>
              </w:rPr>
            </w:pPr>
            <w:r>
              <w:rPr>
                <w:rFonts w:ascii="inherit" w:hAnsi="inherit"/>
              </w:rPr>
              <w:t>830</w:t>
            </w:r>
          </w:p>
        </w:tc>
        <w:tc>
          <w:tcPr>
            <w:tcW w:w="1250" w:type="pct"/>
            <w:tcMar>
              <w:top w:w="74" w:type="dxa"/>
              <w:left w:w="147" w:type="dxa"/>
              <w:bottom w:w="74" w:type="dxa"/>
              <w:right w:w="147" w:type="dxa"/>
            </w:tcMar>
          </w:tcPr>
          <w:p w14:paraId="399C7B11" w14:textId="22F5D3EB" w:rsidR="000F3E12" w:rsidRPr="00422F7B" w:rsidRDefault="000F3E12">
            <w:pPr>
              <w:rPr>
                <w:rFonts w:ascii="inherit" w:hAnsi="inherit"/>
              </w:rPr>
            </w:pPr>
            <w:r>
              <w:rPr>
                <w:rFonts w:ascii="inherit" w:hAnsi="inherit"/>
              </w:rPr>
              <w:t>160</w:t>
            </w:r>
          </w:p>
        </w:tc>
      </w:tr>
    </w:tbl>
    <w:p w14:paraId="20D468F3"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5. Högeffektslaser</w:t>
      </w:r>
    </w:p>
    <w:p w14:paraId="0FCAEBE7"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5.1</w:t>
      </w:r>
      <w:r>
        <w:rPr>
          <w:rFonts w:ascii="inherit" w:hAnsi="inherit"/>
          <w:color w:val="000000"/>
          <w:sz w:val="27"/>
        </w:rPr>
        <w:t> Avgifter för prestationer gällande högeffektslaser.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2"/>
        <w:gridCol w:w="2284"/>
        <w:gridCol w:w="1633"/>
        <w:gridCol w:w="2916"/>
      </w:tblGrid>
      <w:tr w:rsidR="008D47D3" w:rsidRPr="00422F7B" w14:paraId="77926464" w14:textId="77777777" w:rsidTr="00272703">
        <w:tc>
          <w:tcPr>
            <w:tcW w:w="1654" w:type="pct"/>
            <w:tcMar>
              <w:top w:w="75" w:type="dxa"/>
              <w:left w:w="150" w:type="dxa"/>
              <w:bottom w:w="75" w:type="dxa"/>
              <w:right w:w="150" w:type="dxa"/>
            </w:tcMar>
            <w:hideMark/>
          </w:tcPr>
          <w:p w14:paraId="76C8A42D" w14:textId="77777777" w:rsidR="008D47D3" w:rsidRPr="00422F7B" w:rsidRDefault="008D47D3">
            <w:pPr>
              <w:rPr>
                <w:rFonts w:ascii="inherit" w:hAnsi="inherit"/>
                <w:sz w:val="24"/>
                <w:szCs w:val="24"/>
              </w:rPr>
            </w:pPr>
            <w:r>
              <w:rPr>
                <w:rStyle w:val="Voimakas"/>
                <w:rFonts w:ascii="inherit" w:hAnsi="inherit"/>
                <w:bdr w:val="none" w:sz="0" w:space="0" w:color="auto" w:frame="1"/>
              </w:rPr>
              <w:t>Prestation</w:t>
            </w:r>
          </w:p>
        </w:tc>
        <w:tc>
          <w:tcPr>
            <w:tcW w:w="1125" w:type="pct"/>
            <w:tcMar>
              <w:top w:w="75" w:type="dxa"/>
              <w:left w:w="150" w:type="dxa"/>
              <w:bottom w:w="75" w:type="dxa"/>
              <w:right w:w="150" w:type="dxa"/>
            </w:tcMar>
            <w:hideMark/>
          </w:tcPr>
          <w:p w14:paraId="0A4F5972" w14:textId="647A1E58" w:rsidR="008D47D3" w:rsidRPr="00422F7B" w:rsidRDefault="008D47D3">
            <w:pPr>
              <w:rPr>
                <w:rFonts w:ascii="inherit" w:hAnsi="inherit"/>
              </w:rPr>
            </w:pPr>
            <w:r>
              <w:rPr>
                <w:rStyle w:val="Voimakas"/>
                <w:rFonts w:ascii="inherit" w:hAnsi="inherit"/>
                <w:bdr w:val="none" w:sz="0" w:space="0" w:color="auto" w:frame="1"/>
              </w:rPr>
              <w:t>Grundavgift, €</w:t>
            </w:r>
          </w:p>
        </w:tc>
        <w:tc>
          <w:tcPr>
            <w:tcW w:w="786" w:type="pct"/>
            <w:tcMar>
              <w:top w:w="74" w:type="dxa"/>
              <w:left w:w="147" w:type="dxa"/>
              <w:bottom w:w="74" w:type="dxa"/>
              <w:right w:w="147" w:type="dxa"/>
            </w:tcMar>
          </w:tcPr>
          <w:p w14:paraId="10FA95FA" w14:textId="3209E2F6" w:rsidR="008D47D3" w:rsidRPr="00422F7B" w:rsidRDefault="008D47D3">
            <w:pPr>
              <w:rPr>
                <w:rStyle w:val="Voimakas"/>
                <w:rFonts w:ascii="inherit" w:hAnsi="inherit"/>
                <w:bdr w:val="none" w:sz="0" w:space="0" w:color="auto" w:frame="1"/>
              </w:rPr>
            </w:pPr>
            <w:r>
              <w:rPr>
                <w:rStyle w:val="Voimakas"/>
                <w:rFonts w:ascii="inherit" w:hAnsi="inherit"/>
                <w:bdr w:val="none" w:sz="0" w:space="0" w:color="auto" w:frame="1"/>
              </w:rPr>
              <w:t>Tilläggsavgift, €/h</w:t>
            </w:r>
          </w:p>
        </w:tc>
        <w:tc>
          <w:tcPr>
            <w:tcW w:w="1436" w:type="pct"/>
            <w:tcMar>
              <w:top w:w="75" w:type="dxa"/>
              <w:left w:w="150" w:type="dxa"/>
              <w:bottom w:w="75" w:type="dxa"/>
              <w:right w:w="150" w:type="dxa"/>
            </w:tcMar>
            <w:hideMark/>
          </w:tcPr>
          <w:p w14:paraId="21273113" w14:textId="07A2F0BF" w:rsidR="008D47D3" w:rsidRPr="00422F7B" w:rsidRDefault="008D47D3">
            <w:pPr>
              <w:rPr>
                <w:rFonts w:ascii="inherit" w:hAnsi="inherit"/>
              </w:rPr>
            </w:pPr>
            <w:r>
              <w:rPr>
                <w:rStyle w:val="Voimakas"/>
                <w:rFonts w:ascii="inherit" w:hAnsi="inherit"/>
                <w:bdr w:val="none" w:sz="0" w:space="0" w:color="auto" w:frame="1"/>
              </w:rPr>
              <w:t>Anmärkning</w:t>
            </w:r>
          </w:p>
        </w:tc>
      </w:tr>
      <w:tr w:rsidR="008D47D3" w:rsidRPr="00422F7B" w14:paraId="52076305" w14:textId="77777777" w:rsidTr="00272703">
        <w:tc>
          <w:tcPr>
            <w:tcW w:w="1654" w:type="pct"/>
            <w:tcMar>
              <w:top w:w="75" w:type="dxa"/>
              <w:left w:w="150" w:type="dxa"/>
              <w:bottom w:w="75" w:type="dxa"/>
              <w:right w:w="150" w:type="dxa"/>
            </w:tcMar>
            <w:hideMark/>
          </w:tcPr>
          <w:p w14:paraId="46223CE6" w14:textId="77777777" w:rsidR="008D47D3" w:rsidRPr="00422F7B" w:rsidRDefault="008D47D3">
            <w:pPr>
              <w:rPr>
                <w:rFonts w:ascii="inherit" w:hAnsi="inherit"/>
              </w:rPr>
            </w:pPr>
            <w:r>
              <w:rPr>
                <w:rFonts w:ascii="inherit" w:hAnsi="inherit"/>
              </w:rPr>
              <w:t>Tillstånd</w:t>
            </w:r>
          </w:p>
        </w:tc>
        <w:tc>
          <w:tcPr>
            <w:tcW w:w="1125" w:type="pct"/>
            <w:tcMar>
              <w:top w:w="75" w:type="dxa"/>
              <w:left w:w="150" w:type="dxa"/>
              <w:bottom w:w="75" w:type="dxa"/>
              <w:right w:w="150" w:type="dxa"/>
            </w:tcMar>
            <w:hideMark/>
          </w:tcPr>
          <w:p w14:paraId="2A87250A" w14:textId="3BEAEF95" w:rsidR="008D47D3" w:rsidRPr="00422F7B" w:rsidRDefault="00F12BDD">
            <w:pPr>
              <w:rPr>
                <w:rFonts w:ascii="inherit" w:hAnsi="inherit"/>
              </w:rPr>
            </w:pPr>
            <w:r>
              <w:rPr>
                <w:rFonts w:ascii="inherit" w:hAnsi="inherit"/>
              </w:rPr>
              <w:t>515</w:t>
            </w:r>
          </w:p>
        </w:tc>
        <w:tc>
          <w:tcPr>
            <w:tcW w:w="786" w:type="pct"/>
            <w:tcMar>
              <w:top w:w="74" w:type="dxa"/>
              <w:left w:w="147" w:type="dxa"/>
              <w:bottom w:w="74" w:type="dxa"/>
              <w:right w:w="147" w:type="dxa"/>
            </w:tcMar>
          </w:tcPr>
          <w:p w14:paraId="6C9B0BD5" w14:textId="13C68448" w:rsidR="008D47D3" w:rsidRPr="00422F7B" w:rsidRDefault="009E36F4">
            <w:pPr>
              <w:rPr>
                <w:rFonts w:ascii="inherit" w:hAnsi="inherit"/>
              </w:rPr>
            </w:pPr>
            <w:r>
              <w:rPr>
                <w:rFonts w:ascii="inherit" w:hAnsi="inherit"/>
              </w:rPr>
              <w:t>160</w:t>
            </w:r>
          </w:p>
        </w:tc>
        <w:tc>
          <w:tcPr>
            <w:tcW w:w="1436" w:type="pct"/>
            <w:tcMar>
              <w:top w:w="75" w:type="dxa"/>
              <w:left w:w="150" w:type="dxa"/>
              <w:bottom w:w="75" w:type="dxa"/>
              <w:right w:w="150" w:type="dxa"/>
            </w:tcMar>
            <w:hideMark/>
          </w:tcPr>
          <w:p w14:paraId="1DA4B02D" w14:textId="78583FF8" w:rsidR="008D47D3" w:rsidRPr="00422F7B" w:rsidRDefault="008D47D3">
            <w:pPr>
              <w:rPr>
                <w:rFonts w:ascii="inherit" w:hAnsi="inherit"/>
              </w:rPr>
            </w:pPr>
            <w:r>
              <w:rPr>
                <w:rFonts w:ascii="inherit" w:hAnsi="inherit"/>
              </w:rPr>
              <w:t> </w:t>
            </w:r>
          </w:p>
        </w:tc>
      </w:tr>
      <w:tr w:rsidR="008D47D3" w:rsidRPr="00422F7B" w14:paraId="66A4925D" w14:textId="77777777" w:rsidTr="00272703">
        <w:tc>
          <w:tcPr>
            <w:tcW w:w="1654" w:type="pct"/>
            <w:tcMar>
              <w:top w:w="75" w:type="dxa"/>
              <w:left w:w="150" w:type="dxa"/>
              <w:bottom w:w="75" w:type="dxa"/>
              <w:right w:w="150" w:type="dxa"/>
            </w:tcMar>
            <w:hideMark/>
          </w:tcPr>
          <w:p w14:paraId="006EAB42" w14:textId="77777777" w:rsidR="008D47D3" w:rsidRPr="00422F7B" w:rsidRDefault="008D47D3">
            <w:pPr>
              <w:rPr>
                <w:rFonts w:ascii="inherit" w:hAnsi="inherit"/>
              </w:rPr>
            </w:pPr>
            <w:r>
              <w:rPr>
                <w:rFonts w:ascii="inherit" w:hAnsi="inherit"/>
              </w:rPr>
              <w:t>Ändring av tillstånd</w:t>
            </w:r>
          </w:p>
        </w:tc>
        <w:tc>
          <w:tcPr>
            <w:tcW w:w="1125" w:type="pct"/>
            <w:tcMar>
              <w:top w:w="75" w:type="dxa"/>
              <w:left w:w="150" w:type="dxa"/>
              <w:bottom w:w="75" w:type="dxa"/>
              <w:right w:w="150" w:type="dxa"/>
            </w:tcMar>
            <w:hideMark/>
          </w:tcPr>
          <w:p w14:paraId="30ACC0CB" w14:textId="3EF60A42" w:rsidR="008D47D3" w:rsidRPr="00422F7B" w:rsidRDefault="00F12BDD">
            <w:pPr>
              <w:rPr>
                <w:rFonts w:ascii="inherit" w:hAnsi="inherit"/>
              </w:rPr>
            </w:pPr>
            <w:r>
              <w:rPr>
                <w:rFonts w:ascii="inherit" w:hAnsi="inherit"/>
              </w:rPr>
              <w:t>195</w:t>
            </w:r>
          </w:p>
        </w:tc>
        <w:tc>
          <w:tcPr>
            <w:tcW w:w="786" w:type="pct"/>
            <w:tcMar>
              <w:top w:w="74" w:type="dxa"/>
              <w:left w:w="147" w:type="dxa"/>
              <w:bottom w:w="74" w:type="dxa"/>
              <w:right w:w="147" w:type="dxa"/>
            </w:tcMar>
          </w:tcPr>
          <w:p w14:paraId="15BB78B1" w14:textId="757F4C71" w:rsidR="008D47D3" w:rsidRPr="00422F7B" w:rsidRDefault="009E36F4">
            <w:pPr>
              <w:rPr>
                <w:rFonts w:ascii="inherit" w:hAnsi="inherit"/>
              </w:rPr>
            </w:pPr>
            <w:r>
              <w:rPr>
                <w:rFonts w:ascii="inherit" w:hAnsi="inherit"/>
              </w:rPr>
              <w:t>160</w:t>
            </w:r>
          </w:p>
        </w:tc>
        <w:tc>
          <w:tcPr>
            <w:tcW w:w="1436" w:type="pct"/>
            <w:tcMar>
              <w:top w:w="75" w:type="dxa"/>
              <w:left w:w="150" w:type="dxa"/>
              <w:bottom w:w="75" w:type="dxa"/>
              <w:right w:w="150" w:type="dxa"/>
            </w:tcMar>
            <w:hideMark/>
          </w:tcPr>
          <w:p w14:paraId="6E6CFFF7" w14:textId="1321E0D8" w:rsidR="008D47D3" w:rsidRPr="00422F7B" w:rsidRDefault="008D47D3">
            <w:pPr>
              <w:rPr>
                <w:rFonts w:ascii="inherit" w:hAnsi="inherit"/>
              </w:rPr>
            </w:pPr>
            <w:r>
              <w:rPr>
                <w:rFonts w:ascii="inherit" w:hAnsi="inherit"/>
              </w:rPr>
              <w:t> </w:t>
            </w:r>
          </w:p>
        </w:tc>
      </w:tr>
      <w:tr w:rsidR="008D47D3" w:rsidRPr="00422F7B" w14:paraId="12C64A69" w14:textId="77777777" w:rsidTr="00272703">
        <w:tc>
          <w:tcPr>
            <w:tcW w:w="1654" w:type="pct"/>
            <w:tcMar>
              <w:top w:w="75" w:type="dxa"/>
              <w:left w:w="150" w:type="dxa"/>
              <w:bottom w:w="75" w:type="dxa"/>
              <w:right w:w="150" w:type="dxa"/>
            </w:tcMar>
            <w:hideMark/>
          </w:tcPr>
          <w:p w14:paraId="528FE41C" w14:textId="77777777" w:rsidR="008D47D3" w:rsidRPr="00422F7B" w:rsidRDefault="008D47D3">
            <w:pPr>
              <w:rPr>
                <w:rFonts w:ascii="inherit" w:hAnsi="inherit"/>
              </w:rPr>
            </w:pPr>
            <w:r>
              <w:rPr>
                <w:rFonts w:ascii="inherit" w:hAnsi="inherit"/>
              </w:rPr>
              <w:t>Inspektion i samband med tillståndsärende</w:t>
            </w:r>
          </w:p>
        </w:tc>
        <w:tc>
          <w:tcPr>
            <w:tcW w:w="1125" w:type="pct"/>
            <w:tcMar>
              <w:top w:w="75" w:type="dxa"/>
              <w:left w:w="150" w:type="dxa"/>
              <w:bottom w:w="75" w:type="dxa"/>
              <w:right w:w="150" w:type="dxa"/>
            </w:tcMar>
            <w:hideMark/>
          </w:tcPr>
          <w:p w14:paraId="752ED658" w14:textId="7FF46BBA" w:rsidR="008D47D3" w:rsidRPr="00422F7B" w:rsidRDefault="00F12BDD">
            <w:pPr>
              <w:rPr>
                <w:rFonts w:ascii="inherit" w:hAnsi="inherit"/>
              </w:rPr>
            </w:pPr>
            <w:r>
              <w:rPr>
                <w:rFonts w:ascii="inherit" w:hAnsi="inherit"/>
              </w:rPr>
              <w:t>370</w:t>
            </w:r>
          </w:p>
        </w:tc>
        <w:tc>
          <w:tcPr>
            <w:tcW w:w="786" w:type="pct"/>
            <w:tcMar>
              <w:top w:w="74" w:type="dxa"/>
              <w:left w:w="147" w:type="dxa"/>
              <w:bottom w:w="74" w:type="dxa"/>
              <w:right w:w="147" w:type="dxa"/>
            </w:tcMar>
          </w:tcPr>
          <w:p w14:paraId="4B6FE80A" w14:textId="5328BDE7" w:rsidR="008D47D3" w:rsidRPr="00422F7B" w:rsidRDefault="009E36F4">
            <w:pPr>
              <w:rPr>
                <w:rFonts w:ascii="inherit" w:hAnsi="inherit"/>
              </w:rPr>
            </w:pPr>
            <w:r>
              <w:rPr>
                <w:rFonts w:ascii="inherit" w:hAnsi="inherit"/>
              </w:rPr>
              <w:t>160</w:t>
            </w:r>
          </w:p>
        </w:tc>
        <w:tc>
          <w:tcPr>
            <w:tcW w:w="1436" w:type="pct"/>
            <w:tcMar>
              <w:top w:w="75" w:type="dxa"/>
              <w:left w:w="150" w:type="dxa"/>
              <w:bottom w:w="75" w:type="dxa"/>
              <w:right w:w="150" w:type="dxa"/>
            </w:tcMar>
            <w:hideMark/>
          </w:tcPr>
          <w:p w14:paraId="20E1D572" w14:textId="5411D6F2" w:rsidR="008D47D3" w:rsidRPr="00422F7B" w:rsidRDefault="008D47D3">
            <w:pPr>
              <w:rPr>
                <w:rFonts w:ascii="inherit" w:hAnsi="inherit"/>
              </w:rPr>
            </w:pPr>
            <w:r>
              <w:rPr>
                <w:rFonts w:ascii="inherit" w:hAnsi="inherit"/>
              </w:rPr>
              <w:t> </w:t>
            </w:r>
          </w:p>
        </w:tc>
      </w:tr>
      <w:tr w:rsidR="008D47D3" w:rsidRPr="00422F7B" w14:paraId="7A245BFB" w14:textId="77777777" w:rsidTr="00272703">
        <w:tc>
          <w:tcPr>
            <w:tcW w:w="1654" w:type="pct"/>
            <w:tcMar>
              <w:top w:w="75" w:type="dxa"/>
              <w:left w:w="150" w:type="dxa"/>
              <w:bottom w:w="75" w:type="dxa"/>
              <w:right w:w="150" w:type="dxa"/>
            </w:tcMar>
            <w:hideMark/>
          </w:tcPr>
          <w:p w14:paraId="5C21695F" w14:textId="77777777" w:rsidR="008D47D3" w:rsidRPr="00422F7B" w:rsidRDefault="008D47D3">
            <w:pPr>
              <w:rPr>
                <w:rFonts w:ascii="inherit" w:hAnsi="inherit"/>
              </w:rPr>
            </w:pPr>
            <w:r>
              <w:rPr>
                <w:rFonts w:ascii="inherit" w:hAnsi="inherit"/>
              </w:rPr>
              <w:t>Mera omfattande inspektion i samband med tillståndsärende</w:t>
            </w:r>
          </w:p>
        </w:tc>
        <w:tc>
          <w:tcPr>
            <w:tcW w:w="1125" w:type="pct"/>
            <w:tcMar>
              <w:top w:w="75" w:type="dxa"/>
              <w:left w:w="150" w:type="dxa"/>
              <w:bottom w:w="75" w:type="dxa"/>
              <w:right w:w="150" w:type="dxa"/>
            </w:tcMar>
            <w:hideMark/>
          </w:tcPr>
          <w:p w14:paraId="08D44971" w14:textId="5ED5B209" w:rsidR="008D47D3" w:rsidRPr="00422F7B" w:rsidRDefault="00F12BDD">
            <w:pPr>
              <w:rPr>
                <w:rFonts w:ascii="inherit" w:hAnsi="inherit"/>
              </w:rPr>
            </w:pPr>
            <w:r>
              <w:rPr>
                <w:rFonts w:ascii="inherit" w:hAnsi="inherit"/>
              </w:rPr>
              <w:t>590</w:t>
            </w:r>
          </w:p>
        </w:tc>
        <w:tc>
          <w:tcPr>
            <w:tcW w:w="786" w:type="pct"/>
            <w:tcMar>
              <w:top w:w="74" w:type="dxa"/>
              <w:left w:w="147" w:type="dxa"/>
              <w:bottom w:w="74" w:type="dxa"/>
              <w:right w:w="147" w:type="dxa"/>
            </w:tcMar>
          </w:tcPr>
          <w:p w14:paraId="05006A7B" w14:textId="09AA941C" w:rsidR="008D47D3" w:rsidRPr="00422F7B" w:rsidRDefault="009E36F4">
            <w:pPr>
              <w:rPr>
                <w:rFonts w:ascii="inherit" w:hAnsi="inherit"/>
              </w:rPr>
            </w:pPr>
            <w:r>
              <w:rPr>
                <w:rFonts w:ascii="inherit" w:hAnsi="inherit"/>
              </w:rPr>
              <w:t>160</w:t>
            </w:r>
          </w:p>
        </w:tc>
        <w:tc>
          <w:tcPr>
            <w:tcW w:w="1436" w:type="pct"/>
            <w:tcMar>
              <w:top w:w="75" w:type="dxa"/>
              <w:left w:w="150" w:type="dxa"/>
              <w:bottom w:w="75" w:type="dxa"/>
              <w:right w:w="150" w:type="dxa"/>
            </w:tcMar>
            <w:hideMark/>
          </w:tcPr>
          <w:p w14:paraId="5312250E" w14:textId="1F25B794" w:rsidR="008D47D3" w:rsidRPr="00422F7B" w:rsidRDefault="008D47D3">
            <w:pPr>
              <w:rPr>
                <w:rFonts w:ascii="inherit" w:hAnsi="inherit"/>
              </w:rPr>
            </w:pPr>
            <w:r>
              <w:rPr>
                <w:rFonts w:ascii="inherit" w:hAnsi="inherit"/>
              </w:rPr>
              <w:t>Om strålar riktas mot en publik eller avslutas mot himlen.</w:t>
            </w:r>
          </w:p>
        </w:tc>
      </w:tr>
    </w:tbl>
    <w:p w14:paraId="5FE99A7A"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6. Övriga avgiftsbelagda offentligrättsliga prestationer</w:t>
      </w:r>
    </w:p>
    <w:p w14:paraId="1FD8228C" w14:textId="77777777" w:rsidR="000C3BD0" w:rsidRPr="00422F7B" w:rsidRDefault="000C3BD0" w:rsidP="000C3BD0">
      <w:pPr>
        <w:pStyle w:val="NormaaliWWW"/>
        <w:shd w:val="clear" w:color="auto" w:fill="FFFFFF"/>
        <w:spacing w:before="0" w:after="0"/>
        <w:textAlignment w:val="baseline"/>
        <w:rPr>
          <w:rFonts w:ascii="inherit" w:hAnsi="inherit"/>
          <w:color w:val="000000"/>
          <w:sz w:val="27"/>
          <w:szCs w:val="27"/>
        </w:rPr>
      </w:pPr>
      <w:r>
        <w:rPr>
          <w:rStyle w:val="Voimakas"/>
          <w:rFonts w:ascii="inherit" w:hAnsi="inherit"/>
          <w:color w:val="000000"/>
          <w:sz w:val="27"/>
          <w:bdr w:val="none" w:sz="0" w:space="0" w:color="auto" w:frame="1"/>
        </w:rPr>
        <w:t>Tabell 6.1.</w:t>
      </w:r>
      <w:r>
        <w:rPr>
          <w:rFonts w:ascii="inherit" w:hAnsi="inherit"/>
          <w:color w:val="000000"/>
          <w:sz w:val="27"/>
        </w:rPr>
        <w:t> Avgifter för övriga prestationer.</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91"/>
        <w:gridCol w:w="2124"/>
        <w:gridCol w:w="1633"/>
        <w:gridCol w:w="2672"/>
      </w:tblGrid>
      <w:tr w:rsidR="008D47D3" w:rsidRPr="00422F7B" w14:paraId="7A1ACA04" w14:textId="77777777" w:rsidTr="00272703">
        <w:tc>
          <w:tcPr>
            <w:tcW w:w="0" w:type="auto"/>
            <w:tcMar>
              <w:top w:w="75" w:type="dxa"/>
              <w:left w:w="150" w:type="dxa"/>
              <w:bottom w:w="75" w:type="dxa"/>
              <w:right w:w="150" w:type="dxa"/>
            </w:tcMar>
            <w:hideMark/>
          </w:tcPr>
          <w:p w14:paraId="41B221BC" w14:textId="77777777" w:rsidR="008D47D3" w:rsidRPr="00422F7B" w:rsidRDefault="008D47D3">
            <w:pPr>
              <w:rPr>
                <w:rFonts w:ascii="inherit" w:hAnsi="inherit"/>
                <w:sz w:val="24"/>
                <w:szCs w:val="24"/>
              </w:rPr>
            </w:pPr>
            <w:r>
              <w:rPr>
                <w:rStyle w:val="Voimakas"/>
                <w:rFonts w:ascii="inherit" w:hAnsi="inherit"/>
                <w:bdr w:val="none" w:sz="0" w:space="0" w:color="auto" w:frame="1"/>
              </w:rPr>
              <w:t>Prestation</w:t>
            </w:r>
          </w:p>
        </w:tc>
        <w:tc>
          <w:tcPr>
            <w:tcW w:w="1083" w:type="pct"/>
            <w:tcMar>
              <w:top w:w="75" w:type="dxa"/>
              <w:left w:w="150" w:type="dxa"/>
              <w:bottom w:w="75" w:type="dxa"/>
              <w:right w:w="150" w:type="dxa"/>
            </w:tcMar>
            <w:hideMark/>
          </w:tcPr>
          <w:p w14:paraId="69C51112" w14:textId="471BD9A9" w:rsidR="008D47D3" w:rsidRPr="00422F7B" w:rsidRDefault="00F12BDD">
            <w:pPr>
              <w:rPr>
                <w:rStyle w:val="Voimakas"/>
                <w:bdr w:val="none" w:sz="0" w:space="0" w:color="auto" w:frame="1"/>
              </w:rPr>
            </w:pPr>
            <w:r>
              <w:rPr>
                <w:rStyle w:val="Voimakas"/>
                <w:rFonts w:ascii="inherit" w:hAnsi="inherit"/>
                <w:bdr w:val="none" w:sz="0" w:space="0" w:color="auto" w:frame="1"/>
              </w:rPr>
              <w:t>Grundavgift, €</w:t>
            </w:r>
          </w:p>
        </w:tc>
        <w:tc>
          <w:tcPr>
            <w:tcW w:w="786" w:type="pct"/>
            <w:tcMar>
              <w:top w:w="74" w:type="dxa"/>
              <w:left w:w="147" w:type="dxa"/>
              <w:bottom w:w="74" w:type="dxa"/>
              <w:right w:w="147" w:type="dxa"/>
            </w:tcMar>
          </w:tcPr>
          <w:p w14:paraId="37FC9AAB" w14:textId="2D37EE62" w:rsidR="008D47D3" w:rsidRPr="00422F7B" w:rsidRDefault="00F12BDD">
            <w:pPr>
              <w:rPr>
                <w:rStyle w:val="Voimakas"/>
                <w:rFonts w:ascii="inherit" w:hAnsi="inherit"/>
                <w:bdr w:val="none" w:sz="0" w:space="0" w:color="auto" w:frame="1"/>
              </w:rPr>
            </w:pPr>
            <w:r>
              <w:rPr>
                <w:rStyle w:val="Voimakas"/>
                <w:rFonts w:ascii="inherit" w:hAnsi="inherit"/>
                <w:bdr w:val="none" w:sz="0" w:space="0" w:color="auto" w:frame="1"/>
              </w:rPr>
              <w:t>Tilläggsavgift, €/h</w:t>
            </w:r>
          </w:p>
        </w:tc>
        <w:tc>
          <w:tcPr>
            <w:tcW w:w="1359" w:type="pct"/>
            <w:tcMar>
              <w:top w:w="75" w:type="dxa"/>
              <w:left w:w="150" w:type="dxa"/>
              <w:bottom w:w="75" w:type="dxa"/>
              <w:right w:w="150" w:type="dxa"/>
            </w:tcMar>
            <w:hideMark/>
          </w:tcPr>
          <w:p w14:paraId="482CCF55" w14:textId="5A02C997" w:rsidR="008D47D3" w:rsidRPr="00422F7B" w:rsidRDefault="008D47D3">
            <w:pPr>
              <w:rPr>
                <w:rFonts w:ascii="inherit" w:hAnsi="inherit"/>
              </w:rPr>
            </w:pPr>
            <w:r>
              <w:rPr>
                <w:rStyle w:val="Voimakas"/>
                <w:rFonts w:ascii="inherit" w:hAnsi="inherit"/>
                <w:bdr w:val="none" w:sz="0" w:space="0" w:color="auto" w:frame="1"/>
              </w:rPr>
              <w:t>Anmärkning</w:t>
            </w:r>
          </w:p>
        </w:tc>
      </w:tr>
      <w:tr w:rsidR="008D47D3" w:rsidRPr="00422F7B" w14:paraId="616F170B" w14:textId="77777777" w:rsidTr="00272703">
        <w:tc>
          <w:tcPr>
            <w:tcW w:w="0" w:type="auto"/>
            <w:tcMar>
              <w:top w:w="75" w:type="dxa"/>
              <w:left w:w="150" w:type="dxa"/>
              <w:bottom w:w="75" w:type="dxa"/>
              <w:right w:w="150" w:type="dxa"/>
            </w:tcMar>
            <w:hideMark/>
          </w:tcPr>
          <w:p w14:paraId="70C4E8FF" w14:textId="77777777" w:rsidR="008D47D3" w:rsidRPr="00422F7B" w:rsidRDefault="008D47D3">
            <w:pPr>
              <w:rPr>
                <w:rFonts w:ascii="inherit" w:hAnsi="inherit"/>
              </w:rPr>
            </w:pPr>
            <w:r>
              <w:rPr>
                <w:rFonts w:ascii="inherit" w:hAnsi="inherit"/>
              </w:rPr>
              <w:t>Behandling av deklaration som avser transport av radioaktiva ämnen</w:t>
            </w:r>
          </w:p>
        </w:tc>
        <w:tc>
          <w:tcPr>
            <w:tcW w:w="1083" w:type="pct"/>
            <w:tcMar>
              <w:top w:w="75" w:type="dxa"/>
              <w:left w:w="150" w:type="dxa"/>
              <w:bottom w:w="75" w:type="dxa"/>
              <w:right w:w="150" w:type="dxa"/>
            </w:tcMar>
            <w:hideMark/>
          </w:tcPr>
          <w:p w14:paraId="4D2B6E0E" w14:textId="127A12CC" w:rsidR="008D47D3" w:rsidRPr="00422F7B" w:rsidRDefault="00F12BDD">
            <w:pPr>
              <w:rPr>
                <w:rFonts w:ascii="inherit" w:hAnsi="inherit"/>
              </w:rPr>
            </w:pPr>
            <w:r>
              <w:rPr>
                <w:rFonts w:ascii="inherit" w:hAnsi="inherit"/>
              </w:rPr>
              <w:t>100</w:t>
            </w:r>
          </w:p>
        </w:tc>
        <w:tc>
          <w:tcPr>
            <w:tcW w:w="786" w:type="pct"/>
            <w:tcMar>
              <w:top w:w="74" w:type="dxa"/>
              <w:left w:w="147" w:type="dxa"/>
              <w:bottom w:w="74" w:type="dxa"/>
              <w:right w:w="147" w:type="dxa"/>
            </w:tcMar>
          </w:tcPr>
          <w:p w14:paraId="082E2246" w14:textId="569CF3D5" w:rsidR="008D47D3" w:rsidRPr="00422F7B" w:rsidRDefault="00F12BDD">
            <w:pPr>
              <w:rPr>
                <w:rFonts w:ascii="inherit" w:hAnsi="inherit"/>
              </w:rPr>
            </w:pPr>
            <w:r>
              <w:rPr>
                <w:rFonts w:ascii="inherit" w:hAnsi="inherit"/>
              </w:rPr>
              <w:t>160</w:t>
            </w:r>
          </w:p>
        </w:tc>
        <w:tc>
          <w:tcPr>
            <w:tcW w:w="1359" w:type="pct"/>
            <w:tcMar>
              <w:top w:w="75" w:type="dxa"/>
              <w:left w:w="150" w:type="dxa"/>
              <w:bottom w:w="75" w:type="dxa"/>
              <w:right w:w="150" w:type="dxa"/>
            </w:tcMar>
            <w:hideMark/>
          </w:tcPr>
          <w:p w14:paraId="1629ECD3" w14:textId="6340ECE4" w:rsidR="008D47D3" w:rsidRPr="00422F7B" w:rsidRDefault="008D47D3">
            <w:pPr>
              <w:rPr>
                <w:rFonts w:ascii="inherit" w:hAnsi="inherit"/>
              </w:rPr>
            </w:pPr>
            <w:r>
              <w:rPr>
                <w:rFonts w:ascii="inherit" w:hAnsi="inherit"/>
              </w:rPr>
              <w:t>Rådets förordning (Euratom) nr 1493/93 av den 8 juni 1993 om transport av radioaktiva ämnen mellan medlemsstater, artikel 4</w:t>
            </w:r>
          </w:p>
        </w:tc>
      </w:tr>
      <w:tr w:rsidR="008D47D3" w:rsidRPr="00422F7B" w14:paraId="5C123B8C" w14:textId="77777777" w:rsidTr="00272703">
        <w:tc>
          <w:tcPr>
            <w:tcW w:w="0" w:type="auto"/>
            <w:tcMar>
              <w:top w:w="75" w:type="dxa"/>
              <w:left w:w="150" w:type="dxa"/>
              <w:bottom w:w="75" w:type="dxa"/>
              <w:right w:w="150" w:type="dxa"/>
            </w:tcMar>
            <w:hideMark/>
          </w:tcPr>
          <w:p w14:paraId="7DD3EA44" w14:textId="77777777" w:rsidR="008D47D3" w:rsidRPr="00422F7B" w:rsidRDefault="008D47D3">
            <w:pPr>
              <w:rPr>
                <w:rFonts w:ascii="inherit" w:hAnsi="inherit"/>
              </w:rPr>
            </w:pPr>
            <w:r>
              <w:rPr>
                <w:rFonts w:ascii="inherit" w:hAnsi="inherit"/>
              </w:rPr>
              <w:t>Övriga beslut, utlåtanden eller prestationer</w:t>
            </w:r>
          </w:p>
        </w:tc>
        <w:tc>
          <w:tcPr>
            <w:tcW w:w="1083" w:type="pct"/>
            <w:tcMar>
              <w:top w:w="75" w:type="dxa"/>
              <w:left w:w="150" w:type="dxa"/>
              <w:bottom w:w="75" w:type="dxa"/>
              <w:right w:w="150" w:type="dxa"/>
            </w:tcMar>
            <w:hideMark/>
          </w:tcPr>
          <w:p w14:paraId="45CF3AC6" w14:textId="702FCCE3" w:rsidR="008D47D3" w:rsidRPr="00422F7B" w:rsidRDefault="00F12BDD">
            <w:pPr>
              <w:rPr>
                <w:rFonts w:ascii="inherit" w:hAnsi="inherit"/>
              </w:rPr>
            </w:pPr>
            <w:r>
              <w:rPr>
                <w:rFonts w:ascii="inherit" w:hAnsi="inherit"/>
              </w:rPr>
              <w:t>240</w:t>
            </w:r>
          </w:p>
        </w:tc>
        <w:tc>
          <w:tcPr>
            <w:tcW w:w="786" w:type="pct"/>
            <w:tcMar>
              <w:top w:w="74" w:type="dxa"/>
              <w:left w:w="147" w:type="dxa"/>
              <w:bottom w:w="74" w:type="dxa"/>
              <w:right w:w="147" w:type="dxa"/>
            </w:tcMar>
          </w:tcPr>
          <w:p w14:paraId="3E4AE9BA" w14:textId="232BDF67" w:rsidR="008D47D3" w:rsidRPr="00422F7B" w:rsidRDefault="00F12BDD">
            <w:pPr>
              <w:rPr>
                <w:rFonts w:ascii="inherit" w:hAnsi="inherit"/>
              </w:rPr>
            </w:pPr>
            <w:r>
              <w:rPr>
                <w:rFonts w:ascii="inherit" w:hAnsi="inherit"/>
              </w:rPr>
              <w:t>160</w:t>
            </w:r>
          </w:p>
        </w:tc>
        <w:tc>
          <w:tcPr>
            <w:tcW w:w="1359" w:type="pct"/>
            <w:tcMar>
              <w:top w:w="75" w:type="dxa"/>
              <w:left w:w="150" w:type="dxa"/>
              <w:bottom w:w="75" w:type="dxa"/>
              <w:right w:w="150" w:type="dxa"/>
            </w:tcMar>
            <w:hideMark/>
          </w:tcPr>
          <w:p w14:paraId="3A0E9260" w14:textId="74D403D1" w:rsidR="008D47D3" w:rsidRPr="00422F7B" w:rsidRDefault="008D47D3">
            <w:pPr>
              <w:rPr>
                <w:rFonts w:ascii="inherit" w:hAnsi="inherit"/>
              </w:rPr>
            </w:pPr>
          </w:p>
        </w:tc>
      </w:tr>
    </w:tbl>
    <w:p w14:paraId="6799A667" w14:textId="093BCA5F" w:rsidR="00257975" w:rsidRPr="00422F7B" w:rsidRDefault="00257975" w:rsidP="00956538"/>
    <w:p w14:paraId="68436B6C" w14:textId="5BA88F6D" w:rsidR="00A24764" w:rsidRPr="00422F7B" w:rsidRDefault="00A24764" w:rsidP="00956538"/>
    <w:p w14:paraId="6C9338B0" w14:textId="66F2ADF3" w:rsidR="00A24764" w:rsidRPr="00422F7B" w:rsidRDefault="00A24764" w:rsidP="00956538"/>
    <w:p w14:paraId="0708206B" w14:textId="5DD053E1" w:rsidR="00A24764" w:rsidRPr="00422F7B" w:rsidRDefault="00A24764" w:rsidP="00956538"/>
    <w:p w14:paraId="4DBEAA2A" w14:textId="77777777" w:rsidR="00A24764" w:rsidRDefault="00A24764" w:rsidP="00A24764">
      <w:pPr>
        <w:pStyle w:val="py"/>
        <w:shd w:val="clear" w:color="auto" w:fill="FFFFFF"/>
        <w:textAlignment w:val="baseline"/>
        <w:rPr>
          <w:rFonts w:ascii="inherit" w:hAnsi="inherit"/>
          <w:color w:val="000000"/>
          <w:sz w:val="27"/>
          <w:szCs w:val="27"/>
        </w:rPr>
      </w:pPr>
    </w:p>
    <w:sectPr w:rsidR="00A24764" w:rsidSect="00EC5B69">
      <w:pgSz w:w="11906" w:h="16838" w:code="9"/>
      <w:pgMar w:top="1134" w:right="567" w:bottom="1701" w:left="1134" w:header="709"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9821" w16cex:dateUtc="2022-09-08T13:34:00Z"/>
  <w16cex:commentExtensible w16cex:durableId="26C49CE7" w16cex:dateUtc="2022-09-08T13:55:00Z"/>
  <w16cex:commentExtensible w16cex:durableId="26C58DAF" w16cex:dateUtc="2022-09-09T07:02:00Z"/>
  <w16cex:commentExtensible w16cex:durableId="268A3DF3" w16cex:dateUtc="2022-07-26T07:18:00Z"/>
  <w16cex:commentExtensible w16cex:durableId="26C49D6A" w16cex:dateUtc="2022-09-08T13:57:00Z"/>
  <w16cex:commentExtensible w16cex:durableId="26C594F5" w16cex:dateUtc="2022-09-09T07:33:00Z"/>
  <w16cex:commentExtensible w16cex:durableId="26939F32" w16cex:dateUtc="2022-08-02T10:03:00Z"/>
  <w16cex:commentExtensible w16cex:durableId="26C5940A" w16cex:dateUtc="2022-09-09T07:29:00Z"/>
  <w16cex:commentExtensible w16cex:durableId="2693A077" w16cex:dateUtc="2022-08-02T10:09:00Z"/>
  <w16cex:commentExtensible w16cex:durableId="26A8B16F" w16cex:dateUtc="2022-08-18T09:39:00Z"/>
  <w16cex:commentExtensible w16cex:durableId="269B9049" w16cex:dateUtc="2022-08-08T10:38:00Z"/>
  <w16cex:commentExtensible w16cex:durableId="26A4D9E2" w16cex:dateUtc="2022-08-15T11:42:00Z"/>
  <w16cex:commentExtensible w16cex:durableId="26A61CFF" w16cex:dateUtc="2022-08-16T10:41:00Z"/>
  <w16cex:commentExtensible w16cex:durableId="26A8B25E" w16cex:dateUtc="2022-08-18T09:43:00Z"/>
  <w16cex:commentExtensible w16cex:durableId="26A8B2C3" w16cex:dateUtc="2022-08-18T09:44:00Z"/>
  <w16cex:commentExtensible w16cex:durableId="26A8B337" w16cex:dateUtc="2022-08-18T09:46:00Z"/>
  <w16cex:commentExtensible w16cex:durableId="26B86D2F" w16cex:dateUtc="2022-08-30T08:04:00Z"/>
  <w16cex:commentExtensible w16cex:durableId="26A9F039" w16cex:dateUtc="2022-08-19T08:19:00Z"/>
  <w16cex:commentExtensible w16cex:durableId="26B86D23" w16cex:dateUtc="2022-08-30T08:04:00Z"/>
  <w16cex:commentExtensible w16cex:durableId="2693ABE5" w16cex:dateUtc="2022-08-02T10:57:00Z"/>
  <w16cex:commentExtensible w16cex:durableId="26A8B834" w16cex:dateUtc="2022-08-18T10:08:00Z"/>
  <w16cex:commentExtensible w16cex:durableId="26C49779" w16cex:dateUtc="2022-09-08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BE5D5" w16cid:durableId="26C49821"/>
  <w16cid:commentId w16cid:paraId="1BA63B81" w16cid:durableId="26C49CE7"/>
  <w16cid:commentId w16cid:paraId="341F2192" w16cid:durableId="26C58DAF"/>
  <w16cid:commentId w16cid:paraId="3119BBDE" w16cid:durableId="268A3DF3"/>
  <w16cid:commentId w16cid:paraId="36265BBB" w16cid:durableId="26C49D6A"/>
  <w16cid:commentId w16cid:paraId="1B67A0A1" w16cid:durableId="26C594F5"/>
  <w16cid:commentId w16cid:paraId="098CD05A" w16cid:durableId="26939F32"/>
  <w16cid:commentId w16cid:paraId="05EE4F91" w16cid:durableId="26C5940A"/>
  <w16cid:commentId w16cid:paraId="3F2DA5B6" w16cid:durableId="2693A077"/>
  <w16cid:commentId w16cid:paraId="665EFE3B" w16cid:durableId="26A8B16F"/>
  <w16cid:commentId w16cid:paraId="5B088112" w16cid:durableId="269B9049"/>
  <w16cid:commentId w16cid:paraId="0D17A9C3" w16cid:durableId="26A4D9E2"/>
  <w16cid:commentId w16cid:paraId="68F13C59" w16cid:durableId="26A61CFF"/>
  <w16cid:commentId w16cid:paraId="061419D7" w16cid:durableId="26A8B25E"/>
  <w16cid:commentId w16cid:paraId="4B19953D" w16cid:durableId="26A8B2C3"/>
  <w16cid:commentId w16cid:paraId="3E80348B" w16cid:durableId="26A8B337"/>
  <w16cid:commentId w16cid:paraId="4C81F528" w16cid:durableId="26B86D2F"/>
  <w16cid:commentId w16cid:paraId="763368E3" w16cid:durableId="26A9F039"/>
  <w16cid:commentId w16cid:paraId="07138144" w16cid:durableId="26B86D23"/>
  <w16cid:commentId w16cid:paraId="5E7F8813" w16cid:durableId="2693ABE5"/>
  <w16cid:commentId w16cid:paraId="6AB371F2" w16cid:durableId="26A8B834"/>
  <w16cid:commentId w16cid:paraId="20C64B5D" w16cid:durableId="26C497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03CA" w14:textId="77777777" w:rsidR="00743083" w:rsidRDefault="00743083" w:rsidP="00A754B2">
      <w:r>
        <w:separator/>
      </w:r>
    </w:p>
  </w:endnote>
  <w:endnote w:type="continuationSeparator" w:id="0">
    <w:p w14:paraId="3EC621F0" w14:textId="77777777" w:rsidR="00743083" w:rsidRDefault="00743083" w:rsidP="00A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CEF0" w14:textId="77777777" w:rsidR="00743083" w:rsidRDefault="00743083" w:rsidP="00A754B2">
      <w:r>
        <w:separator/>
      </w:r>
    </w:p>
  </w:footnote>
  <w:footnote w:type="continuationSeparator" w:id="0">
    <w:p w14:paraId="5EA1D812" w14:textId="77777777" w:rsidR="00743083" w:rsidRDefault="00743083" w:rsidP="00A75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02CA6C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BCE2DC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148074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7A2C8A2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D4143"/>
    <w:multiLevelType w:val="hybridMultilevel"/>
    <w:tmpl w:val="08202E62"/>
    <w:lvl w:ilvl="0" w:tplc="A38A505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56F29CD"/>
    <w:multiLevelType w:val="hybridMultilevel"/>
    <w:tmpl w:val="CDD28C1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07585C5F"/>
    <w:multiLevelType w:val="multilevel"/>
    <w:tmpl w:val="4014A3D0"/>
    <w:numStyleLink w:val="MerkittyluetteloSTUK"/>
  </w:abstractNum>
  <w:abstractNum w:abstractNumId="7" w15:restartNumberingAfterBreak="0">
    <w:nsid w:val="0B1A0977"/>
    <w:multiLevelType w:val="multilevel"/>
    <w:tmpl w:val="B664C2E2"/>
    <w:styleLink w:val="NumeroituluetteloSTUK"/>
    <w:lvl w:ilvl="0">
      <w:start w:val="1"/>
      <w:numFmt w:val="decimal"/>
      <w:pStyle w:val="Numeroituluettelo"/>
      <w:lvlText w:val="%1."/>
      <w:lvlJc w:val="left"/>
      <w:pPr>
        <w:tabs>
          <w:tab w:val="num" w:pos="1304"/>
        </w:tabs>
        <w:ind w:left="1701" w:hanging="397"/>
      </w:pPr>
      <w:rPr>
        <w:rFonts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8" w15:restartNumberingAfterBreak="0">
    <w:nsid w:val="0BE635A1"/>
    <w:multiLevelType w:val="multilevel"/>
    <w:tmpl w:val="4014A3D0"/>
    <w:styleLink w:val="MerkittyluetteloSTUK"/>
    <w:lvl w:ilvl="0">
      <w:start w:val="1"/>
      <w:numFmt w:val="bullet"/>
      <w:pStyle w:val="Merkittyluettelo"/>
      <w:lvlText w:val="•"/>
      <w:lvlJc w:val="left"/>
      <w:pPr>
        <w:tabs>
          <w:tab w:val="num" w:pos="1304"/>
        </w:tabs>
        <w:ind w:left="1701" w:hanging="397"/>
      </w:pPr>
      <w:rPr>
        <w:rFonts w:ascii="Cambria" w:hAnsi="Cambria" w:hint="default"/>
      </w:rPr>
    </w:lvl>
    <w:lvl w:ilvl="1">
      <w:start w:val="1"/>
      <w:numFmt w:val="bullet"/>
      <w:lvlText w:val="–"/>
      <w:lvlJc w:val="left"/>
      <w:pPr>
        <w:tabs>
          <w:tab w:val="num" w:pos="1701"/>
        </w:tabs>
        <w:ind w:left="2098" w:hanging="397"/>
      </w:pPr>
      <w:rPr>
        <w:rFonts w:ascii="Cambria" w:hAnsi="Cambria" w:hint="default"/>
      </w:rPr>
    </w:lvl>
    <w:lvl w:ilvl="2">
      <w:start w:val="1"/>
      <w:numFmt w:val="bullet"/>
      <w:lvlText w:val=""/>
      <w:lvlJc w:val="left"/>
      <w:pPr>
        <w:tabs>
          <w:tab w:val="num" w:pos="2098"/>
        </w:tabs>
        <w:ind w:left="2495" w:hanging="397"/>
      </w:pPr>
      <w:rPr>
        <w:rFonts w:ascii="Wingdings" w:hAnsi="Wingdings" w:hint="default"/>
      </w:rPr>
    </w:lvl>
    <w:lvl w:ilvl="3">
      <w:start w:val="1"/>
      <w:numFmt w:val="bullet"/>
      <w:lvlText w:val="•"/>
      <w:lvlJc w:val="left"/>
      <w:pPr>
        <w:tabs>
          <w:tab w:val="num" w:pos="2495"/>
        </w:tabs>
        <w:ind w:left="2892" w:hanging="397"/>
      </w:pPr>
      <w:rPr>
        <w:rFonts w:ascii="Cambria" w:hAnsi="Cambria" w:hint="default"/>
      </w:rPr>
    </w:lvl>
    <w:lvl w:ilvl="4">
      <w:start w:val="1"/>
      <w:numFmt w:val="bullet"/>
      <w:lvlText w:val="–"/>
      <w:lvlJc w:val="left"/>
      <w:pPr>
        <w:tabs>
          <w:tab w:val="num" w:pos="2892"/>
        </w:tabs>
        <w:ind w:left="3289" w:hanging="397"/>
      </w:pPr>
      <w:rPr>
        <w:rFonts w:ascii="Cambria" w:hAnsi="Cambria" w:hint="default"/>
      </w:rPr>
    </w:lvl>
    <w:lvl w:ilvl="5">
      <w:start w:val="1"/>
      <w:numFmt w:val="bullet"/>
      <w:lvlText w:val=""/>
      <w:lvlJc w:val="left"/>
      <w:pPr>
        <w:tabs>
          <w:tab w:val="num" w:pos="3289"/>
        </w:tabs>
        <w:ind w:left="3686" w:hanging="397"/>
      </w:pPr>
      <w:rPr>
        <w:rFonts w:ascii="Wingdings" w:hAnsi="Wingdings" w:hint="default"/>
      </w:rPr>
    </w:lvl>
    <w:lvl w:ilvl="6">
      <w:start w:val="1"/>
      <w:numFmt w:val="bullet"/>
      <w:lvlText w:val="•"/>
      <w:lvlJc w:val="left"/>
      <w:pPr>
        <w:tabs>
          <w:tab w:val="num" w:pos="3686"/>
        </w:tabs>
        <w:ind w:left="4083" w:hanging="397"/>
      </w:pPr>
      <w:rPr>
        <w:rFonts w:ascii="Cambria" w:hAnsi="Cambria" w:hint="default"/>
      </w:rPr>
    </w:lvl>
    <w:lvl w:ilvl="7">
      <w:start w:val="1"/>
      <w:numFmt w:val="bullet"/>
      <w:lvlText w:val="–"/>
      <w:lvlJc w:val="left"/>
      <w:pPr>
        <w:tabs>
          <w:tab w:val="num" w:pos="4083"/>
        </w:tabs>
        <w:ind w:left="4480" w:hanging="397"/>
      </w:pPr>
      <w:rPr>
        <w:rFonts w:ascii="Cambria" w:hAnsi="Cambria" w:hint="default"/>
      </w:rPr>
    </w:lvl>
    <w:lvl w:ilvl="8">
      <w:start w:val="1"/>
      <w:numFmt w:val="bullet"/>
      <w:lvlText w:val=""/>
      <w:lvlJc w:val="left"/>
      <w:pPr>
        <w:tabs>
          <w:tab w:val="num" w:pos="4480"/>
        </w:tabs>
        <w:ind w:left="4877" w:hanging="397"/>
      </w:pPr>
      <w:rPr>
        <w:rFonts w:ascii="Wingdings" w:hAnsi="Wingdings" w:hint="default"/>
      </w:rPr>
    </w:lvl>
  </w:abstractNum>
  <w:abstractNum w:abstractNumId="9" w15:restartNumberingAfterBreak="0">
    <w:nsid w:val="18996B71"/>
    <w:multiLevelType w:val="multilevel"/>
    <w:tmpl w:val="447CD28E"/>
    <w:styleLink w:val="Stuknumeroituluettelo2"/>
    <w:lvl w:ilvl="0">
      <w:start w:val="1"/>
      <w:numFmt w:val="decimal"/>
      <w:pStyle w:val="Numeroituluettelo2"/>
      <w:lvlText w:val="%1."/>
      <w:lvlJc w:val="left"/>
      <w:pPr>
        <w:ind w:left="1701" w:hanging="397"/>
      </w:pPr>
      <w:rPr>
        <w:rFonts w:hint="default"/>
      </w:rPr>
    </w:lvl>
    <w:lvl w:ilvl="1">
      <w:start w:val="1"/>
      <w:numFmt w:val="decimal"/>
      <w:suff w:val="space"/>
      <w:lvlText w:val="%1.%2."/>
      <w:lvlJc w:val="left"/>
      <w:pPr>
        <w:ind w:left="2098" w:hanging="397"/>
      </w:pPr>
      <w:rPr>
        <w:rFonts w:hint="default"/>
      </w:rPr>
    </w:lvl>
    <w:lvl w:ilvl="2">
      <w:start w:val="1"/>
      <w:numFmt w:val="decimal"/>
      <w:suff w:val="space"/>
      <w:lvlText w:val="%1.%2.%3."/>
      <w:lvlJc w:val="left"/>
      <w:pPr>
        <w:ind w:left="2495" w:hanging="397"/>
      </w:pPr>
      <w:rPr>
        <w:rFonts w:hint="default"/>
      </w:rPr>
    </w:lvl>
    <w:lvl w:ilvl="3">
      <w:start w:val="1"/>
      <w:numFmt w:val="decimal"/>
      <w:suff w:val="space"/>
      <w:lvlText w:val="%1.%2.%3.%4."/>
      <w:lvlJc w:val="left"/>
      <w:pPr>
        <w:ind w:left="2892" w:hanging="397"/>
      </w:pPr>
      <w:rPr>
        <w:rFonts w:hint="default"/>
      </w:rPr>
    </w:lvl>
    <w:lvl w:ilvl="4">
      <w:start w:val="1"/>
      <w:numFmt w:val="decimal"/>
      <w:suff w:val="space"/>
      <w:lvlText w:val="%1.%2.%3.%4.%5."/>
      <w:lvlJc w:val="left"/>
      <w:pPr>
        <w:ind w:left="3289" w:hanging="397"/>
      </w:pPr>
      <w:rPr>
        <w:rFonts w:hint="default"/>
      </w:rPr>
    </w:lvl>
    <w:lvl w:ilvl="5">
      <w:start w:val="1"/>
      <w:numFmt w:val="decimal"/>
      <w:suff w:val="space"/>
      <w:lvlText w:val="%1.%2.%3.%4.%5.%6."/>
      <w:lvlJc w:val="left"/>
      <w:pPr>
        <w:ind w:left="3686" w:hanging="397"/>
      </w:pPr>
      <w:rPr>
        <w:rFonts w:hint="default"/>
      </w:rPr>
    </w:lvl>
    <w:lvl w:ilvl="6">
      <w:start w:val="1"/>
      <w:numFmt w:val="decimal"/>
      <w:suff w:val="space"/>
      <w:lvlText w:val="%1.%2.%3.%4.%5.%6.%7."/>
      <w:lvlJc w:val="left"/>
      <w:pPr>
        <w:ind w:left="4083" w:hanging="397"/>
      </w:pPr>
      <w:rPr>
        <w:rFonts w:hint="default"/>
      </w:rPr>
    </w:lvl>
    <w:lvl w:ilvl="7">
      <w:start w:val="1"/>
      <w:numFmt w:val="decimal"/>
      <w:suff w:val="space"/>
      <w:lvlText w:val="%1.%2.%3.%4.%5.%6.%7.%8."/>
      <w:lvlJc w:val="left"/>
      <w:pPr>
        <w:ind w:left="4480" w:hanging="397"/>
      </w:pPr>
      <w:rPr>
        <w:rFonts w:hint="default"/>
      </w:rPr>
    </w:lvl>
    <w:lvl w:ilvl="8">
      <w:start w:val="1"/>
      <w:numFmt w:val="decimal"/>
      <w:suff w:val="space"/>
      <w:lvlText w:val="%1.%2.%3.%4.%5.%6.%7.%8.%9"/>
      <w:lvlJc w:val="left"/>
      <w:pPr>
        <w:ind w:left="4877" w:hanging="397"/>
      </w:pPr>
      <w:rPr>
        <w:rFonts w:hint="default"/>
      </w:rPr>
    </w:lvl>
  </w:abstractNum>
  <w:abstractNum w:abstractNumId="10" w15:restartNumberingAfterBreak="0">
    <w:nsid w:val="2CC70FD9"/>
    <w:multiLevelType w:val="multilevel"/>
    <w:tmpl w:val="BE8A5FD2"/>
    <w:numStyleLink w:val="Stukmerkittyluettelo2"/>
  </w:abstractNum>
  <w:abstractNum w:abstractNumId="11" w15:restartNumberingAfterBreak="0">
    <w:nsid w:val="48F516DB"/>
    <w:multiLevelType w:val="multilevel"/>
    <w:tmpl w:val="4014A3D0"/>
    <w:numStyleLink w:val="MerkittyluetteloSTUK"/>
  </w:abstractNum>
  <w:abstractNum w:abstractNumId="12" w15:restartNumberingAfterBreak="0">
    <w:nsid w:val="4AA84E5A"/>
    <w:multiLevelType w:val="multilevel"/>
    <w:tmpl w:val="BE8A5FD2"/>
    <w:styleLink w:val="Stukmerkittyluettelo2"/>
    <w:lvl w:ilvl="0">
      <w:start w:val="1"/>
      <w:numFmt w:val="bullet"/>
      <w:pStyle w:val="Merkittyluettelo2"/>
      <w:lvlText w:val="–"/>
      <w:lvlJc w:val="left"/>
      <w:pPr>
        <w:ind w:left="1701" w:hanging="397"/>
      </w:pPr>
      <w:rPr>
        <w:rFonts w:ascii="Cambria" w:hAnsi="Cambria" w:hint="default"/>
      </w:rPr>
    </w:lvl>
    <w:lvl w:ilvl="1">
      <w:start w:val="1"/>
      <w:numFmt w:val="bullet"/>
      <w:lvlText w:val="–"/>
      <w:lvlJc w:val="left"/>
      <w:pPr>
        <w:ind w:left="2098" w:hanging="397"/>
      </w:pPr>
      <w:rPr>
        <w:rFonts w:ascii="Cambria" w:hAnsi="Cambria" w:hint="default"/>
      </w:rPr>
    </w:lvl>
    <w:lvl w:ilvl="2">
      <w:start w:val="1"/>
      <w:numFmt w:val="bullet"/>
      <w:lvlText w:val="–"/>
      <w:lvlJc w:val="left"/>
      <w:pPr>
        <w:ind w:left="2495" w:hanging="397"/>
      </w:pPr>
      <w:rPr>
        <w:rFonts w:ascii="Cambria" w:hAnsi="Cambria" w:hint="default"/>
      </w:rPr>
    </w:lvl>
    <w:lvl w:ilvl="3">
      <w:start w:val="1"/>
      <w:numFmt w:val="bullet"/>
      <w:lvlText w:val="–"/>
      <w:lvlJc w:val="left"/>
      <w:pPr>
        <w:ind w:left="2892" w:hanging="397"/>
      </w:pPr>
      <w:rPr>
        <w:rFonts w:ascii="Cambria" w:hAnsi="Cambria" w:hint="default"/>
      </w:rPr>
    </w:lvl>
    <w:lvl w:ilvl="4">
      <w:start w:val="1"/>
      <w:numFmt w:val="bullet"/>
      <w:lvlText w:val="–"/>
      <w:lvlJc w:val="left"/>
      <w:pPr>
        <w:ind w:left="3289" w:hanging="397"/>
      </w:pPr>
      <w:rPr>
        <w:rFonts w:ascii="Cambria" w:hAnsi="Cambria" w:hint="default"/>
      </w:rPr>
    </w:lvl>
    <w:lvl w:ilvl="5">
      <w:start w:val="1"/>
      <w:numFmt w:val="bullet"/>
      <w:lvlText w:val="–"/>
      <w:lvlJc w:val="left"/>
      <w:pPr>
        <w:ind w:left="3686" w:hanging="397"/>
      </w:pPr>
      <w:rPr>
        <w:rFonts w:ascii="Cambria" w:hAnsi="Cambria" w:hint="default"/>
      </w:rPr>
    </w:lvl>
    <w:lvl w:ilvl="6">
      <w:start w:val="1"/>
      <w:numFmt w:val="bullet"/>
      <w:lvlText w:val="–"/>
      <w:lvlJc w:val="left"/>
      <w:pPr>
        <w:ind w:left="4083" w:hanging="397"/>
      </w:pPr>
      <w:rPr>
        <w:rFonts w:ascii="Cambria" w:hAnsi="Cambria" w:hint="default"/>
      </w:rPr>
    </w:lvl>
    <w:lvl w:ilvl="7">
      <w:start w:val="1"/>
      <w:numFmt w:val="bullet"/>
      <w:lvlText w:val="–"/>
      <w:lvlJc w:val="left"/>
      <w:pPr>
        <w:ind w:left="4480" w:hanging="397"/>
      </w:pPr>
      <w:rPr>
        <w:rFonts w:ascii="Cambria" w:hAnsi="Cambria" w:hint="default"/>
      </w:rPr>
    </w:lvl>
    <w:lvl w:ilvl="8">
      <w:start w:val="1"/>
      <w:numFmt w:val="bullet"/>
      <w:lvlText w:val="–"/>
      <w:lvlJc w:val="left"/>
      <w:pPr>
        <w:ind w:left="4877" w:hanging="397"/>
      </w:pPr>
      <w:rPr>
        <w:rFonts w:ascii="Cambria" w:hAnsi="Cambria" w:hint="default"/>
      </w:rPr>
    </w:lvl>
  </w:abstractNum>
  <w:abstractNum w:abstractNumId="13" w15:restartNumberingAfterBreak="0">
    <w:nsid w:val="4FB34551"/>
    <w:multiLevelType w:val="multilevel"/>
    <w:tmpl w:val="447CD28E"/>
    <w:numStyleLink w:val="Stuknumeroituluettelo2"/>
  </w:abstractNum>
  <w:abstractNum w:abstractNumId="14" w15:restartNumberingAfterBreak="0">
    <w:nsid w:val="62A22655"/>
    <w:multiLevelType w:val="multilevel"/>
    <w:tmpl w:val="BE8A5FD2"/>
    <w:numStyleLink w:val="Stukmerkittyluettelo2"/>
  </w:abstractNum>
  <w:abstractNum w:abstractNumId="15" w15:restartNumberingAfterBreak="0">
    <w:nsid w:val="75D405BE"/>
    <w:multiLevelType w:val="multilevel"/>
    <w:tmpl w:val="447CD28E"/>
    <w:numStyleLink w:val="Stuknumeroituluettelo2"/>
  </w:abstractNum>
  <w:abstractNum w:abstractNumId="16" w15:restartNumberingAfterBreak="0">
    <w:nsid w:val="7BD854F4"/>
    <w:multiLevelType w:val="multilevel"/>
    <w:tmpl w:val="B664C2E2"/>
    <w:numStyleLink w:val="NumeroituluetteloSTUK"/>
  </w:abstractNum>
  <w:num w:numId="1">
    <w:abstractNumId w:val="3"/>
  </w:num>
  <w:num w:numId="2">
    <w:abstractNumId w:val="8"/>
  </w:num>
  <w:num w:numId="3">
    <w:abstractNumId w:val="2"/>
  </w:num>
  <w:num w:numId="4">
    <w:abstractNumId w:val="7"/>
  </w:num>
  <w:num w:numId="5">
    <w:abstractNumId w:val="8"/>
  </w:num>
  <w:num w:numId="6">
    <w:abstractNumId w:val="7"/>
  </w:num>
  <w:num w:numId="7">
    <w:abstractNumId w:val="6"/>
  </w:num>
  <w:num w:numId="8">
    <w:abstractNumId w:val="1"/>
  </w:num>
  <w:num w:numId="9">
    <w:abstractNumId w:val="10"/>
  </w:num>
  <w:num w:numId="10">
    <w:abstractNumId w:val="16"/>
  </w:num>
  <w:num w:numId="11">
    <w:abstractNumId w:val="0"/>
  </w:num>
  <w:num w:numId="12">
    <w:abstractNumId w:val="15"/>
  </w:num>
  <w:num w:numId="13">
    <w:abstractNumId w:val="8"/>
  </w:num>
  <w:num w:numId="14">
    <w:abstractNumId w:val="7"/>
  </w:num>
  <w:num w:numId="15">
    <w:abstractNumId w:val="12"/>
  </w:num>
  <w:num w:numId="16">
    <w:abstractNumId w:val="9"/>
  </w:num>
  <w:num w:numId="17">
    <w:abstractNumId w:val="6"/>
  </w:num>
  <w:num w:numId="18">
    <w:abstractNumId w:val="10"/>
  </w:num>
  <w:num w:numId="19">
    <w:abstractNumId w:val="16"/>
  </w:num>
  <w:num w:numId="20">
    <w:abstractNumId w:val="15"/>
  </w:num>
  <w:num w:numId="21">
    <w:abstractNumId w:val="8"/>
  </w:num>
  <w:num w:numId="22">
    <w:abstractNumId w:val="7"/>
  </w:num>
  <w:num w:numId="23">
    <w:abstractNumId w:val="12"/>
  </w:num>
  <w:num w:numId="24">
    <w:abstractNumId w:val="9"/>
  </w:num>
  <w:num w:numId="25">
    <w:abstractNumId w:val="11"/>
  </w:num>
  <w:num w:numId="26">
    <w:abstractNumId w:val="14"/>
  </w:num>
  <w:num w:numId="27">
    <w:abstractNumId w:val="7"/>
  </w:num>
  <w:num w:numId="28">
    <w:abstractNumId w:val="13"/>
  </w:num>
  <w:num w:numId="29">
    <w:abstractNumId w:val="8"/>
  </w:num>
  <w:num w:numId="30">
    <w:abstractNumId w:val="7"/>
  </w:num>
  <w:num w:numId="31">
    <w:abstractNumId w:val="12"/>
  </w:num>
  <w:num w:numId="32">
    <w:abstractNumId w:val="9"/>
  </w:num>
  <w:num w:numId="33">
    <w:abstractNumId w:val="8"/>
  </w:num>
  <w:num w:numId="34">
    <w:abstractNumId w:val="12"/>
  </w:num>
  <w:num w:numId="35">
    <w:abstractNumId w:val="7"/>
  </w:num>
  <w:num w:numId="36">
    <w:abstractNumId w:val="9"/>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D0"/>
    <w:rsid w:val="000258A0"/>
    <w:rsid w:val="00042AEC"/>
    <w:rsid w:val="00090E2B"/>
    <w:rsid w:val="000A6CEF"/>
    <w:rsid w:val="000C3BD0"/>
    <w:rsid w:val="000D3062"/>
    <w:rsid w:val="000E54B8"/>
    <w:rsid w:val="000F3E12"/>
    <w:rsid w:val="00103AB7"/>
    <w:rsid w:val="00125112"/>
    <w:rsid w:val="00133678"/>
    <w:rsid w:val="00134B56"/>
    <w:rsid w:val="001D6B14"/>
    <w:rsid w:val="001F5F4C"/>
    <w:rsid w:val="00212611"/>
    <w:rsid w:val="00216AEE"/>
    <w:rsid w:val="00237B70"/>
    <w:rsid w:val="00257975"/>
    <w:rsid w:val="00272703"/>
    <w:rsid w:val="00272AA2"/>
    <w:rsid w:val="002C6FC7"/>
    <w:rsid w:val="002F6B11"/>
    <w:rsid w:val="00317105"/>
    <w:rsid w:val="00364FFB"/>
    <w:rsid w:val="003F20E4"/>
    <w:rsid w:val="00404BB4"/>
    <w:rsid w:val="00422F7B"/>
    <w:rsid w:val="004B1C34"/>
    <w:rsid w:val="004B25F4"/>
    <w:rsid w:val="004D08F8"/>
    <w:rsid w:val="005501A4"/>
    <w:rsid w:val="00604A2A"/>
    <w:rsid w:val="00607D8F"/>
    <w:rsid w:val="00660640"/>
    <w:rsid w:val="006626BA"/>
    <w:rsid w:val="0067511A"/>
    <w:rsid w:val="00684B31"/>
    <w:rsid w:val="006954FF"/>
    <w:rsid w:val="006C0552"/>
    <w:rsid w:val="00741B3A"/>
    <w:rsid w:val="00743083"/>
    <w:rsid w:val="00761BCC"/>
    <w:rsid w:val="00810A25"/>
    <w:rsid w:val="00831040"/>
    <w:rsid w:val="00845342"/>
    <w:rsid w:val="0086782E"/>
    <w:rsid w:val="008828B0"/>
    <w:rsid w:val="008C3AED"/>
    <w:rsid w:val="008D47D3"/>
    <w:rsid w:val="008D4D8D"/>
    <w:rsid w:val="00914D13"/>
    <w:rsid w:val="00937213"/>
    <w:rsid w:val="00956538"/>
    <w:rsid w:val="009603C2"/>
    <w:rsid w:val="0096471A"/>
    <w:rsid w:val="00973D94"/>
    <w:rsid w:val="00996E11"/>
    <w:rsid w:val="009E36F4"/>
    <w:rsid w:val="00A24764"/>
    <w:rsid w:val="00A555DF"/>
    <w:rsid w:val="00A65B57"/>
    <w:rsid w:val="00A754B2"/>
    <w:rsid w:val="00A84165"/>
    <w:rsid w:val="00AE495A"/>
    <w:rsid w:val="00B16234"/>
    <w:rsid w:val="00B16AE5"/>
    <w:rsid w:val="00B36C0E"/>
    <w:rsid w:val="00B414D5"/>
    <w:rsid w:val="00B60094"/>
    <w:rsid w:val="00B61ACB"/>
    <w:rsid w:val="00B769C3"/>
    <w:rsid w:val="00BD1B0A"/>
    <w:rsid w:val="00BF15F2"/>
    <w:rsid w:val="00C404C6"/>
    <w:rsid w:val="00C519CD"/>
    <w:rsid w:val="00C53172"/>
    <w:rsid w:val="00CB651B"/>
    <w:rsid w:val="00D25A62"/>
    <w:rsid w:val="00D42924"/>
    <w:rsid w:val="00D5153E"/>
    <w:rsid w:val="00E223C1"/>
    <w:rsid w:val="00E3412F"/>
    <w:rsid w:val="00E52E23"/>
    <w:rsid w:val="00EC5B69"/>
    <w:rsid w:val="00ED0622"/>
    <w:rsid w:val="00ED6B13"/>
    <w:rsid w:val="00EF3C53"/>
    <w:rsid w:val="00F11E8C"/>
    <w:rsid w:val="00F12BDD"/>
    <w:rsid w:val="00F4664A"/>
    <w:rsid w:val="00F613B6"/>
    <w:rsid w:val="00F77BCD"/>
    <w:rsid w:val="00FC0C67"/>
    <w:rsid w:val="00FC1525"/>
    <w:rsid w:val="00FD2D69"/>
    <w:rsid w:val="00FE617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0222"/>
  <w15:chartTrackingRefBased/>
  <w15:docId w15:val="{6EB9D049-251E-4BA2-B3AD-AA4752A6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754B2"/>
    <w:pPr>
      <w:spacing w:after="0" w:line="240" w:lineRule="auto"/>
    </w:pPr>
  </w:style>
  <w:style w:type="paragraph" w:styleId="Otsikko1">
    <w:name w:val="heading 1"/>
    <w:basedOn w:val="Normaali"/>
    <w:next w:val="Leipteksti"/>
    <w:link w:val="Otsikko1Char"/>
    <w:uiPriority w:val="9"/>
    <w:qFormat/>
    <w:rsid w:val="00F4664A"/>
    <w:pPr>
      <w:keepNext/>
      <w:keepLines/>
      <w:suppressAutoHyphens/>
      <w:spacing w:after="22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unhideWhenUsed/>
    <w:qFormat/>
    <w:rsid w:val="00FC1525"/>
    <w:pPr>
      <w:keepNext/>
      <w:keepLines/>
      <w:suppressAutoHyphens/>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unhideWhenUsed/>
    <w:qFormat/>
    <w:rsid w:val="00F4664A"/>
    <w:pPr>
      <w:keepNext/>
      <w:keepLines/>
      <w:suppressAutoHyphens/>
      <w:spacing w:after="22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semiHidden/>
    <w:rsid w:val="00FC1525"/>
    <w:pPr>
      <w:keepNext/>
      <w:keepLines/>
      <w:suppressAutoHyphens/>
      <w:spacing w:after="22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semiHidden/>
    <w:rsid w:val="00FC1525"/>
    <w:pPr>
      <w:keepNext/>
      <w:keepLines/>
      <w:suppressAutoHyphens/>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semiHidden/>
    <w:rsid w:val="00FC1525"/>
    <w:pPr>
      <w:keepNext/>
      <w:keepLines/>
      <w:suppressAutoHyphens/>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semiHidden/>
    <w:rsid w:val="00FC1525"/>
    <w:pPr>
      <w:keepNext/>
      <w:keepLines/>
      <w:suppressAutoHyphens/>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semiHidden/>
    <w:rsid w:val="00FC1525"/>
    <w:pPr>
      <w:keepNext/>
      <w:keepLines/>
      <w:suppressAutoHyphens/>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semiHidden/>
    <w:rsid w:val="00FC1525"/>
    <w:pPr>
      <w:keepNext/>
      <w:keepLines/>
      <w:suppressAutoHyphens/>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1525"/>
    <w:rPr>
      <w:rFonts w:ascii="Tahoma" w:hAnsi="Tahoma" w:cs="Tahoma"/>
      <w:sz w:val="16"/>
      <w:szCs w:val="16"/>
    </w:rPr>
  </w:style>
  <w:style w:type="character" w:customStyle="1" w:styleId="SelitetekstiChar">
    <w:name w:val="Seliteteksti Char"/>
    <w:basedOn w:val="Kappaleenoletusfontti"/>
    <w:link w:val="Seliteteksti"/>
    <w:uiPriority w:val="99"/>
    <w:semiHidden/>
    <w:rsid w:val="00B16234"/>
    <w:rPr>
      <w:rFonts w:ascii="Tahoma" w:hAnsi="Tahoma" w:cs="Tahoma"/>
      <w:sz w:val="16"/>
      <w:szCs w:val="16"/>
    </w:rPr>
  </w:style>
  <w:style w:type="paragraph" w:styleId="Leipteksti">
    <w:name w:val="Body Text"/>
    <w:basedOn w:val="Normaali"/>
    <w:link w:val="LeiptekstiChar"/>
    <w:qFormat/>
    <w:rsid w:val="00FC1525"/>
    <w:pPr>
      <w:spacing w:after="220"/>
      <w:ind w:left="1304"/>
    </w:pPr>
  </w:style>
  <w:style w:type="character" w:customStyle="1" w:styleId="LeiptekstiChar">
    <w:name w:val="Leipäteksti Char"/>
    <w:basedOn w:val="Kappaleenoletusfontti"/>
    <w:link w:val="Leipteksti"/>
    <w:rsid w:val="00B16234"/>
    <w:rPr>
      <w:rFonts w:cstheme="minorHAnsi"/>
    </w:rPr>
  </w:style>
  <w:style w:type="paragraph" w:styleId="Alatunniste">
    <w:name w:val="footer"/>
    <w:basedOn w:val="Normaali"/>
    <w:link w:val="AlatunnisteChar"/>
    <w:uiPriority w:val="99"/>
    <w:rsid w:val="00FC1525"/>
    <w:pPr>
      <w:tabs>
        <w:tab w:val="center" w:pos="4513"/>
        <w:tab w:val="right" w:pos="9026"/>
      </w:tabs>
      <w:suppressAutoHyphens/>
    </w:pPr>
    <w:rPr>
      <w:rFonts w:ascii="Calibri" w:hAnsi="Calibri"/>
      <w:sz w:val="16"/>
    </w:rPr>
  </w:style>
  <w:style w:type="character" w:customStyle="1" w:styleId="AlatunnisteChar">
    <w:name w:val="Alatunniste Char"/>
    <w:basedOn w:val="Kappaleenoletusfontti"/>
    <w:link w:val="Alatunniste"/>
    <w:uiPriority w:val="99"/>
    <w:rsid w:val="00317105"/>
    <w:rPr>
      <w:rFonts w:ascii="Calibri" w:hAnsi="Calibri" w:cstheme="minorHAnsi"/>
      <w:sz w:val="16"/>
    </w:rPr>
  </w:style>
  <w:style w:type="paragraph" w:styleId="Yltunniste">
    <w:name w:val="header"/>
    <w:basedOn w:val="Normaali"/>
    <w:link w:val="YltunnisteChar"/>
    <w:uiPriority w:val="99"/>
    <w:rsid w:val="00FC1525"/>
    <w:pPr>
      <w:tabs>
        <w:tab w:val="left" w:pos="5216"/>
        <w:tab w:val="left" w:pos="7825"/>
        <w:tab w:val="left" w:pos="9129"/>
      </w:tabs>
      <w:suppressAutoHyphens/>
    </w:pPr>
  </w:style>
  <w:style w:type="character" w:customStyle="1" w:styleId="YltunnisteChar">
    <w:name w:val="Ylätunniste Char"/>
    <w:basedOn w:val="Kappaleenoletusfontti"/>
    <w:link w:val="Yltunniste"/>
    <w:uiPriority w:val="99"/>
    <w:rsid w:val="00B16234"/>
    <w:rPr>
      <w:rFonts w:cstheme="minorHAnsi"/>
    </w:rPr>
  </w:style>
  <w:style w:type="character" w:customStyle="1" w:styleId="Otsikko1Char">
    <w:name w:val="Otsikko 1 Char"/>
    <w:basedOn w:val="Kappaleenoletusfontti"/>
    <w:link w:val="Otsikko1"/>
    <w:uiPriority w:val="9"/>
    <w:rsid w:val="00F4664A"/>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B1623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F4664A"/>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B16234"/>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semiHidden/>
    <w:rsid w:val="00B16234"/>
    <w:rPr>
      <w:rFonts w:asciiTheme="majorHAnsi" w:eastAsiaTheme="majorEastAsia" w:hAnsiTheme="majorHAnsi" w:cstheme="majorBidi"/>
    </w:rPr>
  </w:style>
  <w:style w:type="character" w:customStyle="1" w:styleId="Otsikko6Char">
    <w:name w:val="Otsikko 6 Char"/>
    <w:basedOn w:val="Kappaleenoletusfontti"/>
    <w:link w:val="Otsikko6"/>
    <w:uiPriority w:val="9"/>
    <w:semiHidden/>
    <w:rsid w:val="00B16234"/>
    <w:rPr>
      <w:rFonts w:asciiTheme="majorHAnsi" w:eastAsiaTheme="majorEastAsia" w:hAnsiTheme="majorHAnsi" w:cstheme="majorBidi"/>
      <w:iCs/>
    </w:rPr>
  </w:style>
  <w:style w:type="character" w:customStyle="1" w:styleId="Otsikko7Char">
    <w:name w:val="Otsikko 7 Char"/>
    <w:basedOn w:val="Kappaleenoletusfontti"/>
    <w:link w:val="Otsikko7"/>
    <w:uiPriority w:val="9"/>
    <w:semiHidden/>
    <w:rsid w:val="00B16234"/>
    <w:rPr>
      <w:rFonts w:asciiTheme="majorHAnsi" w:eastAsiaTheme="majorEastAsia" w:hAnsiTheme="majorHAnsi" w:cstheme="majorBidi"/>
      <w:iCs/>
    </w:rPr>
  </w:style>
  <w:style w:type="character" w:customStyle="1" w:styleId="Otsikko8Char">
    <w:name w:val="Otsikko 8 Char"/>
    <w:basedOn w:val="Kappaleenoletusfontti"/>
    <w:link w:val="Otsikko8"/>
    <w:uiPriority w:val="9"/>
    <w:semiHidden/>
    <w:rsid w:val="00B16234"/>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semiHidden/>
    <w:rsid w:val="00B16234"/>
    <w:rPr>
      <w:rFonts w:asciiTheme="majorHAnsi" w:eastAsiaTheme="majorEastAsia" w:hAnsiTheme="majorHAnsi" w:cstheme="majorBidi"/>
      <w:iCs/>
      <w:szCs w:val="20"/>
    </w:rPr>
  </w:style>
  <w:style w:type="paragraph" w:styleId="Merkittyluettelo">
    <w:name w:val="List Bullet"/>
    <w:basedOn w:val="Normaali"/>
    <w:uiPriority w:val="99"/>
    <w:qFormat/>
    <w:rsid w:val="00257975"/>
    <w:pPr>
      <w:numPr>
        <w:numId w:val="33"/>
      </w:numPr>
      <w:spacing w:after="220"/>
      <w:contextualSpacing/>
    </w:pPr>
  </w:style>
  <w:style w:type="paragraph" w:styleId="Numeroituluettelo">
    <w:name w:val="List Number"/>
    <w:basedOn w:val="Normaali"/>
    <w:uiPriority w:val="99"/>
    <w:qFormat/>
    <w:rsid w:val="00257975"/>
    <w:pPr>
      <w:numPr>
        <w:numId w:val="35"/>
      </w:numPr>
      <w:spacing w:after="220"/>
      <w:contextualSpacing/>
    </w:pPr>
  </w:style>
  <w:style w:type="numbering" w:customStyle="1" w:styleId="MerkittyluetteloSTUK">
    <w:name w:val="Merkitty luettelo STUK"/>
    <w:uiPriority w:val="99"/>
    <w:rsid w:val="00257975"/>
    <w:pPr>
      <w:numPr>
        <w:numId w:val="2"/>
      </w:numPr>
    </w:pPr>
  </w:style>
  <w:style w:type="paragraph" w:styleId="Eivli">
    <w:name w:val="No Spacing"/>
    <w:uiPriority w:val="1"/>
    <w:qFormat/>
    <w:rsid w:val="00FC1525"/>
    <w:pPr>
      <w:spacing w:after="0" w:line="240" w:lineRule="auto"/>
      <w:ind w:left="1304"/>
      <w:jc w:val="both"/>
    </w:pPr>
  </w:style>
  <w:style w:type="numbering" w:customStyle="1" w:styleId="NumeroituluetteloSTUK">
    <w:name w:val="Numeroitu luettelo STUK"/>
    <w:uiPriority w:val="99"/>
    <w:rsid w:val="00257975"/>
    <w:pPr>
      <w:numPr>
        <w:numId w:val="4"/>
      </w:numPr>
    </w:pPr>
  </w:style>
  <w:style w:type="character" w:styleId="Paikkamerkkiteksti">
    <w:name w:val="Placeholder Text"/>
    <w:basedOn w:val="Kappaleenoletusfontti"/>
    <w:uiPriority w:val="99"/>
    <w:semiHidden/>
    <w:rsid w:val="00FC1525"/>
    <w:rPr>
      <w:color w:val="auto"/>
    </w:rPr>
  </w:style>
  <w:style w:type="table" w:customStyle="1" w:styleId="reunaton">
    <w:name w:val="reunaton"/>
    <w:basedOn w:val="Normaalitaulukko"/>
    <w:uiPriority w:val="99"/>
    <w:qFormat/>
    <w:rsid w:val="00FC1525"/>
    <w:pPr>
      <w:spacing w:after="0" w:line="240" w:lineRule="auto"/>
    </w:pPr>
    <w:tblPr/>
  </w:style>
  <w:style w:type="table" w:styleId="TaulukkoRuudukko">
    <w:name w:val="Table Grid"/>
    <w:basedOn w:val="Normaalitaulukko"/>
    <w:uiPriority w:val="59"/>
    <w:rsid w:val="00FC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tsikko">
    <w:name w:val="Title"/>
    <w:basedOn w:val="Otsikko1"/>
    <w:next w:val="Leipteksti"/>
    <w:link w:val="OtsikkoChar"/>
    <w:uiPriority w:val="10"/>
    <w:qFormat/>
    <w:rsid w:val="00F4664A"/>
    <w:pPr>
      <w:contextualSpacing/>
    </w:pPr>
    <w:rPr>
      <w:rFonts w:ascii="Arial Black" w:hAnsi="Arial Black" w:cstheme="majorHAnsi"/>
      <w:kern w:val="28"/>
      <w:szCs w:val="52"/>
    </w:rPr>
  </w:style>
  <w:style w:type="character" w:customStyle="1" w:styleId="OtsikkoChar">
    <w:name w:val="Otsikko Char"/>
    <w:basedOn w:val="Kappaleenoletusfontti"/>
    <w:link w:val="Otsikko"/>
    <w:uiPriority w:val="10"/>
    <w:rsid w:val="00F4664A"/>
    <w:rPr>
      <w:rFonts w:ascii="Arial Black" w:eastAsiaTheme="majorEastAsia" w:hAnsi="Arial Black" w:cstheme="majorHAnsi"/>
      <w:b/>
      <w:bCs/>
      <w:kern w:val="28"/>
      <w:sz w:val="24"/>
      <w:szCs w:val="52"/>
    </w:rPr>
  </w:style>
  <w:style w:type="paragraph" w:styleId="Lhdeluettelonotsikko">
    <w:name w:val="toa heading"/>
    <w:basedOn w:val="Normaali"/>
    <w:next w:val="Normaali"/>
    <w:uiPriority w:val="99"/>
    <w:semiHidden/>
    <w:rsid w:val="00FC1525"/>
    <w:pPr>
      <w:spacing w:before="120"/>
    </w:pPr>
    <w:rPr>
      <w:rFonts w:asciiTheme="majorHAnsi" w:eastAsiaTheme="majorEastAsia" w:hAnsiTheme="majorHAnsi" w:cstheme="majorBidi"/>
      <w:b/>
      <w:bCs/>
      <w:sz w:val="24"/>
      <w:szCs w:val="24"/>
    </w:rPr>
  </w:style>
  <w:style w:type="paragraph" w:styleId="Sisluet1">
    <w:name w:val="toc 1"/>
    <w:basedOn w:val="Normaali"/>
    <w:next w:val="Normaali"/>
    <w:autoRedefine/>
    <w:uiPriority w:val="39"/>
    <w:semiHidden/>
    <w:rsid w:val="00FC1525"/>
    <w:pPr>
      <w:spacing w:after="100"/>
    </w:pPr>
  </w:style>
  <w:style w:type="paragraph" w:styleId="Sisllysluettelonotsikko">
    <w:name w:val="TOC Heading"/>
    <w:basedOn w:val="Otsikko1"/>
    <w:next w:val="Normaali"/>
    <w:uiPriority w:val="39"/>
    <w:semiHidden/>
    <w:unhideWhenUsed/>
    <w:qFormat/>
    <w:rsid w:val="00FC1525"/>
    <w:pPr>
      <w:spacing w:before="480" w:after="0"/>
      <w:outlineLvl w:val="9"/>
    </w:pPr>
  </w:style>
  <w:style w:type="paragraph" w:styleId="Merkittyluettelo2">
    <w:name w:val="List Bullet 2"/>
    <w:basedOn w:val="Normaali"/>
    <w:uiPriority w:val="99"/>
    <w:qFormat/>
    <w:rsid w:val="00257975"/>
    <w:pPr>
      <w:numPr>
        <w:numId w:val="34"/>
      </w:numPr>
      <w:spacing w:after="220"/>
      <w:contextualSpacing/>
    </w:pPr>
  </w:style>
  <w:style w:type="paragraph" w:styleId="Numeroituluettelo2">
    <w:name w:val="List Number 2"/>
    <w:basedOn w:val="Normaali"/>
    <w:uiPriority w:val="99"/>
    <w:unhideWhenUsed/>
    <w:qFormat/>
    <w:rsid w:val="00257975"/>
    <w:pPr>
      <w:numPr>
        <w:numId w:val="32"/>
      </w:numPr>
      <w:spacing w:after="220"/>
      <w:contextualSpacing/>
    </w:pPr>
  </w:style>
  <w:style w:type="numbering" w:customStyle="1" w:styleId="Stukmerkittyluettelo2">
    <w:name w:val="Stuk merkitty luettelo 2"/>
    <w:uiPriority w:val="99"/>
    <w:rsid w:val="00257975"/>
    <w:pPr>
      <w:numPr>
        <w:numId w:val="15"/>
      </w:numPr>
    </w:pPr>
  </w:style>
  <w:style w:type="numbering" w:customStyle="1" w:styleId="Stuknumeroituluettelo2">
    <w:name w:val="Stuk numeroitu luettelo 2"/>
    <w:uiPriority w:val="99"/>
    <w:rsid w:val="00257975"/>
    <w:pPr>
      <w:numPr>
        <w:numId w:val="16"/>
      </w:numPr>
    </w:pPr>
  </w:style>
  <w:style w:type="character" w:styleId="Hyperlinkki">
    <w:name w:val="Hyperlink"/>
    <w:basedOn w:val="Kappaleenoletusfontti"/>
    <w:uiPriority w:val="99"/>
    <w:unhideWhenUsed/>
    <w:rsid w:val="000C3BD0"/>
    <w:rPr>
      <w:color w:val="50C2BF" w:themeColor="hyperlink"/>
      <w:u w:val="single"/>
    </w:rPr>
  </w:style>
  <w:style w:type="character" w:customStyle="1" w:styleId="UnresolvedMention">
    <w:name w:val="Unresolved Mention"/>
    <w:basedOn w:val="Kappaleenoletusfontti"/>
    <w:uiPriority w:val="99"/>
    <w:semiHidden/>
    <w:unhideWhenUsed/>
    <w:rsid w:val="000C3BD0"/>
    <w:rPr>
      <w:color w:val="605E5C"/>
      <w:shd w:val="clear" w:color="auto" w:fill="E1DFDD"/>
    </w:rPr>
  </w:style>
  <w:style w:type="paragraph" w:styleId="NormaaliWWW">
    <w:name w:val="Normal (Web)"/>
    <w:basedOn w:val="Normaali"/>
    <w:uiPriority w:val="99"/>
    <w:semiHidden/>
    <w:unhideWhenUsed/>
    <w:rsid w:val="000C3BD0"/>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py">
    <w:name w:val="py"/>
    <w:basedOn w:val="Normaali"/>
    <w:rsid w:val="000C3BD0"/>
    <w:pPr>
      <w:spacing w:before="100" w:beforeAutospacing="1" w:after="100" w:afterAutospacing="1"/>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0C3BD0"/>
    <w:rPr>
      <w:i/>
      <w:iCs/>
    </w:rPr>
  </w:style>
  <w:style w:type="character" w:styleId="Voimakas">
    <w:name w:val="Strong"/>
    <w:basedOn w:val="Kappaleenoletusfontti"/>
    <w:uiPriority w:val="22"/>
    <w:qFormat/>
    <w:rsid w:val="000C3BD0"/>
    <w:rPr>
      <w:b/>
      <w:bCs/>
    </w:rPr>
  </w:style>
  <w:style w:type="character" w:styleId="Kommentinviite">
    <w:name w:val="annotation reference"/>
    <w:basedOn w:val="Kappaleenoletusfontti"/>
    <w:uiPriority w:val="99"/>
    <w:semiHidden/>
    <w:unhideWhenUsed/>
    <w:rsid w:val="00CB651B"/>
    <w:rPr>
      <w:sz w:val="16"/>
      <w:szCs w:val="16"/>
    </w:rPr>
  </w:style>
  <w:style w:type="paragraph" w:styleId="Kommentinteksti">
    <w:name w:val="annotation text"/>
    <w:basedOn w:val="Normaali"/>
    <w:link w:val="KommentintekstiChar"/>
    <w:uiPriority w:val="99"/>
    <w:semiHidden/>
    <w:unhideWhenUsed/>
    <w:rsid w:val="00CB651B"/>
    <w:rPr>
      <w:sz w:val="20"/>
      <w:szCs w:val="20"/>
    </w:rPr>
  </w:style>
  <w:style w:type="character" w:customStyle="1" w:styleId="KommentintekstiChar">
    <w:name w:val="Kommentin teksti Char"/>
    <w:basedOn w:val="Kappaleenoletusfontti"/>
    <w:link w:val="Kommentinteksti"/>
    <w:uiPriority w:val="99"/>
    <w:semiHidden/>
    <w:rsid w:val="00CB651B"/>
    <w:rPr>
      <w:sz w:val="20"/>
      <w:szCs w:val="20"/>
    </w:rPr>
  </w:style>
  <w:style w:type="paragraph" w:styleId="Kommentinotsikko">
    <w:name w:val="annotation subject"/>
    <w:basedOn w:val="Kommentinteksti"/>
    <w:next w:val="Kommentinteksti"/>
    <w:link w:val="KommentinotsikkoChar"/>
    <w:uiPriority w:val="99"/>
    <w:semiHidden/>
    <w:unhideWhenUsed/>
    <w:rsid w:val="00CB651B"/>
    <w:rPr>
      <w:b/>
      <w:bCs/>
    </w:rPr>
  </w:style>
  <w:style w:type="character" w:customStyle="1" w:styleId="KommentinotsikkoChar">
    <w:name w:val="Kommentin otsikko Char"/>
    <w:basedOn w:val="KommentintekstiChar"/>
    <w:link w:val="Kommentinotsikko"/>
    <w:uiPriority w:val="99"/>
    <w:semiHidden/>
    <w:rsid w:val="00CB651B"/>
    <w:rPr>
      <w:b/>
      <w:bCs/>
      <w:sz w:val="20"/>
      <w:szCs w:val="20"/>
    </w:rPr>
  </w:style>
  <w:style w:type="paragraph" w:styleId="Luettelokappale">
    <w:name w:val="List Paragraph"/>
    <w:basedOn w:val="Normaali"/>
    <w:uiPriority w:val="34"/>
    <w:semiHidden/>
    <w:rsid w:val="0004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63990">
      <w:bodyDiv w:val="1"/>
      <w:marLeft w:val="0"/>
      <w:marRight w:val="0"/>
      <w:marTop w:val="0"/>
      <w:marBottom w:val="0"/>
      <w:divBdr>
        <w:top w:val="none" w:sz="0" w:space="0" w:color="auto"/>
        <w:left w:val="none" w:sz="0" w:space="0" w:color="auto"/>
        <w:bottom w:val="none" w:sz="0" w:space="0" w:color="auto"/>
        <w:right w:val="none" w:sz="0" w:space="0" w:color="auto"/>
      </w:divBdr>
      <w:divsChild>
        <w:div w:id="1473526235">
          <w:marLeft w:val="0"/>
          <w:marRight w:val="0"/>
          <w:marTop w:val="0"/>
          <w:marBottom w:val="0"/>
          <w:divBdr>
            <w:top w:val="none" w:sz="0" w:space="0" w:color="auto"/>
            <w:left w:val="none" w:sz="0" w:space="0" w:color="auto"/>
            <w:bottom w:val="none" w:sz="0" w:space="0" w:color="auto"/>
            <w:right w:val="none" w:sz="0" w:space="0" w:color="auto"/>
          </w:divBdr>
          <w:divsChild>
            <w:div w:id="1820152757">
              <w:marLeft w:val="0"/>
              <w:marRight w:val="0"/>
              <w:marTop w:val="0"/>
              <w:marBottom w:val="0"/>
              <w:divBdr>
                <w:top w:val="none" w:sz="0" w:space="0" w:color="auto"/>
                <w:left w:val="none" w:sz="0" w:space="0" w:color="auto"/>
                <w:bottom w:val="none" w:sz="0" w:space="0" w:color="auto"/>
                <w:right w:val="none" w:sz="0" w:space="0" w:color="auto"/>
              </w:divBdr>
              <w:divsChild>
                <w:div w:id="1094400944">
                  <w:marLeft w:val="0"/>
                  <w:marRight w:val="0"/>
                  <w:marTop w:val="0"/>
                  <w:marBottom w:val="0"/>
                  <w:divBdr>
                    <w:top w:val="none" w:sz="0" w:space="0" w:color="auto"/>
                    <w:left w:val="none" w:sz="0" w:space="0" w:color="auto"/>
                    <w:bottom w:val="none" w:sz="0" w:space="0" w:color="auto"/>
                    <w:right w:val="none" w:sz="0" w:space="0" w:color="auto"/>
                  </w:divBdr>
                  <w:divsChild>
                    <w:div w:id="149755699">
                      <w:marLeft w:val="0"/>
                      <w:marRight w:val="0"/>
                      <w:marTop w:val="0"/>
                      <w:marBottom w:val="0"/>
                      <w:divBdr>
                        <w:top w:val="none" w:sz="0" w:space="0" w:color="auto"/>
                        <w:left w:val="none" w:sz="0" w:space="0" w:color="auto"/>
                        <w:bottom w:val="none" w:sz="0" w:space="0" w:color="auto"/>
                        <w:right w:val="none" w:sz="0" w:space="0" w:color="auto"/>
                      </w:divBdr>
                    </w:div>
                    <w:div w:id="354499627">
                      <w:marLeft w:val="0"/>
                      <w:marRight w:val="0"/>
                      <w:marTop w:val="0"/>
                      <w:marBottom w:val="0"/>
                      <w:divBdr>
                        <w:top w:val="none" w:sz="0" w:space="0" w:color="auto"/>
                        <w:left w:val="none" w:sz="0" w:space="0" w:color="auto"/>
                        <w:bottom w:val="none" w:sz="0" w:space="0" w:color="auto"/>
                        <w:right w:val="none" w:sz="0" w:space="0" w:color="auto"/>
                      </w:divBdr>
                    </w:div>
                    <w:div w:id="1159882888">
                      <w:marLeft w:val="0"/>
                      <w:marRight w:val="0"/>
                      <w:marTop w:val="0"/>
                      <w:marBottom w:val="0"/>
                      <w:divBdr>
                        <w:top w:val="none" w:sz="0" w:space="0" w:color="auto"/>
                        <w:left w:val="none" w:sz="0" w:space="0" w:color="auto"/>
                        <w:bottom w:val="none" w:sz="0" w:space="0" w:color="auto"/>
                        <w:right w:val="none" w:sz="0" w:space="0" w:color="auto"/>
                      </w:divBdr>
                    </w:div>
                  </w:divsChild>
                </w:div>
                <w:div w:id="753625871">
                  <w:marLeft w:val="0"/>
                  <w:marRight w:val="0"/>
                  <w:marTop w:val="0"/>
                  <w:marBottom w:val="0"/>
                  <w:divBdr>
                    <w:top w:val="none" w:sz="0" w:space="0" w:color="auto"/>
                    <w:left w:val="none" w:sz="0" w:space="0" w:color="auto"/>
                    <w:bottom w:val="none" w:sz="0" w:space="0" w:color="auto"/>
                    <w:right w:val="none" w:sz="0" w:space="0" w:color="auto"/>
                  </w:divBdr>
                  <w:divsChild>
                    <w:div w:id="1486162435">
                      <w:marLeft w:val="0"/>
                      <w:marRight w:val="0"/>
                      <w:marTop w:val="0"/>
                      <w:marBottom w:val="0"/>
                      <w:divBdr>
                        <w:top w:val="none" w:sz="0" w:space="0" w:color="auto"/>
                        <w:left w:val="none" w:sz="0" w:space="0" w:color="auto"/>
                        <w:bottom w:val="none" w:sz="0" w:space="0" w:color="auto"/>
                        <w:right w:val="none" w:sz="0" w:space="0" w:color="auto"/>
                      </w:divBdr>
                    </w:div>
                    <w:div w:id="216203332">
                      <w:marLeft w:val="0"/>
                      <w:marRight w:val="0"/>
                      <w:marTop w:val="0"/>
                      <w:marBottom w:val="0"/>
                      <w:divBdr>
                        <w:top w:val="none" w:sz="0" w:space="0" w:color="auto"/>
                        <w:left w:val="none" w:sz="0" w:space="0" w:color="auto"/>
                        <w:bottom w:val="none" w:sz="0" w:space="0" w:color="auto"/>
                        <w:right w:val="none" w:sz="0" w:space="0" w:color="auto"/>
                      </w:divBdr>
                    </w:div>
                    <w:div w:id="792745714">
                      <w:marLeft w:val="0"/>
                      <w:marRight w:val="0"/>
                      <w:marTop w:val="0"/>
                      <w:marBottom w:val="0"/>
                      <w:divBdr>
                        <w:top w:val="none" w:sz="0" w:space="0" w:color="auto"/>
                        <w:left w:val="none" w:sz="0" w:space="0" w:color="auto"/>
                        <w:bottom w:val="none" w:sz="0" w:space="0" w:color="auto"/>
                        <w:right w:val="none" w:sz="0" w:space="0" w:color="auto"/>
                      </w:divBdr>
                    </w:div>
                    <w:div w:id="426001587">
                      <w:marLeft w:val="0"/>
                      <w:marRight w:val="0"/>
                      <w:marTop w:val="0"/>
                      <w:marBottom w:val="0"/>
                      <w:divBdr>
                        <w:top w:val="none" w:sz="0" w:space="0" w:color="auto"/>
                        <w:left w:val="none" w:sz="0" w:space="0" w:color="auto"/>
                        <w:bottom w:val="none" w:sz="0" w:space="0" w:color="auto"/>
                        <w:right w:val="none" w:sz="0" w:space="0" w:color="auto"/>
                      </w:divBdr>
                    </w:div>
                    <w:div w:id="606734241">
                      <w:marLeft w:val="0"/>
                      <w:marRight w:val="0"/>
                      <w:marTop w:val="0"/>
                      <w:marBottom w:val="0"/>
                      <w:divBdr>
                        <w:top w:val="none" w:sz="0" w:space="0" w:color="auto"/>
                        <w:left w:val="none" w:sz="0" w:space="0" w:color="auto"/>
                        <w:bottom w:val="none" w:sz="0" w:space="0" w:color="auto"/>
                        <w:right w:val="none" w:sz="0" w:space="0" w:color="auto"/>
                      </w:divBdr>
                    </w:div>
                  </w:divsChild>
                </w:div>
                <w:div w:id="681126561">
                  <w:marLeft w:val="0"/>
                  <w:marRight w:val="0"/>
                  <w:marTop w:val="0"/>
                  <w:marBottom w:val="0"/>
                  <w:divBdr>
                    <w:top w:val="none" w:sz="0" w:space="0" w:color="auto"/>
                    <w:left w:val="none" w:sz="0" w:space="0" w:color="auto"/>
                    <w:bottom w:val="none" w:sz="0" w:space="0" w:color="auto"/>
                    <w:right w:val="none" w:sz="0" w:space="0" w:color="auto"/>
                  </w:divBdr>
                  <w:divsChild>
                    <w:div w:id="885991378">
                      <w:marLeft w:val="0"/>
                      <w:marRight w:val="0"/>
                      <w:marTop w:val="0"/>
                      <w:marBottom w:val="0"/>
                      <w:divBdr>
                        <w:top w:val="none" w:sz="0" w:space="0" w:color="auto"/>
                        <w:left w:val="none" w:sz="0" w:space="0" w:color="auto"/>
                        <w:bottom w:val="none" w:sz="0" w:space="0" w:color="auto"/>
                        <w:right w:val="none" w:sz="0" w:space="0" w:color="auto"/>
                      </w:divBdr>
                    </w:div>
                  </w:divsChild>
                </w:div>
                <w:div w:id="1409426387">
                  <w:marLeft w:val="0"/>
                  <w:marRight w:val="0"/>
                  <w:marTop w:val="0"/>
                  <w:marBottom w:val="0"/>
                  <w:divBdr>
                    <w:top w:val="none" w:sz="0" w:space="0" w:color="auto"/>
                    <w:left w:val="none" w:sz="0" w:space="0" w:color="auto"/>
                    <w:bottom w:val="none" w:sz="0" w:space="0" w:color="auto"/>
                    <w:right w:val="none" w:sz="0" w:space="0" w:color="auto"/>
                  </w:divBdr>
                  <w:divsChild>
                    <w:div w:id="2079211210">
                      <w:marLeft w:val="0"/>
                      <w:marRight w:val="0"/>
                      <w:marTop w:val="0"/>
                      <w:marBottom w:val="0"/>
                      <w:divBdr>
                        <w:top w:val="none" w:sz="0" w:space="0" w:color="auto"/>
                        <w:left w:val="none" w:sz="0" w:space="0" w:color="auto"/>
                        <w:bottom w:val="none" w:sz="0" w:space="0" w:color="auto"/>
                        <w:right w:val="none" w:sz="0" w:space="0" w:color="auto"/>
                      </w:divBdr>
                    </w:div>
                    <w:div w:id="1561624432">
                      <w:marLeft w:val="0"/>
                      <w:marRight w:val="0"/>
                      <w:marTop w:val="0"/>
                      <w:marBottom w:val="0"/>
                      <w:divBdr>
                        <w:top w:val="none" w:sz="0" w:space="0" w:color="auto"/>
                        <w:left w:val="none" w:sz="0" w:space="0" w:color="auto"/>
                        <w:bottom w:val="none" w:sz="0" w:space="0" w:color="auto"/>
                        <w:right w:val="none" w:sz="0" w:space="0" w:color="auto"/>
                      </w:divBdr>
                    </w:div>
                    <w:div w:id="181554404">
                      <w:marLeft w:val="0"/>
                      <w:marRight w:val="0"/>
                      <w:marTop w:val="0"/>
                      <w:marBottom w:val="0"/>
                      <w:divBdr>
                        <w:top w:val="none" w:sz="0" w:space="0" w:color="auto"/>
                        <w:left w:val="none" w:sz="0" w:space="0" w:color="auto"/>
                        <w:bottom w:val="none" w:sz="0" w:space="0" w:color="auto"/>
                        <w:right w:val="none" w:sz="0" w:space="0" w:color="auto"/>
                      </w:divBdr>
                    </w:div>
                  </w:divsChild>
                </w:div>
                <w:div w:id="426999451">
                  <w:marLeft w:val="0"/>
                  <w:marRight w:val="0"/>
                  <w:marTop w:val="0"/>
                  <w:marBottom w:val="0"/>
                  <w:divBdr>
                    <w:top w:val="none" w:sz="0" w:space="0" w:color="auto"/>
                    <w:left w:val="none" w:sz="0" w:space="0" w:color="auto"/>
                    <w:bottom w:val="none" w:sz="0" w:space="0" w:color="auto"/>
                    <w:right w:val="none" w:sz="0" w:space="0" w:color="auto"/>
                  </w:divBdr>
                  <w:divsChild>
                    <w:div w:id="1875146357">
                      <w:marLeft w:val="0"/>
                      <w:marRight w:val="0"/>
                      <w:marTop w:val="0"/>
                      <w:marBottom w:val="0"/>
                      <w:divBdr>
                        <w:top w:val="none" w:sz="0" w:space="0" w:color="auto"/>
                        <w:left w:val="none" w:sz="0" w:space="0" w:color="auto"/>
                        <w:bottom w:val="none" w:sz="0" w:space="0" w:color="auto"/>
                        <w:right w:val="none" w:sz="0" w:space="0" w:color="auto"/>
                      </w:divBdr>
                    </w:div>
                  </w:divsChild>
                </w:div>
                <w:div w:id="1067727015">
                  <w:marLeft w:val="0"/>
                  <w:marRight w:val="0"/>
                  <w:marTop w:val="0"/>
                  <w:marBottom w:val="0"/>
                  <w:divBdr>
                    <w:top w:val="none" w:sz="0" w:space="0" w:color="auto"/>
                    <w:left w:val="none" w:sz="0" w:space="0" w:color="auto"/>
                    <w:bottom w:val="none" w:sz="0" w:space="0" w:color="auto"/>
                    <w:right w:val="none" w:sz="0" w:space="0" w:color="auto"/>
                  </w:divBdr>
                  <w:divsChild>
                    <w:div w:id="526598240">
                      <w:marLeft w:val="0"/>
                      <w:marRight w:val="0"/>
                      <w:marTop w:val="0"/>
                      <w:marBottom w:val="0"/>
                      <w:divBdr>
                        <w:top w:val="none" w:sz="0" w:space="0" w:color="auto"/>
                        <w:left w:val="none" w:sz="0" w:space="0" w:color="auto"/>
                        <w:bottom w:val="none" w:sz="0" w:space="0" w:color="auto"/>
                        <w:right w:val="none" w:sz="0" w:space="0" w:color="auto"/>
                      </w:divBdr>
                    </w:div>
                    <w:div w:id="994263498">
                      <w:marLeft w:val="0"/>
                      <w:marRight w:val="0"/>
                      <w:marTop w:val="0"/>
                      <w:marBottom w:val="0"/>
                      <w:divBdr>
                        <w:top w:val="none" w:sz="0" w:space="0" w:color="auto"/>
                        <w:left w:val="none" w:sz="0" w:space="0" w:color="auto"/>
                        <w:bottom w:val="none" w:sz="0" w:space="0" w:color="auto"/>
                        <w:right w:val="none" w:sz="0" w:space="0" w:color="auto"/>
                      </w:divBdr>
                    </w:div>
                    <w:div w:id="1991209440">
                      <w:marLeft w:val="0"/>
                      <w:marRight w:val="0"/>
                      <w:marTop w:val="0"/>
                      <w:marBottom w:val="0"/>
                      <w:divBdr>
                        <w:top w:val="none" w:sz="0" w:space="0" w:color="auto"/>
                        <w:left w:val="none" w:sz="0" w:space="0" w:color="auto"/>
                        <w:bottom w:val="none" w:sz="0" w:space="0" w:color="auto"/>
                        <w:right w:val="none" w:sz="0" w:space="0" w:color="auto"/>
                      </w:divBdr>
                    </w:div>
                  </w:divsChild>
                </w:div>
                <w:div w:id="1842354012">
                  <w:marLeft w:val="0"/>
                  <w:marRight w:val="0"/>
                  <w:marTop w:val="0"/>
                  <w:marBottom w:val="0"/>
                  <w:divBdr>
                    <w:top w:val="none" w:sz="0" w:space="0" w:color="auto"/>
                    <w:left w:val="none" w:sz="0" w:space="0" w:color="auto"/>
                    <w:bottom w:val="none" w:sz="0" w:space="0" w:color="auto"/>
                    <w:right w:val="none" w:sz="0" w:space="0" w:color="auto"/>
                  </w:divBdr>
                  <w:divsChild>
                    <w:div w:id="86967966">
                      <w:marLeft w:val="0"/>
                      <w:marRight w:val="0"/>
                      <w:marTop w:val="0"/>
                      <w:marBottom w:val="0"/>
                      <w:divBdr>
                        <w:top w:val="none" w:sz="0" w:space="0" w:color="auto"/>
                        <w:left w:val="none" w:sz="0" w:space="0" w:color="auto"/>
                        <w:bottom w:val="none" w:sz="0" w:space="0" w:color="auto"/>
                        <w:right w:val="none" w:sz="0" w:space="0" w:color="auto"/>
                      </w:divBdr>
                    </w:div>
                    <w:div w:id="1275594085">
                      <w:marLeft w:val="0"/>
                      <w:marRight w:val="0"/>
                      <w:marTop w:val="0"/>
                      <w:marBottom w:val="0"/>
                      <w:divBdr>
                        <w:top w:val="none" w:sz="0" w:space="0" w:color="auto"/>
                        <w:left w:val="none" w:sz="0" w:space="0" w:color="auto"/>
                        <w:bottom w:val="none" w:sz="0" w:space="0" w:color="auto"/>
                        <w:right w:val="none" w:sz="0" w:space="0" w:color="auto"/>
                      </w:divBdr>
                      <w:divsChild>
                        <w:div w:id="1822847267">
                          <w:marLeft w:val="0"/>
                          <w:marRight w:val="0"/>
                          <w:marTop w:val="0"/>
                          <w:marBottom w:val="0"/>
                          <w:divBdr>
                            <w:top w:val="none" w:sz="0" w:space="0" w:color="auto"/>
                            <w:left w:val="none" w:sz="0" w:space="0" w:color="auto"/>
                            <w:bottom w:val="none" w:sz="0" w:space="0" w:color="auto"/>
                            <w:right w:val="none" w:sz="0" w:space="0" w:color="auto"/>
                          </w:divBdr>
                        </w:div>
                        <w:div w:id="1666473001">
                          <w:marLeft w:val="0"/>
                          <w:marRight w:val="0"/>
                          <w:marTop w:val="0"/>
                          <w:marBottom w:val="0"/>
                          <w:divBdr>
                            <w:top w:val="none" w:sz="0" w:space="0" w:color="auto"/>
                            <w:left w:val="none" w:sz="0" w:space="0" w:color="auto"/>
                            <w:bottom w:val="none" w:sz="0" w:space="0" w:color="auto"/>
                            <w:right w:val="none" w:sz="0" w:space="0" w:color="auto"/>
                          </w:divBdr>
                        </w:div>
                        <w:div w:id="845246448">
                          <w:marLeft w:val="0"/>
                          <w:marRight w:val="0"/>
                          <w:marTop w:val="0"/>
                          <w:marBottom w:val="0"/>
                          <w:divBdr>
                            <w:top w:val="none" w:sz="0" w:space="0" w:color="auto"/>
                            <w:left w:val="none" w:sz="0" w:space="0" w:color="auto"/>
                            <w:bottom w:val="none" w:sz="0" w:space="0" w:color="auto"/>
                            <w:right w:val="none" w:sz="0" w:space="0" w:color="auto"/>
                          </w:divBdr>
                        </w:div>
                        <w:div w:id="2026439269">
                          <w:marLeft w:val="0"/>
                          <w:marRight w:val="0"/>
                          <w:marTop w:val="0"/>
                          <w:marBottom w:val="0"/>
                          <w:divBdr>
                            <w:top w:val="none" w:sz="0" w:space="0" w:color="auto"/>
                            <w:left w:val="none" w:sz="0" w:space="0" w:color="auto"/>
                            <w:bottom w:val="none" w:sz="0" w:space="0" w:color="auto"/>
                            <w:right w:val="none" w:sz="0" w:space="0" w:color="auto"/>
                          </w:divBdr>
                        </w:div>
                        <w:div w:id="1644118191">
                          <w:marLeft w:val="0"/>
                          <w:marRight w:val="0"/>
                          <w:marTop w:val="0"/>
                          <w:marBottom w:val="0"/>
                          <w:divBdr>
                            <w:top w:val="none" w:sz="0" w:space="0" w:color="auto"/>
                            <w:left w:val="none" w:sz="0" w:space="0" w:color="auto"/>
                            <w:bottom w:val="none" w:sz="0" w:space="0" w:color="auto"/>
                            <w:right w:val="none" w:sz="0" w:space="0" w:color="auto"/>
                          </w:divBdr>
                        </w:div>
                        <w:div w:id="654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660">
                  <w:marLeft w:val="0"/>
                  <w:marRight w:val="0"/>
                  <w:marTop w:val="0"/>
                  <w:marBottom w:val="0"/>
                  <w:divBdr>
                    <w:top w:val="none" w:sz="0" w:space="0" w:color="auto"/>
                    <w:left w:val="none" w:sz="0" w:space="0" w:color="auto"/>
                    <w:bottom w:val="none" w:sz="0" w:space="0" w:color="auto"/>
                    <w:right w:val="none" w:sz="0" w:space="0" w:color="auto"/>
                  </w:divBdr>
                  <w:divsChild>
                    <w:div w:id="389118629">
                      <w:marLeft w:val="0"/>
                      <w:marRight w:val="0"/>
                      <w:marTop w:val="0"/>
                      <w:marBottom w:val="0"/>
                      <w:divBdr>
                        <w:top w:val="none" w:sz="0" w:space="0" w:color="auto"/>
                        <w:left w:val="none" w:sz="0" w:space="0" w:color="auto"/>
                        <w:bottom w:val="none" w:sz="0" w:space="0" w:color="auto"/>
                        <w:right w:val="none" w:sz="0" w:space="0" w:color="auto"/>
                      </w:divBdr>
                      <w:divsChild>
                        <w:div w:id="820541726">
                          <w:marLeft w:val="0"/>
                          <w:marRight w:val="0"/>
                          <w:marTop w:val="0"/>
                          <w:marBottom w:val="0"/>
                          <w:divBdr>
                            <w:top w:val="none" w:sz="0" w:space="0" w:color="auto"/>
                            <w:left w:val="none" w:sz="0" w:space="0" w:color="auto"/>
                            <w:bottom w:val="none" w:sz="0" w:space="0" w:color="auto"/>
                            <w:right w:val="none" w:sz="0" w:space="0" w:color="auto"/>
                          </w:divBdr>
                        </w:div>
                        <w:div w:id="231158418">
                          <w:marLeft w:val="0"/>
                          <w:marRight w:val="0"/>
                          <w:marTop w:val="0"/>
                          <w:marBottom w:val="0"/>
                          <w:divBdr>
                            <w:top w:val="none" w:sz="0" w:space="0" w:color="auto"/>
                            <w:left w:val="none" w:sz="0" w:space="0" w:color="auto"/>
                            <w:bottom w:val="none" w:sz="0" w:space="0" w:color="auto"/>
                            <w:right w:val="none" w:sz="0" w:space="0" w:color="auto"/>
                          </w:divBdr>
                        </w:div>
                      </w:divsChild>
                    </w:div>
                    <w:div w:id="923609952">
                      <w:marLeft w:val="0"/>
                      <w:marRight w:val="0"/>
                      <w:marTop w:val="0"/>
                      <w:marBottom w:val="0"/>
                      <w:divBdr>
                        <w:top w:val="none" w:sz="0" w:space="0" w:color="auto"/>
                        <w:left w:val="none" w:sz="0" w:space="0" w:color="auto"/>
                        <w:bottom w:val="none" w:sz="0" w:space="0" w:color="auto"/>
                        <w:right w:val="none" w:sz="0" w:space="0" w:color="auto"/>
                      </w:divBdr>
                    </w:div>
                    <w:div w:id="559250722">
                      <w:marLeft w:val="0"/>
                      <w:marRight w:val="0"/>
                      <w:marTop w:val="0"/>
                      <w:marBottom w:val="0"/>
                      <w:divBdr>
                        <w:top w:val="none" w:sz="0" w:space="0" w:color="auto"/>
                        <w:left w:val="none" w:sz="0" w:space="0" w:color="auto"/>
                        <w:bottom w:val="none" w:sz="0" w:space="0" w:color="auto"/>
                        <w:right w:val="none" w:sz="0" w:space="0" w:color="auto"/>
                      </w:divBdr>
                    </w:div>
                  </w:divsChild>
                </w:div>
                <w:div w:id="1704020239">
                  <w:marLeft w:val="0"/>
                  <w:marRight w:val="0"/>
                  <w:marTop w:val="0"/>
                  <w:marBottom w:val="0"/>
                  <w:divBdr>
                    <w:top w:val="none" w:sz="0" w:space="0" w:color="auto"/>
                    <w:left w:val="none" w:sz="0" w:space="0" w:color="auto"/>
                    <w:bottom w:val="none" w:sz="0" w:space="0" w:color="auto"/>
                    <w:right w:val="none" w:sz="0" w:space="0" w:color="auto"/>
                  </w:divBdr>
                  <w:divsChild>
                    <w:div w:id="328364104">
                      <w:marLeft w:val="0"/>
                      <w:marRight w:val="0"/>
                      <w:marTop w:val="0"/>
                      <w:marBottom w:val="0"/>
                      <w:divBdr>
                        <w:top w:val="none" w:sz="0" w:space="0" w:color="auto"/>
                        <w:left w:val="none" w:sz="0" w:space="0" w:color="auto"/>
                        <w:bottom w:val="none" w:sz="0" w:space="0" w:color="auto"/>
                        <w:right w:val="none" w:sz="0" w:space="0" w:color="auto"/>
                      </w:divBdr>
                    </w:div>
                    <w:div w:id="6197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882964">
      <w:bodyDiv w:val="1"/>
      <w:marLeft w:val="0"/>
      <w:marRight w:val="0"/>
      <w:marTop w:val="0"/>
      <w:marBottom w:val="0"/>
      <w:divBdr>
        <w:top w:val="none" w:sz="0" w:space="0" w:color="auto"/>
        <w:left w:val="none" w:sz="0" w:space="0" w:color="auto"/>
        <w:bottom w:val="none" w:sz="0" w:space="0" w:color="auto"/>
        <w:right w:val="none" w:sz="0" w:space="0" w:color="auto"/>
      </w:divBdr>
      <w:divsChild>
        <w:div w:id="1146778423">
          <w:marLeft w:val="0"/>
          <w:marRight w:val="0"/>
          <w:marTop w:val="0"/>
          <w:marBottom w:val="0"/>
          <w:divBdr>
            <w:top w:val="none" w:sz="0" w:space="0" w:color="auto"/>
            <w:left w:val="none" w:sz="0" w:space="0" w:color="auto"/>
            <w:bottom w:val="none" w:sz="0" w:space="0" w:color="auto"/>
            <w:right w:val="none" w:sz="0" w:space="0" w:color="auto"/>
          </w:divBdr>
          <w:divsChild>
            <w:div w:id="353456682">
              <w:marLeft w:val="0"/>
              <w:marRight w:val="0"/>
              <w:marTop w:val="0"/>
              <w:marBottom w:val="0"/>
              <w:divBdr>
                <w:top w:val="none" w:sz="0" w:space="0" w:color="auto"/>
                <w:left w:val="none" w:sz="0" w:space="0" w:color="auto"/>
                <w:bottom w:val="none" w:sz="0" w:space="0" w:color="auto"/>
                <w:right w:val="none" w:sz="0" w:space="0" w:color="auto"/>
              </w:divBdr>
              <w:divsChild>
                <w:div w:id="2075464583">
                  <w:marLeft w:val="0"/>
                  <w:marRight w:val="0"/>
                  <w:marTop w:val="0"/>
                  <w:marBottom w:val="0"/>
                  <w:divBdr>
                    <w:top w:val="none" w:sz="0" w:space="0" w:color="auto"/>
                    <w:left w:val="none" w:sz="0" w:space="0" w:color="auto"/>
                    <w:bottom w:val="none" w:sz="0" w:space="0" w:color="auto"/>
                    <w:right w:val="none" w:sz="0" w:space="0" w:color="auto"/>
                  </w:divBdr>
                  <w:divsChild>
                    <w:div w:id="1277370806">
                      <w:marLeft w:val="0"/>
                      <w:marRight w:val="0"/>
                      <w:marTop w:val="0"/>
                      <w:marBottom w:val="0"/>
                      <w:divBdr>
                        <w:top w:val="none" w:sz="0" w:space="0" w:color="auto"/>
                        <w:left w:val="none" w:sz="0" w:space="0" w:color="auto"/>
                        <w:bottom w:val="none" w:sz="0" w:space="0" w:color="auto"/>
                        <w:right w:val="none" w:sz="0" w:space="0" w:color="auto"/>
                      </w:divBdr>
                    </w:div>
                    <w:div w:id="1121806542">
                      <w:marLeft w:val="0"/>
                      <w:marRight w:val="0"/>
                      <w:marTop w:val="0"/>
                      <w:marBottom w:val="0"/>
                      <w:divBdr>
                        <w:top w:val="none" w:sz="0" w:space="0" w:color="auto"/>
                        <w:left w:val="none" w:sz="0" w:space="0" w:color="auto"/>
                        <w:bottom w:val="none" w:sz="0" w:space="0" w:color="auto"/>
                        <w:right w:val="none" w:sz="0" w:space="0" w:color="auto"/>
                      </w:divBdr>
                    </w:div>
                    <w:div w:id="1452551548">
                      <w:marLeft w:val="0"/>
                      <w:marRight w:val="0"/>
                      <w:marTop w:val="0"/>
                      <w:marBottom w:val="0"/>
                      <w:divBdr>
                        <w:top w:val="none" w:sz="0" w:space="0" w:color="auto"/>
                        <w:left w:val="none" w:sz="0" w:space="0" w:color="auto"/>
                        <w:bottom w:val="none" w:sz="0" w:space="0" w:color="auto"/>
                        <w:right w:val="none" w:sz="0" w:space="0" w:color="auto"/>
                      </w:divBdr>
                    </w:div>
                  </w:divsChild>
                </w:div>
                <w:div w:id="1384138064">
                  <w:marLeft w:val="0"/>
                  <w:marRight w:val="0"/>
                  <w:marTop w:val="0"/>
                  <w:marBottom w:val="0"/>
                  <w:divBdr>
                    <w:top w:val="none" w:sz="0" w:space="0" w:color="auto"/>
                    <w:left w:val="none" w:sz="0" w:space="0" w:color="auto"/>
                    <w:bottom w:val="none" w:sz="0" w:space="0" w:color="auto"/>
                    <w:right w:val="none" w:sz="0" w:space="0" w:color="auto"/>
                  </w:divBdr>
                  <w:divsChild>
                    <w:div w:id="749935060">
                      <w:marLeft w:val="0"/>
                      <w:marRight w:val="0"/>
                      <w:marTop w:val="0"/>
                      <w:marBottom w:val="0"/>
                      <w:divBdr>
                        <w:top w:val="none" w:sz="0" w:space="0" w:color="auto"/>
                        <w:left w:val="none" w:sz="0" w:space="0" w:color="auto"/>
                        <w:bottom w:val="none" w:sz="0" w:space="0" w:color="auto"/>
                        <w:right w:val="none" w:sz="0" w:space="0" w:color="auto"/>
                      </w:divBdr>
                    </w:div>
                    <w:div w:id="1460101178">
                      <w:marLeft w:val="0"/>
                      <w:marRight w:val="0"/>
                      <w:marTop w:val="0"/>
                      <w:marBottom w:val="0"/>
                      <w:divBdr>
                        <w:top w:val="none" w:sz="0" w:space="0" w:color="auto"/>
                        <w:left w:val="none" w:sz="0" w:space="0" w:color="auto"/>
                        <w:bottom w:val="none" w:sz="0" w:space="0" w:color="auto"/>
                        <w:right w:val="none" w:sz="0" w:space="0" w:color="auto"/>
                      </w:divBdr>
                    </w:div>
                    <w:div w:id="1180122897">
                      <w:marLeft w:val="0"/>
                      <w:marRight w:val="0"/>
                      <w:marTop w:val="0"/>
                      <w:marBottom w:val="0"/>
                      <w:divBdr>
                        <w:top w:val="none" w:sz="0" w:space="0" w:color="auto"/>
                        <w:left w:val="none" w:sz="0" w:space="0" w:color="auto"/>
                        <w:bottom w:val="none" w:sz="0" w:space="0" w:color="auto"/>
                        <w:right w:val="none" w:sz="0" w:space="0" w:color="auto"/>
                      </w:divBdr>
                    </w:div>
                    <w:div w:id="161435054">
                      <w:marLeft w:val="0"/>
                      <w:marRight w:val="0"/>
                      <w:marTop w:val="0"/>
                      <w:marBottom w:val="0"/>
                      <w:divBdr>
                        <w:top w:val="none" w:sz="0" w:space="0" w:color="auto"/>
                        <w:left w:val="none" w:sz="0" w:space="0" w:color="auto"/>
                        <w:bottom w:val="none" w:sz="0" w:space="0" w:color="auto"/>
                        <w:right w:val="none" w:sz="0" w:space="0" w:color="auto"/>
                      </w:divBdr>
                    </w:div>
                    <w:div w:id="644743470">
                      <w:marLeft w:val="0"/>
                      <w:marRight w:val="0"/>
                      <w:marTop w:val="0"/>
                      <w:marBottom w:val="0"/>
                      <w:divBdr>
                        <w:top w:val="none" w:sz="0" w:space="0" w:color="auto"/>
                        <w:left w:val="none" w:sz="0" w:space="0" w:color="auto"/>
                        <w:bottom w:val="none" w:sz="0" w:space="0" w:color="auto"/>
                        <w:right w:val="none" w:sz="0" w:space="0" w:color="auto"/>
                      </w:divBdr>
                    </w:div>
                  </w:divsChild>
                </w:div>
                <w:div w:id="1772123282">
                  <w:marLeft w:val="0"/>
                  <w:marRight w:val="0"/>
                  <w:marTop w:val="0"/>
                  <w:marBottom w:val="0"/>
                  <w:divBdr>
                    <w:top w:val="none" w:sz="0" w:space="0" w:color="auto"/>
                    <w:left w:val="none" w:sz="0" w:space="0" w:color="auto"/>
                    <w:bottom w:val="none" w:sz="0" w:space="0" w:color="auto"/>
                    <w:right w:val="none" w:sz="0" w:space="0" w:color="auto"/>
                  </w:divBdr>
                  <w:divsChild>
                    <w:div w:id="730738784">
                      <w:marLeft w:val="0"/>
                      <w:marRight w:val="0"/>
                      <w:marTop w:val="0"/>
                      <w:marBottom w:val="0"/>
                      <w:divBdr>
                        <w:top w:val="none" w:sz="0" w:space="0" w:color="auto"/>
                        <w:left w:val="none" w:sz="0" w:space="0" w:color="auto"/>
                        <w:bottom w:val="none" w:sz="0" w:space="0" w:color="auto"/>
                        <w:right w:val="none" w:sz="0" w:space="0" w:color="auto"/>
                      </w:divBdr>
                    </w:div>
                  </w:divsChild>
                </w:div>
                <w:div w:id="686519774">
                  <w:marLeft w:val="0"/>
                  <w:marRight w:val="0"/>
                  <w:marTop w:val="0"/>
                  <w:marBottom w:val="0"/>
                  <w:divBdr>
                    <w:top w:val="none" w:sz="0" w:space="0" w:color="auto"/>
                    <w:left w:val="none" w:sz="0" w:space="0" w:color="auto"/>
                    <w:bottom w:val="none" w:sz="0" w:space="0" w:color="auto"/>
                    <w:right w:val="none" w:sz="0" w:space="0" w:color="auto"/>
                  </w:divBdr>
                  <w:divsChild>
                    <w:div w:id="655181812">
                      <w:marLeft w:val="0"/>
                      <w:marRight w:val="0"/>
                      <w:marTop w:val="0"/>
                      <w:marBottom w:val="0"/>
                      <w:divBdr>
                        <w:top w:val="none" w:sz="0" w:space="0" w:color="auto"/>
                        <w:left w:val="none" w:sz="0" w:space="0" w:color="auto"/>
                        <w:bottom w:val="none" w:sz="0" w:space="0" w:color="auto"/>
                        <w:right w:val="none" w:sz="0" w:space="0" w:color="auto"/>
                      </w:divBdr>
                    </w:div>
                    <w:div w:id="1883053230">
                      <w:marLeft w:val="0"/>
                      <w:marRight w:val="0"/>
                      <w:marTop w:val="0"/>
                      <w:marBottom w:val="0"/>
                      <w:divBdr>
                        <w:top w:val="none" w:sz="0" w:space="0" w:color="auto"/>
                        <w:left w:val="none" w:sz="0" w:space="0" w:color="auto"/>
                        <w:bottom w:val="none" w:sz="0" w:space="0" w:color="auto"/>
                        <w:right w:val="none" w:sz="0" w:space="0" w:color="auto"/>
                      </w:divBdr>
                    </w:div>
                    <w:div w:id="1537738160">
                      <w:marLeft w:val="0"/>
                      <w:marRight w:val="0"/>
                      <w:marTop w:val="0"/>
                      <w:marBottom w:val="0"/>
                      <w:divBdr>
                        <w:top w:val="none" w:sz="0" w:space="0" w:color="auto"/>
                        <w:left w:val="none" w:sz="0" w:space="0" w:color="auto"/>
                        <w:bottom w:val="none" w:sz="0" w:space="0" w:color="auto"/>
                        <w:right w:val="none" w:sz="0" w:space="0" w:color="auto"/>
                      </w:divBdr>
                    </w:div>
                  </w:divsChild>
                </w:div>
                <w:div w:id="824860019">
                  <w:marLeft w:val="0"/>
                  <w:marRight w:val="0"/>
                  <w:marTop w:val="0"/>
                  <w:marBottom w:val="0"/>
                  <w:divBdr>
                    <w:top w:val="none" w:sz="0" w:space="0" w:color="auto"/>
                    <w:left w:val="none" w:sz="0" w:space="0" w:color="auto"/>
                    <w:bottom w:val="none" w:sz="0" w:space="0" w:color="auto"/>
                    <w:right w:val="none" w:sz="0" w:space="0" w:color="auto"/>
                  </w:divBdr>
                  <w:divsChild>
                    <w:div w:id="30883749">
                      <w:marLeft w:val="0"/>
                      <w:marRight w:val="0"/>
                      <w:marTop w:val="0"/>
                      <w:marBottom w:val="0"/>
                      <w:divBdr>
                        <w:top w:val="none" w:sz="0" w:space="0" w:color="auto"/>
                        <w:left w:val="none" w:sz="0" w:space="0" w:color="auto"/>
                        <w:bottom w:val="none" w:sz="0" w:space="0" w:color="auto"/>
                        <w:right w:val="none" w:sz="0" w:space="0" w:color="auto"/>
                      </w:divBdr>
                    </w:div>
                  </w:divsChild>
                </w:div>
                <w:div w:id="360713369">
                  <w:marLeft w:val="0"/>
                  <w:marRight w:val="0"/>
                  <w:marTop w:val="0"/>
                  <w:marBottom w:val="0"/>
                  <w:divBdr>
                    <w:top w:val="none" w:sz="0" w:space="0" w:color="auto"/>
                    <w:left w:val="none" w:sz="0" w:space="0" w:color="auto"/>
                    <w:bottom w:val="none" w:sz="0" w:space="0" w:color="auto"/>
                    <w:right w:val="none" w:sz="0" w:space="0" w:color="auto"/>
                  </w:divBdr>
                  <w:divsChild>
                    <w:div w:id="676611524">
                      <w:marLeft w:val="0"/>
                      <w:marRight w:val="0"/>
                      <w:marTop w:val="0"/>
                      <w:marBottom w:val="0"/>
                      <w:divBdr>
                        <w:top w:val="none" w:sz="0" w:space="0" w:color="auto"/>
                        <w:left w:val="none" w:sz="0" w:space="0" w:color="auto"/>
                        <w:bottom w:val="none" w:sz="0" w:space="0" w:color="auto"/>
                        <w:right w:val="none" w:sz="0" w:space="0" w:color="auto"/>
                      </w:divBdr>
                    </w:div>
                    <w:div w:id="2045514635">
                      <w:marLeft w:val="0"/>
                      <w:marRight w:val="0"/>
                      <w:marTop w:val="0"/>
                      <w:marBottom w:val="0"/>
                      <w:divBdr>
                        <w:top w:val="none" w:sz="0" w:space="0" w:color="auto"/>
                        <w:left w:val="none" w:sz="0" w:space="0" w:color="auto"/>
                        <w:bottom w:val="none" w:sz="0" w:space="0" w:color="auto"/>
                        <w:right w:val="none" w:sz="0" w:space="0" w:color="auto"/>
                      </w:divBdr>
                    </w:div>
                    <w:div w:id="908424064">
                      <w:marLeft w:val="0"/>
                      <w:marRight w:val="0"/>
                      <w:marTop w:val="0"/>
                      <w:marBottom w:val="0"/>
                      <w:divBdr>
                        <w:top w:val="none" w:sz="0" w:space="0" w:color="auto"/>
                        <w:left w:val="none" w:sz="0" w:space="0" w:color="auto"/>
                        <w:bottom w:val="none" w:sz="0" w:space="0" w:color="auto"/>
                        <w:right w:val="none" w:sz="0" w:space="0" w:color="auto"/>
                      </w:divBdr>
                    </w:div>
                  </w:divsChild>
                </w:div>
                <w:div w:id="396558363">
                  <w:marLeft w:val="0"/>
                  <w:marRight w:val="0"/>
                  <w:marTop w:val="0"/>
                  <w:marBottom w:val="0"/>
                  <w:divBdr>
                    <w:top w:val="none" w:sz="0" w:space="0" w:color="auto"/>
                    <w:left w:val="none" w:sz="0" w:space="0" w:color="auto"/>
                    <w:bottom w:val="none" w:sz="0" w:space="0" w:color="auto"/>
                    <w:right w:val="none" w:sz="0" w:space="0" w:color="auto"/>
                  </w:divBdr>
                  <w:divsChild>
                    <w:div w:id="1363482388">
                      <w:marLeft w:val="0"/>
                      <w:marRight w:val="0"/>
                      <w:marTop w:val="0"/>
                      <w:marBottom w:val="0"/>
                      <w:divBdr>
                        <w:top w:val="none" w:sz="0" w:space="0" w:color="auto"/>
                        <w:left w:val="none" w:sz="0" w:space="0" w:color="auto"/>
                        <w:bottom w:val="none" w:sz="0" w:space="0" w:color="auto"/>
                        <w:right w:val="none" w:sz="0" w:space="0" w:color="auto"/>
                      </w:divBdr>
                    </w:div>
                    <w:div w:id="419110291">
                      <w:marLeft w:val="0"/>
                      <w:marRight w:val="0"/>
                      <w:marTop w:val="0"/>
                      <w:marBottom w:val="0"/>
                      <w:divBdr>
                        <w:top w:val="none" w:sz="0" w:space="0" w:color="auto"/>
                        <w:left w:val="none" w:sz="0" w:space="0" w:color="auto"/>
                        <w:bottom w:val="none" w:sz="0" w:space="0" w:color="auto"/>
                        <w:right w:val="none" w:sz="0" w:space="0" w:color="auto"/>
                      </w:divBdr>
                      <w:divsChild>
                        <w:div w:id="1472014523">
                          <w:marLeft w:val="0"/>
                          <w:marRight w:val="0"/>
                          <w:marTop w:val="0"/>
                          <w:marBottom w:val="0"/>
                          <w:divBdr>
                            <w:top w:val="none" w:sz="0" w:space="0" w:color="auto"/>
                            <w:left w:val="none" w:sz="0" w:space="0" w:color="auto"/>
                            <w:bottom w:val="none" w:sz="0" w:space="0" w:color="auto"/>
                            <w:right w:val="none" w:sz="0" w:space="0" w:color="auto"/>
                          </w:divBdr>
                        </w:div>
                        <w:div w:id="387610041">
                          <w:marLeft w:val="0"/>
                          <w:marRight w:val="0"/>
                          <w:marTop w:val="0"/>
                          <w:marBottom w:val="0"/>
                          <w:divBdr>
                            <w:top w:val="none" w:sz="0" w:space="0" w:color="auto"/>
                            <w:left w:val="none" w:sz="0" w:space="0" w:color="auto"/>
                            <w:bottom w:val="none" w:sz="0" w:space="0" w:color="auto"/>
                            <w:right w:val="none" w:sz="0" w:space="0" w:color="auto"/>
                          </w:divBdr>
                        </w:div>
                        <w:div w:id="2018773727">
                          <w:marLeft w:val="0"/>
                          <w:marRight w:val="0"/>
                          <w:marTop w:val="0"/>
                          <w:marBottom w:val="0"/>
                          <w:divBdr>
                            <w:top w:val="none" w:sz="0" w:space="0" w:color="auto"/>
                            <w:left w:val="none" w:sz="0" w:space="0" w:color="auto"/>
                            <w:bottom w:val="none" w:sz="0" w:space="0" w:color="auto"/>
                            <w:right w:val="none" w:sz="0" w:space="0" w:color="auto"/>
                          </w:divBdr>
                        </w:div>
                        <w:div w:id="230897496">
                          <w:marLeft w:val="0"/>
                          <w:marRight w:val="0"/>
                          <w:marTop w:val="0"/>
                          <w:marBottom w:val="0"/>
                          <w:divBdr>
                            <w:top w:val="none" w:sz="0" w:space="0" w:color="auto"/>
                            <w:left w:val="none" w:sz="0" w:space="0" w:color="auto"/>
                            <w:bottom w:val="none" w:sz="0" w:space="0" w:color="auto"/>
                            <w:right w:val="none" w:sz="0" w:space="0" w:color="auto"/>
                          </w:divBdr>
                        </w:div>
                        <w:div w:id="1064841201">
                          <w:marLeft w:val="0"/>
                          <w:marRight w:val="0"/>
                          <w:marTop w:val="0"/>
                          <w:marBottom w:val="0"/>
                          <w:divBdr>
                            <w:top w:val="none" w:sz="0" w:space="0" w:color="auto"/>
                            <w:left w:val="none" w:sz="0" w:space="0" w:color="auto"/>
                            <w:bottom w:val="none" w:sz="0" w:space="0" w:color="auto"/>
                            <w:right w:val="none" w:sz="0" w:space="0" w:color="auto"/>
                          </w:divBdr>
                        </w:div>
                        <w:div w:id="891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5260">
                  <w:marLeft w:val="0"/>
                  <w:marRight w:val="0"/>
                  <w:marTop w:val="0"/>
                  <w:marBottom w:val="0"/>
                  <w:divBdr>
                    <w:top w:val="none" w:sz="0" w:space="0" w:color="auto"/>
                    <w:left w:val="none" w:sz="0" w:space="0" w:color="auto"/>
                    <w:bottom w:val="none" w:sz="0" w:space="0" w:color="auto"/>
                    <w:right w:val="none" w:sz="0" w:space="0" w:color="auto"/>
                  </w:divBdr>
                  <w:divsChild>
                    <w:div w:id="1377389074">
                      <w:marLeft w:val="0"/>
                      <w:marRight w:val="0"/>
                      <w:marTop w:val="0"/>
                      <w:marBottom w:val="0"/>
                      <w:divBdr>
                        <w:top w:val="none" w:sz="0" w:space="0" w:color="auto"/>
                        <w:left w:val="none" w:sz="0" w:space="0" w:color="auto"/>
                        <w:bottom w:val="none" w:sz="0" w:space="0" w:color="auto"/>
                        <w:right w:val="none" w:sz="0" w:space="0" w:color="auto"/>
                      </w:divBdr>
                      <w:divsChild>
                        <w:div w:id="194775967">
                          <w:marLeft w:val="0"/>
                          <w:marRight w:val="0"/>
                          <w:marTop w:val="0"/>
                          <w:marBottom w:val="0"/>
                          <w:divBdr>
                            <w:top w:val="none" w:sz="0" w:space="0" w:color="auto"/>
                            <w:left w:val="none" w:sz="0" w:space="0" w:color="auto"/>
                            <w:bottom w:val="none" w:sz="0" w:space="0" w:color="auto"/>
                            <w:right w:val="none" w:sz="0" w:space="0" w:color="auto"/>
                          </w:divBdr>
                        </w:div>
                        <w:div w:id="1292707801">
                          <w:marLeft w:val="0"/>
                          <w:marRight w:val="0"/>
                          <w:marTop w:val="0"/>
                          <w:marBottom w:val="0"/>
                          <w:divBdr>
                            <w:top w:val="none" w:sz="0" w:space="0" w:color="auto"/>
                            <w:left w:val="none" w:sz="0" w:space="0" w:color="auto"/>
                            <w:bottom w:val="none" w:sz="0" w:space="0" w:color="auto"/>
                            <w:right w:val="none" w:sz="0" w:space="0" w:color="auto"/>
                          </w:divBdr>
                        </w:div>
                      </w:divsChild>
                    </w:div>
                    <w:div w:id="1035035091">
                      <w:marLeft w:val="0"/>
                      <w:marRight w:val="0"/>
                      <w:marTop w:val="0"/>
                      <w:marBottom w:val="0"/>
                      <w:divBdr>
                        <w:top w:val="none" w:sz="0" w:space="0" w:color="auto"/>
                        <w:left w:val="none" w:sz="0" w:space="0" w:color="auto"/>
                        <w:bottom w:val="none" w:sz="0" w:space="0" w:color="auto"/>
                        <w:right w:val="none" w:sz="0" w:space="0" w:color="auto"/>
                      </w:divBdr>
                    </w:div>
                    <w:div w:id="1887644513">
                      <w:marLeft w:val="0"/>
                      <w:marRight w:val="0"/>
                      <w:marTop w:val="0"/>
                      <w:marBottom w:val="0"/>
                      <w:divBdr>
                        <w:top w:val="none" w:sz="0" w:space="0" w:color="auto"/>
                        <w:left w:val="none" w:sz="0" w:space="0" w:color="auto"/>
                        <w:bottom w:val="none" w:sz="0" w:space="0" w:color="auto"/>
                        <w:right w:val="none" w:sz="0" w:space="0" w:color="auto"/>
                      </w:divBdr>
                    </w:div>
                  </w:divsChild>
                </w:div>
                <w:div w:id="353465459">
                  <w:marLeft w:val="0"/>
                  <w:marRight w:val="0"/>
                  <w:marTop w:val="0"/>
                  <w:marBottom w:val="0"/>
                  <w:divBdr>
                    <w:top w:val="none" w:sz="0" w:space="0" w:color="auto"/>
                    <w:left w:val="none" w:sz="0" w:space="0" w:color="auto"/>
                    <w:bottom w:val="none" w:sz="0" w:space="0" w:color="auto"/>
                    <w:right w:val="none" w:sz="0" w:space="0" w:color="auto"/>
                  </w:divBdr>
                  <w:divsChild>
                    <w:div w:id="552621015">
                      <w:marLeft w:val="0"/>
                      <w:marRight w:val="0"/>
                      <w:marTop w:val="0"/>
                      <w:marBottom w:val="0"/>
                      <w:divBdr>
                        <w:top w:val="none" w:sz="0" w:space="0" w:color="auto"/>
                        <w:left w:val="none" w:sz="0" w:space="0" w:color="auto"/>
                        <w:bottom w:val="none" w:sz="0" w:space="0" w:color="auto"/>
                        <w:right w:val="none" w:sz="0" w:space="0" w:color="auto"/>
                      </w:divBdr>
                    </w:div>
                    <w:div w:id="18744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6767">
      <w:bodyDiv w:val="1"/>
      <w:marLeft w:val="0"/>
      <w:marRight w:val="0"/>
      <w:marTop w:val="0"/>
      <w:marBottom w:val="0"/>
      <w:divBdr>
        <w:top w:val="none" w:sz="0" w:space="0" w:color="auto"/>
        <w:left w:val="none" w:sz="0" w:space="0" w:color="auto"/>
        <w:bottom w:val="none" w:sz="0" w:space="0" w:color="auto"/>
        <w:right w:val="none" w:sz="0" w:space="0" w:color="auto"/>
      </w:divBdr>
    </w:div>
    <w:div w:id="1149245869">
      <w:bodyDiv w:val="1"/>
      <w:marLeft w:val="0"/>
      <w:marRight w:val="0"/>
      <w:marTop w:val="0"/>
      <w:marBottom w:val="0"/>
      <w:divBdr>
        <w:top w:val="none" w:sz="0" w:space="0" w:color="auto"/>
        <w:left w:val="none" w:sz="0" w:space="0" w:color="auto"/>
        <w:bottom w:val="none" w:sz="0" w:space="0" w:color="auto"/>
        <w:right w:val="none" w:sz="0" w:space="0" w:color="auto"/>
      </w:divBdr>
      <w:divsChild>
        <w:div w:id="1971401923">
          <w:marLeft w:val="0"/>
          <w:marRight w:val="0"/>
          <w:marTop w:val="0"/>
          <w:marBottom w:val="0"/>
          <w:divBdr>
            <w:top w:val="none" w:sz="0" w:space="0" w:color="auto"/>
            <w:left w:val="none" w:sz="0" w:space="0" w:color="auto"/>
            <w:bottom w:val="none" w:sz="0" w:space="0" w:color="auto"/>
            <w:right w:val="none" w:sz="0" w:space="0" w:color="auto"/>
          </w:divBdr>
          <w:divsChild>
            <w:div w:id="147745602">
              <w:marLeft w:val="0"/>
              <w:marRight w:val="0"/>
              <w:marTop w:val="0"/>
              <w:marBottom w:val="0"/>
              <w:divBdr>
                <w:top w:val="none" w:sz="0" w:space="0" w:color="auto"/>
                <w:left w:val="none" w:sz="0" w:space="0" w:color="auto"/>
                <w:bottom w:val="none" w:sz="0" w:space="0" w:color="auto"/>
                <w:right w:val="none" w:sz="0" w:space="0" w:color="auto"/>
              </w:divBdr>
              <w:divsChild>
                <w:div w:id="1406759746">
                  <w:marLeft w:val="0"/>
                  <w:marRight w:val="0"/>
                  <w:marTop w:val="0"/>
                  <w:marBottom w:val="0"/>
                  <w:divBdr>
                    <w:top w:val="none" w:sz="0" w:space="0" w:color="auto"/>
                    <w:left w:val="none" w:sz="0" w:space="0" w:color="auto"/>
                    <w:bottom w:val="none" w:sz="0" w:space="0" w:color="auto"/>
                    <w:right w:val="none" w:sz="0" w:space="0" w:color="auto"/>
                  </w:divBdr>
                  <w:divsChild>
                    <w:div w:id="346181314">
                      <w:marLeft w:val="0"/>
                      <w:marRight w:val="0"/>
                      <w:marTop w:val="0"/>
                      <w:marBottom w:val="0"/>
                      <w:divBdr>
                        <w:top w:val="none" w:sz="0" w:space="0" w:color="auto"/>
                        <w:left w:val="none" w:sz="0" w:space="0" w:color="auto"/>
                        <w:bottom w:val="none" w:sz="0" w:space="0" w:color="auto"/>
                        <w:right w:val="none" w:sz="0" w:space="0" w:color="auto"/>
                      </w:divBdr>
                    </w:div>
                    <w:div w:id="408699512">
                      <w:marLeft w:val="0"/>
                      <w:marRight w:val="0"/>
                      <w:marTop w:val="0"/>
                      <w:marBottom w:val="0"/>
                      <w:divBdr>
                        <w:top w:val="none" w:sz="0" w:space="0" w:color="auto"/>
                        <w:left w:val="none" w:sz="0" w:space="0" w:color="auto"/>
                        <w:bottom w:val="none" w:sz="0" w:space="0" w:color="auto"/>
                        <w:right w:val="none" w:sz="0" w:space="0" w:color="auto"/>
                      </w:divBdr>
                    </w:div>
                    <w:div w:id="469324134">
                      <w:marLeft w:val="0"/>
                      <w:marRight w:val="0"/>
                      <w:marTop w:val="0"/>
                      <w:marBottom w:val="0"/>
                      <w:divBdr>
                        <w:top w:val="none" w:sz="0" w:space="0" w:color="auto"/>
                        <w:left w:val="none" w:sz="0" w:space="0" w:color="auto"/>
                        <w:bottom w:val="none" w:sz="0" w:space="0" w:color="auto"/>
                        <w:right w:val="none" w:sz="0" w:space="0" w:color="auto"/>
                      </w:divBdr>
                    </w:div>
                  </w:divsChild>
                </w:div>
                <w:div w:id="1486386590">
                  <w:marLeft w:val="0"/>
                  <w:marRight w:val="0"/>
                  <w:marTop w:val="0"/>
                  <w:marBottom w:val="0"/>
                  <w:divBdr>
                    <w:top w:val="none" w:sz="0" w:space="0" w:color="auto"/>
                    <w:left w:val="none" w:sz="0" w:space="0" w:color="auto"/>
                    <w:bottom w:val="none" w:sz="0" w:space="0" w:color="auto"/>
                    <w:right w:val="none" w:sz="0" w:space="0" w:color="auto"/>
                  </w:divBdr>
                  <w:divsChild>
                    <w:div w:id="1556234539">
                      <w:marLeft w:val="0"/>
                      <w:marRight w:val="0"/>
                      <w:marTop w:val="0"/>
                      <w:marBottom w:val="0"/>
                      <w:divBdr>
                        <w:top w:val="none" w:sz="0" w:space="0" w:color="auto"/>
                        <w:left w:val="none" w:sz="0" w:space="0" w:color="auto"/>
                        <w:bottom w:val="none" w:sz="0" w:space="0" w:color="auto"/>
                        <w:right w:val="none" w:sz="0" w:space="0" w:color="auto"/>
                      </w:divBdr>
                    </w:div>
                    <w:div w:id="465969903">
                      <w:marLeft w:val="0"/>
                      <w:marRight w:val="0"/>
                      <w:marTop w:val="0"/>
                      <w:marBottom w:val="0"/>
                      <w:divBdr>
                        <w:top w:val="none" w:sz="0" w:space="0" w:color="auto"/>
                        <w:left w:val="none" w:sz="0" w:space="0" w:color="auto"/>
                        <w:bottom w:val="none" w:sz="0" w:space="0" w:color="auto"/>
                        <w:right w:val="none" w:sz="0" w:space="0" w:color="auto"/>
                      </w:divBdr>
                    </w:div>
                    <w:div w:id="1330865661">
                      <w:marLeft w:val="0"/>
                      <w:marRight w:val="0"/>
                      <w:marTop w:val="0"/>
                      <w:marBottom w:val="0"/>
                      <w:divBdr>
                        <w:top w:val="none" w:sz="0" w:space="0" w:color="auto"/>
                        <w:left w:val="none" w:sz="0" w:space="0" w:color="auto"/>
                        <w:bottom w:val="none" w:sz="0" w:space="0" w:color="auto"/>
                        <w:right w:val="none" w:sz="0" w:space="0" w:color="auto"/>
                      </w:divBdr>
                    </w:div>
                    <w:div w:id="1236822773">
                      <w:marLeft w:val="0"/>
                      <w:marRight w:val="0"/>
                      <w:marTop w:val="0"/>
                      <w:marBottom w:val="0"/>
                      <w:divBdr>
                        <w:top w:val="none" w:sz="0" w:space="0" w:color="auto"/>
                        <w:left w:val="none" w:sz="0" w:space="0" w:color="auto"/>
                        <w:bottom w:val="none" w:sz="0" w:space="0" w:color="auto"/>
                        <w:right w:val="none" w:sz="0" w:space="0" w:color="auto"/>
                      </w:divBdr>
                    </w:div>
                    <w:div w:id="1816339971">
                      <w:marLeft w:val="0"/>
                      <w:marRight w:val="0"/>
                      <w:marTop w:val="0"/>
                      <w:marBottom w:val="0"/>
                      <w:divBdr>
                        <w:top w:val="none" w:sz="0" w:space="0" w:color="auto"/>
                        <w:left w:val="none" w:sz="0" w:space="0" w:color="auto"/>
                        <w:bottom w:val="none" w:sz="0" w:space="0" w:color="auto"/>
                        <w:right w:val="none" w:sz="0" w:space="0" w:color="auto"/>
                      </w:divBdr>
                    </w:div>
                  </w:divsChild>
                </w:div>
                <w:div w:id="325480267">
                  <w:marLeft w:val="0"/>
                  <w:marRight w:val="0"/>
                  <w:marTop w:val="0"/>
                  <w:marBottom w:val="0"/>
                  <w:divBdr>
                    <w:top w:val="none" w:sz="0" w:space="0" w:color="auto"/>
                    <w:left w:val="none" w:sz="0" w:space="0" w:color="auto"/>
                    <w:bottom w:val="none" w:sz="0" w:space="0" w:color="auto"/>
                    <w:right w:val="none" w:sz="0" w:space="0" w:color="auto"/>
                  </w:divBdr>
                  <w:divsChild>
                    <w:div w:id="1609433939">
                      <w:marLeft w:val="0"/>
                      <w:marRight w:val="0"/>
                      <w:marTop w:val="0"/>
                      <w:marBottom w:val="0"/>
                      <w:divBdr>
                        <w:top w:val="none" w:sz="0" w:space="0" w:color="auto"/>
                        <w:left w:val="none" w:sz="0" w:space="0" w:color="auto"/>
                        <w:bottom w:val="none" w:sz="0" w:space="0" w:color="auto"/>
                        <w:right w:val="none" w:sz="0" w:space="0" w:color="auto"/>
                      </w:divBdr>
                    </w:div>
                  </w:divsChild>
                </w:div>
                <w:div w:id="283510937">
                  <w:marLeft w:val="0"/>
                  <w:marRight w:val="0"/>
                  <w:marTop w:val="0"/>
                  <w:marBottom w:val="0"/>
                  <w:divBdr>
                    <w:top w:val="none" w:sz="0" w:space="0" w:color="auto"/>
                    <w:left w:val="none" w:sz="0" w:space="0" w:color="auto"/>
                    <w:bottom w:val="none" w:sz="0" w:space="0" w:color="auto"/>
                    <w:right w:val="none" w:sz="0" w:space="0" w:color="auto"/>
                  </w:divBdr>
                  <w:divsChild>
                    <w:div w:id="972180109">
                      <w:marLeft w:val="0"/>
                      <w:marRight w:val="0"/>
                      <w:marTop w:val="0"/>
                      <w:marBottom w:val="0"/>
                      <w:divBdr>
                        <w:top w:val="none" w:sz="0" w:space="0" w:color="auto"/>
                        <w:left w:val="none" w:sz="0" w:space="0" w:color="auto"/>
                        <w:bottom w:val="none" w:sz="0" w:space="0" w:color="auto"/>
                        <w:right w:val="none" w:sz="0" w:space="0" w:color="auto"/>
                      </w:divBdr>
                    </w:div>
                    <w:div w:id="459568903">
                      <w:marLeft w:val="0"/>
                      <w:marRight w:val="0"/>
                      <w:marTop w:val="0"/>
                      <w:marBottom w:val="0"/>
                      <w:divBdr>
                        <w:top w:val="none" w:sz="0" w:space="0" w:color="auto"/>
                        <w:left w:val="none" w:sz="0" w:space="0" w:color="auto"/>
                        <w:bottom w:val="none" w:sz="0" w:space="0" w:color="auto"/>
                        <w:right w:val="none" w:sz="0" w:space="0" w:color="auto"/>
                      </w:divBdr>
                    </w:div>
                    <w:div w:id="1669164861">
                      <w:marLeft w:val="0"/>
                      <w:marRight w:val="0"/>
                      <w:marTop w:val="0"/>
                      <w:marBottom w:val="0"/>
                      <w:divBdr>
                        <w:top w:val="none" w:sz="0" w:space="0" w:color="auto"/>
                        <w:left w:val="none" w:sz="0" w:space="0" w:color="auto"/>
                        <w:bottom w:val="none" w:sz="0" w:space="0" w:color="auto"/>
                        <w:right w:val="none" w:sz="0" w:space="0" w:color="auto"/>
                      </w:divBdr>
                    </w:div>
                  </w:divsChild>
                </w:div>
                <w:div w:id="587422516">
                  <w:marLeft w:val="0"/>
                  <w:marRight w:val="0"/>
                  <w:marTop w:val="0"/>
                  <w:marBottom w:val="0"/>
                  <w:divBdr>
                    <w:top w:val="none" w:sz="0" w:space="0" w:color="auto"/>
                    <w:left w:val="none" w:sz="0" w:space="0" w:color="auto"/>
                    <w:bottom w:val="none" w:sz="0" w:space="0" w:color="auto"/>
                    <w:right w:val="none" w:sz="0" w:space="0" w:color="auto"/>
                  </w:divBdr>
                  <w:divsChild>
                    <w:div w:id="1544439503">
                      <w:marLeft w:val="0"/>
                      <w:marRight w:val="0"/>
                      <w:marTop w:val="0"/>
                      <w:marBottom w:val="0"/>
                      <w:divBdr>
                        <w:top w:val="none" w:sz="0" w:space="0" w:color="auto"/>
                        <w:left w:val="none" w:sz="0" w:space="0" w:color="auto"/>
                        <w:bottom w:val="none" w:sz="0" w:space="0" w:color="auto"/>
                        <w:right w:val="none" w:sz="0" w:space="0" w:color="auto"/>
                      </w:divBdr>
                    </w:div>
                  </w:divsChild>
                </w:div>
                <w:div w:id="713847527">
                  <w:marLeft w:val="0"/>
                  <w:marRight w:val="0"/>
                  <w:marTop w:val="0"/>
                  <w:marBottom w:val="0"/>
                  <w:divBdr>
                    <w:top w:val="none" w:sz="0" w:space="0" w:color="auto"/>
                    <w:left w:val="none" w:sz="0" w:space="0" w:color="auto"/>
                    <w:bottom w:val="none" w:sz="0" w:space="0" w:color="auto"/>
                    <w:right w:val="none" w:sz="0" w:space="0" w:color="auto"/>
                  </w:divBdr>
                  <w:divsChild>
                    <w:div w:id="1852602683">
                      <w:marLeft w:val="0"/>
                      <w:marRight w:val="0"/>
                      <w:marTop w:val="0"/>
                      <w:marBottom w:val="0"/>
                      <w:divBdr>
                        <w:top w:val="none" w:sz="0" w:space="0" w:color="auto"/>
                        <w:left w:val="none" w:sz="0" w:space="0" w:color="auto"/>
                        <w:bottom w:val="none" w:sz="0" w:space="0" w:color="auto"/>
                        <w:right w:val="none" w:sz="0" w:space="0" w:color="auto"/>
                      </w:divBdr>
                    </w:div>
                    <w:div w:id="1969119082">
                      <w:marLeft w:val="0"/>
                      <w:marRight w:val="0"/>
                      <w:marTop w:val="0"/>
                      <w:marBottom w:val="0"/>
                      <w:divBdr>
                        <w:top w:val="none" w:sz="0" w:space="0" w:color="auto"/>
                        <w:left w:val="none" w:sz="0" w:space="0" w:color="auto"/>
                        <w:bottom w:val="none" w:sz="0" w:space="0" w:color="auto"/>
                        <w:right w:val="none" w:sz="0" w:space="0" w:color="auto"/>
                      </w:divBdr>
                    </w:div>
                    <w:div w:id="422190160">
                      <w:marLeft w:val="0"/>
                      <w:marRight w:val="0"/>
                      <w:marTop w:val="0"/>
                      <w:marBottom w:val="0"/>
                      <w:divBdr>
                        <w:top w:val="none" w:sz="0" w:space="0" w:color="auto"/>
                        <w:left w:val="none" w:sz="0" w:space="0" w:color="auto"/>
                        <w:bottom w:val="none" w:sz="0" w:space="0" w:color="auto"/>
                        <w:right w:val="none" w:sz="0" w:space="0" w:color="auto"/>
                      </w:divBdr>
                    </w:div>
                  </w:divsChild>
                </w:div>
                <w:div w:id="1903633499">
                  <w:marLeft w:val="0"/>
                  <w:marRight w:val="0"/>
                  <w:marTop w:val="0"/>
                  <w:marBottom w:val="0"/>
                  <w:divBdr>
                    <w:top w:val="none" w:sz="0" w:space="0" w:color="auto"/>
                    <w:left w:val="none" w:sz="0" w:space="0" w:color="auto"/>
                    <w:bottom w:val="none" w:sz="0" w:space="0" w:color="auto"/>
                    <w:right w:val="none" w:sz="0" w:space="0" w:color="auto"/>
                  </w:divBdr>
                  <w:divsChild>
                    <w:div w:id="611011796">
                      <w:marLeft w:val="0"/>
                      <w:marRight w:val="0"/>
                      <w:marTop w:val="0"/>
                      <w:marBottom w:val="0"/>
                      <w:divBdr>
                        <w:top w:val="none" w:sz="0" w:space="0" w:color="auto"/>
                        <w:left w:val="none" w:sz="0" w:space="0" w:color="auto"/>
                        <w:bottom w:val="none" w:sz="0" w:space="0" w:color="auto"/>
                        <w:right w:val="none" w:sz="0" w:space="0" w:color="auto"/>
                      </w:divBdr>
                    </w:div>
                    <w:div w:id="294407340">
                      <w:marLeft w:val="0"/>
                      <w:marRight w:val="0"/>
                      <w:marTop w:val="0"/>
                      <w:marBottom w:val="0"/>
                      <w:divBdr>
                        <w:top w:val="none" w:sz="0" w:space="0" w:color="auto"/>
                        <w:left w:val="none" w:sz="0" w:space="0" w:color="auto"/>
                        <w:bottom w:val="none" w:sz="0" w:space="0" w:color="auto"/>
                        <w:right w:val="none" w:sz="0" w:space="0" w:color="auto"/>
                      </w:divBdr>
                      <w:divsChild>
                        <w:div w:id="2131851338">
                          <w:marLeft w:val="0"/>
                          <w:marRight w:val="0"/>
                          <w:marTop w:val="0"/>
                          <w:marBottom w:val="0"/>
                          <w:divBdr>
                            <w:top w:val="none" w:sz="0" w:space="0" w:color="auto"/>
                            <w:left w:val="none" w:sz="0" w:space="0" w:color="auto"/>
                            <w:bottom w:val="none" w:sz="0" w:space="0" w:color="auto"/>
                            <w:right w:val="none" w:sz="0" w:space="0" w:color="auto"/>
                          </w:divBdr>
                        </w:div>
                        <w:div w:id="1788039880">
                          <w:marLeft w:val="0"/>
                          <w:marRight w:val="0"/>
                          <w:marTop w:val="0"/>
                          <w:marBottom w:val="0"/>
                          <w:divBdr>
                            <w:top w:val="none" w:sz="0" w:space="0" w:color="auto"/>
                            <w:left w:val="none" w:sz="0" w:space="0" w:color="auto"/>
                            <w:bottom w:val="none" w:sz="0" w:space="0" w:color="auto"/>
                            <w:right w:val="none" w:sz="0" w:space="0" w:color="auto"/>
                          </w:divBdr>
                        </w:div>
                        <w:div w:id="1965886066">
                          <w:marLeft w:val="0"/>
                          <w:marRight w:val="0"/>
                          <w:marTop w:val="0"/>
                          <w:marBottom w:val="0"/>
                          <w:divBdr>
                            <w:top w:val="none" w:sz="0" w:space="0" w:color="auto"/>
                            <w:left w:val="none" w:sz="0" w:space="0" w:color="auto"/>
                            <w:bottom w:val="none" w:sz="0" w:space="0" w:color="auto"/>
                            <w:right w:val="none" w:sz="0" w:space="0" w:color="auto"/>
                          </w:divBdr>
                        </w:div>
                        <w:div w:id="930699275">
                          <w:marLeft w:val="0"/>
                          <w:marRight w:val="0"/>
                          <w:marTop w:val="0"/>
                          <w:marBottom w:val="0"/>
                          <w:divBdr>
                            <w:top w:val="none" w:sz="0" w:space="0" w:color="auto"/>
                            <w:left w:val="none" w:sz="0" w:space="0" w:color="auto"/>
                            <w:bottom w:val="none" w:sz="0" w:space="0" w:color="auto"/>
                            <w:right w:val="none" w:sz="0" w:space="0" w:color="auto"/>
                          </w:divBdr>
                        </w:div>
                        <w:div w:id="988746149">
                          <w:marLeft w:val="0"/>
                          <w:marRight w:val="0"/>
                          <w:marTop w:val="0"/>
                          <w:marBottom w:val="0"/>
                          <w:divBdr>
                            <w:top w:val="none" w:sz="0" w:space="0" w:color="auto"/>
                            <w:left w:val="none" w:sz="0" w:space="0" w:color="auto"/>
                            <w:bottom w:val="none" w:sz="0" w:space="0" w:color="auto"/>
                            <w:right w:val="none" w:sz="0" w:space="0" w:color="auto"/>
                          </w:divBdr>
                        </w:div>
                        <w:div w:id="769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0384">
                  <w:marLeft w:val="0"/>
                  <w:marRight w:val="0"/>
                  <w:marTop w:val="0"/>
                  <w:marBottom w:val="0"/>
                  <w:divBdr>
                    <w:top w:val="none" w:sz="0" w:space="0" w:color="auto"/>
                    <w:left w:val="none" w:sz="0" w:space="0" w:color="auto"/>
                    <w:bottom w:val="none" w:sz="0" w:space="0" w:color="auto"/>
                    <w:right w:val="none" w:sz="0" w:space="0" w:color="auto"/>
                  </w:divBdr>
                  <w:divsChild>
                    <w:div w:id="1712918651">
                      <w:marLeft w:val="0"/>
                      <w:marRight w:val="0"/>
                      <w:marTop w:val="0"/>
                      <w:marBottom w:val="0"/>
                      <w:divBdr>
                        <w:top w:val="none" w:sz="0" w:space="0" w:color="auto"/>
                        <w:left w:val="none" w:sz="0" w:space="0" w:color="auto"/>
                        <w:bottom w:val="none" w:sz="0" w:space="0" w:color="auto"/>
                        <w:right w:val="none" w:sz="0" w:space="0" w:color="auto"/>
                      </w:divBdr>
                      <w:divsChild>
                        <w:div w:id="1010990699">
                          <w:marLeft w:val="0"/>
                          <w:marRight w:val="0"/>
                          <w:marTop w:val="0"/>
                          <w:marBottom w:val="0"/>
                          <w:divBdr>
                            <w:top w:val="none" w:sz="0" w:space="0" w:color="auto"/>
                            <w:left w:val="none" w:sz="0" w:space="0" w:color="auto"/>
                            <w:bottom w:val="none" w:sz="0" w:space="0" w:color="auto"/>
                            <w:right w:val="none" w:sz="0" w:space="0" w:color="auto"/>
                          </w:divBdr>
                        </w:div>
                        <w:div w:id="2110731600">
                          <w:marLeft w:val="0"/>
                          <w:marRight w:val="0"/>
                          <w:marTop w:val="0"/>
                          <w:marBottom w:val="0"/>
                          <w:divBdr>
                            <w:top w:val="none" w:sz="0" w:space="0" w:color="auto"/>
                            <w:left w:val="none" w:sz="0" w:space="0" w:color="auto"/>
                            <w:bottom w:val="none" w:sz="0" w:space="0" w:color="auto"/>
                            <w:right w:val="none" w:sz="0" w:space="0" w:color="auto"/>
                          </w:divBdr>
                        </w:div>
                      </w:divsChild>
                    </w:div>
                    <w:div w:id="1080180069">
                      <w:marLeft w:val="0"/>
                      <w:marRight w:val="0"/>
                      <w:marTop w:val="0"/>
                      <w:marBottom w:val="0"/>
                      <w:divBdr>
                        <w:top w:val="none" w:sz="0" w:space="0" w:color="auto"/>
                        <w:left w:val="none" w:sz="0" w:space="0" w:color="auto"/>
                        <w:bottom w:val="none" w:sz="0" w:space="0" w:color="auto"/>
                        <w:right w:val="none" w:sz="0" w:space="0" w:color="auto"/>
                      </w:divBdr>
                    </w:div>
                    <w:div w:id="1427381262">
                      <w:marLeft w:val="0"/>
                      <w:marRight w:val="0"/>
                      <w:marTop w:val="0"/>
                      <w:marBottom w:val="0"/>
                      <w:divBdr>
                        <w:top w:val="none" w:sz="0" w:space="0" w:color="auto"/>
                        <w:left w:val="none" w:sz="0" w:space="0" w:color="auto"/>
                        <w:bottom w:val="none" w:sz="0" w:space="0" w:color="auto"/>
                        <w:right w:val="none" w:sz="0" w:space="0" w:color="auto"/>
                      </w:divBdr>
                    </w:div>
                  </w:divsChild>
                </w:div>
                <w:div w:id="619459230">
                  <w:marLeft w:val="0"/>
                  <w:marRight w:val="0"/>
                  <w:marTop w:val="0"/>
                  <w:marBottom w:val="0"/>
                  <w:divBdr>
                    <w:top w:val="none" w:sz="0" w:space="0" w:color="auto"/>
                    <w:left w:val="none" w:sz="0" w:space="0" w:color="auto"/>
                    <w:bottom w:val="none" w:sz="0" w:space="0" w:color="auto"/>
                    <w:right w:val="none" w:sz="0" w:space="0" w:color="auto"/>
                  </w:divBdr>
                  <w:divsChild>
                    <w:div w:id="1659460364">
                      <w:marLeft w:val="0"/>
                      <w:marRight w:val="0"/>
                      <w:marTop w:val="0"/>
                      <w:marBottom w:val="0"/>
                      <w:divBdr>
                        <w:top w:val="none" w:sz="0" w:space="0" w:color="auto"/>
                        <w:left w:val="none" w:sz="0" w:space="0" w:color="auto"/>
                        <w:bottom w:val="none" w:sz="0" w:space="0" w:color="auto"/>
                        <w:right w:val="none" w:sz="0" w:space="0" w:color="auto"/>
                      </w:divBdr>
                    </w:div>
                    <w:div w:id="209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23"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22" Type="http://schemas.microsoft.com/office/2018/08/relationships/commentsExtensible" Target="commentsExtensible.xml"/></Relationships>
</file>

<file path=word/theme/theme1.xml><?xml version="1.0" encoding="utf-8"?>
<a:theme xmlns:a="http://schemas.openxmlformats.org/drawingml/2006/main" name="STUK">
  <a:themeElements>
    <a:clrScheme name="STUK">
      <a:dk1>
        <a:srgbClr val="000000"/>
      </a:dk1>
      <a:lt1>
        <a:sysClr val="window" lastClr="FFFFFF"/>
      </a:lt1>
      <a:dk2>
        <a:srgbClr val="0066B3"/>
      </a:dk2>
      <a:lt2>
        <a:srgbClr val="C99AC6"/>
      </a:lt2>
      <a:accent1>
        <a:srgbClr val="0066B3"/>
      </a:accent1>
      <a:accent2>
        <a:srgbClr val="50C2BF"/>
      </a:accent2>
      <a:accent3>
        <a:srgbClr val="F48480"/>
      </a:accent3>
      <a:accent4>
        <a:srgbClr val="FCBA61"/>
      </a:accent4>
      <a:accent5>
        <a:srgbClr val="6ECFF6"/>
      </a:accent5>
      <a:accent6>
        <a:srgbClr val="94CC80"/>
      </a:accent6>
      <a:hlink>
        <a:srgbClr val="50C2BF"/>
      </a:hlink>
      <a:folHlink>
        <a:srgbClr val="9999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9BA3397795A2F48867FF3F64B0035A7" ma:contentTypeVersion="" ma:contentTypeDescription="Luo uusi asiakirja." ma:contentTypeScope="" ma:versionID="fb7513fa99ad36830b2c9c08a5c06ecd">
  <xsd:schema xmlns:xsd="http://www.w3.org/2001/XMLSchema" xmlns:xs="http://www.w3.org/2001/XMLSchema" xmlns:p="http://schemas.microsoft.com/office/2006/metadata/properties" xmlns:ns2="d64730fd-6437-49c1-8c16-95a3c9d8b474" targetNamespace="http://schemas.microsoft.com/office/2006/metadata/properties" ma:root="true" ma:fieldsID="a84e9878e37df710daa06f52fec0108d" ns2:_="">
    <xsd:import namespace="d64730fd-6437-49c1-8c16-95a3c9d8b4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730fd-6437-49c1-8c16-95a3c9d8b474"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3BD8A-6E76-4FFF-8FEC-1EFF8A0D2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730fd-6437-49c1-8c16-95a3c9d8b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95E1E-504B-4AAE-86EB-C91C9EF722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37B7F-90FD-4FDA-979E-7CEA54457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1097</Words>
  <Characters>8889</Characters>
  <Application>Microsoft Office Word</Application>
  <DocSecurity>0</DocSecurity>
  <Lines>74</Lines>
  <Paragraphs>19</Paragraphs>
  <ScaleCrop>false</ScaleCrop>
  <HeadingPairs>
    <vt:vector size="6" baseType="variant">
      <vt:variant>
        <vt:lpstr>Otsikko</vt:lpstr>
      </vt:variant>
      <vt:variant>
        <vt:i4>1</vt:i4>
      </vt:variant>
      <vt:variant>
        <vt:lpstr>Otsikot</vt:lpstr>
      </vt:variant>
      <vt:variant>
        <vt:i4>19</vt:i4>
      </vt:variant>
      <vt:variant>
        <vt:lpstr>Title</vt:lpstr>
      </vt:variant>
      <vt:variant>
        <vt:i4>1</vt:i4>
      </vt:variant>
    </vt:vector>
  </HeadingPairs>
  <TitlesOfParts>
    <vt:vector size="21" baseType="lpstr">
      <vt:lpstr/>
      <vt:lpstr>Social- och hälsovårdsministeriets förordning om avgifter som ska tas ut 2023−20</vt:lpstr>
      <vt:lpstr>        1 §</vt:lpstr>
      <vt:lpstr>        Tillämpningsområde</vt:lpstr>
      <vt:lpstr>        2 §</vt:lpstr>
      <vt:lpstr>        Avgiftsbelagda offentligrättsliga prestationer</vt:lpstr>
      <vt:lpstr>        3 §</vt:lpstr>
      <vt:lpstr>        Avgifter för begäranden om information</vt:lpstr>
      <vt:lpstr>        4 §</vt:lpstr>
      <vt:lpstr>        Inverkan på avgiften av beslutet i ett ärende</vt:lpstr>
      <vt:lpstr>        5 §</vt:lpstr>
      <vt:lpstr>        Avgift för ett ärende som återförvisas för behandling</vt:lpstr>
      <vt:lpstr>        6 §</vt:lpstr>
      <vt:lpstr>        Avgiftsfria offentligrättsliga prestationer</vt:lpstr>
      <vt:lpstr>        7 §</vt:lpstr>
      <vt:lpstr>        Övriga avgiftsbelagda prestationer</vt:lpstr>
      <vt:lpstr>        8 §</vt:lpstr>
      <vt:lpstr>        Avgiftsfria övriga prestationer</vt:lpstr>
      <vt:lpstr>        9 §</vt:lpstr>
      <vt:lpstr>        Ikraftträdande och övergångsbestämmelser</vt: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Haataja Ville (STUK)</dc:creator>
  <cp:keywords/>
  <dc:description/>
  <cp:lastModifiedBy>Korpinen Helena (STM)</cp:lastModifiedBy>
  <cp:revision>3</cp:revision>
  <dcterms:created xsi:type="dcterms:W3CDTF">2022-11-08T13:17:00Z</dcterms:created>
  <dcterms:modified xsi:type="dcterms:W3CDTF">2022-11-08T13:17:00Z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0x01010099BA3397795A2F48867FF3F64B0035A7</vt:lpwstr>
  </property>
</Properties>
</file>