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Otsikko"/>
        <w:id w:val="3103738"/>
        <w:placeholder>
          <w:docPart w:val="E1D1A5A6999B4EE39D4D6A60971D592E"/>
        </w:placeholder>
        <w:dataBinding w:prefixMappings="xmlns:ns0='http://purl.org/dc/elements/1.1/' xmlns:ns1='http://schemas.openxmlformats.org/package/2006/metadata/core-properties' " w:xpath="/ns1:coreProperties[1]/ns0:title[1]" w:storeItemID="{6C3C8BC8-F283-45AE-878A-BAB7291924A1}"/>
        <w:text/>
      </w:sdtPr>
      <w:sdtEndPr/>
      <w:sdtContent>
        <w:p w14:paraId="30D627B4" w14:textId="2CD1E41C" w:rsidR="00587B3D" w:rsidRDefault="008D18C1" w:rsidP="00587B3D">
          <w:pPr>
            <w:pStyle w:val="Otsikko"/>
          </w:pPr>
          <w:r>
            <w:t>Valtion taloushallinnon mittaritietojen kerääminen ja julkaisu</w:t>
          </w:r>
        </w:p>
      </w:sdtContent>
    </w:sdt>
    <w:p w14:paraId="4199A447" w14:textId="0BA49F58" w:rsidR="00234B81" w:rsidRPr="00495BA7" w:rsidRDefault="00234B81" w:rsidP="00495BA7">
      <w:pPr>
        <w:spacing w:after="160" w:line="259" w:lineRule="auto"/>
        <w:ind w:left="2608"/>
        <w:rPr>
          <w:rFonts w:asciiTheme="majorHAnsi" w:eastAsia="Calibri" w:hAnsiTheme="majorHAnsi" w:cstheme="majorHAnsi"/>
        </w:rPr>
      </w:pPr>
      <w:r w:rsidRPr="00495BA7">
        <w:rPr>
          <w:rFonts w:asciiTheme="majorHAnsi" w:eastAsia="Calibri" w:hAnsiTheme="majorHAnsi" w:cstheme="majorHAnsi"/>
        </w:rPr>
        <w:t>Vuonna 2020 julkaistun julkisen hallinnon strategian taustalla on tieto siitä, että suomalainen yhteiskunta on voimakkaassa murroksessa muun muassa väestön ikääntymisen, muuttoliikkeen ja digitalisaation myötä. Yhdeksi kuudesta strategian päämäär</w:t>
      </w:r>
      <w:r w:rsidR="00142000" w:rsidRPr="00495BA7">
        <w:rPr>
          <w:rFonts w:asciiTheme="majorHAnsi" w:eastAsia="Calibri" w:hAnsiTheme="majorHAnsi" w:cstheme="majorHAnsi"/>
        </w:rPr>
        <w:t>istä</w:t>
      </w:r>
      <w:r w:rsidRPr="00495BA7">
        <w:rPr>
          <w:rFonts w:asciiTheme="majorHAnsi" w:eastAsia="Calibri" w:hAnsiTheme="majorHAnsi" w:cstheme="majorHAnsi"/>
        </w:rPr>
        <w:t xml:space="preserve"> on asetettu se, että hallinnon valmistelua ja päätöksentekoa ohjaa tietoperusteisuus ja päätösten perustana oleva tieto on avoimesti saatavilla. Hallinto kykenee perusteltuihin päätöksiin ja tunnistaa uudenlaisia toiminnan mahdollisuuksia, kun se hyödyntää laajasti luotettavaa ja monipuolista tietoa ja rakentaa kansainvälisiä kumppanuuksia. </w:t>
      </w:r>
    </w:p>
    <w:p w14:paraId="3E401BF9" w14:textId="62C2A8C3" w:rsidR="00234B81" w:rsidRPr="00495BA7" w:rsidRDefault="00234B81" w:rsidP="00234B81">
      <w:pPr>
        <w:spacing w:after="160" w:line="259" w:lineRule="auto"/>
        <w:ind w:left="2608"/>
        <w:rPr>
          <w:rFonts w:asciiTheme="majorHAnsi" w:eastAsia="Calibri" w:hAnsiTheme="majorHAnsi" w:cstheme="majorHAnsi"/>
        </w:rPr>
      </w:pPr>
      <w:r w:rsidRPr="00495BA7">
        <w:rPr>
          <w:rFonts w:asciiTheme="majorHAnsi" w:eastAsia="Calibri" w:hAnsiTheme="majorHAnsi" w:cstheme="majorHAnsi"/>
        </w:rPr>
        <w:t>Muuttuvassa toimintaympäristössä hallinnon toimintaky</w:t>
      </w:r>
      <w:r w:rsidR="00142000" w:rsidRPr="00495BA7">
        <w:rPr>
          <w:rFonts w:asciiTheme="majorHAnsi" w:eastAsia="Calibri" w:hAnsiTheme="majorHAnsi" w:cstheme="majorHAnsi"/>
        </w:rPr>
        <w:t>kyä</w:t>
      </w:r>
      <w:r w:rsidRPr="00495BA7">
        <w:rPr>
          <w:rFonts w:asciiTheme="majorHAnsi" w:eastAsia="Calibri" w:hAnsiTheme="majorHAnsi" w:cstheme="majorHAnsi"/>
        </w:rPr>
        <w:t xml:space="preserve"> varmistaa se, että hallinnossa hyödynnetään laadukasta tietoa monipuolisesti ja kehitetään ennakointia järjestelmällisesti, jotta tarvittaessa voidaan muodostaa nopeasti laadukas tietopohja. </w:t>
      </w:r>
    </w:p>
    <w:p w14:paraId="60D12DDC" w14:textId="192713B6" w:rsidR="001E6D62" w:rsidRPr="00495BA7" w:rsidRDefault="001E6D62" w:rsidP="00234B81">
      <w:pPr>
        <w:spacing w:after="160" w:line="259" w:lineRule="auto"/>
        <w:ind w:left="2608"/>
        <w:rPr>
          <w:rFonts w:asciiTheme="majorHAnsi" w:eastAsia="Calibri" w:hAnsiTheme="majorHAnsi" w:cstheme="majorHAnsi"/>
        </w:rPr>
      </w:pPr>
      <w:r w:rsidRPr="00495BA7">
        <w:rPr>
          <w:rFonts w:asciiTheme="majorHAnsi" w:eastAsia="Calibri" w:hAnsiTheme="majorHAnsi" w:cstheme="majorHAnsi"/>
        </w:rPr>
        <w:t>Strategiassa tavoiteltavan muutoksen toteuttaminen edellyttää m</w:t>
      </w:r>
      <w:r w:rsidR="0031107B">
        <w:rPr>
          <w:rFonts w:asciiTheme="majorHAnsi" w:eastAsia="Calibri" w:hAnsiTheme="majorHAnsi" w:cstheme="majorHAnsi"/>
        </w:rPr>
        <w:t>uun muassa</w:t>
      </w:r>
      <w:r w:rsidRPr="00495BA7">
        <w:rPr>
          <w:rFonts w:asciiTheme="majorHAnsi" w:eastAsia="Calibri" w:hAnsiTheme="majorHAnsi" w:cstheme="majorHAnsi"/>
        </w:rPr>
        <w:t xml:space="preserve"> seuraavia toimenpiteitä:</w:t>
      </w:r>
    </w:p>
    <w:p w14:paraId="155DC44A" w14:textId="75FB369D" w:rsidR="001E6D62" w:rsidRPr="00495BA7" w:rsidRDefault="001E6D62" w:rsidP="001E6D62">
      <w:pPr>
        <w:pStyle w:val="Luettelokappale"/>
        <w:numPr>
          <w:ilvl w:val="0"/>
          <w:numId w:val="17"/>
        </w:numPr>
        <w:spacing w:after="160" w:line="259" w:lineRule="auto"/>
        <w:rPr>
          <w:rFonts w:asciiTheme="majorHAnsi" w:eastAsia="Calibri" w:hAnsiTheme="majorHAnsi" w:cstheme="majorHAnsi"/>
        </w:rPr>
      </w:pPr>
      <w:r w:rsidRPr="00495BA7">
        <w:rPr>
          <w:rFonts w:asciiTheme="majorHAnsi" w:eastAsia="Calibri" w:hAnsiTheme="majorHAnsi" w:cstheme="majorHAnsi"/>
        </w:rPr>
        <w:t xml:space="preserve">järjestelmällisestä ennakoinnista ja tulevaisuusajattelusta </w:t>
      </w:r>
      <w:r w:rsidR="008D110F" w:rsidRPr="00495BA7">
        <w:rPr>
          <w:rFonts w:asciiTheme="majorHAnsi" w:eastAsia="Calibri" w:hAnsiTheme="majorHAnsi" w:cstheme="majorHAnsi"/>
        </w:rPr>
        <w:t xml:space="preserve">tehdään </w:t>
      </w:r>
      <w:r w:rsidRPr="00495BA7">
        <w:rPr>
          <w:rFonts w:asciiTheme="majorHAnsi" w:eastAsia="Calibri" w:hAnsiTheme="majorHAnsi" w:cstheme="majorHAnsi"/>
        </w:rPr>
        <w:t>keskei</w:t>
      </w:r>
      <w:r w:rsidR="00A13A10">
        <w:rPr>
          <w:rFonts w:asciiTheme="majorHAnsi" w:eastAsia="Calibri" w:hAnsiTheme="majorHAnsi" w:cstheme="majorHAnsi"/>
        </w:rPr>
        <w:t>ne</w:t>
      </w:r>
      <w:r w:rsidRPr="00495BA7">
        <w:rPr>
          <w:rFonts w:asciiTheme="majorHAnsi" w:eastAsia="Calibri" w:hAnsiTheme="majorHAnsi" w:cstheme="majorHAnsi"/>
        </w:rPr>
        <w:t>n osa johtamista sekä valmistelu- ja päätöksentekoprosesseja</w:t>
      </w:r>
    </w:p>
    <w:p w14:paraId="49401789" w14:textId="1E839431" w:rsidR="001E6D62" w:rsidRPr="00495BA7" w:rsidRDefault="008D110F" w:rsidP="001E6D62">
      <w:pPr>
        <w:pStyle w:val="Luettelokappale"/>
        <w:numPr>
          <w:ilvl w:val="0"/>
          <w:numId w:val="17"/>
        </w:numPr>
        <w:spacing w:after="160" w:line="259" w:lineRule="auto"/>
        <w:rPr>
          <w:rFonts w:asciiTheme="majorHAnsi" w:eastAsia="Calibri" w:hAnsiTheme="majorHAnsi" w:cstheme="majorHAnsi"/>
        </w:rPr>
      </w:pPr>
      <w:r w:rsidRPr="00495BA7">
        <w:rPr>
          <w:rFonts w:asciiTheme="majorHAnsi" w:eastAsia="Calibri" w:hAnsiTheme="majorHAnsi" w:cstheme="majorHAnsi"/>
        </w:rPr>
        <w:t>h</w:t>
      </w:r>
      <w:r w:rsidR="001E6D62" w:rsidRPr="00495BA7">
        <w:rPr>
          <w:rFonts w:asciiTheme="majorHAnsi" w:eastAsia="Calibri" w:hAnsiTheme="majorHAnsi" w:cstheme="majorHAnsi"/>
        </w:rPr>
        <w:t xml:space="preserve">yödynnettäviä tietopohjia ja verkostoja </w:t>
      </w:r>
      <w:r w:rsidRPr="00495BA7">
        <w:rPr>
          <w:rFonts w:asciiTheme="majorHAnsi" w:eastAsia="Calibri" w:hAnsiTheme="majorHAnsi" w:cstheme="majorHAnsi"/>
        </w:rPr>
        <w:t>vahvistetaan ja monipuolistetaan</w:t>
      </w:r>
    </w:p>
    <w:p w14:paraId="36C55986" w14:textId="238C9C5A" w:rsidR="001E6D62" w:rsidRPr="00495BA7" w:rsidRDefault="008D110F" w:rsidP="00495BA7">
      <w:pPr>
        <w:pStyle w:val="Luettelokappale"/>
        <w:numPr>
          <w:ilvl w:val="0"/>
          <w:numId w:val="17"/>
        </w:numPr>
        <w:spacing w:after="160" w:line="259" w:lineRule="auto"/>
        <w:rPr>
          <w:rFonts w:asciiTheme="majorHAnsi" w:eastAsia="Calibri" w:hAnsiTheme="majorHAnsi" w:cstheme="majorHAnsi"/>
        </w:rPr>
      </w:pPr>
      <w:r w:rsidRPr="00495BA7">
        <w:rPr>
          <w:rFonts w:asciiTheme="majorHAnsi" w:eastAsia="Calibri" w:hAnsiTheme="majorHAnsi" w:cstheme="majorHAnsi"/>
        </w:rPr>
        <w:t xml:space="preserve">kehitetään </w:t>
      </w:r>
      <w:r w:rsidR="001E6D62" w:rsidRPr="00495BA7">
        <w:rPr>
          <w:rFonts w:asciiTheme="majorHAnsi" w:eastAsia="Calibri" w:hAnsiTheme="majorHAnsi" w:cstheme="majorHAnsi"/>
        </w:rPr>
        <w:t>kyvykkyyksiä tiedon ja reaaliaikaisen datan avaamiseen ja hyödyntämiseen</w:t>
      </w:r>
      <w:r w:rsidR="00A13A10">
        <w:rPr>
          <w:rFonts w:asciiTheme="majorHAnsi" w:eastAsia="Calibri" w:hAnsiTheme="majorHAnsi" w:cstheme="majorHAnsi"/>
        </w:rPr>
        <w:t>.</w:t>
      </w:r>
    </w:p>
    <w:p w14:paraId="0DBA4EA1" w14:textId="77777777" w:rsidR="0030360A" w:rsidRDefault="00DA5E93" w:rsidP="00DA5E93">
      <w:pPr>
        <w:spacing w:after="160" w:line="259" w:lineRule="auto"/>
        <w:ind w:left="2608"/>
        <w:rPr>
          <w:rFonts w:asciiTheme="majorHAnsi" w:eastAsia="Calibri" w:hAnsiTheme="majorHAnsi" w:cstheme="majorHAnsi"/>
        </w:rPr>
      </w:pPr>
      <w:r w:rsidRPr="00495BA7">
        <w:rPr>
          <w:rFonts w:asciiTheme="majorHAnsi" w:eastAsia="Calibri" w:hAnsiTheme="majorHAnsi" w:cstheme="majorHAnsi"/>
        </w:rPr>
        <w:t xml:space="preserve">Sanna </w:t>
      </w:r>
      <w:proofErr w:type="spellStart"/>
      <w:r w:rsidRPr="00495BA7">
        <w:rPr>
          <w:rFonts w:asciiTheme="majorHAnsi" w:eastAsia="Calibri" w:hAnsiTheme="majorHAnsi" w:cstheme="majorHAnsi"/>
        </w:rPr>
        <w:t>Marinin</w:t>
      </w:r>
      <w:proofErr w:type="spellEnd"/>
      <w:r w:rsidRPr="00495BA7">
        <w:rPr>
          <w:rFonts w:asciiTheme="majorHAnsi" w:eastAsia="Calibri" w:hAnsiTheme="majorHAnsi" w:cstheme="majorHAnsi"/>
        </w:rPr>
        <w:t xml:space="preserve"> johtaman hallituksen hallitusohjelmassa todetaan, että hallitus </w:t>
      </w:r>
      <w:r w:rsidR="00B571DB" w:rsidRPr="00495BA7">
        <w:rPr>
          <w:rFonts w:asciiTheme="majorHAnsi" w:eastAsia="Calibri" w:hAnsiTheme="majorHAnsi" w:cstheme="majorHAnsi"/>
        </w:rPr>
        <w:t xml:space="preserve">haluaa </w:t>
      </w:r>
      <w:r w:rsidRPr="00495BA7">
        <w:rPr>
          <w:rFonts w:asciiTheme="majorHAnsi" w:eastAsia="Calibri" w:hAnsiTheme="majorHAnsi" w:cstheme="majorHAnsi"/>
        </w:rPr>
        <w:t>edistää siirtymistä reaaliaikatalouteen ja tehdä Suomesta reaaliaikatalouden edelläkävijämarkkinan.</w:t>
      </w:r>
      <w:r w:rsidR="00611090" w:rsidRPr="00495BA7">
        <w:rPr>
          <w:rFonts w:asciiTheme="majorHAnsi" w:eastAsia="Calibri" w:hAnsiTheme="majorHAnsi" w:cstheme="majorHAnsi"/>
        </w:rPr>
        <w:t xml:space="preserve"> Hankintasanomien, s</w:t>
      </w:r>
      <w:r w:rsidRPr="00495BA7">
        <w:rPr>
          <w:rFonts w:asciiTheme="majorHAnsi" w:eastAsia="Calibri" w:hAnsiTheme="majorHAnsi" w:cstheme="majorHAnsi"/>
        </w:rPr>
        <w:t>ähköisten laskujen ja kuittien laajaan käyttöönottoon kannustetaan</w:t>
      </w:r>
      <w:r w:rsidR="00213EDF" w:rsidRPr="00495BA7">
        <w:rPr>
          <w:rFonts w:asciiTheme="majorHAnsi" w:eastAsia="Calibri" w:hAnsiTheme="majorHAnsi" w:cstheme="majorHAnsi"/>
        </w:rPr>
        <w:t>. J</w:t>
      </w:r>
      <w:r w:rsidRPr="00495BA7">
        <w:rPr>
          <w:rFonts w:asciiTheme="majorHAnsi" w:eastAsia="Calibri" w:hAnsiTheme="majorHAnsi" w:cstheme="majorHAnsi"/>
        </w:rPr>
        <w:t xml:space="preserve">ulkinen sektori tulee toimimaan käyttöönoton etulinjassa. </w:t>
      </w:r>
      <w:r w:rsidR="00611090" w:rsidRPr="00495BA7">
        <w:rPr>
          <w:rFonts w:asciiTheme="majorHAnsi" w:eastAsia="Calibri" w:hAnsiTheme="majorHAnsi" w:cstheme="majorHAnsi"/>
        </w:rPr>
        <w:t xml:space="preserve">Valtionhallinto toimii esimerkkinä muille yhteiskunnan toimijoille ja luo perustan käytön laajentamiseksi muualle yhteiskuntaan. </w:t>
      </w:r>
      <w:r w:rsidRPr="00495BA7">
        <w:rPr>
          <w:rFonts w:asciiTheme="majorHAnsi" w:eastAsia="Calibri" w:hAnsiTheme="majorHAnsi" w:cstheme="majorHAnsi"/>
        </w:rPr>
        <w:t>Uuden toimintamallin käyttöönotto mahdollistaa valtiolle sujuvamman prosessin sekä kustannuksia säästävän yhteistyön eri toimijoiden keske</w:t>
      </w:r>
      <w:r w:rsidR="00187451" w:rsidRPr="00495BA7">
        <w:rPr>
          <w:rFonts w:asciiTheme="majorHAnsi" w:eastAsia="Calibri" w:hAnsiTheme="majorHAnsi" w:cstheme="majorHAnsi"/>
        </w:rPr>
        <w:t>n</w:t>
      </w:r>
      <w:r w:rsidRPr="00495BA7">
        <w:rPr>
          <w:rFonts w:asciiTheme="majorHAnsi" w:eastAsia="Calibri" w:hAnsiTheme="majorHAnsi" w:cstheme="majorHAnsi"/>
        </w:rPr>
        <w:t>.</w:t>
      </w:r>
    </w:p>
    <w:p w14:paraId="560EB825" w14:textId="77777777" w:rsidR="00AD015B" w:rsidRDefault="003975A1" w:rsidP="00DA5E93">
      <w:pPr>
        <w:spacing w:after="160" w:line="259" w:lineRule="auto"/>
        <w:ind w:left="2608"/>
        <w:rPr>
          <w:rFonts w:asciiTheme="majorHAnsi" w:eastAsia="Calibri" w:hAnsiTheme="majorHAnsi" w:cstheme="majorHAnsi"/>
        </w:rPr>
      </w:pPr>
      <w:r w:rsidRPr="00495BA7">
        <w:rPr>
          <w:rFonts w:asciiTheme="majorHAnsi" w:eastAsia="Calibri" w:hAnsiTheme="majorHAnsi" w:cstheme="majorHAnsi"/>
        </w:rPr>
        <w:t>Maailmanpoliittinen tilanne ja ulkopuolelta tulevat vaikuttamisyritykset asettavat vaatimuksia taloushallinnon riskienhallinnalle sekä prosessien kontrollien ja seurannan tiiviimmälle integroinnille osaksi operatiivista toimintaa</w:t>
      </w:r>
      <w:r>
        <w:rPr>
          <w:rFonts w:asciiTheme="majorHAnsi" w:eastAsia="Calibri" w:hAnsiTheme="majorHAnsi" w:cstheme="majorHAnsi"/>
        </w:rPr>
        <w:t>.</w:t>
      </w:r>
      <w:r w:rsidR="00CD6A56">
        <w:rPr>
          <w:rFonts w:asciiTheme="majorHAnsi" w:eastAsia="Calibri" w:hAnsiTheme="majorHAnsi" w:cstheme="majorHAnsi"/>
        </w:rPr>
        <w:t xml:space="preserve"> </w:t>
      </w:r>
      <w:r w:rsidR="00AD015B" w:rsidRPr="00495BA7">
        <w:rPr>
          <w:rFonts w:asciiTheme="majorHAnsi" w:eastAsia="Calibri" w:hAnsiTheme="majorHAnsi" w:cstheme="majorHAnsi"/>
        </w:rPr>
        <w:t xml:space="preserve">Valtionhallinnossa yhteiset taloushallinnon prosessit, niille asetetut tavoitteet ja tavoitteiden toteutumisen seurantaa tukemaan tunnistetut mittarit </w:t>
      </w:r>
      <w:r w:rsidR="00611090" w:rsidRPr="00495BA7">
        <w:rPr>
          <w:rFonts w:asciiTheme="majorHAnsi" w:eastAsia="Calibri" w:hAnsiTheme="majorHAnsi" w:cstheme="majorHAnsi"/>
        </w:rPr>
        <w:t xml:space="preserve">tukevat prosessiohjausta, </w:t>
      </w:r>
      <w:r w:rsidR="00AD015B" w:rsidRPr="00495BA7">
        <w:rPr>
          <w:rFonts w:asciiTheme="majorHAnsi" w:eastAsia="Calibri" w:hAnsiTheme="majorHAnsi" w:cstheme="majorHAnsi"/>
        </w:rPr>
        <w:t xml:space="preserve">varmistavat yhteisen etenemisen suunnan ja mahdollisuuden reagoida poikkeamiin. </w:t>
      </w:r>
    </w:p>
    <w:p w14:paraId="7903C8A0" w14:textId="56BB1516" w:rsidR="005C4E34" w:rsidRDefault="00611090" w:rsidP="00CD6A56">
      <w:pPr>
        <w:spacing w:after="160" w:line="259" w:lineRule="auto"/>
        <w:ind w:left="2608"/>
      </w:pPr>
      <w:r w:rsidRPr="00495BA7">
        <w:t xml:space="preserve">Yhteisten prosessien ja toiminnan ohjauksen lisäksi merkittävää vaikutusta on saatavissa aikaan yhteisten tietojärjestelmien oikeanlaisella ja tehokkaalla käytöllä. </w:t>
      </w:r>
      <w:proofErr w:type="spellStart"/>
      <w:r w:rsidR="00DB02BB" w:rsidRPr="00495BA7">
        <w:t>Handi</w:t>
      </w:r>
      <w:proofErr w:type="spellEnd"/>
      <w:r w:rsidR="00DB02BB" w:rsidRPr="00495BA7">
        <w:t>-palvelun tulevilla lisäyksillä</w:t>
      </w:r>
      <w:r w:rsidR="003F17F7">
        <w:t xml:space="preserve"> sekä </w:t>
      </w:r>
      <w:proofErr w:type="spellStart"/>
      <w:r w:rsidR="00DB02BB" w:rsidRPr="00495BA7">
        <w:t>Kiekun</w:t>
      </w:r>
      <w:proofErr w:type="spellEnd"/>
      <w:r w:rsidR="00DB02BB" w:rsidRPr="00495BA7">
        <w:t xml:space="preserve"> S/4 HANA -</w:t>
      </w:r>
      <w:r w:rsidR="003F17F7">
        <w:lastRenderedPageBreak/>
        <w:t>muutoksilla</w:t>
      </w:r>
      <w:r w:rsidR="003F17F7" w:rsidRPr="00495BA7">
        <w:t xml:space="preserve"> </w:t>
      </w:r>
      <w:r w:rsidR="00DB02BB" w:rsidRPr="00495BA7">
        <w:t>ja AI-tiliöinnin lisäämisellä digitalisoidaan</w:t>
      </w:r>
      <w:r w:rsidR="003975A1" w:rsidRPr="00495BA7">
        <w:t xml:space="preserve"> prosessia</w:t>
      </w:r>
      <w:r w:rsidR="00DB02BB" w:rsidRPr="00495BA7">
        <w:t xml:space="preserve"> ja tehostetaan yhteisten tietojärjestelmien toimin</w:t>
      </w:r>
      <w:r w:rsidR="003975A1" w:rsidRPr="00495BA7">
        <w:t xml:space="preserve">taa. </w:t>
      </w:r>
    </w:p>
    <w:p w14:paraId="1A8BE080" w14:textId="5E363F42" w:rsidR="00CD6A56" w:rsidRPr="00495BA7" w:rsidRDefault="00CD6A56" w:rsidP="00CD6A56">
      <w:pPr>
        <w:ind w:left="2608"/>
        <w:rPr>
          <w:rFonts w:asciiTheme="majorHAnsi" w:hAnsiTheme="majorHAnsi" w:cstheme="majorHAnsi"/>
        </w:rPr>
      </w:pPr>
      <w:r w:rsidRPr="00495BA7">
        <w:rPr>
          <w:rFonts w:asciiTheme="majorHAnsi" w:hAnsiTheme="majorHAnsi" w:cstheme="majorHAnsi"/>
        </w:rPr>
        <w:t xml:space="preserve">Valtion taloushallintoon kohdistuu tehostamispaineita. </w:t>
      </w:r>
      <w:r w:rsidR="00C011D0">
        <w:rPr>
          <w:rFonts w:asciiTheme="majorHAnsi" w:hAnsiTheme="majorHAnsi" w:cstheme="majorHAnsi"/>
        </w:rPr>
        <w:t>Ennusteiden</w:t>
      </w:r>
      <w:r w:rsidR="00C011D0" w:rsidRPr="00495BA7">
        <w:rPr>
          <w:rFonts w:asciiTheme="majorHAnsi" w:hAnsiTheme="majorHAnsi" w:cstheme="majorHAnsi"/>
        </w:rPr>
        <w:t xml:space="preserve"> </w:t>
      </w:r>
      <w:r w:rsidRPr="00495BA7">
        <w:rPr>
          <w:rFonts w:asciiTheme="majorHAnsi" w:hAnsiTheme="majorHAnsi" w:cstheme="majorHAnsi"/>
        </w:rPr>
        <w:t xml:space="preserve">mukaan </w:t>
      </w:r>
      <w:r w:rsidR="00C011D0">
        <w:rPr>
          <w:rFonts w:asciiTheme="majorHAnsi" w:hAnsiTheme="majorHAnsi" w:cstheme="majorHAnsi"/>
        </w:rPr>
        <w:t xml:space="preserve">vuonna 2030 </w:t>
      </w:r>
      <w:r w:rsidRPr="00495BA7">
        <w:rPr>
          <w:rFonts w:asciiTheme="majorHAnsi" w:hAnsiTheme="majorHAnsi" w:cstheme="majorHAnsi"/>
        </w:rPr>
        <w:t xml:space="preserve">valtion taloushallinnon tehtävissä </w:t>
      </w:r>
      <w:r w:rsidR="00C011D0">
        <w:rPr>
          <w:rFonts w:asciiTheme="majorHAnsi" w:hAnsiTheme="majorHAnsi" w:cstheme="majorHAnsi"/>
        </w:rPr>
        <w:t xml:space="preserve">työskenteleviä on noin kaksikolmasosaa vähemmän verrattuna vuoteen 2022. </w:t>
      </w:r>
      <w:r w:rsidRPr="00495BA7">
        <w:rPr>
          <w:rFonts w:asciiTheme="majorHAnsi" w:hAnsiTheme="majorHAnsi" w:cstheme="majorHAnsi"/>
        </w:rPr>
        <w:t xml:space="preserve">Syinä henkilöstön vähenemiseen ovat eläköityminen sekä siirtyminen muiden sektorien työnantajien palvelukseen. Ennuste perustuu vanhuuseläkkeelle siirtymisen osalta </w:t>
      </w:r>
      <w:proofErr w:type="spellStart"/>
      <w:r w:rsidRPr="00495BA7">
        <w:rPr>
          <w:rFonts w:asciiTheme="majorHAnsi" w:hAnsiTheme="majorHAnsi" w:cstheme="majorHAnsi"/>
        </w:rPr>
        <w:t>Kevan</w:t>
      </w:r>
      <w:proofErr w:type="spellEnd"/>
      <w:r w:rsidRPr="00495BA7">
        <w:rPr>
          <w:rFonts w:asciiTheme="majorHAnsi" w:hAnsiTheme="majorHAnsi" w:cstheme="majorHAnsi"/>
        </w:rPr>
        <w:t xml:space="preserve"> laskelmiin. Ennuste muusta eläköitymisestä (mm. työkyvyttömyyseläköitymisestä) ja työpaikan vaihdoksista muihin organisaatioihin perustuu suoraan edellisen vuoden lukuihin.</w:t>
      </w:r>
    </w:p>
    <w:p w14:paraId="03305DDA" w14:textId="77777777" w:rsidR="00CD6A56" w:rsidRPr="00495BA7" w:rsidRDefault="00CD6A56" w:rsidP="00CD6A56">
      <w:pPr>
        <w:rPr>
          <w:rFonts w:asciiTheme="majorHAnsi" w:hAnsiTheme="majorHAnsi" w:cstheme="majorHAnsi"/>
        </w:rPr>
      </w:pPr>
    </w:p>
    <w:p w14:paraId="718D3561" w14:textId="396D19CE" w:rsidR="00CD6A56" w:rsidRPr="00495BA7" w:rsidRDefault="00CD6A56" w:rsidP="008D18C1">
      <w:pPr>
        <w:ind w:left="2608"/>
        <w:rPr>
          <w:rFonts w:asciiTheme="majorHAnsi" w:hAnsiTheme="majorHAnsi" w:cstheme="majorHAnsi"/>
        </w:rPr>
      </w:pPr>
      <w:r w:rsidRPr="00495BA7">
        <w:rPr>
          <w:rFonts w:asciiTheme="majorHAnsi" w:hAnsiTheme="majorHAnsi" w:cstheme="majorHAnsi"/>
        </w:rPr>
        <w:t xml:space="preserve">Valtion taloushallinnossa on päästävä täysin digitaalisiin prosesseihin, joihin on sisäänrakennettuina riittävät automaattiset, ehkäisevät kontrollit. </w:t>
      </w:r>
      <w:r w:rsidR="008D18C1">
        <w:rPr>
          <w:rFonts w:asciiTheme="majorHAnsi" w:hAnsiTheme="majorHAnsi" w:cstheme="majorHAnsi"/>
        </w:rPr>
        <w:t>Seuraavia suuria digitalisointia edistäviä käytäntöjä ovat esimerkiksi tilaussanomat, joita valtionhallinto lähettää ja digitaaliset kuitit (</w:t>
      </w:r>
      <w:proofErr w:type="spellStart"/>
      <w:r w:rsidR="008D18C1">
        <w:rPr>
          <w:rFonts w:asciiTheme="majorHAnsi" w:hAnsiTheme="majorHAnsi" w:cstheme="majorHAnsi"/>
        </w:rPr>
        <w:t>eKuitti</w:t>
      </w:r>
      <w:proofErr w:type="spellEnd"/>
      <w:r w:rsidR="008D18C1">
        <w:rPr>
          <w:rFonts w:asciiTheme="majorHAnsi" w:hAnsiTheme="majorHAnsi" w:cstheme="majorHAnsi"/>
        </w:rPr>
        <w:t xml:space="preserve">), joita valtionhallinto vaatii vuoteen 2025 mennessä. </w:t>
      </w:r>
      <w:r w:rsidRPr="00495BA7">
        <w:rPr>
          <w:rFonts w:asciiTheme="majorHAnsi" w:hAnsiTheme="majorHAnsi" w:cstheme="majorHAnsi"/>
        </w:rPr>
        <w:t>Myös tilinpäätösprosesseja pyritään automatisoimaan edelleen.</w:t>
      </w:r>
    </w:p>
    <w:p w14:paraId="7D9C77E9" w14:textId="77777777" w:rsidR="00CD6A56" w:rsidRDefault="00CD6A56" w:rsidP="00587B3D">
      <w:pPr>
        <w:pStyle w:val="Leipteksti"/>
      </w:pPr>
    </w:p>
    <w:p w14:paraId="22BDE20F" w14:textId="5145CB7E" w:rsidR="00587B3D" w:rsidRDefault="00316C11" w:rsidP="00587B3D">
      <w:pPr>
        <w:pStyle w:val="Leipteksti"/>
      </w:pPr>
      <w:r>
        <w:t>Valtion taloushallinnon kehittymistä ja vaikuttavuutta kuvaavia mittareita ryhdytään keräämään systemaattisesti vuonna 2023. Mittaritietoja on</w:t>
      </w:r>
      <w:r w:rsidR="00752378">
        <w:t xml:space="preserve"> kerätty ja</w:t>
      </w:r>
      <w:r>
        <w:t xml:space="preserve"> laskettu tähän saakka Palkeissa </w:t>
      </w:r>
      <w:r w:rsidR="00751D4C">
        <w:t>ja</w:t>
      </w:r>
      <w:r>
        <w:t xml:space="preserve"> Valtiokonttorissa </w:t>
      </w:r>
      <w:r w:rsidR="00752378">
        <w:t xml:space="preserve">keskitetysti </w:t>
      </w:r>
      <w:r>
        <w:t>saatavilla olevista tiedoista</w:t>
      </w:r>
      <w:r w:rsidR="00751D4C">
        <w:t xml:space="preserve">. </w:t>
      </w:r>
      <w:r w:rsidR="007434E5">
        <w:t xml:space="preserve">Vuonna 2023 </w:t>
      </w:r>
      <w:r w:rsidR="00752378">
        <w:t xml:space="preserve">on tarkoitus ryhtyä keräämään myös näitä täydentäviä tietoja kirjanpitoyksiköiltä. Mittaritiedot </w:t>
      </w:r>
      <w:r w:rsidR="00A84C41">
        <w:t>tullaan</w:t>
      </w:r>
      <w:r w:rsidR="00752378">
        <w:t xml:space="preserve"> julkais</w:t>
      </w:r>
      <w:r w:rsidR="00A84C41">
        <w:t>emaan</w:t>
      </w:r>
      <w:r w:rsidR="00752378">
        <w:t xml:space="preserve"> säännöllisesti tutkihallintoa.fi-sivustolla. Mittaritietojen perusteella </w:t>
      </w:r>
      <w:r w:rsidR="00751D4C">
        <w:t>käynnistetään</w:t>
      </w:r>
      <w:r w:rsidR="00752378">
        <w:t xml:space="preserve"> tarpeen mukaan toimenpiteitä kirjanpitoyksikössä</w:t>
      </w:r>
      <w:r w:rsidR="00D02CAD">
        <w:t>,</w:t>
      </w:r>
      <w:r w:rsidR="00752378">
        <w:t xml:space="preserve"> hallinnonalan ministeriössä tai</w:t>
      </w:r>
      <w:r w:rsidR="00D02CAD">
        <w:t>/ja</w:t>
      </w:r>
      <w:r w:rsidR="00752378">
        <w:t xml:space="preserve"> Valtiokonttorissa</w:t>
      </w:r>
      <w:r w:rsidR="00A84C41">
        <w:t xml:space="preserve"> sekä Palkeissa</w:t>
      </w:r>
      <w:r w:rsidR="00752378">
        <w:t>.</w:t>
      </w:r>
      <w:r w:rsidR="005A7BB6">
        <w:t xml:space="preserve"> </w:t>
      </w:r>
    </w:p>
    <w:p w14:paraId="26BE1B67" w14:textId="77777777" w:rsidR="00495BA7" w:rsidRDefault="00495BA7" w:rsidP="00587B3D">
      <w:pPr>
        <w:pStyle w:val="Leipteksti"/>
      </w:pPr>
    </w:p>
    <w:p w14:paraId="23579A05" w14:textId="1151D00F" w:rsidR="00EB4E6D" w:rsidRDefault="00752378" w:rsidP="00587B3D">
      <w:pPr>
        <w:pStyle w:val="Leipteksti"/>
      </w:pPr>
      <w:r>
        <w:t>Tässä ohjeessa</w:t>
      </w:r>
      <w:r w:rsidR="00D02CAD">
        <w:t xml:space="preserve"> on kuvattu taloushallinnon mittaritietojen keräämisen tausta ja tarkoitus, keräämisen ja </w:t>
      </w:r>
      <w:r w:rsidR="00D02CAD" w:rsidRPr="00EC7FDA">
        <w:t>julkaisemisen</w:t>
      </w:r>
      <w:r w:rsidR="00CC6352" w:rsidRPr="00430E95">
        <w:t xml:space="preserve"> </w:t>
      </w:r>
      <w:r w:rsidR="00CC6352" w:rsidRPr="0084008C">
        <w:t>vaiheistus ja</w:t>
      </w:r>
      <w:r w:rsidR="00D02CAD" w:rsidRPr="00EC7FDA">
        <w:t xml:space="preserve"> prosessi</w:t>
      </w:r>
      <w:r w:rsidR="00D02CAD">
        <w:t xml:space="preserve"> sekä mittaritietojen seuranta ja siihen kytkeytyvä ohjaus ja tuki.</w:t>
      </w:r>
      <w:r w:rsidR="005A7BB6">
        <w:t xml:space="preserve"> </w:t>
      </w:r>
    </w:p>
    <w:p w14:paraId="747FCD0D" w14:textId="617094CC" w:rsidR="0084008C" w:rsidRDefault="00D447EF" w:rsidP="00587B3D">
      <w:pPr>
        <w:pStyle w:val="Leipteksti"/>
      </w:pPr>
      <w:r>
        <w:t>Kirjanpitoyksiköiden odotetaan toimittavan taloushallinnon mittaritietonsa Valtiokonttorille tämän ohjeen mukaisesti 1.</w:t>
      </w:r>
      <w:r w:rsidR="009A7CC8">
        <w:t>5</w:t>
      </w:r>
      <w:r>
        <w:t>.2023 lähtien</w:t>
      </w:r>
      <w:r w:rsidR="009A7CC8">
        <w:t>.</w:t>
      </w:r>
    </w:p>
    <w:p w14:paraId="70DE2D93" w14:textId="5E025C6C" w:rsidR="00DD31F6" w:rsidRPr="00DD31F6" w:rsidRDefault="00DD31F6" w:rsidP="00587B3D">
      <w:pPr>
        <w:pStyle w:val="Leipteksti"/>
        <w:rPr>
          <w:b/>
          <w:bCs/>
        </w:rPr>
      </w:pPr>
      <w:r w:rsidRPr="00DD31F6">
        <w:rPr>
          <w:b/>
          <w:bCs/>
        </w:rPr>
        <w:t>Voimaantulo</w:t>
      </w:r>
    </w:p>
    <w:p w14:paraId="286A62D2" w14:textId="66E283C6" w:rsidR="00752378" w:rsidRDefault="00752378" w:rsidP="00587B3D">
      <w:pPr>
        <w:pStyle w:val="Leipteksti"/>
      </w:pPr>
      <w:r>
        <w:t>Tämä ohje tulee voimaan välittömästi.</w:t>
      </w:r>
    </w:p>
    <w:p w14:paraId="1AE64036" w14:textId="40280BCD" w:rsidR="00DD31F6" w:rsidRDefault="00DD31F6" w:rsidP="00587B3D">
      <w:pPr>
        <w:pStyle w:val="Leipteksti"/>
        <w:rPr>
          <w:b/>
          <w:bCs/>
        </w:rPr>
      </w:pPr>
      <w:r w:rsidRPr="00DD31F6">
        <w:rPr>
          <w:b/>
          <w:bCs/>
        </w:rPr>
        <w:t>Säädösperusta</w:t>
      </w:r>
    </w:p>
    <w:p w14:paraId="5B598BD7" w14:textId="6F677145" w:rsidR="00DD31F6" w:rsidRPr="00DD31F6" w:rsidRDefault="00DD31F6" w:rsidP="00587B3D">
      <w:pPr>
        <w:pStyle w:val="Leipteksti"/>
      </w:pPr>
      <w:r w:rsidRPr="00DD31F6">
        <w:t xml:space="preserve">Valtiokonttori voi antaa määräyksiä virastojen, laitosten ja talousarvion ulkopuolella olevien valtion rahastojen kirjanpidon, maksuliikkeen ja laskentatoimen hoidon, tilinpäätöksen laadinnan sekä muiden taloushallinnon toimintojen ja menettelytapojen yksityiskohdista. (Valtion talousarviosta annettu laki </w:t>
      </w:r>
      <w:proofErr w:type="gramStart"/>
      <w:r w:rsidRPr="00DD31F6">
        <w:t>24c</w:t>
      </w:r>
      <w:proofErr w:type="gramEnd"/>
      <w:r w:rsidRPr="00DD31F6">
        <w:t xml:space="preserve"> § (1216/2003)</w:t>
      </w:r>
    </w:p>
    <w:p w14:paraId="7A5B5629" w14:textId="5097B408" w:rsidR="00DD31F6" w:rsidRPr="00DD31F6" w:rsidRDefault="00DD31F6" w:rsidP="00587B3D">
      <w:pPr>
        <w:pStyle w:val="Leipteksti"/>
        <w:rPr>
          <w:b/>
          <w:bCs/>
        </w:rPr>
      </w:pPr>
      <w:r w:rsidRPr="00DD31F6">
        <w:rPr>
          <w:b/>
          <w:bCs/>
        </w:rPr>
        <w:lastRenderedPageBreak/>
        <w:t>Lisätiedot</w:t>
      </w:r>
    </w:p>
    <w:p w14:paraId="1BA4A057" w14:textId="2F008494" w:rsidR="00EB4E6D" w:rsidRDefault="00752378" w:rsidP="00587B3D">
      <w:pPr>
        <w:pStyle w:val="Leipteksti"/>
      </w:pPr>
      <w:r w:rsidRPr="00752378">
        <w:t>Lisätietoja antaa Valtiokonttori, puh. 0295 50 2000, sähköposti laskentatoimi(at)valtiokonttori.fi</w:t>
      </w:r>
      <w:r>
        <w:t>.</w:t>
      </w:r>
    </w:p>
    <w:p w14:paraId="5BD5B65E" w14:textId="30C223DE" w:rsidR="00EB4E6D" w:rsidRDefault="00EB4E6D" w:rsidP="00587B3D">
      <w:pPr>
        <w:pStyle w:val="Leipteksti"/>
      </w:pPr>
    </w:p>
    <w:p w14:paraId="22E6CED2" w14:textId="26E60C46" w:rsidR="00EB4E6D" w:rsidRDefault="00EB4E6D" w:rsidP="00587B3D">
      <w:pPr>
        <w:pStyle w:val="Leipteksti"/>
      </w:pPr>
      <w:r>
        <w:t>Allekirjoitus xx</w:t>
      </w:r>
    </w:p>
    <w:p w14:paraId="62719E5D" w14:textId="3BD533D2" w:rsidR="00EB4E6D" w:rsidRDefault="00EB4E6D" w:rsidP="00587B3D">
      <w:pPr>
        <w:pStyle w:val="Leipteksti"/>
      </w:pPr>
    </w:p>
    <w:p w14:paraId="7D31D78D" w14:textId="7C273B5F" w:rsidR="00EB4E6D" w:rsidRDefault="00EB4E6D" w:rsidP="00587B3D">
      <w:pPr>
        <w:pStyle w:val="Leipteksti"/>
      </w:pPr>
    </w:p>
    <w:p w14:paraId="081DB529" w14:textId="308CEEC0" w:rsidR="00EB4E6D" w:rsidRDefault="00EB4E6D" w:rsidP="00587B3D">
      <w:pPr>
        <w:pStyle w:val="Leipteksti"/>
      </w:pPr>
      <w:r>
        <w:t>Allekirjoitus xx</w:t>
      </w:r>
    </w:p>
    <w:p w14:paraId="0D21B706" w14:textId="072EEB08" w:rsidR="006E53B0" w:rsidRDefault="006E53B0" w:rsidP="00587B3D">
      <w:pPr>
        <w:pStyle w:val="Leipteksti"/>
      </w:pPr>
    </w:p>
    <w:p w14:paraId="2DFB5292" w14:textId="77777777" w:rsidR="00DD31F6" w:rsidRDefault="00DD31F6" w:rsidP="00587B3D">
      <w:pPr>
        <w:pStyle w:val="Leipteksti"/>
      </w:pPr>
    </w:p>
    <w:p w14:paraId="0932EB56" w14:textId="6B67328E" w:rsidR="00DD31F6" w:rsidRDefault="00DD31F6" w:rsidP="00587B3D">
      <w:pPr>
        <w:pStyle w:val="Leipteksti"/>
      </w:pPr>
      <w:r>
        <w:t>Tiedoksi</w:t>
      </w:r>
      <w:r>
        <w:tab/>
        <w:t>Valtiontalouden tarkastusvirasto</w:t>
      </w:r>
    </w:p>
    <w:p w14:paraId="710B5D1B" w14:textId="6FFE3B1E" w:rsidR="00DD31F6" w:rsidRDefault="00DD31F6" w:rsidP="00587B3D">
      <w:pPr>
        <w:pStyle w:val="Leipteksti"/>
      </w:pPr>
      <w:r>
        <w:tab/>
        <w:t>Valtiovarainministeriö, budjettiosasto</w:t>
      </w:r>
    </w:p>
    <w:p w14:paraId="3D7B4352" w14:textId="5088198B" w:rsidR="006E53B0" w:rsidRDefault="006E53B0">
      <w:r>
        <w:br w:type="page"/>
      </w:r>
    </w:p>
    <w:sdt>
      <w:sdtPr>
        <w:rPr>
          <w:rFonts w:asciiTheme="minorHAnsi" w:eastAsiaTheme="minorHAnsi" w:hAnsiTheme="minorHAnsi" w:cstheme="minorHAnsi"/>
          <w:b w:val="0"/>
          <w:bCs w:val="0"/>
          <w:sz w:val="22"/>
          <w:szCs w:val="22"/>
        </w:rPr>
        <w:id w:val="-1150744479"/>
        <w:docPartObj>
          <w:docPartGallery w:val="Table of Contents"/>
          <w:docPartUnique/>
        </w:docPartObj>
      </w:sdtPr>
      <w:sdtEndPr/>
      <w:sdtContent>
        <w:p w14:paraId="4C9E2394" w14:textId="38C44C6F" w:rsidR="006E53B0" w:rsidRDefault="006E53B0">
          <w:pPr>
            <w:pStyle w:val="Sisllysluettelonotsikko"/>
          </w:pPr>
          <w:r>
            <w:t>Sisällysluettelo</w:t>
          </w:r>
        </w:p>
        <w:p w14:paraId="142CFD47" w14:textId="2229627E" w:rsidR="009951B0" w:rsidRDefault="006E53B0">
          <w:pPr>
            <w:pStyle w:val="Sisluet1"/>
            <w:tabs>
              <w:tab w:val="left" w:pos="440"/>
              <w:tab w:val="right" w:leader="dot" w:pos="10195"/>
            </w:tabs>
            <w:rPr>
              <w:rFonts w:eastAsiaTheme="minorEastAsia" w:cstheme="minorBidi"/>
              <w:noProof/>
              <w:lang w:eastAsia="fi-FI"/>
            </w:rPr>
          </w:pPr>
          <w:r>
            <w:fldChar w:fldCharType="begin"/>
          </w:r>
          <w:r>
            <w:instrText xml:space="preserve"> TOC \o "1-3" \h \z \u </w:instrText>
          </w:r>
          <w:r>
            <w:fldChar w:fldCharType="separate"/>
          </w:r>
          <w:hyperlink w:anchor="_Toc119322683" w:history="1">
            <w:r w:rsidR="009951B0" w:rsidRPr="00BF58B0">
              <w:rPr>
                <w:rStyle w:val="Hyperlinkki"/>
                <w:noProof/>
              </w:rPr>
              <w:t>1</w:t>
            </w:r>
            <w:r w:rsidR="009951B0">
              <w:rPr>
                <w:rFonts w:eastAsiaTheme="minorEastAsia" w:cstheme="minorBidi"/>
                <w:noProof/>
                <w:lang w:eastAsia="fi-FI"/>
              </w:rPr>
              <w:tab/>
            </w:r>
            <w:r w:rsidR="009951B0" w:rsidRPr="00BF58B0">
              <w:rPr>
                <w:rStyle w:val="Hyperlinkki"/>
                <w:noProof/>
              </w:rPr>
              <w:t>Taloushallinnon mittaritietojen keräämisen tausta ja tarkoitus</w:t>
            </w:r>
            <w:r w:rsidR="009951B0">
              <w:rPr>
                <w:noProof/>
                <w:webHidden/>
              </w:rPr>
              <w:tab/>
            </w:r>
            <w:r w:rsidR="009951B0">
              <w:rPr>
                <w:noProof/>
                <w:webHidden/>
              </w:rPr>
              <w:fldChar w:fldCharType="begin"/>
            </w:r>
            <w:r w:rsidR="009951B0">
              <w:rPr>
                <w:noProof/>
                <w:webHidden/>
              </w:rPr>
              <w:instrText xml:space="preserve"> PAGEREF _Toc119322683 \h </w:instrText>
            </w:r>
            <w:r w:rsidR="009951B0">
              <w:rPr>
                <w:noProof/>
                <w:webHidden/>
              </w:rPr>
            </w:r>
            <w:r w:rsidR="009951B0">
              <w:rPr>
                <w:noProof/>
                <w:webHidden/>
              </w:rPr>
              <w:fldChar w:fldCharType="separate"/>
            </w:r>
            <w:r w:rsidR="009951B0">
              <w:rPr>
                <w:noProof/>
                <w:webHidden/>
              </w:rPr>
              <w:t>5</w:t>
            </w:r>
            <w:r w:rsidR="009951B0">
              <w:rPr>
                <w:noProof/>
                <w:webHidden/>
              </w:rPr>
              <w:fldChar w:fldCharType="end"/>
            </w:r>
          </w:hyperlink>
        </w:p>
        <w:p w14:paraId="1CFD5A59" w14:textId="66B59EF2" w:rsidR="009951B0" w:rsidRDefault="00FB4DF3">
          <w:pPr>
            <w:pStyle w:val="Sisluet1"/>
            <w:tabs>
              <w:tab w:val="left" w:pos="440"/>
              <w:tab w:val="right" w:leader="dot" w:pos="10195"/>
            </w:tabs>
            <w:rPr>
              <w:rFonts w:eastAsiaTheme="minorEastAsia" w:cstheme="minorBidi"/>
              <w:noProof/>
              <w:lang w:eastAsia="fi-FI"/>
            </w:rPr>
          </w:pPr>
          <w:hyperlink w:anchor="_Toc119322684" w:history="1">
            <w:r w:rsidR="009951B0" w:rsidRPr="00BF58B0">
              <w:rPr>
                <w:rStyle w:val="Hyperlinkki"/>
                <w:noProof/>
              </w:rPr>
              <w:t>2</w:t>
            </w:r>
            <w:r w:rsidR="009951B0">
              <w:rPr>
                <w:rFonts w:eastAsiaTheme="minorEastAsia" w:cstheme="minorBidi"/>
                <w:noProof/>
                <w:lang w:eastAsia="fi-FI"/>
              </w:rPr>
              <w:tab/>
            </w:r>
            <w:r w:rsidR="009951B0" w:rsidRPr="00BF58B0">
              <w:rPr>
                <w:rStyle w:val="Hyperlinkki"/>
                <w:noProof/>
              </w:rPr>
              <w:t>Taloushallinnon mittaritietojen keräämisen vaiheistus</w:t>
            </w:r>
            <w:r w:rsidR="009951B0">
              <w:rPr>
                <w:noProof/>
                <w:webHidden/>
              </w:rPr>
              <w:tab/>
            </w:r>
            <w:r w:rsidR="009951B0">
              <w:rPr>
                <w:noProof/>
                <w:webHidden/>
              </w:rPr>
              <w:fldChar w:fldCharType="begin"/>
            </w:r>
            <w:r w:rsidR="009951B0">
              <w:rPr>
                <w:noProof/>
                <w:webHidden/>
              </w:rPr>
              <w:instrText xml:space="preserve"> PAGEREF _Toc119322684 \h </w:instrText>
            </w:r>
            <w:r w:rsidR="009951B0">
              <w:rPr>
                <w:noProof/>
                <w:webHidden/>
              </w:rPr>
            </w:r>
            <w:r w:rsidR="009951B0">
              <w:rPr>
                <w:noProof/>
                <w:webHidden/>
              </w:rPr>
              <w:fldChar w:fldCharType="separate"/>
            </w:r>
            <w:r w:rsidR="009951B0">
              <w:rPr>
                <w:noProof/>
                <w:webHidden/>
              </w:rPr>
              <w:t>6</w:t>
            </w:r>
            <w:r w:rsidR="009951B0">
              <w:rPr>
                <w:noProof/>
                <w:webHidden/>
              </w:rPr>
              <w:fldChar w:fldCharType="end"/>
            </w:r>
          </w:hyperlink>
        </w:p>
        <w:p w14:paraId="3E7FBBBC" w14:textId="3794DBC3" w:rsidR="009951B0" w:rsidRDefault="00FB4DF3">
          <w:pPr>
            <w:pStyle w:val="Sisluet2"/>
            <w:tabs>
              <w:tab w:val="left" w:pos="880"/>
              <w:tab w:val="right" w:leader="dot" w:pos="10195"/>
            </w:tabs>
            <w:rPr>
              <w:rFonts w:eastAsiaTheme="minorEastAsia" w:cstheme="minorBidi"/>
              <w:noProof/>
              <w:lang w:eastAsia="fi-FI"/>
            </w:rPr>
          </w:pPr>
          <w:hyperlink w:anchor="_Toc119322685" w:history="1">
            <w:r w:rsidR="009951B0" w:rsidRPr="00BF58B0">
              <w:rPr>
                <w:rStyle w:val="Hyperlinkki"/>
                <w:noProof/>
              </w:rPr>
              <w:t>2.1</w:t>
            </w:r>
            <w:r w:rsidR="009951B0">
              <w:rPr>
                <w:rFonts w:eastAsiaTheme="minorEastAsia" w:cstheme="minorBidi"/>
                <w:noProof/>
                <w:lang w:eastAsia="fi-FI"/>
              </w:rPr>
              <w:tab/>
            </w:r>
            <w:r w:rsidR="009951B0" w:rsidRPr="00BF58B0">
              <w:rPr>
                <w:rStyle w:val="Hyperlinkki"/>
                <w:noProof/>
              </w:rPr>
              <w:t>Keskitetysti kerättävät tiedot – ensimmäinen vaihe 2023</w:t>
            </w:r>
            <w:r w:rsidR="009951B0">
              <w:rPr>
                <w:noProof/>
                <w:webHidden/>
              </w:rPr>
              <w:tab/>
            </w:r>
            <w:r w:rsidR="009951B0">
              <w:rPr>
                <w:noProof/>
                <w:webHidden/>
              </w:rPr>
              <w:fldChar w:fldCharType="begin"/>
            </w:r>
            <w:r w:rsidR="009951B0">
              <w:rPr>
                <w:noProof/>
                <w:webHidden/>
              </w:rPr>
              <w:instrText xml:space="preserve"> PAGEREF _Toc119322685 \h </w:instrText>
            </w:r>
            <w:r w:rsidR="009951B0">
              <w:rPr>
                <w:noProof/>
                <w:webHidden/>
              </w:rPr>
            </w:r>
            <w:r w:rsidR="009951B0">
              <w:rPr>
                <w:noProof/>
                <w:webHidden/>
              </w:rPr>
              <w:fldChar w:fldCharType="separate"/>
            </w:r>
            <w:r w:rsidR="009951B0">
              <w:rPr>
                <w:noProof/>
                <w:webHidden/>
              </w:rPr>
              <w:t>10</w:t>
            </w:r>
            <w:r w:rsidR="009951B0">
              <w:rPr>
                <w:noProof/>
                <w:webHidden/>
              </w:rPr>
              <w:fldChar w:fldCharType="end"/>
            </w:r>
          </w:hyperlink>
        </w:p>
        <w:p w14:paraId="4551E600" w14:textId="6756CDE1" w:rsidR="009951B0" w:rsidRDefault="00FB4DF3">
          <w:pPr>
            <w:pStyle w:val="Sisluet2"/>
            <w:tabs>
              <w:tab w:val="left" w:pos="880"/>
              <w:tab w:val="right" w:leader="dot" w:pos="10195"/>
            </w:tabs>
            <w:rPr>
              <w:rFonts w:eastAsiaTheme="minorEastAsia" w:cstheme="minorBidi"/>
              <w:noProof/>
              <w:lang w:eastAsia="fi-FI"/>
            </w:rPr>
          </w:pPr>
          <w:hyperlink w:anchor="_Toc119322686" w:history="1">
            <w:r w:rsidR="009951B0" w:rsidRPr="00BF58B0">
              <w:rPr>
                <w:rStyle w:val="Hyperlinkki"/>
                <w:noProof/>
              </w:rPr>
              <w:t>2.2</w:t>
            </w:r>
            <w:r w:rsidR="009951B0">
              <w:rPr>
                <w:rFonts w:eastAsiaTheme="minorEastAsia" w:cstheme="minorBidi"/>
                <w:noProof/>
                <w:lang w:eastAsia="fi-FI"/>
              </w:rPr>
              <w:tab/>
            </w:r>
            <w:r w:rsidR="009951B0" w:rsidRPr="00BF58B0">
              <w:rPr>
                <w:rStyle w:val="Hyperlinkki"/>
                <w:noProof/>
              </w:rPr>
              <w:t>Kirjanpitoyksiköiltä ensimmäisessä vaiheessa kerättävät tiedot</w:t>
            </w:r>
            <w:r w:rsidR="009951B0">
              <w:rPr>
                <w:noProof/>
                <w:webHidden/>
              </w:rPr>
              <w:tab/>
            </w:r>
            <w:r w:rsidR="009951B0">
              <w:rPr>
                <w:noProof/>
                <w:webHidden/>
              </w:rPr>
              <w:fldChar w:fldCharType="begin"/>
            </w:r>
            <w:r w:rsidR="009951B0">
              <w:rPr>
                <w:noProof/>
                <w:webHidden/>
              </w:rPr>
              <w:instrText xml:space="preserve"> PAGEREF _Toc119322686 \h </w:instrText>
            </w:r>
            <w:r w:rsidR="009951B0">
              <w:rPr>
                <w:noProof/>
                <w:webHidden/>
              </w:rPr>
            </w:r>
            <w:r w:rsidR="009951B0">
              <w:rPr>
                <w:noProof/>
                <w:webHidden/>
              </w:rPr>
              <w:fldChar w:fldCharType="separate"/>
            </w:r>
            <w:r w:rsidR="009951B0">
              <w:rPr>
                <w:noProof/>
                <w:webHidden/>
              </w:rPr>
              <w:t>11</w:t>
            </w:r>
            <w:r w:rsidR="009951B0">
              <w:rPr>
                <w:noProof/>
                <w:webHidden/>
              </w:rPr>
              <w:fldChar w:fldCharType="end"/>
            </w:r>
          </w:hyperlink>
        </w:p>
        <w:p w14:paraId="71F16B82" w14:textId="58DD5621" w:rsidR="009951B0" w:rsidRDefault="00FB4DF3">
          <w:pPr>
            <w:pStyle w:val="Sisluet2"/>
            <w:tabs>
              <w:tab w:val="left" w:pos="880"/>
              <w:tab w:val="right" w:leader="dot" w:pos="10195"/>
            </w:tabs>
            <w:rPr>
              <w:rFonts w:eastAsiaTheme="minorEastAsia" w:cstheme="minorBidi"/>
              <w:noProof/>
              <w:lang w:eastAsia="fi-FI"/>
            </w:rPr>
          </w:pPr>
          <w:hyperlink w:anchor="_Toc119322687" w:history="1">
            <w:r w:rsidR="009951B0" w:rsidRPr="00BF58B0">
              <w:rPr>
                <w:rStyle w:val="Hyperlinkki"/>
                <w:noProof/>
              </w:rPr>
              <w:t>2.3</w:t>
            </w:r>
            <w:r w:rsidR="009951B0">
              <w:rPr>
                <w:rFonts w:eastAsiaTheme="minorEastAsia" w:cstheme="minorBidi"/>
                <w:noProof/>
                <w:lang w:eastAsia="fi-FI"/>
              </w:rPr>
              <w:tab/>
            </w:r>
            <w:r w:rsidR="009951B0" w:rsidRPr="00BF58B0">
              <w:rPr>
                <w:rStyle w:val="Hyperlinkki"/>
                <w:noProof/>
              </w:rPr>
              <w:t>Julkaiseminen</w:t>
            </w:r>
            <w:r w:rsidR="009951B0">
              <w:rPr>
                <w:noProof/>
                <w:webHidden/>
              </w:rPr>
              <w:tab/>
            </w:r>
            <w:r w:rsidR="009951B0">
              <w:rPr>
                <w:noProof/>
                <w:webHidden/>
              </w:rPr>
              <w:fldChar w:fldCharType="begin"/>
            </w:r>
            <w:r w:rsidR="009951B0">
              <w:rPr>
                <w:noProof/>
                <w:webHidden/>
              </w:rPr>
              <w:instrText xml:space="preserve"> PAGEREF _Toc119322687 \h </w:instrText>
            </w:r>
            <w:r w:rsidR="009951B0">
              <w:rPr>
                <w:noProof/>
                <w:webHidden/>
              </w:rPr>
            </w:r>
            <w:r w:rsidR="009951B0">
              <w:rPr>
                <w:noProof/>
                <w:webHidden/>
              </w:rPr>
              <w:fldChar w:fldCharType="separate"/>
            </w:r>
            <w:r w:rsidR="009951B0">
              <w:rPr>
                <w:noProof/>
                <w:webHidden/>
              </w:rPr>
              <w:t>11</w:t>
            </w:r>
            <w:r w:rsidR="009951B0">
              <w:rPr>
                <w:noProof/>
                <w:webHidden/>
              </w:rPr>
              <w:fldChar w:fldCharType="end"/>
            </w:r>
          </w:hyperlink>
        </w:p>
        <w:p w14:paraId="55B64E70" w14:textId="4128C52C" w:rsidR="009951B0" w:rsidRDefault="00FB4DF3">
          <w:pPr>
            <w:pStyle w:val="Sisluet1"/>
            <w:tabs>
              <w:tab w:val="left" w:pos="440"/>
              <w:tab w:val="right" w:leader="dot" w:pos="10195"/>
            </w:tabs>
            <w:rPr>
              <w:rFonts w:eastAsiaTheme="minorEastAsia" w:cstheme="minorBidi"/>
              <w:noProof/>
              <w:lang w:eastAsia="fi-FI"/>
            </w:rPr>
          </w:pPr>
          <w:hyperlink w:anchor="_Toc119322688" w:history="1">
            <w:r w:rsidR="009951B0" w:rsidRPr="00BF58B0">
              <w:rPr>
                <w:rStyle w:val="Hyperlinkki"/>
                <w:noProof/>
              </w:rPr>
              <w:t>3</w:t>
            </w:r>
            <w:r w:rsidR="009951B0">
              <w:rPr>
                <w:rFonts w:eastAsiaTheme="minorEastAsia" w:cstheme="minorBidi"/>
                <w:noProof/>
                <w:lang w:eastAsia="fi-FI"/>
              </w:rPr>
              <w:tab/>
            </w:r>
            <w:r w:rsidR="009951B0" w:rsidRPr="00BF58B0">
              <w:rPr>
                <w:rStyle w:val="Hyperlinkki"/>
                <w:noProof/>
              </w:rPr>
              <w:t>Mittaritietojen seuranta ja seurantaan kytkeytyvä ohjaus ja tuki</w:t>
            </w:r>
            <w:r w:rsidR="009951B0">
              <w:rPr>
                <w:noProof/>
                <w:webHidden/>
              </w:rPr>
              <w:tab/>
            </w:r>
            <w:r w:rsidR="009951B0">
              <w:rPr>
                <w:noProof/>
                <w:webHidden/>
              </w:rPr>
              <w:fldChar w:fldCharType="begin"/>
            </w:r>
            <w:r w:rsidR="009951B0">
              <w:rPr>
                <w:noProof/>
                <w:webHidden/>
              </w:rPr>
              <w:instrText xml:space="preserve"> PAGEREF _Toc119322688 \h </w:instrText>
            </w:r>
            <w:r w:rsidR="009951B0">
              <w:rPr>
                <w:noProof/>
                <w:webHidden/>
              </w:rPr>
            </w:r>
            <w:r w:rsidR="009951B0">
              <w:rPr>
                <w:noProof/>
                <w:webHidden/>
              </w:rPr>
              <w:fldChar w:fldCharType="separate"/>
            </w:r>
            <w:r w:rsidR="009951B0">
              <w:rPr>
                <w:noProof/>
                <w:webHidden/>
              </w:rPr>
              <w:t>11</w:t>
            </w:r>
            <w:r w:rsidR="009951B0">
              <w:rPr>
                <w:noProof/>
                <w:webHidden/>
              </w:rPr>
              <w:fldChar w:fldCharType="end"/>
            </w:r>
          </w:hyperlink>
        </w:p>
        <w:p w14:paraId="4DEC1466" w14:textId="26F9BE8A" w:rsidR="009951B0" w:rsidRDefault="00FB4DF3">
          <w:pPr>
            <w:pStyle w:val="Sisluet2"/>
            <w:tabs>
              <w:tab w:val="left" w:pos="880"/>
              <w:tab w:val="right" w:leader="dot" w:pos="10195"/>
            </w:tabs>
            <w:rPr>
              <w:rFonts w:eastAsiaTheme="minorEastAsia" w:cstheme="minorBidi"/>
              <w:noProof/>
              <w:lang w:eastAsia="fi-FI"/>
            </w:rPr>
          </w:pPr>
          <w:hyperlink w:anchor="_Toc119322689" w:history="1">
            <w:r w:rsidR="009951B0" w:rsidRPr="00BF58B0">
              <w:rPr>
                <w:rStyle w:val="Hyperlinkki"/>
                <w:noProof/>
              </w:rPr>
              <w:t>3.1</w:t>
            </w:r>
            <w:r w:rsidR="009951B0">
              <w:rPr>
                <w:rFonts w:eastAsiaTheme="minorEastAsia" w:cstheme="minorBidi"/>
                <w:noProof/>
                <w:lang w:eastAsia="fi-FI"/>
              </w:rPr>
              <w:tab/>
            </w:r>
            <w:r w:rsidR="009951B0" w:rsidRPr="00BF58B0">
              <w:rPr>
                <w:rStyle w:val="Hyperlinkki"/>
                <w:noProof/>
              </w:rPr>
              <w:t>Kirjanpitoyksikön rooli ja tehtävät</w:t>
            </w:r>
            <w:r w:rsidR="009951B0">
              <w:rPr>
                <w:noProof/>
                <w:webHidden/>
              </w:rPr>
              <w:tab/>
            </w:r>
            <w:r w:rsidR="009951B0">
              <w:rPr>
                <w:noProof/>
                <w:webHidden/>
              </w:rPr>
              <w:fldChar w:fldCharType="begin"/>
            </w:r>
            <w:r w:rsidR="009951B0">
              <w:rPr>
                <w:noProof/>
                <w:webHidden/>
              </w:rPr>
              <w:instrText xml:space="preserve"> PAGEREF _Toc119322689 \h </w:instrText>
            </w:r>
            <w:r w:rsidR="009951B0">
              <w:rPr>
                <w:noProof/>
                <w:webHidden/>
              </w:rPr>
            </w:r>
            <w:r w:rsidR="009951B0">
              <w:rPr>
                <w:noProof/>
                <w:webHidden/>
              </w:rPr>
              <w:fldChar w:fldCharType="separate"/>
            </w:r>
            <w:r w:rsidR="009951B0">
              <w:rPr>
                <w:noProof/>
                <w:webHidden/>
              </w:rPr>
              <w:t>11</w:t>
            </w:r>
            <w:r w:rsidR="009951B0">
              <w:rPr>
                <w:noProof/>
                <w:webHidden/>
              </w:rPr>
              <w:fldChar w:fldCharType="end"/>
            </w:r>
          </w:hyperlink>
        </w:p>
        <w:p w14:paraId="74D7749A" w14:textId="21CE5024" w:rsidR="009951B0" w:rsidRDefault="00FB4DF3">
          <w:pPr>
            <w:pStyle w:val="Sisluet2"/>
            <w:tabs>
              <w:tab w:val="left" w:pos="880"/>
              <w:tab w:val="right" w:leader="dot" w:pos="10195"/>
            </w:tabs>
            <w:rPr>
              <w:rFonts w:eastAsiaTheme="minorEastAsia" w:cstheme="minorBidi"/>
              <w:noProof/>
              <w:lang w:eastAsia="fi-FI"/>
            </w:rPr>
          </w:pPr>
          <w:hyperlink w:anchor="_Toc119322690" w:history="1">
            <w:r w:rsidR="009951B0" w:rsidRPr="00BF58B0">
              <w:rPr>
                <w:rStyle w:val="Hyperlinkki"/>
                <w:noProof/>
              </w:rPr>
              <w:t>3.2</w:t>
            </w:r>
            <w:r w:rsidR="009951B0">
              <w:rPr>
                <w:rFonts w:eastAsiaTheme="minorEastAsia" w:cstheme="minorBidi"/>
                <w:noProof/>
                <w:lang w:eastAsia="fi-FI"/>
              </w:rPr>
              <w:tab/>
            </w:r>
            <w:r w:rsidR="009951B0" w:rsidRPr="00BF58B0">
              <w:rPr>
                <w:rStyle w:val="Hyperlinkki"/>
                <w:noProof/>
              </w:rPr>
              <w:t>Ministeriön rooli ja tehtävät</w:t>
            </w:r>
            <w:r w:rsidR="009951B0">
              <w:rPr>
                <w:noProof/>
                <w:webHidden/>
              </w:rPr>
              <w:tab/>
            </w:r>
            <w:r w:rsidR="009951B0">
              <w:rPr>
                <w:noProof/>
                <w:webHidden/>
              </w:rPr>
              <w:fldChar w:fldCharType="begin"/>
            </w:r>
            <w:r w:rsidR="009951B0">
              <w:rPr>
                <w:noProof/>
                <w:webHidden/>
              </w:rPr>
              <w:instrText xml:space="preserve"> PAGEREF _Toc119322690 \h </w:instrText>
            </w:r>
            <w:r w:rsidR="009951B0">
              <w:rPr>
                <w:noProof/>
                <w:webHidden/>
              </w:rPr>
            </w:r>
            <w:r w:rsidR="009951B0">
              <w:rPr>
                <w:noProof/>
                <w:webHidden/>
              </w:rPr>
              <w:fldChar w:fldCharType="separate"/>
            </w:r>
            <w:r w:rsidR="009951B0">
              <w:rPr>
                <w:noProof/>
                <w:webHidden/>
              </w:rPr>
              <w:t>11</w:t>
            </w:r>
            <w:r w:rsidR="009951B0">
              <w:rPr>
                <w:noProof/>
                <w:webHidden/>
              </w:rPr>
              <w:fldChar w:fldCharType="end"/>
            </w:r>
          </w:hyperlink>
        </w:p>
        <w:p w14:paraId="08A13933" w14:textId="77248C04" w:rsidR="009951B0" w:rsidRDefault="00FB4DF3">
          <w:pPr>
            <w:pStyle w:val="Sisluet2"/>
            <w:tabs>
              <w:tab w:val="left" w:pos="880"/>
              <w:tab w:val="right" w:leader="dot" w:pos="10195"/>
            </w:tabs>
            <w:rPr>
              <w:rFonts w:eastAsiaTheme="minorEastAsia" w:cstheme="minorBidi"/>
              <w:noProof/>
              <w:lang w:eastAsia="fi-FI"/>
            </w:rPr>
          </w:pPr>
          <w:hyperlink w:anchor="_Toc119322691" w:history="1">
            <w:r w:rsidR="009951B0" w:rsidRPr="00BF58B0">
              <w:rPr>
                <w:rStyle w:val="Hyperlinkki"/>
                <w:noProof/>
              </w:rPr>
              <w:t>3.3</w:t>
            </w:r>
            <w:r w:rsidR="009951B0">
              <w:rPr>
                <w:rFonts w:eastAsiaTheme="minorEastAsia" w:cstheme="minorBidi"/>
                <w:noProof/>
                <w:lang w:eastAsia="fi-FI"/>
              </w:rPr>
              <w:tab/>
            </w:r>
            <w:r w:rsidR="009951B0" w:rsidRPr="00BF58B0">
              <w:rPr>
                <w:rStyle w:val="Hyperlinkki"/>
                <w:noProof/>
              </w:rPr>
              <w:t>Palkeiden rooli ja tehtävät</w:t>
            </w:r>
            <w:r w:rsidR="009951B0">
              <w:rPr>
                <w:noProof/>
                <w:webHidden/>
              </w:rPr>
              <w:tab/>
            </w:r>
            <w:r w:rsidR="009951B0">
              <w:rPr>
                <w:noProof/>
                <w:webHidden/>
              </w:rPr>
              <w:fldChar w:fldCharType="begin"/>
            </w:r>
            <w:r w:rsidR="009951B0">
              <w:rPr>
                <w:noProof/>
                <w:webHidden/>
              </w:rPr>
              <w:instrText xml:space="preserve"> PAGEREF _Toc119322691 \h </w:instrText>
            </w:r>
            <w:r w:rsidR="009951B0">
              <w:rPr>
                <w:noProof/>
                <w:webHidden/>
              </w:rPr>
            </w:r>
            <w:r w:rsidR="009951B0">
              <w:rPr>
                <w:noProof/>
                <w:webHidden/>
              </w:rPr>
              <w:fldChar w:fldCharType="separate"/>
            </w:r>
            <w:r w:rsidR="009951B0">
              <w:rPr>
                <w:noProof/>
                <w:webHidden/>
              </w:rPr>
              <w:t>12</w:t>
            </w:r>
            <w:r w:rsidR="009951B0">
              <w:rPr>
                <w:noProof/>
                <w:webHidden/>
              </w:rPr>
              <w:fldChar w:fldCharType="end"/>
            </w:r>
          </w:hyperlink>
        </w:p>
        <w:p w14:paraId="2C1C19BE" w14:textId="408A4E67" w:rsidR="009951B0" w:rsidRDefault="00FB4DF3">
          <w:pPr>
            <w:pStyle w:val="Sisluet2"/>
            <w:tabs>
              <w:tab w:val="left" w:pos="880"/>
              <w:tab w:val="right" w:leader="dot" w:pos="10195"/>
            </w:tabs>
            <w:rPr>
              <w:rFonts w:eastAsiaTheme="minorEastAsia" w:cstheme="minorBidi"/>
              <w:noProof/>
              <w:lang w:eastAsia="fi-FI"/>
            </w:rPr>
          </w:pPr>
          <w:hyperlink w:anchor="_Toc119322692" w:history="1">
            <w:r w:rsidR="009951B0" w:rsidRPr="00BF58B0">
              <w:rPr>
                <w:rStyle w:val="Hyperlinkki"/>
                <w:noProof/>
              </w:rPr>
              <w:t>3.4</w:t>
            </w:r>
            <w:r w:rsidR="009951B0">
              <w:rPr>
                <w:rFonts w:eastAsiaTheme="minorEastAsia" w:cstheme="minorBidi"/>
                <w:noProof/>
                <w:lang w:eastAsia="fi-FI"/>
              </w:rPr>
              <w:tab/>
            </w:r>
            <w:r w:rsidR="009951B0" w:rsidRPr="00BF58B0">
              <w:rPr>
                <w:rStyle w:val="Hyperlinkki"/>
                <w:noProof/>
              </w:rPr>
              <w:t>Valtiokonttorin rooli ja tehtävät</w:t>
            </w:r>
            <w:r w:rsidR="009951B0">
              <w:rPr>
                <w:noProof/>
                <w:webHidden/>
              </w:rPr>
              <w:tab/>
            </w:r>
            <w:r w:rsidR="009951B0">
              <w:rPr>
                <w:noProof/>
                <w:webHidden/>
              </w:rPr>
              <w:fldChar w:fldCharType="begin"/>
            </w:r>
            <w:r w:rsidR="009951B0">
              <w:rPr>
                <w:noProof/>
                <w:webHidden/>
              </w:rPr>
              <w:instrText xml:space="preserve"> PAGEREF _Toc119322692 \h </w:instrText>
            </w:r>
            <w:r w:rsidR="009951B0">
              <w:rPr>
                <w:noProof/>
                <w:webHidden/>
              </w:rPr>
            </w:r>
            <w:r w:rsidR="009951B0">
              <w:rPr>
                <w:noProof/>
                <w:webHidden/>
              </w:rPr>
              <w:fldChar w:fldCharType="separate"/>
            </w:r>
            <w:r w:rsidR="009951B0">
              <w:rPr>
                <w:noProof/>
                <w:webHidden/>
              </w:rPr>
              <w:t>12</w:t>
            </w:r>
            <w:r w:rsidR="009951B0">
              <w:rPr>
                <w:noProof/>
                <w:webHidden/>
              </w:rPr>
              <w:fldChar w:fldCharType="end"/>
            </w:r>
          </w:hyperlink>
        </w:p>
        <w:p w14:paraId="4D145B0D" w14:textId="336DE911" w:rsidR="009951B0" w:rsidRDefault="00FB4DF3">
          <w:pPr>
            <w:pStyle w:val="Sisluet1"/>
            <w:tabs>
              <w:tab w:val="left" w:pos="440"/>
              <w:tab w:val="right" w:leader="dot" w:pos="10195"/>
            </w:tabs>
            <w:rPr>
              <w:rFonts w:eastAsiaTheme="minorEastAsia" w:cstheme="minorBidi"/>
              <w:noProof/>
              <w:lang w:eastAsia="fi-FI"/>
            </w:rPr>
          </w:pPr>
          <w:hyperlink w:anchor="_Toc119322693" w:history="1">
            <w:r w:rsidR="009951B0" w:rsidRPr="00BF58B0">
              <w:rPr>
                <w:rStyle w:val="Hyperlinkki"/>
                <w:noProof/>
              </w:rPr>
              <w:t>4</w:t>
            </w:r>
            <w:r w:rsidR="009951B0">
              <w:rPr>
                <w:rFonts w:eastAsiaTheme="minorEastAsia" w:cstheme="minorBidi"/>
                <w:noProof/>
                <w:lang w:eastAsia="fi-FI"/>
              </w:rPr>
              <w:tab/>
            </w:r>
            <w:r w:rsidR="009951B0" w:rsidRPr="00BF58B0">
              <w:rPr>
                <w:rStyle w:val="Hyperlinkki"/>
                <w:noProof/>
              </w:rPr>
              <w:t>Liite Mittarien kuvaukset ja laskentatavat</w:t>
            </w:r>
            <w:r w:rsidR="009951B0">
              <w:rPr>
                <w:noProof/>
                <w:webHidden/>
              </w:rPr>
              <w:tab/>
            </w:r>
            <w:r w:rsidR="009951B0">
              <w:rPr>
                <w:noProof/>
                <w:webHidden/>
              </w:rPr>
              <w:fldChar w:fldCharType="begin"/>
            </w:r>
            <w:r w:rsidR="009951B0">
              <w:rPr>
                <w:noProof/>
                <w:webHidden/>
              </w:rPr>
              <w:instrText xml:space="preserve"> PAGEREF _Toc119322693 \h </w:instrText>
            </w:r>
            <w:r w:rsidR="009951B0">
              <w:rPr>
                <w:noProof/>
                <w:webHidden/>
              </w:rPr>
            </w:r>
            <w:r w:rsidR="009951B0">
              <w:rPr>
                <w:noProof/>
                <w:webHidden/>
              </w:rPr>
              <w:fldChar w:fldCharType="separate"/>
            </w:r>
            <w:r w:rsidR="009951B0">
              <w:rPr>
                <w:noProof/>
                <w:webHidden/>
              </w:rPr>
              <w:t>12</w:t>
            </w:r>
            <w:r w:rsidR="009951B0">
              <w:rPr>
                <w:noProof/>
                <w:webHidden/>
              </w:rPr>
              <w:fldChar w:fldCharType="end"/>
            </w:r>
          </w:hyperlink>
        </w:p>
        <w:p w14:paraId="69C7C9B1" w14:textId="2A7006EF" w:rsidR="006E53B0" w:rsidRDefault="006E53B0">
          <w:r>
            <w:rPr>
              <w:b/>
              <w:bCs/>
            </w:rPr>
            <w:fldChar w:fldCharType="end"/>
          </w:r>
        </w:p>
      </w:sdtContent>
    </w:sdt>
    <w:p w14:paraId="1048D2B3" w14:textId="77777777" w:rsidR="006E53B0" w:rsidRDefault="006E53B0" w:rsidP="00587B3D">
      <w:pPr>
        <w:pStyle w:val="Leipteksti"/>
      </w:pPr>
    </w:p>
    <w:p w14:paraId="321AEECA" w14:textId="77777777" w:rsidR="000F6F2C" w:rsidRDefault="000F6F2C">
      <w:r>
        <w:br w:type="page"/>
      </w:r>
    </w:p>
    <w:p w14:paraId="7FEDEC38" w14:textId="3A6B326F" w:rsidR="006E53B0" w:rsidRDefault="000F6F2C" w:rsidP="006E53B0">
      <w:pPr>
        <w:pStyle w:val="Otsikko1"/>
      </w:pPr>
      <w:bookmarkStart w:id="0" w:name="_Toc119322683"/>
      <w:r>
        <w:lastRenderedPageBreak/>
        <w:t>Taloushallinnon mittaritietojen keräämisen</w:t>
      </w:r>
      <w:r w:rsidR="00302CE7">
        <w:t xml:space="preserve"> tausta ja</w:t>
      </w:r>
      <w:r>
        <w:t xml:space="preserve"> tarkoitus</w:t>
      </w:r>
      <w:bookmarkEnd w:id="0"/>
      <w:r w:rsidR="00211A69">
        <w:t xml:space="preserve"> </w:t>
      </w:r>
    </w:p>
    <w:p w14:paraId="6736828E" w14:textId="3546C3D3" w:rsidR="00751D4C" w:rsidRDefault="005C61E8" w:rsidP="00751D4C">
      <w:pPr>
        <w:pStyle w:val="Leipteksti"/>
      </w:pPr>
      <w:r w:rsidRPr="000C0309">
        <w:rPr>
          <w:i/>
          <w:iCs/>
        </w:rPr>
        <w:t>Valtion taloushallinnon strategia 2020</w:t>
      </w:r>
      <w:r>
        <w:t xml:space="preserve"> laadittiin valtiovarainministeriön johdolla vuonna 2014. </w:t>
      </w:r>
      <w:r w:rsidR="0031257F">
        <w:t>Edelleen relevantit s</w:t>
      </w:r>
      <w:r w:rsidR="00751D4C">
        <w:t>trategian päälinjaukset ovat seuraavat:</w:t>
      </w:r>
    </w:p>
    <w:p w14:paraId="081546BD" w14:textId="71420E03" w:rsidR="00751D4C" w:rsidRDefault="00751D4C" w:rsidP="00751D4C">
      <w:pPr>
        <w:pStyle w:val="Leipteksti"/>
        <w:numPr>
          <w:ilvl w:val="0"/>
          <w:numId w:val="10"/>
        </w:numPr>
      </w:pPr>
      <w:r>
        <w:t>Tarjotaan johtamista ja päätöksenteon tarpeita tukevaa taloudellista ja olennaista taloustietoa</w:t>
      </w:r>
      <w:r w:rsidR="001D6623">
        <w:t>.</w:t>
      </w:r>
    </w:p>
    <w:p w14:paraId="1008A80B" w14:textId="0E208ACB" w:rsidR="000562C3" w:rsidRDefault="000562C3" w:rsidP="00751D4C">
      <w:pPr>
        <w:pStyle w:val="Leipteksti"/>
        <w:numPr>
          <w:ilvl w:val="0"/>
          <w:numId w:val="10"/>
        </w:numPr>
      </w:pPr>
      <w:r>
        <w:t>Taloushallinnon toimijoilla on selkeät työnjaot, roolit ja vastuut palvelutuotannossa, kehittämisessä ja ohjaamisessa</w:t>
      </w:r>
      <w:r w:rsidR="001D6623">
        <w:t>.</w:t>
      </w:r>
    </w:p>
    <w:p w14:paraId="50CCEDCC" w14:textId="11795169" w:rsidR="000562C3" w:rsidRDefault="000562C3" w:rsidP="00751D4C">
      <w:pPr>
        <w:pStyle w:val="Leipteksti"/>
        <w:numPr>
          <w:ilvl w:val="0"/>
          <w:numId w:val="10"/>
        </w:numPr>
      </w:pPr>
      <w:r>
        <w:t>Yhteisiä prosesseja hyödynnetään laajasti ja Palkeiden osuutta taloushallinnon työssä nostetaan merkittävästi</w:t>
      </w:r>
      <w:r w:rsidR="001D6623">
        <w:t>.</w:t>
      </w:r>
    </w:p>
    <w:p w14:paraId="49221F10" w14:textId="7634DD71" w:rsidR="000562C3" w:rsidRDefault="000562C3" w:rsidP="00751D4C">
      <w:pPr>
        <w:pStyle w:val="Leipteksti"/>
        <w:numPr>
          <w:ilvl w:val="0"/>
          <w:numId w:val="10"/>
        </w:numPr>
      </w:pPr>
      <w:r>
        <w:t>Taloushallinnon järjestelmät on keskitetty ja koko valtionhallinto käyttää niitä</w:t>
      </w:r>
      <w:r w:rsidR="001D6623">
        <w:t>.</w:t>
      </w:r>
    </w:p>
    <w:p w14:paraId="24E972D3" w14:textId="2DECBA43" w:rsidR="000562C3" w:rsidRDefault="000562C3" w:rsidP="00751D4C">
      <w:pPr>
        <w:pStyle w:val="Leipteksti"/>
        <w:numPr>
          <w:ilvl w:val="0"/>
          <w:numId w:val="10"/>
        </w:numPr>
      </w:pPr>
      <w:r>
        <w:t>Osaaminen tukee valittua toimintamallia ja on oikeassa paikassa</w:t>
      </w:r>
      <w:r w:rsidR="000C0309">
        <w:t>.</w:t>
      </w:r>
    </w:p>
    <w:p w14:paraId="52C075D4" w14:textId="7E74BDAA" w:rsidR="000562C3" w:rsidRDefault="009769D4" w:rsidP="000562C3">
      <w:pPr>
        <w:pStyle w:val="Leipteksti"/>
      </w:pPr>
      <w:r>
        <w:t xml:space="preserve">Vuonna 2020 </w:t>
      </w:r>
      <w:r w:rsidR="00061976">
        <w:t>Palkeet ja Valtiokonttori laativat taloushallinnon kehittämisen tiekartan tukemaan</w:t>
      </w:r>
      <w:r w:rsidR="007434E5">
        <w:t xml:space="preserve"> valtion taloushallinnon</w:t>
      </w:r>
      <w:r w:rsidR="00061976">
        <w:t xml:space="preserve"> kehittämistoimien ohjausta ja viestintää. Tiekarttaa käsiteltiin työpajamuotoisesti kirjanpitoyksiköiden kanssa syksyllä 2021 ja keväällä 2022.</w:t>
      </w:r>
      <w:r>
        <w:t xml:space="preserve"> Tiekarttaa </w:t>
      </w:r>
      <w:r w:rsidR="007434E5">
        <w:t>päivitetään</w:t>
      </w:r>
      <w:r>
        <w:t xml:space="preserve"> vuosittain tarpeen mukaan esimerkiksi toimintaympäristön muutoksista johtuen.</w:t>
      </w:r>
    </w:p>
    <w:p w14:paraId="70BE56DA" w14:textId="05314B4C" w:rsidR="006E20F9" w:rsidRDefault="006E20F9" w:rsidP="000562C3">
      <w:pPr>
        <w:pStyle w:val="Leipteksti"/>
      </w:pPr>
      <w:r>
        <w:t xml:space="preserve">Systemaattisella mittaamisella pystytään seuraamaan valtion taloushallinnon strategian linjausten eli tahtotilan saavuttamista sekä varmistamaan kehittämisen tuloksellisuutta ja vaikuttavuutta. Yleisten taloushallinnon mittareiden lisäksi seurataan myös </w:t>
      </w:r>
      <w:r w:rsidR="00376A1B">
        <w:t xml:space="preserve">sitä, miten valtion taloushallinnon kehittämisen tiekartan hankkeet </w:t>
      </w:r>
      <w:r w:rsidR="005362C8">
        <w:t xml:space="preserve">ovat onnistuneet </w:t>
      </w:r>
      <w:r w:rsidR="00376A1B">
        <w:t xml:space="preserve">valtion taloushallinnon </w:t>
      </w:r>
      <w:r w:rsidR="005362C8">
        <w:t>päälinjausten toteuttamisessa</w:t>
      </w:r>
      <w:r>
        <w:t>.</w:t>
      </w:r>
      <w:r w:rsidR="00B47189">
        <w:t xml:space="preserve"> Hankkeille asetetaan hankekohtaisesti tavoitteet ja arvioidaan niiden vaikutukset mittareihin ja niiden arvoihin – muutoksia seurataan.</w:t>
      </w:r>
    </w:p>
    <w:p w14:paraId="49B85588" w14:textId="77777777" w:rsidR="005362C8" w:rsidRDefault="006A356C" w:rsidP="000562C3">
      <w:pPr>
        <w:pStyle w:val="Leipteksti"/>
      </w:pPr>
      <w:r>
        <w:t>Taloushallintoa arvioidaan kuuden eri näkökulman kautta</w:t>
      </w:r>
      <w:r w:rsidR="005362C8">
        <w:t>:</w:t>
      </w:r>
    </w:p>
    <w:p w14:paraId="368B17EC" w14:textId="213E4F3A" w:rsidR="006A356C" w:rsidRDefault="006A356C" w:rsidP="006A356C">
      <w:pPr>
        <w:pStyle w:val="Leipteksti"/>
        <w:numPr>
          <w:ilvl w:val="0"/>
          <w:numId w:val="11"/>
        </w:numPr>
      </w:pPr>
      <w:r>
        <w:t>Tuottavuus ja tehokkuus</w:t>
      </w:r>
    </w:p>
    <w:p w14:paraId="0DDB4FD4" w14:textId="7815E565" w:rsidR="006A356C" w:rsidRDefault="006A356C" w:rsidP="006A356C">
      <w:pPr>
        <w:pStyle w:val="Leipteksti"/>
        <w:numPr>
          <w:ilvl w:val="0"/>
          <w:numId w:val="11"/>
        </w:numPr>
      </w:pPr>
      <w:r>
        <w:t>Laatu</w:t>
      </w:r>
    </w:p>
    <w:p w14:paraId="2408E409" w14:textId="735765D5" w:rsidR="006A356C" w:rsidRDefault="006A356C" w:rsidP="006A356C">
      <w:pPr>
        <w:pStyle w:val="Leipteksti"/>
        <w:numPr>
          <w:ilvl w:val="0"/>
          <w:numId w:val="11"/>
        </w:numPr>
      </w:pPr>
      <w:r>
        <w:t>Palvelukokemus</w:t>
      </w:r>
    </w:p>
    <w:p w14:paraId="18D50288" w14:textId="35F24A3E" w:rsidR="006A356C" w:rsidRDefault="006A356C" w:rsidP="006A356C">
      <w:pPr>
        <w:pStyle w:val="Leipteksti"/>
        <w:numPr>
          <w:ilvl w:val="0"/>
          <w:numId w:val="11"/>
        </w:numPr>
      </w:pPr>
      <w:r>
        <w:t>Osaaminen</w:t>
      </w:r>
    </w:p>
    <w:p w14:paraId="12C43B52" w14:textId="1B7CD496" w:rsidR="006A356C" w:rsidRDefault="006A356C" w:rsidP="006A356C">
      <w:pPr>
        <w:pStyle w:val="Leipteksti"/>
        <w:numPr>
          <w:ilvl w:val="0"/>
          <w:numId w:val="11"/>
        </w:numPr>
      </w:pPr>
      <w:r>
        <w:t>Talouden johtaminen</w:t>
      </w:r>
    </w:p>
    <w:p w14:paraId="225FFCC1" w14:textId="72300917" w:rsidR="006A356C" w:rsidRDefault="006A356C" w:rsidP="006A356C">
      <w:pPr>
        <w:pStyle w:val="Leipteksti"/>
        <w:numPr>
          <w:ilvl w:val="0"/>
          <w:numId w:val="11"/>
        </w:numPr>
      </w:pPr>
      <w:r>
        <w:t xml:space="preserve">Kestävä kehitys / </w:t>
      </w:r>
      <w:r w:rsidR="000C0309">
        <w:t>V</w:t>
      </w:r>
      <w:r>
        <w:t>astuullisuus</w:t>
      </w:r>
    </w:p>
    <w:p w14:paraId="5AB14892" w14:textId="1A8AF530" w:rsidR="005362C8" w:rsidRDefault="005362C8" w:rsidP="005362C8">
      <w:pPr>
        <w:pStyle w:val="Leipteksti"/>
        <w:ind w:left="0"/>
      </w:pPr>
    </w:p>
    <w:p w14:paraId="5FECFFFD" w14:textId="0C1E2EA2" w:rsidR="005362C8" w:rsidRDefault="005362C8" w:rsidP="005362C8">
      <w:pPr>
        <w:pStyle w:val="Leipteksti"/>
      </w:pPr>
      <w:r>
        <w:t xml:space="preserve">Tarkemmat kuvaukset mittareista ja laskentatavoista löytyvät liitteestä. </w:t>
      </w:r>
    </w:p>
    <w:p w14:paraId="75468284" w14:textId="317951C9" w:rsidR="00CC6352" w:rsidRDefault="00CC6352" w:rsidP="00CC6352">
      <w:pPr>
        <w:pStyle w:val="Otsikko1"/>
      </w:pPr>
      <w:bookmarkStart w:id="1" w:name="_Toc116998397"/>
      <w:bookmarkStart w:id="2" w:name="_Toc119322684"/>
      <w:r>
        <w:lastRenderedPageBreak/>
        <w:t>Taloushallinnon mittaritietojen keräämisen vaiheistus</w:t>
      </w:r>
      <w:bookmarkEnd w:id="1"/>
      <w:bookmarkEnd w:id="2"/>
    </w:p>
    <w:p w14:paraId="2D09F5F2" w14:textId="60E914CE" w:rsidR="00CC6352" w:rsidRDefault="00CC6352" w:rsidP="00CC6352">
      <w:pPr>
        <w:pStyle w:val="Leipteksti"/>
      </w:pPr>
      <w:r>
        <w:t>Mittaritietojen kerääminen ja julkaiseminen aloitetaan mittareista, joiden laskemisessa tarvittava tieto on jo olemassa ja helposti saatavilla. Esimerkkejä tällaisista mittareista ovat valtion/</w:t>
      </w:r>
      <w:bookmarkStart w:id="3" w:name="_Hlk119912852"/>
      <w:r w:rsidR="007B4A54">
        <w:t>kirjanpitoyksikön</w:t>
      </w:r>
      <w:bookmarkEnd w:id="3"/>
      <w:r w:rsidR="007B4A54">
        <w:t xml:space="preserve"> </w:t>
      </w:r>
      <w:r>
        <w:t>taloushallinnon kokonaiskustannukset suhteessa valtion/</w:t>
      </w:r>
      <w:r w:rsidR="007B4A54" w:rsidRPr="007B4A54">
        <w:t xml:space="preserve"> </w:t>
      </w:r>
      <w:r w:rsidR="007B4A54">
        <w:t>kirjanpitoyksikön</w:t>
      </w:r>
      <w:r>
        <w:t xml:space="preserve"> toimintamenoihin (%), t</w:t>
      </w:r>
      <w:r w:rsidRPr="00BF77A0">
        <w:t>aloushallinnon raportoitu työmäärä (</w:t>
      </w:r>
      <w:proofErr w:type="spellStart"/>
      <w:r w:rsidRPr="00BF77A0">
        <w:t>htv</w:t>
      </w:r>
      <w:proofErr w:type="spellEnd"/>
      <w:r w:rsidRPr="00BF77A0">
        <w:t>) suhteessa valtion</w:t>
      </w:r>
      <w:r>
        <w:t>/</w:t>
      </w:r>
      <w:r w:rsidR="007B4A54" w:rsidRPr="007B4A54">
        <w:t xml:space="preserve"> </w:t>
      </w:r>
      <w:r w:rsidR="007B4A54">
        <w:t>kirjanpitoyksikön</w:t>
      </w:r>
      <w:r w:rsidRPr="00BF77A0">
        <w:t xml:space="preserve"> kokonaishenkilötyövuosiin (%) </w:t>
      </w:r>
      <w:r>
        <w:t xml:space="preserve">sekä tilaukseen perustuvien ostolaskujen </w:t>
      </w:r>
      <w:r w:rsidR="00D2155E">
        <w:t>prosentti</w:t>
      </w:r>
      <w:r>
        <w:t xml:space="preserve">osuus. Näiden mittaritietojen kerääminen aloitetaan vuoden 2023 aikana. Katso myös </w:t>
      </w:r>
      <w:r w:rsidR="00134F27">
        <w:t>alla olevassa taulukossa</w:t>
      </w:r>
      <w:r>
        <w:t>kuvatut mittarit</w:t>
      </w:r>
      <w:r w:rsidR="00134F27">
        <w:t>. Ensimmäisen vaiheen mittarien laskentatavat on esitetty liitteess</w:t>
      </w:r>
      <w:r w:rsidR="00EB0481">
        <w:t>ä</w:t>
      </w:r>
      <w:r w:rsidR="00134F27">
        <w:t xml:space="preserve"> </w:t>
      </w:r>
      <w:r w:rsidR="00A54C88">
        <w:t xml:space="preserve">1 </w:t>
      </w:r>
      <w:r w:rsidR="00134F27">
        <w:t xml:space="preserve">luvussa </w:t>
      </w:r>
      <w:r w:rsidR="00EB0481">
        <w:t>4</w:t>
      </w:r>
      <w:r w:rsidR="00134F27">
        <w:t>.</w:t>
      </w:r>
    </w:p>
    <w:p w14:paraId="722CFF48" w14:textId="0912A500" w:rsidR="00CC6352" w:rsidRDefault="00CC6352" w:rsidP="00CC6352">
      <w:pPr>
        <w:pStyle w:val="Leipteksti"/>
      </w:pPr>
      <w:r>
        <w:t>Viimeistään vuoden 2024 aikana ryhdytään keräämään myös mittaritietoja, joissa ei ole kyse pelkästään tiedon keräämisestä ja laskemisesta, vaan mittariarvojen tuottaminen edellyttää myös laadullista arviointia. Esimerkkejä tällaisista mittareista ovat t</w:t>
      </w:r>
      <w:r w:rsidRPr="00CD5CB1">
        <w:t>oimintamallin arviointi (nykytila verrattuna tavoitetilaan)</w:t>
      </w:r>
      <w:r>
        <w:t>, k</w:t>
      </w:r>
      <w:r w:rsidRPr="00CD5CB1">
        <w:t>okonaisprosessin kypsyys (nykytila verrattuna tavoitetilaan)</w:t>
      </w:r>
      <w:r>
        <w:t xml:space="preserve"> sekä jatkuvuussuunnitelman laatu. Katso myös </w:t>
      </w:r>
      <w:r w:rsidR="00134F27">
        <w:t xml:space="preserve">alla olevassa taulukossa </w:t>
      </w:r>
      <w:r>
        <w:t>kuvatut mittarit</w:t>
      </w:r>
      <w:r w:rsidR="00134F27">
        <w:t>.</w:t>
      </w:r>
    </w:p>
    <w:p w14:paraId="434A5A1A" w14:textId="2001BC54" w:rsidR="00833782" w:rsidRDefault="00CC6352" w:rsidP="00CC6352">
      <w:pPr>
        <w:pStyle w:val="Leipteksti"/>
      </w:pPr>
      <w:r>
        <w:t>Viimeiseksi (arviolta vuoden 2025 aikana) käynnistetään myös niiden mittaritietojen kerääminen, joiden kerääminen on kaikkein haasteellisinta. Esimerkkejä tällaisista mittareista ovat kokonaisprosessien läpimenoaika, t</w:t>
      </w:r>
      <w:r w:rsidRPr="00300031">
        <w:t xml:space="preserve">aloushallinnon järjestelmien toimintojen kyvykkyys suhteessa </w:t>
      </w:r>
      <w:proofErr w:type="spellStart"/>
      <w:r w:rsidRPr="00300031">
        <w:t>benchmarkkiin</w:t>
      </w:r>
      <w:proofErr w:type="spellEnd"/>
      <w:r>
        <w:t xml:space="preserve"> sekä t</w:t>
      </w:r>
      <w:r w:rsidRPr="00300031">
        <w:t xml:space="preserve">aloushallinnon perusosaamisen taso </w:t>
      </w:r>
      <w:r>
        <w:t>-</w:t>
      </w:r>
      <w:r w:rsidRPr="00300031">
        <w:t>kyvykkyysarviointi, nykytila v</w:t>
      </w:r>
      <w:r w:rsidR="00EA281E">
        <w:t>errattuna</w:t>
      </w:r>
      <w:r w:rsidRPr="00300031">
        <w:t xml:space="preserve"> tavoitetila</w:t>
      </w:r>
      <w:r w:rsidR="00EA281E">
        <w:t>an</w:t>
      </w:r>
      <w:r w:rsidRPr="00300031">
        <w:t xml:space="preserve"> asteiko</w:t>
      </w:r>
      <w:r w:rsidR="00EA281E">
        <w:t>lla</w:t>
      </w:r>
      <w:r w:rsidRPr="00300031">
        <w:t xml:space="preserve"> </w:t>
      </w:r>
      <w:r w:rsidR="00EA281E" w:rsidRPr="00300031">
        <w:t>1–5</w:t>
      </w:r>
      <w:r>
        <w:t xml:space="preserve">. Katso myös </w:t>
      </w:r>
      <w:r w:rsidR="00134F27">
        <w:t xml:space="preserve">alla olevassa taulukossa </w:t>
      </w:r>
      <w:r>
        <w:t>kuvatut mittarit</w:t>
      </w:r>
      <w:r w:rsidR="00134F27">
        <w:t>.</w:t>
      </w:r>
      <w:r w:rsidR="00833782">
        <w:t xml:space="preserve"> </w:t>
      </w:r>
    </w:p>
    <w:p w14:paraId="6D822A4C" w14:textId="77777777" w:rsidR="00833782" w:rsidRDefault="00833782">
      <w:r>
        <w:br w:type="page"/>
      </w:r>
    </w:p>
    <w:tbl>
      <w:tblPr>
        <w:tblStyle w:val="TaulukkoRuudukko"/>
        <w:tblpPr w:leftFromText="141" w:rightFromText="141" w:horzAnchor="margin" w:tblpY="446"/>
        <w:tblW w:w="10200" w:type="dxa"/>
        <w:tblLook w:val="04A0" w:firstRow="1" w:lastRow="0" w:firstColumn="1" w:lastColumn="0" w:noHBand="0" w:noVBand="1"/>
      </w:tblPr>
      <w:tblGrid>
        <w:gridCol w:w="718"/>
        <w:gridCol w:w="2355"/>
        <w:gridCol w:w="1130"/>
        <w:gridCol w:w="1796"/>
        <w:gridCol w:w="1115"/>
        <w:gridCol w:w="1977"/>
        <w:gridCol w:w="1109"/>
      </w:tblGrid>
      <w:tr w:rsidR="00D26109" w14:paraId="5D3C1D01" w14:textId="29CC8298" w:rsidTr="00D26109">
        <w:tc>
          <w:tcPr>
            <w:tcW w:w="718" w:type="dxa"/>
            <w:shd w:val="clear" w:color="auto" w:fill="10497F" w:themeFill="text2"/>
          </w:tcPr>
          <w:p w14:paraId="4CA79E29" w14:textId="3B05EAC4" w:rsidR="00FC4450" w:rsidRPr="0084008C" w:rsidRDefault="00FC4450" w:rsidP="00D26109">
            <w:pPr>
              <w:pStyle w:val="Leipteksti"/>
              <w:ind w:left="0"/>
              <w:rPr>
                <w:b/>
                <w:bCs/>
                <w:color w:val="FFFFFF" w:themeColor="background1"/>
              </w:rPr>
            </w:pPr>
            <w:r w:rsidRPr="0084008C">
              <w:rPr>
                <w:b/>
                <w:bCs/>
                <w:color w:val="FFFFFF" w:themeColor="background1"/>
              </w:rPr>
              <w:lastRenderedPageBreak/>
              <w:t>Ajuri</w:t>
            </w:r>
          </w:p>
        </w:tc>
        <w:tc>
          <w:tcPr>
            <w:tcW w:w="2355" w:type="dxa"/>
            <w:shd w:val="clear" w:color="auto" w:fill="10497F" w:themeFill="text2"/>
          </w:tcPr>
          <w:p w14:paraId="556B6854" w14:textId="5D6C5D77" w:rsidR="00FC4450" w:rsidRPr="0084008C" w:rsidRDefault="00FC4450" w:rsidP="00D26109">
            <w:pPr>
              <w:pStyle w:val="Leipteksti"/>
              <w:ind w:left="0"/>
              <w:rPr>
                <w:rFonts w:ascii="Arial" w:hAnsi="Arial" w:cs="Arial"/>
                <w:b/>
                <w:bCs/>
                <w:color w:val="FFFFFF" w:themeColor="background1"/>
                <w:kern w:val="24"/>
                <w:sz w:val="20"/>
                <w:szCs w:val="20"/>
              </w:rPr>
            </w:pPr>
            <w:r w:rsidRPr="0084008C">
              <w:rPr>
                <w:rFonts w:ascii="Arial" w:hAnsi="Arial" w:cs="Arial"/>
                <w:b/>
                <w:bCs/>
                <w:color w:val="FFFFFF" w:themeColor="background1"/>
                <w:kern w:val="24"/>
                <w:sz w:val="20"/>
                <w:szCs w:val="20"/>
              </w:rPr>
              <w:t>Valtion taloushallinto</w:t>
            </w:r>
          </w:p>
        </w:tc>
        <w:tc>
          <w:tcPr>
            <w:tcW w:w="1130" w:type="dxa"/>
            <w:shd w:val="clear" w:color="auto" w:fill="10497F" w:themeFill="text2"/>
          </w:tcPr>
          <w:p w14:paraId="06BF566C" w14:textId="62D7B914" w:rsidR="00FC4450" w:rsidRPr="0084008C" w:rsidRDefault="00FC4450" w:rsidP="00D26109">
            <w:pPr>
              <w:pStyle w:val="Leipteksti"/>
              <w:ind w:left="0"/>
              <w:rPr>
                <w:rFonts w:ascii="Arial" w:hAnsi="Arial" w:cs="Arial"/>
                <w:b/>
                <w:bCs/>
                <w:color w:val="FFFFFF" w:themeColor="background1"/>
                <w:kern w:val="24"/>
                <w:sz w:val="20"/>
                <w:szCs w:val="20"/>
              </w:rPr>
            </w:pPr>
            <w:r w:rsidRPr="0084008C">
              <w:rPr>
                <w:rFonts w:ascii="Arial" w:hAnsi="Arial" w:cs="Arial"/>
                <w:b/>
                <w:bCs/>
                <w:color w:val="FFFFFF" w:themeColor="background1"/>
                <w:kern w:val="24"/>
                <w:sz w:val="20"/>
                <w:szCs w:val="20"/>
              </w:rPr>
              <w:t>Käyttöönotto</w:t>
            </w:r>
          </w:p>
        </w:tc>
        <w:tc>
          <w:tcPr>
            <w:tcW w:w="1796" w:type="dxa"/>
            <w:shd w:val="clear" w:color="auto" w:fill="10497F" w:themeFill="text2"/>
          </w:tcPr>
          <w:p w14:paraId="148E4BC4" w14:textId="64ECB824" w:rsidR="00FC4450" w:rsidRPr="0084008C" w:rsidRDefault="007B4A54" w:rsidP="00D26109">
            <w:pPr>
              <w:pStyle w:val="Leipteksti"/>
              <w:ind w:left="0"/>
              <w:rPr>
                <w:color w:val="FFFFFF" w:themeColor="background1"/>
              </w:rPr>
            </w:pPr>
            <w:r>
              <w:rPr>
                <w:rFonts w:ascii="Arial" w:hAnsi="Arial" w:cs="Arial"/>
                <w:b/>
                <w:bCs/>
                <w:color w:val="FFFFFF" w:themeColor="background1"/>
                <w:kern w:val="24"/>
                <w:sz w:val="20"/>
                <w:szCs w:val="20"/>
              </w:rPr>
              <w:t>Kirjanpitoyksiköt</w:t>
            </w:r>
          </w:p>
        </w:tc>
        <w:tc>
          <w:tcPr>
            <w:tcW w:w="1115" w:type="dxa"/>
            <w:shd w:val="clear" w:color="auto" w:fill="10497F" w:themeFill="text2"/>
          </w:tcPr>
          <w:p w14:paraId="2D620407" w14:textId="2CAA73CD" w:rsidR="00FC4450" w:rsidRPr="0084008C" w:rsidRDefault="00FC4450" w:rsidP="00D26109">
            <w:pPr>
              <w:pStyle w:val="Leipteksti"/>
              <w:ind w:left="0"/>
              <w:rPr>
                <w:rFonts w:ascii="Arial" w:hAnsi="Arial" w:cs="Arial"/>
                <w:b/>
                <w:bCs/>
                <w:color w:val="FFFFFF" w:themeColor="background1"/>
                <w:kern w:val="24"/>
                <w:sz w:val="20"/>
                <w:szCs w:val="20"/>
              </w:rPr>
            </w:pPr>
            <w:r w:rsidRPr="0084008C">
              <w:rPr>
                <w:rFonts w:ascii="Arial" w:hAnsi="Arial" w:cs="Arial"/>
                <w:b/>
                <w:bCs/>
                <w:color w:val="FFFFFF" w:themeColor="background1"/>
                <w:kern w:val="24"/>
                <w:sz w:val="20"/>
                <w:szCs w:val="20"/>
              </w:rPr>
              <w:t>Käyttöönotto</w:t>
            </w:r>
          </w:p>
        </w:tc>
        <w:tc>
          <w:tcPr>
            <w:tcW w:w="1977" w:type="dxa"/>
            <w:shd w:val="clear" w:color="auto" w:fill="10497F" w:themeFill="text2"/>
          </w:tcPr>
          <w:p w14:paraId="31FD4B3C" w14:textId="33931A3A" w:rsidR="00FC4450" w:rsidRPr="0084008C" w:rsidRDefault="00FC4450" w:rsidP="00D26109">
            <w:pPr>
              <w:pStyle w:val="Leipteksti"/>
              <w:ind w:left="0"/>
              <w:rPr>
                <w:color w:val="FFFFFF" w:themeColor="background1"/>
              </w:rPr>
            </w:pPr>
            <w:r w:rsidRPr="0084008C">
              <w:rPr>
                <w:rFonts w:ascii="Arial" w:hAnsi="Arial" w:cs="Arial"/>
                <w:b/>
                <w:bCs/>
                <w:color w:val="FFFFFF" w:themeColor="background1"/>
                <w:kern w:val="24"/>
                <w:sz w:val="20"/>
                <w:szCs w:val="20"/>
              </w:rPr>
              <w:t>Palkeet palvelukeskus</w:t>
            </w:r>
          </w:p>
        </w:tc>
        <w:tc>
          <w:tcPr>
            <w:tcW w:w="1109" w:type="dxa"/>
            <w:shd w:val="clear" w:color="auto" w:fill="10497F" w:themeFill="text2"/>
          </w:tcPr>
          <w:p w14:paraId="25BACDDF" w14:textId="24940058" w:rsidR="00FC4450" w:rsidRPr="0084008C" w:rsidRDefault="00FC4450" w:rsidP="00D26109">
            <w:pPr>
              <w:pStyle w:val="Leipteksti"/>
              <w:ind w:left="0"/>
              <w:rPr>
                <w:rFonts w:ascii="Arial" w:hAnsi="Arial" w:cs="Arial"/>
                <w:b/>
                <w:bCs/>
                <w:color w:val="FFFFFF" w:themeColor="background1"/>
                <w:kern w:val="24"/>
                <w:sz w:val="20"/>
                <w:szCs w:val="20"/>
              </w:rPr>
            </w:pPr>
            <w:r w:rsidRPr="0084008C">
              <w:rPr>
                <w:rFonts w:ascii="Arial" w:hAnsi="Arial" w:cs="Arial"/>
                <w:b/>
                <w:bCs/>
                <w:color w:val="FFFFFF" w:themeColor="background1"/>
                <w:kern w:val="24"/>
                <w:sz w:val="20"/>
                <w:szCs w:val="20"/>
              </w:rPr>
              <w:t>Käyttöönotto</w:t>
            </w:r>
          </w:p>
        </w:tc>
      </w:tr>
      <w:tr w:rsidR="000F2B67" w14:paraId="1E5AD4F5" w14:textId="0ADD1736" w:rsidTr="0084008C">
        <w:tc>
          <w:tcPr>
            <w:tcW w:w="718" w:type="dxa"/>
            <w:vMerge w:val="restart"/>
            <w:textDirection w:val="btLr"/>
            <w:vAlign w:val="center"/>
          </w:tcPr>
          <w:p w14:paraId="663191E4" w14:textId="0B893EB3" w:rsidR="00FC4450" w:rsidRPr="0084008C" w:rsidRDefault="00FC4450" w:rsidP="0084008C">
            <w:pPr>
              <w:pStyle w:val="Leipteksti"/>
              <w:ind w:left="113" w:right="113"/>
              <w:jc w:val="center"/>
              <w:rPr>
                <w:b/>
                <w:bCs/>
                <w:sz w:val="20"/>
                <w:szCs w:val="20"/>
              </w:rPr>
            </w:pPr>
            <w:r w:rsidRPr="0084008C">
              <w:rPr>
                <w:b/>
                <w:bCs/>
                <w:sz w:val="20"/>
                <w:szCs w:val="20"/>
              </w:rPr>
              <w:t>Resurssien käytt</w:t>
            </w:r>
            <w:r>
              <w:rPr>
                <w:b/>
                <w:bCs/>
                <w:sz w:val="20"/>
                <w:szCs w:val="20"/>
              </w:rPr>
              <w:t>ö</w:t>
            </w:r>
          </w:p>
        </w:tc>
        <w:tc>
          <w:tcPr>
            <w:tcW w:w="2355" w:type="dxa"/>
          </w:tcPr>
          <w:p w14:paraId="16B6D290" w14:textId="1373DD3E" w:rsidR="00FC4450" w:rsidRDefault="00FC4450" w:rsidP="00D26109">
            <w:pPr>
              <w:pStyle w:val="Leipteksti"/>
              <w:ind w:left="0"/>
            </w:pPr>
            <w:r>
              <w:rPr>
                <w:rFonts w:eastAsiaTheme="minorEastAsia" w:hAnsi="Arial" w:cstheme="minorBidi"/>
                <w:color w:val="000000" w:themeColor="dark1"/>
                <w:kern w:val="24"/>
                <w:sz w:val="18"/>
                <w:szCs w:val="18"/>
              </w:rPr>
              <w:t xml:space="preserve">Valtion taloushallinnon kokonaiskustannukset per valtion toimintamenot (%) </w:t>
            </w:r>
            <w:r>
              <w:rPr>
                <w:rFonts w:eastAsiaTheme="minorEastAsia" w:hAnsi="Arial" w:cstheme="minorBidi"/>
                <w:color w:val="000000" w:themeColor="dark1"/>
                <w:kern w:val="24"/>
                <w:sz w:val="18"/>
                <w:szCs w:val="18"/>
              </w:rPr>
              <w:tab/>
            </w:r>
          </w:p>
        </w:tc>
        <w:tc>
          <w:tcPr>
            <w:tcW w:w="1130" w:type="dxa"/>
          </w:tcPr>
          <w:p w14:paraId="45E9F197" w14:textId="35EF1273" w:rsidR="00FC4450" w:rsidRPr="0084008C" w:rsidRDefault="00FC4450" w:rsidP="0084008C">
            <w:pPr>
              <w:pStyle w:val="Leipteksti"/>
              <w:ind w:left="0"/>
              <w:jc w:val="center"/>
              <w:rPr>
                <w:rFonts w:eastAsiaTheme="minorEastAsia"/>
                <w:color w:val="000000" w:themeColor="dark1"/>
                <w:kern w:val="24"/>
                <w:sz w:val="18"/>
                <w:szCs w:val="18"/>
              </w:rPr>
            </w:pPr>
            <w:r w:rsidRPr="0084008C">
              <w:rPr>
                <w:rFonts w:eastAsiaTheme="minorEastAsia"/>
                <w:color w:val="000000" w:themeColor="dark1"/>
                <w:kern w:val="24"/>
                <w:sz w:val="18"/>
                <w:szCs w:val="18"/>
              </w:rPr>
              <w:t>2023</w:t>
            </w:r>
          </w:p>
        </w:tc>
        <w:tc>
          <w:tcPr>
            <w:tcW w:w="1796" w:type="dxa"/>
          </w:tcPr>
          <w:p w14:paraId="7EB8A604" w14:textId="4D5DDCD7" w:rsidR="00FC4450" w:rsidRDefault="00FC4450" w:rsidP="00D26109">
            <w:pPr>
              <w:pStyle w:val="Leipteksti"/>
              <w:ind w:left="0"/>
            </w:pPr>
            <w:r>
              <w:rPr>
                <w:rFonts w:eastAsiaTheme="minorEastAsia" w:hAnsi="Arial" w:cstheme="minorBidi"/>
                <w:color w:val="000000" w:themeColor="dark1"/>
                <w:kern w:val="24"/>
                <w:sz w:val="18"/>
                <w:szCs w:val="18"/>
              </w:rPr>
              <w:t xml:space="preserve">Taloushallinnon kokonaiskustannukset per </w:t>
            </w:r>
            <w:r w:rsidR="007B4A54" w:rsidRPr="007B4A54">
              <w:rPr>
                <w:rFonts w:eastAsiaTheme="minorEastAsia" w:hAnsi="Arial" w:cstheme="minorBidi"/>
                <w:color w:val="000000" w:themeColor="dark1"/>
                <w:kern w:val="24"/>
                <w:sz w:val="18"/>
                <w:szCs w:val="18"/>
              </w:rPr>
              <w:t>kirjanpitoyksikön</w:t>
            </w:r>
            <w:r w:rsidR="007B4A54" w:rsidRPr="007B4A54" w:rsidDel="007B4A54">
              <w:rPr>
                <w:rFonts w:eastAsiaTheme="minorEastAsia" w:hAnsi="Arial" w:cstheme="minorBidi"/>
                <w:color w:val="000000" w:themeColor="dark1"/>
                <w:kern w:val="24"/>
                <w:sz w:val="18"/>
                <w:szCs w:val="18"/>
              </w:rPr>
              <w:t xml:space="preserve"> </w:t>
            </w:r>
            <w:r>
              <w:rPr>
                <w:rFonts w:eastAsiaTheme="minorEastAsia" w:hAnsi="Arial" w:cstheme="minorBidi"/>
                <w:color w:val="000000" w:themeColor="dark1"/>
                <w:kern w:val="24"/>
                <w:sz w:val="18"/>
                <w:szCs w:val="18"/>
              </w:rPr>
              <w:t xml:space="preserve">toimintamenot (%) </w:t>
            </w:r>
            <w:r>
              <w:rPr>
                <w:rFonts w:eastAsiaTheme="minorEastAsia" w:hAnsi="Arial" w:cstheme="minorBidi"/>
                <w:color w:val="000000" w:themeColor="dark1"/>
                <w:kern w:val="24"/>
                <w:sz w:val="18"/>
                <w:szCs w:val="18"/>
              </w:rPr>
              <w:tab/>
            </w:r>
          </w:p>
        </w:tc>
        <w:tc>
          <w:tcPr>
            <w:tcW w:w="1115" w:type="dxa"/>
          </w:tcPr>
          <w:p w14:paraId="0FE9E237" w14:textId="3AD39F37" w:rsidR="00FC4450" w:rsidRPr="00134F27" w:rsidRDefault="00FC4450" w:rsidP="0084008C">
            <w:pPr>
              <w:pStyle w:val="Leipteksti"/>
              <w:ind w:left="0"/>
              <w:jc w:val="center"/>
              <w:rPr>
                <w:rFonts w:eastAsiaTheme="minorEastAsia" w:hAnsi="Arial" w:cstheme="minorBidi"/>
                <w:color w:val="FF0000"/>
                <w:kern w:val="24"/>
                <w:sz w:val="18"/>
                <w:szCs w:val="18"/>
              </w:rPr>
            </w:pPr>
            <w:r w:rsidRPr="00134F27">
              <w:rPr>
                <w:rFonts w:ascii="Arial" w:hAnsi="Arial" w:cs="Arial"/>
                <w:color w:val="000000" w:themeColor="dark1"/>
                <w:kern w:val="24"/>
                <w:sz w:val="18"/>
                <w:szCs w:val="18"/>
              </w:rPr>
              <w:t>2023</w:t>
            </w:r>
          </w:p>
        </w:tc>
        <w:tc>
          <w:tcPr>
            <w:tcW w:w="1977" w:type="dxa"/>
          </w:tcPr>
          <w:p w14:paraId="0CC5E124" w14:textId="477E9023" w:rsidR="00FC4450" w:rsidRDefault="00FC4450" w:rsidP="00D26109">
            <w:pPr>
              <w:pStyle w:val="Leipteksti"/>
              <w:ind w:left="0"/>
            </w:pPr>
          </w:p>
        </w:tc>
        <w:tc>
          <w:tcPr>
            <w:tcW w:w="1109" w:type="dxa"/>
          </w:tcPr>
          <w:p w14:paraId="5ED01E00" w14:textId="77777777" w:rsidR="00FC4450" w:rsidRPr="00134F27" w:rsidRDefault="00FC4450" w:rsidP="0084008C">
            <w:pPr>
              <w:pStyle w:val="Leipteksti"/>
              <w:ind w:left="0"/>
              <w:jc w:val="center"/>
              <w:rPr>
                <w:rFonts w:eastAsiaTheme="minorEastAsia" w:hAnsi="Arial" w:cstheme="minorBidi"/>
                <w:color w:val="FF0000"/>
                <w:kern w:val="24"/>
                <w:sz w:val="18"/>
                <w:szCs w:val="18"/>
              </w:rPr>
            </w:pPr>
          </w:p>
        </w:tc>
      </w:tr>
      <w:tr w:rsidR="000F2B67" w14:paraId="1D99DA4B" w14:textId="6F96E43E" w:rsidTr="0084008C">
        <w:tc>
          <w:tcPr>
            <w:tcW w:w="718" w:type="dxa"/>
            <w:vMerge/>
          </w:tcPr>
          <w:p w14:paraId="1DA87B4B" w14:textId="77777777" w:rsidR="00FC4450" w:rsidRDefault="00FC4450" w:rsidP="00D26109">
            <w:pPr>
              <w:pStyle w:val="Leipteksti"/>
              <w:ind w:left="0"/>
            </w:pPr>
          </w:p>
        </w:tc>
        <w:tc>
          <w:tcPr>
            <w:tcW w:w="2355" w:type="dxa"/>
          </w:tcPr>
          <w:p w14:paraId="638EC03D" w14:textId="08212ED7" w:rsidR="00FC4450" w:rsidRDefault="00FC4450" w:rsidP="00D26109">
            <w:pPr>
              <w:pStyle w:val="Leipteksti"/>
              <w:ind w:left="0"/>
            </w:pPr>
            <w:r>
              <w:rPr>
                <w:rFonts w:ascii="Arial" w:hAnsi="Arial" w:cs="Arial"/>
                <w:color w:val="000000" w:themeColor="dark1"/>
                <w:kern w:val="24"/>
                <w:sz w:val="18"/>
                <w:szCs w:val="18"/>
              </w:rPr>
              <w:t>Taloushallinnon raportoitu työmäärä (</w:t>
            </w:r>
            <w:proofErr w:type="spellStart"/>
            <w:r>
              <w:rPr>
                <w:rFonts w:ascii="Arial" w:hAnsi="Arial" w:cs="Arial"/>
                <w:color w:val="000000" w:themeColor="dark1"/>
                <w:kern w:val="24"/>
                <w:sz w:val="18"/>
                <w:szCs w:val="18"/>
              </w:rPr>
              <w:t>htv</w:t>
            </w:r>
            <w:proofErr w:type="spellEnd"/>
            <w:r>
              <w:rPr>
                <w:rFonts w:ascii="Arial" w:hAnsi="Arial" w:cs="Arial"/>
                <w:color w:val="000000" w:themeColor="dark1"/>
                <w:kern w:val="24"/>
                <w:sz w:val="18"/>
                <w:szCs w:val="18"/>
              </w:rPr>
              <w:t xml:space="preserve">) suhteessa valtion kokonaishenkilötyövuosiin (%) </w:t>
            </w:r>
          </w:p>
        </w:tc>
        <w:tc>
          <w:tcPr>
            <w:tcW w:w="1130" w:type="dxa"/>
          </w:tcPr>
          <w:p w14:paraId="64705276" w14:textId="7A0722AF" w:rsidR="00FC4450" w:rsidRPr="0084008C" w:rsidRDefault="00FC4450" w:rsidP="0084008C">
            <w:pPr>
              <w:pStyle w:val="Leipteksti"/>
              <w:ind w:left="0"/>
              <w:jc w:val="center"/>
              <w:rPr>
                <w:color w:val="000000" w:themeColor="dark1"/>
                <w:kern w:val="24"/>
                <w:sz w:val="18"/>
                <w:szCs w:val="18"/>
              </w:rPr>
            </w:pPr>
            <w:r w:rsidRPr="0084008C">
              <w:rPr>
                <w:color w:val="000000" w:themeColor="dark1"/>
                <w:kern w:val="24"/>
                <w:sz w:val="18"/>
                <w:szCs w:val="18"/>
              </w:rPr>
              <w:t>2023</w:t>
            </w:r>
          </w:p>
        </w:tc>
        <w:tc>
          <w:tcPr>
            <w:tcW w:w="1796" w:type="dxa"/>
          </w:tcPr>
          <w:p w14:paraId="7671D5C0" w14:textId="7782EC76" w:rsidR="00FC4450" w:rsidRDefault="00FC4450" w:rsidP="00D26109">
            <w:pPr>
              <w:pStyle w:val="Leipteksti"/>
              <w:ind w:left="0"/>
            </w:pPr>
            <w:r>
              <w:rPr>
                <w:rFonts w:ascii="Arial" w:hAnsi="Arial" w:cs="Arial"/>
                <w:color w:val="000000" w:themeColor="dark1"/>
                <w:kern w:val="24"/>
                <w:sz w:val="18"/>
                <w:szCs w:val="18"/>
              </w:rPr>
              <w:t xml:space="preserve">Taloushallinnon raportoitu työmäärä suhteessa </w:t>
            </w:r>
            <w:r w:rsidR="007B4A54" w:rsidRPr="007B4A54">
              <w:rPr>
                <w:rFonts w:ascii="Arial" w:hAnsi="Arial" w:cs="Arial"/>
                <w:color w:val="000000" w:themeColor="dark1"/>
                <w:kern w:val="24"/>
                <w:sz w:val="18"/>
                <w:szCs w:val="18"/>
              </w:rPr>
              <w:t>kirjanpitoyksikön</w:t>
            </w:r>
            <w:r>
              <w:rPr>
                <w:rFonts w:ascii="Arial" w:hAnsi="Arial" w:cs="Arial"/>
                <w:color w:val="000000" w:themeColor="dark1"/>
                <w:kern w:val="24"/>
                <w:sz w:val="18"/>
                <w:szCs w:val="18"/>
              </w:rPr>
              <w:t xml:space="preserve"> kokonaishenkilötyövuosiin (%)</w:t>
            </w:r>
          </w:p>
        </w:tc>
        <w:tc>
          <w:tcPr>
            <w:tcW w:w="1115" w:type="dxa"/>
          </w:tcPr>
          <w:p w14:paraId="67733AD2" w14:textId="638FD81F" w:rsidR="00FC4450" w:rsidRPr="00134F27" w:rsidRDefault="00FC4450" w:rsidP="0084008C">
            <w:pPr>
              <w:pStyle w:val="Leipteksti"/>
              <w:ind w:left="0"/>
              <w:jc w:val="center"/>
              <w:rPr>
                <w:rFonts w:ascii="Arial" w:hAnsi="Arial" w:cs="Arial"/>
                <w:color w:val="000000" w:themeColor="text1"/>
                <w:kern w:val="24"/>
                <w:sz w:val="18"/>
                <w:szCs w:val="18"/>
              </w:rPr>
            </w:pPr>
            <w:r w:rsidRPr="00134F27">
              <w:rPr>
                <w:rFonts w:ascii="Arial" w:hAnsi="Arial" w:cs="Arial"/>
                <w:color w:val="000000" w:themeColor="dark1"/>
                <w:kern w:val="24"/>
                <w:sz w:val="18"/>
                <w:szCs w:val="18"/>
              </w:rPr>
              <w:t>2023</w:t>
            </w:r>
          </w:p>
        </w:tc>
        <w:tc>
          <w:tcPr>
            <w:tcW w:w="1977" w:type="dxa"/>
          </w:tcPr>
          <w:p w14:paraId="08220EAE" w14:textId="6EC06F1A" w:rsidR="00FC4450" w:rsidRDefault="00FC4450" w:rsidP="00D26109">
            <w:pPr>
              <w:pStyle w:val="Leipteksti"/>
              <w:ind w:left="0"/>
            </w:pPr>
            <w:r>
              <w:rPr>
                <w:rFonts w:ascii="Arial" w:hAnsi="Arial" w:cs="Arial"/>
                <w:color w:val="000000" w:themeColor="text1"/>
                <w:kern w:val="24"/>
                <w:sz w:val="18"/>
                <w:szCs w:val="18"/>
              </w:rPr>
              <w:t>Talouspalvelujen työmäärä (</w:t>
            </w:r>
            <w:proofErr w:type="spellStart"/>
            <w:r>
              <w:rPr>
                <w:rFonts w:ascii="Arial" w:hAnsi="Arial" w:cs="Arial"/>
                <w:color w:val="000000" w:themeColor="text1"/>
                <w:kern w:val="24"/>
                <w:sz w:val="18"/>
                <w:szCs w:val="18"/>
              </w:rPr>
              <w:t>htv</w:t>
            </w:r>
            <w:proofErr w:type="spellEnd"/>
            <w:r>
              <w:rPr>
                <w:rFonts w:ascii="Arial" w:hAnsi="Arial" w:cs="Arial"/>
                <w:color w:val="000000" w:themeColor="text1"/>
                <w:kern w:val="24"/>
                <w:sz w:val="18"/>
                <w:szCs w:val="18"/>
              </w:rPr>
              <w:t>) suhteessa valtion taloushallinnon henkilötyövuosiin (%)</w:t>
            </w:r>
          </w:p>
        </w:tc>
        <w:tc>
          <w:tcPr>
            <w:tcW w:w="1109" w:type="dxa"/>
          </w:tcPr>
          <w:p w14:paraId="0ABF1450" w14:textId="2063009E" w:rsidR="00FC4450" w:rsidRPr="00134F27" w:rsidRDefault="00FC4450" w:rsidP="0084008C">
            <w:pPr>
              <w:pStyle w:val="Leipteksti"/>
              <w:ind w:left="0"/>
              <w:jc w:val="center"/>
              <w:rPr>
                <w:rFonts w:ascii="Arial" w:hAnsi="Arial" w:cs="Arial"/>
                <w:color w:val="000000" w:themeColor="text1"/>
                <w:kern w:val="24"/>
                <w:sz w:val="18"/>
                <w:szCs w:val="18"/>
              </w:rPr>
            </w:pPr>
            <w:r w:rsidRPr="00134F27">
              <w:rPr>
                <w:rFonts w:ascii="Arial" w:hAnsi="Arial" w:cs="Arial"/>
                <w:color w:val="000000" w:themeColor="dark1"/>
                <w:kern w:val="24"/>
                <w:sz w:val="18"/>
                <w:szCs w:val="18"/>
              </w:rPr>
              <w:t>2023</w:t>
            </w:r>
          </w:p>
        </w:tc>
      </w:tr>
      <w:tr w:rsidR="000F2B67" w14:paraId="65B626EF" w14:textId="1CC8990D" w:rsidTr="0084008C">
        <w:tc>
          <w:tcPr>
            <w:tcW w:w="718" w:type="dxa"/>
            <w:vMerge/>
          </w:tcPr>
          <w:p w14:paraId="325821C0" w14:textId="77777777" w:rsidR="00FC4450" w:rsidRDefault="00FC4450" w:rsidP="00D26109">
            <w:pPr>
              <w:pStyle w:val="Leipteksti"/>
              <w:ind w:left="0"/>
            </w:pPr>
          </w:p>
        </w:tc>
        <w:tc>
          <w:tcPr>
            <w:tcW w:w="2355" w:type="dxa"/>
          </w:tcPr>
          <w:p w14:paraId="7A13868F" w14:textId="4131513A" w:rsidR="00FC4450" w:rsidRDefault="00FC4450" w:rsidP="00D26109">
            <w:pPr>
              <w:pStyle w:val="Leipteksti"/>
              <w:ind w:left="0"/>
            </w:pPr>
            <w:r>
              <w:rPr>
                <w:rFonts w:ascii="Arial" w:hAnsi="Arial" w:cs="Arial"/>
                <w:color w:val="000000" w:themeColor="dark1"/>
                <w:kern w:val="24"/>
                <w:sz w:val="18"/>
                <w:szCs w:val="18"/>
              </w:rPr>
              <w:t xml:space="preserve">Kokonaisprosessien tehokkuus (€, </w:t>
            </w:r>
            <w:proofErr w:type="spellStart"/>
            <w:r>
              <w:rPr>
                <w:rFonts w:ascii="Arial" w:hAnsi="Arial" w:cs="Arial"/>
                <w:color w:val="000000" w:themeColor="dark1"/>
                <w:kern w:val="24"/>
                <w:sz w:val="18"/>
                <w:szCs w:val="18"/>
              </w:rPr>
              <w:t>htv</w:t>
            </w:r>
            <w:proofErr w:type="spellEnd"/>
            <w:r>
              <w:rPr>
                <w:rFonts w:ascii="Arial" w:hAnsi="Arial" w:cs="Arial"/>
                <w:color w:val="000000" w:themeColor="dark1"/>
                <w:kern w:val="24"/>
                <w:sz w:val="18"/>
                <w:szCs w:val="18"/>
              </w:rPr>
              <w:t>, kpl/</w:t>
            </w:r>
            <w:proofErr w:type="spellStart"/>
            <w:r>
              <w:rPr>
                <w:rFonts w:ascii="Arial" w:hAnsi="Arial" w:cs="Arial"/>
                <w:color w:val="000000" w:themeColor="dark1"/>
                <w:kern w:val="24"/>
                <w:sz w:val="18"/>
                <w:szCs w:val="18"/>
              </w:rPr>
              <w:t>kok.htv</w:t>
            </w:r>
            <w:proofErr w:type="spellEnd"/>
            <w:r>
              <w:rPr>
                <w:rFonts w:ascii="Arial" w:hAnsi="Arial" w:cs="Arial"/>
                <w:color w:val="000000" w:themeColor="dark1"/>
                <w:kern w:val="24"/>
                <w:sz w:val="18"/>
                <w:szCs w:val="18"/>
              </w:rPr>
              <w:t>, €/suorite)</w:t>
            </w:r>
          </w:p>
        </w:tc>
        <w:tc>
          <w:tcPr>
            <w:tcW w:w="1130" w:type="dxa"/>
          </w:tcPr>
          <w:p w14:paraId="75C40A34" w14:textId="46D0DCC0" w:rsidR="00FC4450" w:rsidRPr="0084008C" w:rsidRDefault="00FC4450" w:rsidP="0084008C">
            <w:pPr>
              <w:pStyle w:val="Leipteksti"/>
              <w:ind w:left="0"/>
              <w:jc w:val="center"/>
              <w:rPr>
                <w:color w:val="000000" w:themeColor="dark1"/>
                <w:kern w:val="24"/>
                <w:sz w:val="18"/>
                <w:szCs w:val="18"/>
              </w:rPr>
            </w:pPr>
            <w:r w:rsidRPr="0084008C">
              <w:rPr>
                <w:color w:val="000000" w:themeColor="dark1"/>
                <w:kern w:val="24"/>
                <w:sz w:val="18"/>
                <w:szCs w:val="18"/>
              </w:rPr>
              <w:t>2024</w:t>
            </w:r>
          </w:p>
        </w:tc>
        <w:tc>
          <w:tcPr>
            <w:tcW w:w="1796" w:type="dxa"/>
          </w:tcPr>
          <w:p w14:paraId="5A1E048C" w14:textId="130D06A1" w:rsidR="00FC4450" w:rsidRDefault="00FC4450" w:rsidP="00D26109">
            <w:pPr>
              <w:pStyle w:val="Leipteksti"/>
              <w:ind w:left="0"/>
            </w:pPr>
            <w:r>
              <w:rPr>
                <w:rFonts w:ascii="Arial" w:hAnsi="Arial" w:cs="Arial"/>
                <w:color w:val="000000" w:themeColor="dark1"/>
                <w:kern w:val="24"/>
                <w:sz w:val="18"/>
                <w:szCs w:val="18"/>
              </w:rPr>
              <w:t xml:space="preserve">Prosessin tehokkuus (€, </w:t>
            </w:r>
            <w:proofErr w:type="spellStart"/>
            <w:r>
              <w:rPr>
                <w:rFonts w:ascii="Arial" w:hAnsi="Arial" w:cs="Arial"/>
                <w:color w:val="000000" w:themeColor="dark1"/>
                <w:kern w:val="24"/>
                <w:sz w:val="18"/>
                <w:szCs w:val="18"/>
              </w:rPr>
              <w:t>htv</w:t>
            </w:r>
            <w:proofErr w:type="spellEnd"/>
            <w:r>
              <w:rPr>
                <w:rFonts w:ascii="Arial" w:hAnsi="Arial" w:cs="Arial"/>
                <w:color w:val="000000" w:themeColor="dark1"/>
                <w:kern w:val="24"/>
                <w:sz w:val="18"/>
                <w:szCs w:val="18"/>
              </w:rPr>
              <w:t>, kpl/</w:t>
            </w:r>
            <w:proofErr w:type="spellStart"/>
            <w:r>
              <w:rPr>
                <w:rFonts w:ascii="Arial" w:hAnsi="Arial" w:cs="Arial"/>
                <w:color w:val="000000" w:themeColor="dark1"/>
                <w:kern w:val="24"/>
                <w:sz w:val="18"/>
                <w:szCs w:val="18"/>
              </w:rPr>
              <w:t>kok.htv</w:t>
            </w:r>
            <w:proofErr w:type="spellEnd"/>
            <w:r>
              <w:rPr>
                <w:rFonts w:ascii="Arial" w:hAnsi="Arial" w:cs="Arial"/>
                <w:color w:val="000000" w:themeColor="dark1"/>
                <w:kern w:val="24"/>
                <w:sz w:val="18"/>
                <w:szCs w:val="18"/>
              </w:rPr>
              <w:t>, €/suorite)</w:t>
            </w:r>
          </w:p>
        </w:tc>
        <w:tc>
          <w:tcPr>
            <w:tcW w:w="1115" w:type="dxa"/>
          </w:tcPr>
          <w:p w14:paraId="2928BDED" w14:textId="7ED90130" w:rsidR="00FC4450" w:rsidRPr="00134F27" w:rsidRDefault="00FC4450" w:rsidP="0084008C">
            <w:pPr>
              <w:pStyle w:val="Leipteksti"/>
              <w:ind w:left="0"/>
              <w:jc w:val="center"/>
              <w:rPr>
                <w:rFonts w:ascii="Arial" w:hAnsi="Arial" w:cs="Arial"/>
                <w:color w:val="000000" w:themeColor="dark1"/>
                <w:kern w:val="24"/>
                <w:sz w:val="18"/>
                <w:szCs w:val="18"/>
              </w:rPr>
            </w:pPr>
            <w:r w:rsidRPr="00134F27">
              <w:rPr>
                <w:rFonts w:ascii="Arial" w:hAnsi="Arial" w:cs="Arial"/>
                <w:color w:val="000000" w:themeColor="dark1"/>
                <w:kern w:val="24"/>
                <w:sz w:val="18"/>
                <w:szCs w:val="18"/>
              </w:rPr>
              <w:t>2024</w:t>
            </w:r>
          </w:p>
        </w:tc>
        <w:tc>
          <w:tcPr>
            <w:tcW w:w="1977" w:type="dxa"/>
          </w:tcPr>
          <w:p w14:paraId="4CA15E94" w14:textId="4453AAFD" w:rsidR="00FC4450" w:rsidRDefault="00ED7E9F" w:rsidP="00D26109">
            <w:pPr>
              <w:pStyle w:val="Leipteksti"/>
              <w:ind w:left="0"/>
            </w:pPr>
            <w:r w:rsidRPr="00C011D0">
              <w:rPr>
                <w:rFonts w:ascii="Arial" w:hAnsi="Arial" w:cs="Arial"/>
                <w:kern w:val="24"/>
                <w:sz w:val="18"/>
                <w:szCs w:val="18"/>
              </w:rPr>
              <w:t>Prosessin tehokkuus – ostolaskut ja myyntilaskut (kpl/</w:t>
            </w:r>
            <w:proofErr w:type="spellStart"/>
            <w:r w:rsidRPr="00C011D0">
              <w:rPr>
                <w:rFonts w:ascii="Arial" w:hAnsi="Arial" w:cs="Arial"/>
                <w:kern w:val="24"/>
                <w:sz w:val="18"/>
                <w:szCs w:val="18"/>
              </w:rPr>
              <w:t>htv</w:t>
            </w:r>
            <w:proofErr w:type="spellEnd"/>
            <w:r w:rsidRPr="00C011D0">
              <w:rPr>
                <w:rFonts w:ascii="Arial" w:hAnsi="Arial" w:cs="Arial"/>
                <w:kern w:val="24"/>
                <w:sz w:val="18"/>
                <w:szCs w:val="18"/>
              </w:rPr>
              <w:t>)</w:t>
            </w:r>
          </w:p>
        </w:tc>
        <w:tc>
          <w:tcPr>
            <w:tcW w:w="1109" w:type="dxa"/>
          </w:tcPr>
          <w:p w14:paraId="56A44A42" w14:textId="111B81B2" w:rsidR="00FC4450" w:rsidRPr="00134F27" w:rsidRDefault="00FC4450" w:rsidP="0084008C">
            <w:pPr>
              <w:pStyle w:val="Leipteksti"/>
              <w:ind w:left="0"/>
              <w:jc w:val="center"/>
              <w:rPr>
                <w:rFonts w:ascii="Arial" w:hAnsi="Arial" w:cs="Arial"/>
                <w:color w:val="000000" w:themeColor="dark1"/>
                <w:kern w:val="24"/>
                <w:sz w:val="18"/>
                <w:szCs w:val="18"/>
              </w:rPr>
            </w:pPr>
            <w:r w:rsidRPr="00134F27">
              <w:rPr>
                <w:rFonts w:ascii="Arial" w:hAnsi="Arial" w:cs="Arial"/>
                <w:color w:val="000000" w:themeColor="dark1"/>
                <w:kern w:val="24"/>
                <w:sz w:val="18"/>
                <w:szCs w:val="18"/>
              </w:rPr>
              <w:t>2023</w:t>
            </w:r>
          </w:p>
        </w:tc>
      </w:tr>
      <w:tr w:rsidR="000F2B67" w14:paraId="7C315D78" w14:textId="77777777" w:rsidTr="0084008C">
        <w:trPr>
          <w:trHeight w:val="488"/>
        </w:trPr>
        <w:tc>
          <w:tcPr>
            <w:tcW w:w="718" w:type="dxa"/>
            <w:vMerge w:val="restart"/>
            <w:textDirection w:val="btLr"/>
            <w:vAlign w:val="center"/>
          </w:tcPr>
          <w:p w14:paraId="463985F2" w14:textId="19B89C10" w:rsidR="00BF3393" w:rsidRDefault="00BF3393" w:rsidP="0084008C">
            <w:pPr>
              <w:pStyle w:val="Leipteksti"/>
              <w:ind w:left="113" w:right="113"/>
              <w:jc w:val="center"/>
            </w:pPr>
            <w:r w:rsidRPr="0084008C">
              <w:rPr>
                <w:b/>
                <w:bCs/>
                <w:sz w:val="20"/>
                <w:szCs w:val="20"/>
              </w:rPr>
              <w:t>Automaatio</w:t>
            </w:r>
          </w:p>
        </w:tc>
        <w:tc>
          <w:tcPr>
            <w:tcW w:w="2355" w:type="dxa"/>
          </w:tcPr>
          <w:p w14:paraId="27D475A7" w14:textId="76B4E1A7" w:rsidR="00BF3393" w:rsidRDefault="00BF3393" w:rsidP="00D26109">
            <w:pPr>
              <w:pStyle w:val="NormaaliWWW"/>
              <w:spacing w:before="0" w:beforeAutospacing="0" w:after="0" w:afterAutospacing="0"/>
              <w:rPr>
                <w:rFonts w:ascii="Arial" w:hAnsi="Arial" w:cs="Arial"/>
                <w:color w:val="000000" w:themeColor="dark1"/>
                <w:kern w:val="24"/>
                <w:sz w:val="18"/>
                <w:szCs w:val="18"/>
              </w:rPr>
            </w:pPr>
            <w:r>
              <w:rPr>
                <w:rFonts w:ascii="Arial" w:hAnsi="Arial" w:cs="Arial"/>
                <w:color w:val="000000" w:themeColor="dark1"/>
                <w:kern w:val="24"/>
                <w:sz w:val="18"/>
                <w:szCs w:val="18"/>
              </w:rPr>
              <w:t>Kokonaisprosessien läpimenoaika</w:t>
            </w:r>
          </w:p>
        </w:tc>
        <w:tc>
          <w:tcPr>
            <w:tcW w:w="1130" w:type="dxa"/>
          </w:tcPr>
          <w:p w14:paraId="1CB23EE5" w14:textId="1441C7D8" w:rsidR="00BF3393" w:rsidRPr="0084008C" w:rsidRDefault="00BF3393" w:rsidP="0084008C">
            <w:pPr>
              <w:pStyle w:val="NormaaliWWW"/>
              <w:spacing w:before="0" w:beforeAutospacing="0" w:after="0" w:afterAutospacing="0"/>
              <w:jc w:val="center"/>
              <w:rPr>
                <w:rFonts w:asciiTheme="minorHAnsi" w:hAnsiTheme="minorHAnsi" w:cstheme="minorHAnsi"/>
                <w:color w:val="000000" w:themeColor="dark1"/>
                <w:kern w:val="24"/>
                <w:sz w:val="18"/>
                <w:szCs w:val="18"/>
              </w:rPr>
            </w:pPr>
            <w:r w:rsidRPr="0084008C">
              <w:rPr>
                <w:rFonts w:asciiTheme="minorHAnsi" w:hAnsiTheme="minorHAnsi" w:cstheme="minorHAnsi"/>
                <w:sz w:val="18"/>
                <w:szCs w:val="18"/>
              </w:rPr>
              <w:t>2025</w:t>
            </w:r>
          </w:p>
        </w:tc>
        <w:tc>
          <w:tcPr>
            <w:tcW w:w="1796" w:type="dxa"/>
          </w:tcPr>
          <w:p w14:paraId="7D2385A5" w14:textId="77777777" w:rsidR="00BF3393" w:rsidRDefault="00BF3393" w:rsidP="00D26109">
            <w:pPr>
              <w:pStyle w:val="NormaaliWWW"/>
              <w:spacing w:before="0" w:beforeAutospacing="0" w:after="0" w:afterAutospacing="0"/>
              <w:rPr>
                <w:rFonts w:ascii="Arial" w:hAnsi="Arial" w:cs="Arial"/>
                <w:color w:val="000000" w:themeColor="dark1"/>
                <w:kern w:val="24"/>
                <w:sz w:val="18"/>
                <w:szCs w:val="18"/>
              </w:rPr>
            </w:pPr>
          </w:p>
        </w:tc>
        <w:tc>
          <w:tcPr>
            <w:tcW w:w="1115" w:type="dxa"/>
          </w:tcPr>
          <w:p w14:paraId="56CAFC75" w14:textId="77777777" w:rsidR="00BF3393" w:rsidRPr="00134F27" w:rsidRDefault="00BF3393" w:rsidP="0084008C">
            <w:pPr>
              <w:pStyle w:val="NormaaliWWW"/>
              <w:spacing w:before="0" w:beforeAutospacing="0" w:after="0" w:afterAutospacing="0"/>
              <w:jc w:val="center"/>
              <w:rPr>
                <w:rFonts w:ascii="Arial" w:hAnsi="Arial" w:cs="Arial"/>
                <w:color w:val="000000" w:themeColor="dark1"/>
                <w:kern w:val="24"/>
                <w:sz w:val="18"/>
                <w:szCs w:val="18"/>
              </w:rPr>
            </w:pPr>
          </w:p>
        </w:tc>
        <w:tc>
          <w:tcPr>
            <w:tcW w:w="1977" w:type="dxa"/>
          </w:tcPr>
          <w:p w14:paraId="4443F589" w14:textId="77777777" w:rsidR="00BF3393" w:rsidRDefault="00BF3393" w:rsidP="00D26109">
            <w:pPr>
              <w:pStyle w:val="NormaaliWWW"/>
              <w:spacing w:before="0" w:beforeAutospacing="0" w:after="0" w:afterAutospacing="0"/>
              <w:rPr>
                <w:rFonts w:ascii="Arial" w:hAnsi="Arial" w:cs="Arial"/>
                <w:color w:val="000000" w:themeColor="dark1"/>
                <w:kern w:val="24"/>
                <w:sz w:val="18"/>
                <w:szCs w:val="18"/>
              </w:rPr>
            </w:pPr>
          </w:p>
        </w:tc>
        <w:tc>
          <w:tcPr>
            <w:tcW w:w="1109" w:type="dxa"/>
          </w:tcPr>
          <w:p w14:paraId="7E2F6B39" w14:textId="77777777" w:rsidR="00BF3393" w:rsidRPr="00134F27" w:rsidRDefault="00BF3393" w:rsidP="0084008C">
            <w:pPr>
              <w:pStyle w:val="NormaaliWWW"/>
              <w:spacing w:before="0" w:beforeAutospacing="0" w:after="0" w:afterAutospacing="0"/>
              <w:jc w:val="center"/>
              <w:rPr>
                <w:rFonts w:ascii="Arial" w:hAnsi="Arial" w:cs="Arial"/>
                <w:color w:val="000000" w:themeColor="dark1"/>
                <w:kern w:val="24"/>
                <w:sz w:val="18"/>
                <w:szCs w:val="18"/>
              </w:rPr>
            </w:pPr>
          </w:p>
        </w:tc>
      </w:tr>
      <w:tr w:rsidR="000F2B67" w14:paraId="41D9EE9B" w14:textId="64C119BD" w:rsidTr="0084008C">
        <w:tc>
          <w:tcPr>
            <w:tcW w:w="718" w:type="dxa"/>
            <w:vMerge/>
          </w:tcPr>
          <w:p w14:paraId="0AFB9EA4" w14:textId="77777777" w:rsidR="00BF3393" w:rsidRDefault="00BF3393" w:rsidP="00D26109">
            <w:pPr>
              <w:pStyle w:val="Leipteksti"/>
              <w:ind w:left="0"/>
            </w:pPr>
          </w:p>
        </w:tc>
        <w:tc>
          <w:tcPr>
            <w:tcW w:w="2355" w:type="dxa"/>
          </w:tcPr>
          <w:p w14:paraId="7201A1F6" w14:textId="5C0396FE" w:rsidR="00BF3393" w:rsidRDefault="00BF3393" w:rsidP="00D26109">
            <w:pPr>
              <w:pStyle w:val="Leipteksti"/>
              <w:ind w:left="0"/>
            </w:pPr>
            <w:r>
              <w:rPr>
                <w:rFonts w:ascii="Arial" w:hAnsi="Arial" w:cs="Arial"/>
                <w:color w:val="000000" w:themeColor="dark1"/>
                <w:kern w:val="24"/>
                <w:sz w:val="18"/>
                <w:szCs w:val="18"/>
              </w:rPr>
              <w:t>Taloushallinnon prosessien automaatioaste</w:t>
            </w:r>
            <w:r w:rsidDel="00BF3393">
              <w:rPr>
                <w:rFonts w:ascii="Arial" w:hAnsi="Arial" w:cs="Arial"/>
                <w:color w:val="000000" w:themeColor="dark1"/>
                <w:kern w:val="24"/>
                <w:sz w:val="18"/>
                <w:szCs w:val="18"/>
              </w:rPr>
              <w:t xml:space="preserve"> </w:t>
            </w:r>
            <w:r>
              <w:rPr>
                <w:rFonts w:ascii="Arial" w:hAnsi="Arial" w:cs="Arial"/>
                <w:color w:val="000000" w:themeColor="dark1"/>
                <w:kern w:val="24"/>
                <w:sz w:val="18"/>
                <w:szCs w:val="18"/>
              </w:rPr>
              <w:t>%</w:t>
            </w:r>
          </w:p>
        </w:tc>
        <w:tc>
          <w:tcPr>
            <w:tcW w:w="1130" w:type="dxa"/>
          </w:tcPr>
          <w:p w14:paraId="3828696F" w14:textId="223A20C1" w:rsidR="00BF3393" w:rsidRPr="00134F27" w:rsidRDefault="00BF3393" w:rsidP="0084008C">
            <w:pPr>
              <w:pStyle w:val="NormaaliWWW"/>
              <w:spacing w:before="0" w:beforeAutospacing="0" w:after="0" w:afterAutospacing="0"/>
              <w:jc w:val="center"/>
              <w:rPr>
                <w:rFonts w:ascii="Arial" w:hAnsi="Arial" w:cs="Arial"/>
                <w:color w:val="000000" w:themeColor="dark1"/>
                <w:kern w:val="24"/>
                <w:sz w:val="18"/>
                <w:szCs w:val="18"/>
              </w:rPr>
            </w:pPr>
            <w:r w:rsidRPr="00134F27">
              <w:rPr>
                <w:rFonts w:asciiTheme="minorHAnsi" w:hAnsiTheme="minorHAnsi" w:cstheme="minorHAnsi"/>
                <w:sz w:val="18"/>
                <w:szCs w:val="18"/>
              </w:rPr>
              <w:t>2024</w:t>
            </w:r>
          </w:p>
        </w:tc>
        <w:tc>
          <w:tcPr>
            <w:tcW w:w="1796" w:type="dxa"/>
          </w:tcPr>
          <w:p w14:paraId="43AF56E6" w14:textId="09EE9007" w:rsidR="00BF3393" w:rsidRDefault="00BF3393" w:rsidP="00D26109">
            <w:pPr>
              <w:pStyle w:val="Leipteksti"/>
              <w:ind w:left="0"/>
            </w:pPr>
            <w:r>
              <w:rPr>
                <w:rFonts w:ascii="Arial" w:hAnsi="Arial" w:cs="Arial"/>
                <w:color w:val="000000" w:themeColor="dark1"/>
                <w:kern w:val="24"/>
                <w:sz w:val="18"/>
                <w:szCs w:val="18"/>
              </w:rPr>
              <w:t>Taloushallinnon prosessien automaatioaste</w:t>
            </w:r>
            <w:r w:rsidDel="00BF3393">
              <w:rPr>
                <w:rFonts w:ascii="Arial" w:hAnsi="Arial" w:cs="Arial"/>
                <w:color w:val="000000" w:themeColor="dark1"/>
                <w:kern w:val="24"/>
                <w:sz w:val="18"/>
                <w:szCs w:val="18"/>
              </w:rPr>
              <w:t xml:space="preserve"> </w:t>
            </w:r>
            <w:r>
              <w:rPr>
                <w:rFonts w:ascii="Arial" w:hAnsi="Arial" w:cs="Arial"/>
                <w:color w:val="000000" w:themeColor="dark1"/>
                <w:kern w:val="24"/>
                <w:sz w:val="18"/>
                <w:szCs w:val="18"/>
              </w:rPr>
              <w:t>%</w:t>
            </w:r>
          </w:p>
        </w:tc>
        <w:tc>
          <w:tcPr>
            <w:tcW w:w="1115" w:type="dxa"/>
          </w:tcPr>
          <w:p w14:paraId="23979401" w14:textId="2F6A4828" w:rsidR="00BF3393" w:rsidRPr="00134F27" w:rsidRDefault="00BF3393" w:rsidP="0084008C">
            <w:pPr>
              <w:pStyle w:val="NormaaliWWW"/>
              <w:spacing w:before="0" w:beforeAutospacing="0" w:after="0" w:afterAutospacing="0"/>
              <w:jc w:val="center"/>
              <w:rPr>
                <w:rFonts w:ascii="Arial" w:hAnsi="Arial" w:cs="Arial"/>
                <w:color w:val="000000" w:themeColor="dark1"/>
                <w:kern w:val="24"/>
                <w:sz w:val="18"/>
                <w:szCs w:val="18"/>
              </w:rPr>
            </w:pPr>
            <w:r w:rsidRPr="00134F27">
              <w:rPr>
                <w:rFonts w:ascii="Arial" w:hAnsi="Arial" w:cs="Arial"/>
                <w:color w:val="000000" w:themeColor="dark1"/>
                <w:kern w:val="24"/>
                <w:sz w:val="18"/>
                <w:szCs w:val="18"/>
              </w:rPr>
              <w:t>2024</w:t>
            </w:r>
          </w:p>
        </w:tc>
        <w:tc>
          <w:tcPr>
            <w:tcW w:w="1977" w:type="dxa"/>
          </w:tcPr>
          <w:p w14:paraId="38A58B33" w14:textId="59AB5A80" w:rsidR="00BF3393" w:rsidRDefault="00BF3393" w:rsidP="00D26109">
            <w:pPr>
              <w:pStyle w:val="Leipteksti"/>
              <w:ind w:left="0"/>
            </w:pPr>
            <w:r>
              <w:rPr>
                <w:rFonts w:ascii="Arial" w:hAnsi="Arial" w:cs="Arial"/>
                <w:color w:val="000000" w:themeColor="dark1"/>
                <w:kern w:val="24"/>
                <w:sz w:val="18"/>
                <w:szCs w:val="18"/>
              </w:rPr>
              <w:t>Taloushallinnon prosessien automaatioaste</w:t>
            </w:r>
            <w:r w:rsidDel="00BF3393">
              <w:rPr>
                <w:rFonts w:ascii="Arial" w:hAnsi="Arial" w:cs="Arial"/>
                <w:color w:val="000000" w:themeColor="dark1"/>
                <w:kern w:val="24"/>
                <w:sz w:val="18"/>
                <w:szCs w:val="18"/>
              </w:rPr>
              <w:t xml:space="preserve"> </w:t>
            </w:r>
            <w:r>
              <w:rPr>
                <w:rFonts w:ascii="Arial" w:hAnsi="Arial" w:cs="Arial"/>
                <w:color w:val="000000" w:themeColor="dark1"/>
                <w:kern w:val="24"/>
                <w:sz w:val="18"/>
                <w:szCs w:val="18"/>
              </w:rPr>
              <w:t>%</w:t>
            </w:r>
          </w:p>
        </w:tc>
        <w:tc>
          <w:tcPr>
            <w:tcW w:w="1109" w:type="dxa"/>
          </w:tcPr>
          <w:p w14:paraId="5F056490" w14:textId="49C475B5" w:rsidR="00BF3393" w:rsidRPr="00134F27" w:rsidRDefault="00BF3393" w:rsidP="0084008C">
            <w:pPr>
              <w:pStyle w:val="NormaaliWWW"/>
              <w:spacing w:before="0" w:beforeAutospacing="0" w:after="0" w:afterAutospacing="0"/>
              <w:jc w:val="center"/>
              <w:rPr>
                <w:rFonts w:ascii="Arial" w:hAnsi="Arial" w:cs="Arial"/>
                <w:color w:val="000000" w:themeColor="dark1"/>
                <w:kern w:val="24"/>
                <w:sz w:val="18"/>
                <w:szCs w:val="18"/>
              </w:rPr>
            </w:pPr>
            <w:r w:rsidRPr="00134F27">
              <w:rPr>
                <w:rFonts w:ascii="Arial" w:hAnsi="Arial" w:cs="Arial"/>
                <w:color w:val="000000" w:themeColor="dark1"/>
                <w:kern w:val="24"/>
                <w:sz w:val="18"/>
                <w:szCs w:val="18"/>
              </w:rPr>
              <w:t>2023</w:t>
            </w:r>
          </w:p>
        </w:tc>
      </w:tr>
      <w:tr w:rsidR="000F2B67" w14:paraId="68D0555A" w14:textId="77777777" w:rsidTr="0084008C">
        <w:tc>
          <w:tcPr>
            <w:tcW w:w="718" w:type="dxa"/>
            <w:vMerge/>
          </w:tcPr>
          <w:p w14:paraId="23269065" w14:textId="77777777" w:rsidR="000F2B67" w:rsidRDefault="000F2B67" w:rsidP="00D26109">
            <w:pPr>
              <w:pStyle w:val="Leipteksti"/>
              <w:ind w:left="0"/>
            </w:pPr>
          </w:p>
        </w:tc>
        <w:tc>
          <w:tcPr>
            <w:tcW w:w="2355" w:type="dxa"/>
          </w:tcPr>
          <w:p w14:paraId="628AEBC6" w14:textId="77777777" w:rsidR="000F2B67" w:rsidRDefault="000F2B67" w:rsidP="00D26109">
            <w:pPr>
              <w:pStyle w:val="NormaaliWWW"/>
              <w:spacing w:before="0" w:beforeAutospacing="0" w:after="0" w:afterAutospacing="0"/>
              <w:rPr>
                <w:rFonts w:ascii="Arial" w:hAnsi="Arial" w:cs="Arial"/>
                <w:sz w:val="36"/>
                <w:szCs w:val="36"/>
              </w:rPr>
            </w:pPr>
            <w:r>
              <w:rPr>
                <w:rFonts w:ascii="Arial" w:hAnsi="Arial" w:cs="Arial"/>
                <w:color w:val="000000" w:themeColor="dark1"/>
                <w:kern w:val="24"/>
                <w:sz w:val="18"/>
                <w:szCs w:val="18"/>
              </w:rPr>
              <w:t xml:space="preserve">Sähköisten myyntilaskujen osuus </w:t>
            </w:r>
          </w:p>
          <w:p w14:paraId="197E371B" w14:textId="77777777" w:rsidR="000F2B67" w:rsidRDefault="000F2B67" w:rsidP="00D26109">
            <w:pPr>
              <w:pStyle w:val="Leipteksti"/>
              <w:ind w:left="0"/>
              <w:rPr>
                <w:rFonts w:eastAsiaTheme="minorEastAsia" w:hAnsi="Arial" w:cstheme="minorBidi"/>
                <w:color w:val="000000" w:themeColor="dark1"/>
                <w:kern w:val="24"/>
                <w:sz w:val="18"/>
                <w:szCs w:val="18"/>
              </w:rPr>
            </w:pPr>
          </w:p>
        </w:tc>
        <w:tc>
          <w:tcPr>
            <w:tcW w:w="1130" w:type="dxa"/>
          </w:tcPr>
          <w:p w14:paraId="1A14B411" w14:textId="5A285B3B" w:rsidR="000F2B67" w:rsidRPr="00134F27" w:rsidRDefault="000F2B67" w:rsidP="0084008C">
            <w:pPr>
              <w:pStyle w:val="Leipteksti"/>
              <w:ind w:left="0"/>
              <w:jc w:val="center"/>
              <w:rPr>
                <w:rFonts w:eastAsiaTheme="minorEastAsia" w:hAnsi="Arial" w:cstheme="minorBidi"/>
                <w:color w:val="000000" w:themeColor="dark1"/>
                <w:kern w:val="24"/>
                <w:sz w:val="18"/>
                <w:szCs w:val="18"/>
              </w:rPr>
            </w:pPr>
            <w:r w:rsidRPr="00134F27">
              <w:rPr>
                <w:rFonts w:eastAsiaTheme="minorEastAsia" w:hAnsi="Arial" w:cstheme="minorBidi"/>
                <w:color w:val="000000" w:themeColor="dark1"/>
                <w:kern w:val="24"/>
                <w:sz w:val="18"/>
                <w:szCs w:val="18"/>
              </w:rPr>
              <w:t>2023</w:t>
            </w:r>
          </w:p>
        </w:tc>
        <w:tc>
          <w:tcPr>
            <w:tcW w:w="1796" w:type="dxa"/>
          </w:tcPr>
          <w:p w14:paraId="274CBEED" w14:textId="117856DD" w:rsidR="000F2B67" w:rsidRDefault="000F2B67" w:rsidP="00D26109">
            <w:pPr>
              <w:pStyle w:val="Leipteksti"/>
              <w:ind w:left="0"/>
              <w:rPr>
                <w:rFonts w:eastAsiaTheme="minorEastAsia" w:hAnsi="Arial" w:cstheme="minorBidi"/>
                <w:color w:val="000000" w:themeColor="dark1"/>
                <w:kern w:val="24"/>
                <w:sz w:val="18"/>
                <w:szCs w:val="18"/>
              </w:rPr>
            </w:pPr>
            <w:r>
              <w:rPr>
                <w:rFonts w:ascii="Arial" w:hAnsi="Arial" w:cs="Arial"/>
                <w:color w:val="000000" w:themeColor="dark1"/>
                <w:kern w:val="24"/>
                <w:sz w:val="18"/>
                <w:szCs w:val="18"/>
              </w:rPr>
              <w:t>Sähköisten myyntilaskujen osuus</w:t>
            </w:r>
          </w:p>
        </w:tc>
        <w:tc>
          <w:tcPr>
            <w:tcW w:w="1115" w:type="dxa"/>
          </w:tcPr>
          <w:p w14:paraId="46456044" w14:textId="7FF85584" w:rsidR="000F2B67" w:rsidRPr="0084008C" w:rsidRDefault="000F2B67" w:rsidP="0084008C">
            <w:pPr>
              <w:pStyle w:val="Leipteksti"/>
              <w:ind w:left="0"/>
              <w:jc w:val="center"/>
              <w:rPr>
                <w:sz w:val="18"/>
                <w:szCs w:val="18"/>
              </w:rPr>
            </w:pPr>
            <w:r w:rsidRPr="0084008C">
              <w:rPr>
                <w:sz w:val="18"/>
                <w:szCs w:val="18"/>
              </w:rPr>
              <w:t>2023</w:t>
            </w:r>
          </w:p>
        </w:tc>
        <w:tc>
          <w:tcPr>
            <w:tcW w:w="1977" w:type="dxa"/>
          </w:tcPr>
          <w:p w14:paraId="6E8AE632" w14:textId="50A92244" w:rsidR="000F2B67" w:rsidRDefault="000F2B67" w:rsidP="00D26109">
            <w:pPr>
              <w:pStyle w:val="Leipteksti"/>
              <w:ind w:left="0"/>
            </w:pPr>
            <w:r>
              <w:rPr>
                <w:rFonts w:ascii="Arial" w:hAnsi="Arial" w:cs="Arial"/>
                <w:color w:val="000000" w:themeColor="dark1"/>
                <w:kern w:val="24"/>
                <w:sz w:val="18"/>
                <w:szCs w:val="18"/>
              </w:rPr>
              <w:t>Sähköisten myyntilaskujen osuus</w:t>
            </w:r>
          </w:p>
        </w:tc>
        <w:tc>
          <w:tcPr>
            <w:tcW w:w="1109" w:type="dxa"/>
          </w:tcPr>
          <w:p w14:paraId="61ADEFAB" w14:textId="310E2486" w:rsidR="000F2B67" w:rsidRPr="0084008C" w:rsidRDefault="000F2B67" w:rsidP="0084008C">
            <w:pPr>
              <w:pStyle w:val="Leipteksti"/>
              <w:ind w:left="0"/>
              <w:jc w:val="center"/>
              <w:rPr>
                <w:sz w:val="18"/>
                <w:szCs w:val="18"/>
              </w:rPr>
            </w:pPr>
            <w:r w:rsidRPr="00134F27">
              <w:rPr>
                <w:rFonts w:eastAsiaTheme="minorEastAsia" w:hAnsi="Arial" w:cstheme="minorBidi"/>
                <w:color w:val="000000" w:themeColor="dark1"/>
                <w:kern w:val="24"/>
                <w:sz w:val="18"/>
                <w:szCs w:val="18"/>
              </w:rPr>
              <w:t>2023</w:t>
            </w:r>
          </w:p>
        </w:tc>
      </w:tr>
      <w:tr w:rsidR="000F2B67" w14:paraId="3CFE97EA" w14:textId="77777777" w:rsidTr="0084008C">
        <w:tc>
          <w:tcPr>
            <w:tcW w:w="718" w:type="dxa"/>
            <w:vMerge/>
          </w:tcPr>
          <w:p w14:paraId="6DB7C57E" w14:textId="77777777" w:rsidR="000F2B67" w:rsidRDefault="000F2B67" w:rsidP="00D26109">
            <w:pPr>
              <w:pStyle w:val="Leipteksti"/>
              <w:ind w:left="0"/>
            </w:pPr>
          </w:p>
        </w:tc>
        <w:tc>
          <w:tcPr>
            <w:tcW w:w="2355" w:type="dxa"/>
          </w:tcPr>
          <w:p w14:paraId="3E205B39" w14:textId="5E3001F2" w:rsidR="000F2B67" w:rsidRDefault="000F2B67" w:rsidP="00D26109">
            <w:pPr>
              <w:pStyle w:val="Leipteksti"/>
              <w:ind w:left="0"/>
              <w:rPr>
                <w:rFonts w:eastAsiaTheme="minorEastAsia" w:hAnsi="Arial" w:cstheme="minorBidi"/>
                <w:color w:val="000000" w:themeColor="dark1"/>
                <w:kern w:val="24"/>
                <w:sz w:val="18"/>
                <w:szCs w:val="18"/>
              </w:rPr>
            </w:pPr>
            <w:r>
              <w:rPr>
                <w:rFonts w:ascii="Arial" w:hAnsi="Arial" w:cs="Arial"/>
                <w:color w:val="000000" w:themeColor="dark1"/>
                <w:kern w:val="24"/>
                <w:sz w:val="18"/>
                <w:szCs w:val="18"/>
              </w:rPr>
              <w:t>Sähköisten kuittien osuus</w:t>
            </w:r>
          </w:p>
        </w:tc>
        <w:tc>
          <w:tcPr>
            <w:tcW w:w="1130" w:type="dxa"/>
          </w:tcPr>
          <w:p w14:paraId="7A587BA3" w14:textId="1DBBB506" w:rsidR="000F2B67" w:rsidRPr="00134F27" w:rsidRDefault="000F2B67" w:rsidP="0084008C">
            <w:pPr>
              <w:pStyle w:val="Leipteksti"/>
              <w:ind w:left="0"/>
              <w:jc w:val="center"/>
              <w:rPr>
                <w:rFonts w:eastAsiaTheme="minorEastAsia" w:hAnsi="Arial" w:cstheme="minorBidi"/>
                <w:color w:val="000000" w:themeColor="dark1"/>
                <w:kern w:val="24"/>
                <w:sz w:val="18"/>
                <w:szCs w:val="18"/>
              </w:rPr>
            </w:pPr>
            <w:r w:rsidRPr="00134F27">
              <w:rPr>
                <w:rFonts w:eastAsiaTheme="minorEastAsia" w:hAnsi="Arial" w:cstheme="minorBidi"/>
                <w:color w:val="000000" w:themeColor="dark1"/>
                <w:kern w:val="24"/>
                <w:sz w:val="18"/>
                <w:szCs w:val="18"/>
              </w:rPr>
              <w:t>202</w:t>
            </w:r>
            <w:r w:rsidR="003B44E8">
              <w:rPr>
                <w:rFonts w:eastAsiaTheme="minorEastAsia" w:hAnsi="Arial" w:cstheme="minorBidi"/>
                <w:color w:val="000000" w:themeColor="dark1"/>
                <w:kern w:val="24"/>
                <w:sz w:val="18"/>
                <w:szCs w:val="18"/>
              </w:rPr>
              <w:t>3</w:t>
            </w:r>
          </w:p>
        </w:tc>
        <w:tc>
          <w:tcPr>
            <w:tcW w:w="1796" w:type="dxa"/>
          </w:tcPr>
          <w:p w14:paraId="2F8C0591" w14:textId="1055CA2D" w:rsidR="000F2B67" w:rsidRDefault="000F2B67" w:rsidP="00D26109">
            <w:pPr>
              <w:pStyle w:val="Leipteksti"/>
              <w:ind w:left="0"/>
              <w:rPr>
                <w:rFonts w:eastAsiaTheme="minorEastAsia" w:hAnsi="Arial" w:cstheme="minorBidi"/>
                <w:color w:val="000000" w:themeColor="dark1"/>
                <w:kern w:val="24"/>
                <w:sz w:val="18"/>
                <w:szCs w:val="18"/>
              </w:rPr>
            </w:pPr>
            <w:r>
              <w:rPr>
                <w:rFonts w:ascii="Arial" w:hAnsi="Arial" w:cs="Arial"/>
                <w:color w:val="000000" w:themeColor="dark1"/>
                <w:kern w:val="24"/>
                <w:sz w:val="18"/>
                <w:szCs w:val="18"/>
              </w:rPr>
              <w:t>Sähköisten kuittien osuus</w:t>
            </w:r>
          </w:p>
        </w:tc>
        <w:tc>
          <w:tcPr>
            <w:tcW w:w="1115" w:type="dxa"/>
          </w:tcPr>
          <w:p w14:paraId="29BE4E24" w14:textId="451C5676" w:rsidR="000F2B67" w:rsidRPr="0084008C" w:rsidRDefault="000F2B67" w:rsidP="0084008C">
            <w:pPr>
              <w:pStyle w:val="Leipteksti"/>
              <w:ind w:left="0"/>
              <w:jc w:val="center"/>
              <w:rPr>
                <w:sz w:val="18"/>
                <w:szCs w:val="18"/>
              </w:rPr>
            </w:pPr>
            <w:r w:rsidRPr="0084008C">
              <w:rPr>
                <w:rFonts w:eastAsiaTheme="minorEastAsia" w:hAnsi="Arial" w:cstheme="minorBidi"/>
                <w:kern w:val="24"/>
                <w:sz w:val="18"/>
                <w:szCs w:val="18"/>
              </w:rPr>
              <w:t>202</w:t>
            </w:r>
            <w:r w:rsidR="003B44E8">
              <w:rPr>
                <w:rFonts w:eastAsiaTheme="minorEastAsia" w:hAnsi="Arial" w:cstheme="minorBidi"/>
                <w:kern w:val="24"/>
                <w:sz w:val="18"/>
                <w:szCs w:val="18"/>
              </w:rPr>
              <w:t>3</w:t>
            </w:r>
          </w:p>
        </w:tc>
        <w:tc>
          <w:tcPr>
            <w:tcW w:w="1977" w:type="dxa"/>
          </w:tcPr>
          <w:p w14:paraId="04C872FB" w14:textId="4CAE3D0E" w:rsidR="000F2B67" w:rsidRDefault="000F2B67" w:rsidP="00D26109">
            <w:pPr>
              <w:pStyle w:val="Leipteksti"/>
              <w:ind w:left="0"/>
            </w:pPr>
            <w:r>
              <w:rPr>
                <w:rFonts w:eastAsiaTheme="minorEastAsia" w:hAnsi="Arial" w:cstheme="minorBidi"/>
                <w:color w:val="000000" w:themeColor="dark1"/>
                <w:kern w:val="24"/>
                <w:sz w:val="18"/>
                <w:szCs w:val="18"/>
              </w:rPr>
              <w:t>Automaattisesti käsiteltyjen matkalaskujen osuus, %</w:t>
            </w:r>
          </w:p>
        </w:tc>
        <w:tc>
          <w:tcPr>
            <w:tcW w:w="1109" w:type="dxa"/>
          </w:tcPr>
          <w:p w14:paraId="18EFA7A1" w14:textId="6B2DB7F1" w:rsidR="000F2B67" w:rsidRPr="0084008C" w:rsidRDefault="000F2B67" w:rsidP="0084008C">
            <w:pPr>
              <w:pStyle w:val="Leipteksti"/>
              <w:ind w:left="0"/>
              <w:jc w:val="center"/>
              <w:rPr>
                <w:sz w:val="18"/>
                <w:szCs w:val="18"/>
              </w:rPr>
            </w:pPr>
            <w:r w:rsidRPr="00134F27">
              <w:rPr>
                <w:rFonts w:eastAsiaTheme="minorEastAsia" w:hAnsi="Arial" w:cstheme="minorBidi"/>
                <w:color w:val="000000" w:themeColor="dark1"/>
                <w:kern w:val="24"/>
                <w:sz w:val="18"/>
                <w:szCs w:val="18"/>
              </w:rPr>
              <w:t>202</w:t>
            </w:r>
            <w:r w:rsidR="003B44E8">
              <w:rPr>
                <w:rFonts w:eastAsiaTheme="minorEastAsia" w:hAnsi="Arial" w:cstheme="minorBidi"/>
                <w:color w:val="000000" w:themeColor="dark1"/>
                <w:kern w:val="24"/>
                <w:sz w:val="18"/>
                <w:szCs w:val="18"/>
              </w:rPr>
              <w:t>5</w:t>
            </w:r>
          </w:p>
        </w:tc>
      </w:tr>
      <w:tr w:rsidR="000F2B67" w14:paraId="4771F054" w14:textId="50762212" w:rsidTr="0084008C">
        <w:tc>
          <w:tcPr>
            <w:tcW w:w="718" w:type="dxa"/>
            <w:vMerge/>
          </w:tcPr>
          <w:p w14:paraId="60A38A4C" w14:textId="77777777" w:rsidR="000F2B67" w:rsidRDefault="000F2B67" w:rsidP="00D26109">
            <w:pPr>
              <w:pStyle w:val="Leipteksti"/>
              <w:ind w:left="0"/>
            </w:pPr>
          </w:p>
        </w:tc>
        <w:tc>
          <w:tcPr>
            <w:tcW w:w="2355" w:type="dxa"/>
          </w:tcPr>
          <w:p w14:paraId="7CFD6537" w14:textId="29EA9943" w:rsidR="000F2B67" w:rsidRDefault="000F2B67" w:rsidP="00D26109">
            <w:pPr>
              <w:pStyle w:val="Leipteksti"/>
              <w:ind w:left="0"/>
            </w:pPr>
            <w:r>
              <w:rPr>
                <w:rFonts w:eastAsiaTheme="minorEastAsia" w:hAnsi="Arial" w:cstheme="minorBidi"/>
                <w:color w:val="000000" w:themeColor="dark1"/>
                <w:kern w:val="24"/>
                <w:sz w:val="18"/>
                <w:szCs w:val="18"/>
              </w:rPr>
              <w:t>Tilaukseen perustuvien valtion ostolaskujen %-osuus</w:t>
            </w:r>
            <w:r>
              <w:rPr>
                <w:rFonts w:eastAsiaTheme="minorEastAsia" w:hAnsi="Arial" w:cstheme="minorBidi"/>
                <w:color w:val="000000" w:themeColor="dark1"/>
                <w:kern w:val="24"/>
                <w:sz w:val="18"/>
                <w:szCs w:val="18"/>
              </w:rPr>
              <w:tab/>
            </w:r>
          </w:p>
        </w:tc>
        <w:tc>
          <w:tcPr>
            <w:tcW w:w="1130" w:type="dxa"/>
          </w:tcPr>
          <w:p w14:paraId="45472B0B" w14:textId="30DA127D" w:rsidR="000F2B67" w:rsidRPr="00134F27" w:rsidRDefault="000F2B67" w:rsidP="0084008C">
            <w:pPr>
              <w:pStyle w:val="Leipteksti"/>
              <w:ind w:left="0"/>
              <w:jc w:val="center"/>
              <w:rPr>
                <w:rFonts w:eastAsiaTheme="minorEastAsia" w:hAnsi="Arial" w:cstheme="minorBidi"/>
                <w:color w:val="000000" w:themeColor="dark1"/>
                <w:kern w:val="24"/>
                <w:sz w:val="18"/>
                <w:szCs w:val="18"/>
              </w:rPr>
            </w:pPr>
            <w:r w:rsidRPr="00134F27">
              <w:rPr>
                <w:rFonts w:eastAsiaTheme="minorEastAsia" w:hAnsi="Arial" w:cstheme="minorBidi"/>
                <w:color w:val="000000" w:themeColor="dark1"/>
                <w:kern w:val="24"/>
                <w:sz w:val="18"/>
                <w:szCs w:val="18"/>
              </w:rPr>
              <w:t>2023</w:t>
            </w:r>
          </w:p>
        </w:tc>
        <w:tc>
          <w:tcPr>
            <w:tcW w:w="1796" w:type="dxa"/>
          </w:tcPr>
          <w:p w14:paraId="2020E67E" w14:textId="182457C0" w:rsidR="000F2B67" w:rsidRDefault="000F2B67" w:rsidP="00D26109">
            <w:pPr>
              <w:pStyle w:val="Leipteksti"/>
              <w:ind w:left="0"/>
            </w:pPr>
            <w:r>
              <w:rPr>
                <w:rFonts w:eastAsiaTheme="minorEastAsia" w:hAnsi="Arial" w:cstheme="minorBidi"/>
                <w:color w:val="000000" w:themeColor="dark1"/>
                <w:kern w:val="24"/>
                <w:sz w:val="18"/>
                <w:szCs w:val="18"/>
              </w:rPr>
              <w:t>Tilaukseen perustuvien valtion ostolaskujen %-osuus</w:t>
            </w:r>
          </w:p>
        </w:tc>
        <w:tc>
          <w:tcPr>
            <w:tcW w:w="1115" w:type="dxa"/>
          </w:tcPr>
          <w:p w14:paraId="5C972BBF" w14:textId="5A42191A" w:rsidR="000F2B67" w:rsidRPr="0084008C" w:rsidRDefault="000F2B67" w:rsidP="0084008C">
            <w:pPr>
              <w:pStyle w:val="Leipteksti"/>
              <w:ind w:left="0"/>
              <w:jc w:val="center"/>
              <w:rPr>
                <w:sz w:val="18"/>
                <w:szCs w:val="18"/>
              </w:rPr>
            </w:pPr>
            <w:r w:rsidRPr="00134F27">
              <w:rPr>
                <w:rFonts w:eastAsiaTheme="minorEastAsia" w:hAnsi="Arial" w:cstheme="minorBidi"/>
                <w:color w:val="000000" w:themeColor="dark1"/>
                <w:kern w:val="24"/>
                <w:sz w:val="18"/>
                <w:szCs w:val="18"/>
              </w:rPr>
              <w:t>2023</w:t>
            </w:r>
          </w:p>
        </w:tc>
        <w:tc>
          <w:tcPr>
            <w:tcW w:w="1977" w:type="dxa"/>
          </w:tcPr>
          <w:p w14:paraId="204E4301" w14:textId="77777777" w:rsidR="000F2B67" w:rsidRPr="0084008C" w:rsidRDefault="000F2B67" w:rsidP="0084008C">
            <w:pPr>
              <w:rPr>
                <w:rFonts w:ascii="Arial" w:hAnsi="Arial" w:cs="Arial"/>
                <w:sz w:val="18"/>
                <w:szCs w:val="36"/>
              </w:rPr>
            </w:pPr>
            <w:r w:rsidRPr="0084008C">
              <w:rPr>
                <w:rFonts w:ascii="Arial" w:hAnsi="Arial" w:cs="Arial"/>
                <w:color w:val="000000" w:themeColor="dark1"/>
                <w:kern w:val="24"/>
                <w:sz w:val="18"/>
                <w:szCs w:val="18"/>
              </w:rPr>
              <w:t>Automaattisesti käsiteltyjen valtion ostolaskujen osuus, %</w:t>
            </w:r>
          </w:p>
          <w:p w14:paraId="29373ED3" w14:textId="01B88EE3" w:rsidR="000F2B67" w:rsidRDefault="000F2B67" w:rsidP="00D26109">
            <w:pPr>
              <w:pStyle w:val="Leipteksti"/>
              <w:ind w:left="0"/>
            </w:pPr>
          </w:p>
        </w:tc>
        <w:tc>
          <w:tcPr>
            <w:tcW w:w="1109" w:type="dxa"/>
          </w:tcPr>
          <w:p w14:paraId="5F05E0C2" w14:textId="2611886B" w:rsidR="000F2B67" w:rsidRDefault="000F2B67" w:rsidP="0084008C">
            <w:pPr>
              <w:pStyle w:val="Leipteksti"/>
              <w:ind w:left="0"/>
              <w:jc w:val="center"/>
            </w:pPr>
            <w:r>
              <w:rPr>
                <w:rFonts w:eastAsiaTheme="minorEastAsia" w:hAnsi="Arial" w:cstheme="minorBidi"/>
                <w:color w:val="000000" w:themeColor="dark1"/>
                <w:kern w:val="24"/>
                <w:sz w:val="18"/>
                <w:szCs w:val="18"/>
              </w:rPr>
              <w:t>2023</w:t>
            </w:r>
          </w:p>
        </w:tc>
      </w:tr>
      <w:tr w:rsidR="00D26109" w14:paraId="3CEDC954" w14:textId="43DE0470" w:rsidTr="00D26109">
        <w:trPr>
          <w:cantSplit/>
          <w:trHeight w:val="1134"/>
        </w:trPr>
        <w:tc>
          <w:tcPr>
            <w:tcW w:w="718" w:type="dxa"/>
            <w:textDirection w:val="btLr"/>
            <w:vAlign w:val="center"/>
          </w:tcPr>
          <w:p w14:paraId="791DB1E2" w14:textId="540A5BCB" w:rsidR="00FC4450" w:rsidRPr="0084008C" w:rsidRDefault="000F2B67" w:rsidP="0084008C">
            <w:pPr>
              <w:pStyle w:val="Leipteksti"/>
              <w:ind w:left="113" w:right="113"/>
              <w:jc w:val="center"/>
              <w:rPr>
                <w:b/>
                <w:bCs/>
                <w:sz w:val="18"/>
                <w:szCs w:val="18"/>
              </w:rPr>
            </w:pPr>
            <w:r w:rsidRPr="0084008C">
              <w:rPr>
                <w:b/>
                <w:bCs/>
                <w:sz w:val="18"/>
                <w:szCs w:val="18"/>
              </w:rPr>
              <w:t>Toimi</w:t>
            </w:r>
            <w:r>
              <w:rPr>
                <w:b/>
                <w:bCs/>
                <w:sz w:val="18"/>
                <w:szCs w:val="18"/>
              </w:rPr>
              <w:t>n</w:t>
            </w:r>
            <w:r w:rsidRPr="0084008C">
              <w:rPr>
                <w:b/>
                <w:bCs/>
                <w:sz w:val="18"/>
                <w:szCs w:val="18"/>
              </w:rPr>
              <w:t>tamalli</w:t>
            </w:r>
          </w:p>
        </w:tc>
        <w:tc>
          <w:tcPr>
            <w:tcW w:w="2355" w:type="dxa"/>
          </w:tcPr>
          <w:p w14:paraId="033E3679" w14:textId="57253E8A" w:rsidR="00FC4450" w:rsidRDefault="00FC4450" w:rsidP="00D26109">
            <w:pPr>
              <w:pStyle w:val="Leipteksti"/>
              <w:ind w:left="0"/>
            </w:pPr>
            <w:r>
              <w:rPr>
                <w:rFonts w:ascii="Arial" w:hAnsi="Arial" w:cs="Arial"/>
                <w:color w:val="000000" w:themeColor="dark1"/>
                <w:kern w:val="24"/>
                <w:sz w:val="18"/>
                <w:szCs w:val="18"/>
              </w:rPr>
              <w:t xml:space="preserve">Toimintamallin arviointi (nykytila verrattuna </w:t>
            </w:r>
            <w:proofErr w:type="gramStart"/>
            <w:r>
              <w:rPr>
                <w:rFonts w:ascii="Arial" w:hAnsi="Arial" w:cs="Arial"/>
                <w:color w:val="000000" w:themeColor="dark1"/>
                <w:kern w:val="24"/>
                <w:sz w:val="18"/>
                <w:szCs w:val="18"/>
              </w:rPr>
              <w:t>tavoitetilaan)</w:t>
            </w:r>
            <w:r w:rsidR="00134F27">
              <w:rPr>
                <w:rFonts w:ascii="Arial" w:hAnsi="Arial" w:cs="Arial"/>
                <w:color w:val="000000" w:themeColor="dark1"/>
                <w:kern w:val="24"/>
                <w:sz w:val="18"/>
                <w:szCs w:val="18"/>
              </w:rPr>
              <w:t>*</w:t>
            </w:r>
            <w:proofErr w:type="gramEnd"/>
            <w:r>
              <w:rPr>
                <w:rFonts w:ascii="Arial" w:hAnsi="Arial" w:cs="Arial"/>
                <w:color w:val="000000" w:themeColor="dark1"/>
                <w:kern w:val="24"/>
                <w:sz w:val="18"/>
                <w:szCs w:val="18"/>
              </w:rPr>
              <w:t xml:space="preserve"> </w:t>
            </w:r>
          </w:p>
        </w:tc>
        <w:tc>
          <w:tcPr>
            <w:tcW w:w="1130" w:type="dxa"/>
          </w:tcPr>
          <w:p w14:paraId="763288DA" w14:textId="4C961F14" w:rsidR="00FC4450" w:rsidRPr="0084008C" w:rsidRDefault="0068458A" w:rsidP="0084008C">
            <w:pPr>
              <w:pStyle w:val="Leipteksti"/>
              <w:ind w:left="0"/>
              <w:jc w:val="center"/>
              <w:rPr>
                <w:sz w:val="18"/>
                <w:szCs w:val="18"/>
              </w:rPr>
            </w:pPr>
            <w:r w:rsidRPr="0084008C">
              <w:rPr>
                <w:sz w:val="18"/>
                <w:szCs w:val="18"/>
              </w:rPr>
              <w:t>2024</w:t>
            </w:r>
          </w:p>
        </w:tc>
        <w:tc>
          <w:tcPr>
            <w:tcW w:w="1796" w:type="dxa"/>
          </w:tcPr>
          <w:p w14:paraId="04BC6DBE" w14:textId="4872C669" w:rsidR="00FC4450" w:rsidRDefault="00FC4450" w:rsidP="00D26109">
            <w:pPr>
              <w:pStyle w:val="Leipteksti"/>
              <w:ind w:left="0"/>
            </w:pPr>
          </w:p>
        </w:tc>
        <w:tc>
          <w:tcPr>
            <w:tcW w:w="1115" w:type="dxa"/>
          </w:tcPr>
          <w:p w14:paraId="34CD1B85" w14:textId="77777777" w:rsidR="00FC4450" w:rsidRDefault="00FC4450" w:rsidP="00D26109">
            <w:pPr>
              <w:pStyle w:val="Leipteksti"/>
              <w:ind w:left="0"/>
            </w:pPr>
          </w:p>
        </w:tc>
        <w:tc>
          <w:tcPr>
            <w:tcW w:w="1977" w:type="dxa"/>
          </w:tcPr>
          <w:p w14:paraId="4BCAC4D4" w14:textId="136F6D9F" w:rsidR="00FC4450" w:rsidRDefault="00FC4450" w:rsidP="00D26109">
            <w:pPr>
              <w:pStyle w:val="Leipteksti"/>
              <w:ind w:left="0"/>
            </w:pPr>
          </w:p>
        </w:tc>
        <w:tc>
          <w:tcPr>
            <w:tcW w:w="1109" w:type="dxa"/>
          </w:tcPr>
          <w:p w14:paraId="375D11F5" w14:textId="77777777" w:rsidR="00FC4450" w:rsidRDefault="00FC4450" w:rsidP="00D26109">
            <w:pPr>
              <w:pStyle w:val="Leipteksti"/>
              <w:ind w:left="0"/>
            </w:pPr>
          </w:p>
        </w:tc>
      </w:tr>
    </w:tbl>
    <w:p w14:paraId="04C5770B" w14:textId="5D54AF93" w:rsidR="00BA301D" w:rsidRDefault="00BA301D">
      <w:r>
        <w:t>Alla olevassa taulukossa kuvataan tuottavuus ja tehokkuus mittarit</w:t>
      </w:r>
    </w:p>
    <w:p w14:paraId="14E08D92" w14:textId="05A3D47D" w:rsidR="00BA301D" w:rsidRDefault="00BA301D"/>
    <w:p w14:paraId="791B6698" w14:textId="2B3BD559" w:rsidR="00BA301D" w:rsidRDefault="00BA301D"/>
    <w:p w14:paraId="31748230" w14:textId="77777777" w:rsidR="00BA301D" w:rsidRDefault="00BA301D"/>
    <w:p w14:paraId="257DD805" w14:textId="00EFA625" w:rsidR="000F2B67" w:rsidRDefault="000F2B67">
      <w:r>
        <w:br w:type="page"/>
      </w:r>
    </w:p>
    <w:p w14:paraId="2E0002B2" w14:textId="47460713" w:rsidR="008E1C44" w:rsidRDefault="00BA301D">
      <w:r>
        <w:lastRenderedPageBreak/>
        <w:t>Alla olevassa taulukossa kuvataan laadun mittaamiseen käytettävät mittarit.</w:t>
      </w:r>
    </w:p>
    <w:p w14:paraId="2DB8DBA5" w14:textId="77777777" w:rsidR="008E1C44" w:rsidRDefault="008E1C44"/>
    <w:tbl>
      <w:tblPr>
        <w:tblStyle w:val="TaulukkoRuudukko"/>
        <w:tblW w:w="0" w:type="auto"/>
        <w:tblInd w:w="-5" w:type="dxa"/>
        <w:tblLook w:val="04A0" w:firstRow="1" w:lastRow="0" w:firstColumn="1" w:lastColumn="0" w:noHBand="0" w:noVBand="1"/>
      </w:tblPr>
      <w:tblGrid>
        <w:gridCol w:w="945"/>
        <w:gridCol w:w="2256"/>
        <w:gridCol w:w="1104"/>
        <w:gridCol w:w="1753"/>
        <w:gridCol w:w="1090"/>
        <w:gridCol w:w="1967"/>
        <w:gridCol w:w="1085"/>
      </w:tblGrid>
      <w:tr w:rsidR="000F2B67" w14:paraId="21F6B382" w14:textId="40AE07DE" w:rsidTr="00C011D0">
        <w:trPr>
          <w:cantSplit/>
          <w:trHeight w:val="1134"/>
        </w:trPr>
        <w:tc>
          <w:tcPr>
            <w:tcW w:w="945" w:type="dxa"/>
            <w:shd w:val="clear" w:color="auto" w:fill="10497F" w:themeFill="text2"/>
          </w:tcPr>
          <w:p w14:paraId="095181A6" w14:textId="47644791" w:rsidR="000F2B67" w:rsidRPr="00C011D0" w:rsidRDefault="000F2B67" w:rsidP="00C011D0">
            <w:pPr>
              <w:pStyle w:val="Leipteksti"/>
              <w:ind w:left="113" w:right="113"/>
              <w:jc w:val="center"/>
              <w:rPr>
                <w:color w:val="FFFFFF" w:themeColor="background1"/>
              </w:rPr>
            </w:pPr>
            <w:r w:rsidRPr="00C011D0">
              <w:rPr>
                <w:b/>
                <w:bCs/>
                <w:color w:val="FFFFFF" w:themeColor="background1"/>
              </w:rPr>
              <w:t>Ajuri</w:t>
            </w:r>
          </w:p>
        </w:tc>
        <w:tc>
          <w:tcPr>
            <w:tcW w:w="2256" w:type="dxa"/>
            <w:shd w:val="clear" w:color="auto" w:fill="10497F" w:themeFill="text2"/>
          </w:tcPr>
          <w:p w14:paraId="16E76086" w14:textId="18D93A63" w:rsidR="000F2B67" w:rsidRPr="00C011D0" w:rsidRDefault="000F2B67" w:rsidP="000F2B67">
            <w:pPr>
              <w:pStyle w:val="Leipteksti"/>
              <w:ind w:left="0"/>
              <w:rPr>
                <w:color w:val="FFFFFF" w:themeColor="background1"/>
              </w:rPr>
            </w:pPr>
            <w:r w:rsidRPr="00C011D0">
              <w:rPr>
                <w:rFonts w:ascii="Arial" w:hAnsi="Arial" w:cs="Arial"/>
                <w:b/>
                <w:bCs/>
                <w:color w:val="FFFFFF" w:themeColor="background1"/>
                <w:kern w:val="24"/>
                <w:sz w:val="20"/>
                <w:szCs w:val="20"/>
              </w:rPr>
              <w:t>Valtion taloushallinto</w:t>
            </w:r>
          </w:p>
        </w:tc>
        <w:tc>
          <w:tcPr>
            <w:tcW w:w="1104" w:type="dxa"/>
            <w:shd w:val="clear" w:color="auto" w:fill="10497F" w:themeFill="text2"/>
          </w:tcPr>
          <w:p w14:paraId="2D498C4F" w14:textId="281CB923" w:rsidR="000F2B67" w:rsidRPr="00C011D0" w:rsidRDefault="000F2B67" w:rsidP="000F2B67">
            <w:pPr>
              <w:pStyle w:val="Leipteksti"/>
              <w:ind w:left="0"/>
              <w:rPr>
                <w:rFonts w:ascii="Arial" w:hAnsi="Arial" w:cs="Arial"/>
                <w:b/>
                <w:bCs/>
                <w:color w:val="FFFFFF" w:themeColor="background1"/>
                <w:kern w:val="24"/>
                <w:sz w:val="20"/>
                <w:szCs w:val="20"/>
              </w:rPr>
            </w:pPr>
            <w:r w:rsidRPr="00C011D0">
              <w:rPr>
                <w:rFonts w:ascii="Arial" w:hAnsi="Arial" w:cs="Arial"/>
                <w:b/>
                <w:bCs/>
                <w:color w:val="FFFFFF" w:themeColor="background1"/>
                <w:kern w:val="24"/>
                <w:sz w:val="20"/>
                <w:szCs w:val="20"/>
              </w:rPr>
              <w:t>Käyttöönotto</w:t>
            </w:r>
          </w:p>
        </w:tc>
        <w:tc>
          <w:tcPr>
            <w:tcW w:w="1753" w:type="dxa"/>
            <w:shd w:val="clear" w:color="auto" w:fill="10497F" w:themeFill="text2"/>
          </w:tcPr>
          <w:p w14:paraId="456EB664" w14:textId="74B66DEA" w:rsidR="000F2B67" w:rsidRPr="00C011D0" w:rsidRDefault="007B4A54" w:rsidP="000F2B67">
            <w:pPr>
              <w:pStyle w:val="Leipteksti"/>
              <w:ind w:left="0"/>
              <w:rPr>
                <w:color w:val="FFFFFF" w:themeColor="background1"/>
              </w:rPr>
            </w:pPr>
            <w:r>
              <w:rPr>
                <w:rFonts w:ascii="Arial" w:hAnsi="Arial" w:cs="Arial"/>
                <w:b/>
                <w:bCs/>
                <w:color w:val="FFFFFF" w:themeColor="background1"/>
                <w:kern w:val="24"/>
                <w:sz w:val="20"/>
                <w:szCs w:val="20"/>
              </w:rPr>
              <w:t>K</w:t>
            </w:r>
            <w:r w:rsidRPr="007B4A54">
              <w:rPr>
                <w:rFonts w:ascii="Arial" w:hAnsi="Arial" w:cs="Arial"/>
                <w:b/>
                <w:bCs/>
                <w:color w:val="FFFFFF" w:themeColor="background1"/>
                <w:kern w:val="24"/>
                <w:sz w:val="20"/>
                <w:szCs w:val="20"/>
              </w:rPr>
              <w:t>irjanpitoyksikö</w:t>
            </w:r>
            <w:r>
              <w:rPr>
                <w:rFonts w:ascii="Arial" w:hAnsi="Arial" w:cs="Arial"/>
                <w:b/>
                <w:bCs/>
                <w:color w:val="FFFFFF" w:themeColor="background1"/>
                <w:kern w:val="24"/>
                <w:sz w:val="20"/>
                <w:szCs w:val="20"/>
              </w:rPr>
              <w:t>t</w:t>
            </w:r>
          </w:p>
        </w:tc>
        <w:tc>
          <w:tcPr>
            <w:tcW w:w="1090" w:type="dxa"/>
            <w:shd w:val="clear" w:color="auto" w:fill="10497F" w:themeFill="text2"/>
          </w:tcPr>
          <w:p w14:paraId="004F2B42" w14:textId="552B8E86" w:rsidR="000F2B67" w:rsidRPr="00C011D0" w:rsidRDefault="000F2B67" w:rsidP="000F2B67">
            <w:pPr>
              <w:pStyle w:val="Leipteksti"/>
              <w:ind w:left="0"/>
              <w:rPr>
                <w:rFonts w:ascii="Arial" w:hAnsi="Arial" w:cs="Arial"/>
                <w:b/>
                <w:bCs/>
                <w:color w:val="FFFFFF" w:themeColor="background1"/>
                <w:kern w:val="24"/>
                <w:sz w:val="20"/>
                <w:szCs w:val="20"/>
              </w:rPr>
            </w:pPr>
            <w:r w:rsidRPr="00C011D0">
              <w:rPr>
                <w:rFonts w:ascii="Arial" w:hAnsi="Arial" w:cs="Arial"/>
                <w:b/>
                <w:bCs/>
                <w:color w:val="FFFFFF" w:themeColor="background1"/>
                <w:kern w:val="24"/>
                <w:sz w:val="20"/>
                <w:szCs w:val="20"/>
              </w:rPr>
              <w:t>Käyttöönotto</w:t>
            </w:r>
          </w:p>
        </w:tc>
        <w:tc>
          <w:tcPr>
            <w:tcW w:w="1967" w:type="dxa"/>
            <w:shd w:val="clear" w:color="auto" w:fill="10497F" w:themeFill="text2"/>
          </w:tcPr>
          <w:p w14:paraId="4357FFA2" w14:textId="34BDB9BD" w:rsidR="000F2B67" w:rsidRPr="00C011D0" w:rsidRDefault="000F2B67" w:rsidP="000F2B67">
            <w:pPr>
              <w:pStyle w:val="Leipteksti"/>
              <w:ind w:left="0"/>
              <w:rPr>
                <w:color w:val="FFFFFF" w:themeColor="background1"/>
              </w:rPr>
            </w:pPr>
            <w:r w:rsidRPr="00C011D0">
              <w:rPr>
                <w:rFonts w:ascii="Arial" w:hAnsi="Arial" w:cs="Arial"/>
                <w:b/>
                <w:bCs/>
                <w:color w:val="FFFFFF" w:themeColor="background1"/>
                <w:kern w:val="24"/>
                <w:sz w:val="20"/>
                <w:szCs w:val="20"/>
              </w:rPr>
              <w:t>Palkeet palvelukeskus</w:t>
            </w:r>
          </w:p>
        </w:tc>
        <w:tc>
          <w:tcPr>
            <w:tcW w:w="1085" w:type="dxa"/>
            <w:shd w:val="clear" w:color="auto" w:fill="10497F" w:themeFill="text2"/>
          </w:tcPr>
          <w:p w14:paraId="6F70B267" w14:textId="52B8B0E2" w:rsidR="000F2B67" w:rsidRPr="00C011D0" w:rsidRDefault="000F2B67" w:rsidP="000F2B67">
            <w:pPr>
              <w:pStyle w:val="Leipteksti"/>
              <w:ind w:left="0"/>
              <w:rPr>
                <w:rFonts w:ascii="Arial" w:hAnsi="Arial" w:cs="Arial"/>
                <w:b/>
                <w:bCs/>
                <w:color w:val="FFFFFF" w:themeColor="background1"/>
                <w:kern w:val="24"/>
                <w:sz w:val="20"/>
                <w:szCs w:val="20"/>
              </w:rPr>
            </w:pPr>
            <w:r w:rsidRPr="00C011D0">
              <w:rPr>
                <w:rFonts w:ascii="Arial" w:hAnsi="Arial" w:cs="Arial"/>
                <w:b/>
                <w:bCs/>
                <w:color w:val="FFFFFF" w:themeColor="background1"/>
                <w:kern w:val="24"/>
                <w:sz w:val="20"/>
                <w:szCs w:val="20"/>
              </w:rPr>
              <w:t>Käyttöönotto</w:t>
            </w:r>
          </w:p>
        </w:tc>
      </w:tr>
      <w:tr w:rsidR="008E1C44" w14:paraId="638AA813" w14:textId="1E4D5B0B" w:rsidTr="00C011D0">
        <w:trPr>
          <w:cantSplit/>
          <w:trHeight w:val="1134"/>
        </w:trPr>
        <w:tc>
          <w:tcPr>
            <w:tcW w:w="945" w:type="dxa"/>
            <w:textDirection w:val="btLr"/>
            <w:vAlign w:val="center"/>
          </w:tcPr>
          <w:p w14:paraId="10514AE9" w14:textId="2A1CD722" w:rsidR="008E1C44" w:rsidRDefault="008E1C44" w:rsidP="00C011D0">
            <w:pPr>
              <w:pStyle w:val="Leipteksti"/>
              <w:ind w:left="113" w:right="113"/>
              <w:jc w:val="center"/>
            </w:pPr>
            <w:r w:rsidRPr="002C46E1">
              <w:rPr>
                <w:b/>
                <w:bCs/>
                <w:sz w:val="18"/>
                <w:szCs w:val="18"/>
              </w:rPr>
              <w:t>Prosessin kypsyys</w:t>
            </w:r>
          </w:p>
        </w:tc>
        <w:tc>
          <w:tcPr>
            <w:tcW w:w="2256" w:type="dxa"/>
          </w:tcPr>
          <w:p w14:paraId="19B38777" w14:textId="6D8B5702" w:rsidR="008E1C44" w:rsidRPr="00C011D0" w:rsidRDefault="008E1C44" w:rsidP="00134F27">
            <w:pPr>
              <w:pStyle w:val="Leipteksti"/>
              <w:ind w:left="0"/>
              <w:rPr>
                <w:rFonts w:ascii="Arial" w:hAnsi="Arial" w:cs="Arial"/>
                <w:kern w:val="24"/>
                <w:sz w:val="18"/>
                <w:szCs w:val="18"/>
              </w:rPr>
            </w:pPr>
            <w:r w:rsidRPr="00C011D0">
              <w:rPr>
                <w:rFonts w:ascii="Arial" w:hAnsi="Arial" w:cs="Arial"/>
                <w:kern w:val="24"/>
                <w:sz w:val="18"/>
                <w:szCs w:val="18"/>
              </w:rPr>
              <w:t>Kokonaisprosessin</w:t>
            </w:r>
            <w:r>
              <w:rPr>
                <w:rFonts w:ascii="Arial" w:hAnsi="Arial" w:cs="Arial"/>
                <w:kern w:val="24"/>
                <w:sz w:val="18"/>
                <w:szCs w:val="18"/>
              </w:rPr>
              <w:t xml:space="preserve"> </w:t>
            </w:r>
            <w:r w:rsidRPr="00C011D0">
              <w:rPr>
                <w:rFonts w:ascii="Arial" w:hAnsi="Arial" w:cs="Arial"/>
                <w:kern w:val="24"/>
                <w:sz w:val="18"/>
                <w:szCs w:val="18"/>
              </w:rPr>
              <w:t xml:space="preserve">kypsyys (nykytila verrattuna </w:t>
            </w:r>
            <w:proofErr w:type="gramStart"/>
            <w:r w:rsidRPr="00C011D0">
              <w:rPr>
                <w:rFonts w:ascii="Arial" w:hAnsi="Arial" w:cs="Arial"/>
                <w:kern w:val="24"/>
                <w:sz w:val="18"/>
                <w:szCs w:val="18"/>
              </w:rPr>
              <w:t>tavoitetilaan)</w:t>
            </w:r>
            <w:r w:rsidR="00134F27">
              <w:rPr>
                <w:rFonts w:ascii="Arial" w:hAnsi="Arial" w:cs="Arial"/>
                <w:kern w:val="24"/>
                <w:sz w:val="18"/>
                <w:szCs w:val="18"/>
              </w:rPr>
              <w:t>*</w:t>
            </w:r>
            <w:proofErr w:type="gramEnd"/>
            <w:r w:rsidR="00134F27">
              <w:rPr>
                <w:rFonts w:ascii="Arial" w:hAnsi="Arial" w:cs="Arial"/>
                <w:kern w:val="24"/>
                <w:sz w:val="18"/>
                <w:szCs w:val="18"/>
              </w:rPr>
              <w:t>*</w:t>
            </w:r>
          </w:p>
        </w:tc>
        <w:tc>
          <w:tcPr>
            <w:tcW w:w="1104" w:type="dxa"/>
          </w:tcPr>
          <w:p w14:paraId="74765EDD" w14:textId="3AB4E28F" w:rsidR="008E1C44" w:rsidRPr="00134F27" w:rsidRDefault="0068458A" w:rsidP="00C011D0">
            <w:pPr>
              <w:pStyle w:val="Leipteksti"/>
              <w:ind w:left="0"/>
              <w:jc w:val="center"/>
              <w:rPr>
                <w:rFonts w:eastAsiaTheme="minorEastAsia" w:hAnsi="Arial" w:cstheme="minorBidi"/>
                <w:color w:val="000000" w:themeColor="dark1"/>
                <w:kern w:val="24"/>
                <w:sz w:val="18"/>
                <w:szCs w:val="18"/>
              </w:rPr>
            </w:pPr>
            <w:r w:rsidRPr="00134F27">
              <w:rPr>
                <w:rFonts w:eastAsiaTheme="minorEastAsia" w:hAnsi="Arial" w:cstheme="minorBidi"/>
                <w:color w:val="000000" w:themeColor="dark1"/>
                <w:kern w:val="24"/>
                <w:sz w:val="18"/>
                <w:szCs w:val="18"/>
              </w:rPr>
              <w:t>2024</w:t>
            </w:r>
          </w:p>
        </w:tc>
        <w:tc>
          <w:tcPr>
            <w:tcW w:w="1753" w:type="dxa"/>
          </w:tcPr>
          <w:p w14:paraId="1760AA43" w14:textId="1595CF48" w:rsidR="008E1C44" w:rsidRDefault="008E1C44" w:rsidP="008E1C44">
            <w:pPr>
              <w:pStyle w:val="Leipteksti"/>
              <w:ind w:left="0"/>
            </w:pPr>
          </w:p>
        </w:tc>
        <w:tc>
          <w:tcPr>
            <w:tcW w:w="1090" w:type="dxa"/>
          </w:tcPr>
          <w:p w14:paraId="51BFDCB1" w14:textId="7FE303E4" w:rsidR="008E1C44" w:rsidRPr="00134F27" w:rsidRDefault="008E1C44" w:rsidP="00C011D0">
            <w:pPr>
              <w:pStyle w:val="Leipteksti"/>
              <w:ind w:left="0"/>
              <w:jc w:val="center"/>
              <w:rPr>
                <w:rFonts w:eastAsiaTheme="minorEastAsia" w:hAnsi="Arial" w:cstheme="minorBidi"/>
                <w:color w:val="FF0000"/>
                <w:kern w:val="24"/>
                <w:sz w:val="18"/>
                <w:szCs w:val="18"/>
              </w:rPr>
            </w:pPr>
            <w:r w:rsidRPr="00134F27">
              <w:rPr>
                <w:rFonts w:ascii="Arial" w:hAnsi="Arial" w:cs="Arial"/>
                <w:b/>
                <w:bCs/>
                <w:color w:val="FFFFFF" w:themeColor="light1"/>
                <w:kern w:val="24"/>
                <w:sz w:val="18"/>
                <w:szCs w:val="18"/>
              </w:rPr>
              <w:t>Kokonaisprosessin kypsyys (nykytila verrattuna tavoitetilaan)</w:t>
            </w:r>
          </w:p>
        </w:tc>
        <w:tc>
          <w:tcPr>
            <w:tcW w:w="1967" w:type="dxa"/>
          </w:tcPr>
          <w:p w14:paraId="7270917F" w14:textId="4FF07452" w:rsidR="008E1C44" w:rsidRDefault="008E1C44" w:rsidP="008E1C44">
            <w:pPr>
              <w:pStyle w:val="Leipteksti"/>
              <w:ind w:left="0"/>
            </w:pPr>
          </w:p>
        </w:tc>
        <w:tc>
          <w:tcPr>
            <w:tcW w:w="1085" w:type="dxa"/>
          </w:tcPr>
          <w:p w14:paraId="18AA7F8D" w14:textId="77777777" w:rsidR="008E1C44" w:rsidRPr="00134F27" w:rsidRDefault="008E1C44" w:rsidP="00C011D0">
            <w:pPr>
              <w:pStyle w:val="Leipteksti"/>
              <w:ind w:left="0"/>
              <w:jc w:val="center"/>
              <w:rPr>
                <w:rFonts w:eastAsiaTheme="minorEastAsia" w:hAnsi="Arial" w:cstheme="minorBidi"/>
                <w:color w:val="FF0000"/>
                <w:kern w:val="24"/>
                <w:sz w:val="18"/>
                <w:szCs w:val="18"/>
              </w:rPr>
            </w:pPr>
          </w:p>
        </w:tc>
      </w:tr>
      <w:tr w:rsidR="008E1C44" w14:paraId="38A126D9" w14:textId="32AB4C6B" w:rsidTr="00C011D0">
        <w:trPr>
          <w:cantSplit/>
          <w:trHeight w:val="1134"/>
        </w:trPr>
        <w:tc>
          <w:tcPr>
            <w:tcW w:w="945" w:type="dxa"/>
            <w:textDirection w:val="btLr"/>
            <w:vAlign w:val="center"/>
          </w:tcPr>
          <w:p w14:paraId="595ED351" w14:textId="31BEE2C2" w:rsidR="008E1C44" w:rsidRPr="00C011D0" w:rsidRDefault="008E1C44" w:rsidP="00C011D0">
            <w:pPr>
              <w:pStyle w:val="Leipteksti"/>
              <w:ind w:left="113" w:right="113"/>
              <w:jc w:val="center"/>
              <w:rPr>
                <w:b/>
                <w:bCs/>
                <w:sz w:val="18"/>
                <w:szCs w:val="18"/>
              </w:rPr>
            </w:pPr>
            <w:r w:rsidRPr="00C011D0">
              <w:rPr>
                <w:b/>
                <w:bCs/>
                <w:sz w:val="18"/>
                <w:szCs w:val="18"/>
              </w:rPr>
              <w:t>Tietojen oikeellisuus ja riittävyys</w:t>
            </w:r>
          </w:p>
        </w:tc>
        <w:tc>
          <w:tcPr>
            <w:tcW w:w="2256" w:type="dxa"/>
          </w:tcPr>
          <w:p w14:paraId="25DDB247" w14:textId="56AB4215" w:rsidR="008E1C44" w:rsidRDefault="008E1C44" w:rsidP="008E1C44">
            <w:pPr>
              <w:pStyle w:val="Leipteksti"/>
              <w:ind w:left="0"/>
            </w:pPr>
            <w:r>
              <w:rPr>
                <w:rFonts w:eastAsiaTheme="minorEastAsia" w:hAnsi="Arial" w:cstheme="minorBidi"/>
                <w:color w:val="000000" w:themeColor="dark1"/>
                <w:kern w:val="24"/>
                <w:sz w:val="18"/>
                <w:szCs w:val="18"/>
              </w:rPr>
              <w:t>Valtion tilinpäätös: Tiedot kirjanpitoyksikköjen tilinpäätöksissä oikeita ja riittäviä</w:t>
            </w:r>
          </w:p>
        </w:tc>
        <w:tc>
          <w:tcPr>
            <w:tcW w:w="1104" w:type="dxa"/>
          </w:tcPr>
          <w:p w14:paraId="5C24E809" w14:textId="5F7003CC" w:rsidR="008E1C44" w:rsidRPr="00134F27" w:rsidRDefault="008E1C44" w:rsidP="00C011D0">
            <w:pPr>
              <w:pStyle w:val="Leipteksti"/>
              <w:ind w:left="0"/>
              <w:jc w:val="center"/>
              <w:rPr>
                <w:rFonts w:ascii="Arial" w:hAnsi="Arial" w:cs="Arial"/>
                <w:color w:val="000000" w:themeColor="dark1"/>
                <w:kern w:val="24"/>
                <w:sz w:val="18"/>
                <w:szCs w:val="18"/>
              </w:rPr>
            </w:pPr>
            <w:r w:rsidRPr="00134F27">
              <w:rPr>
                <w:rFonts w:ascii="Arial" w:hAnsi="Arial" w:cs="Arial"/>
                <w:color w:val="000000" w:themeColor="text1"/>
                <w:kern w:val="24"/>
                <w:sz w:val="18"/>
                <w:szCs w:val="18"/>
              </w:rPr>
              <w:t>2023</w:t>
            </w:r>
          </w:p>
        </w:tc>
        <w:tc>
          <w:tcPr>
            <w:tcW w:w="1753" w:type="dxa"/>
          </w:tcPr>
          <w:p w14:paraId="450D1E31" w14:textId="031306BC" w:rsidR="008E1C44" w:rsidRDefault="008E1C44" w:rsidP="008E1C44">
            <w:pPr>
              <w:pStyle w:val="Leipteksti"/>
              <w:ind w:left="0"/>
            </w:pPr>
            <w:r>
              <w:rPr>
                <w:rFonts w:eastAsiaTheme="minorEastAsia" w:hAnsi="Arial" w:cstheme="minorBidi"/>
                <w:color w:val="000000" w:themeColor="dark1"/>
                <w:kern w:val="24"/>
                <w:sz w:val="18"/>
                <w:szCs w:val="18"/>
              </w:rPr>
              <w:t>Tiedot tilinpäätöksissä oikeita ja riittäviä</w:t>
            </w:r>
          </w:p>
        </w:tc>
        <w:tc>
          <w:tcPr>
            <w:tcW w:w="1090" w:type="dxa"/>
          </w:tcPr>
          <w:p w14:paraId="02E29792" w14:textId="0EB0F252" w:rsidR="008E1C44" w:rsidRPr="00134F27" w:rsidRDefault="008E1C44" w:rsidP="00C011D0">
            <w:pPr>
              <w:pStyle w:val="Leipteksti"/>
              <w:ind w:left="0"/>
              <w:jc w:val="center"/>
              <w:rPr>
                <w:rFonts w:ascii="Arial" w:hAnsi="Arial" w:cs="Arial"/>
                <w:color w:val="000000" w:themeColor="text1"/>
                <w:kern w:val="24"/>
                <w:sz w:val="18"/>
                <w:szCs w:val="18"/>
              </w:rPr>
            </w:pPr>
            <w:r w:rsidRPr="00134F27">
              <w:rPr>
                <w:rFonts w:ascii="Arial" w:hAnsi="Arial" w:cs="Arial"/>
                <w:color w:val="000000" w:themeColor="text1"/>
                <w:kern w:val="24"/>
                <w:sz w:val="18"/>
                <w:szCs w:val="18"/>
              </w:rPr>
              <w:t>2023</w:t>
            </w:r>
          </w:p>
        </w:tc>
        <w:tc>
          <w:tcPr>
            <w:tcW w:w="1967" w:type="dxa"/>
          </w:tcPr>
          <w:p w14:paraId="234C13D2" w14:textId="0BF60B61" w:rsidR="008E1C44" w:rsidRPr="001E060A" w:rsidRDefault="008E1C44" w:rsidP="008E1C44">
            <w:pPr>
              <w:pStyle w:val="Leipteksti"/>
              <w:ind w:left="0"/>
            </w:pPr>
            <w:r w:rsidRPr="00C011D0">
              <w:rPr>
                <w:rFonts w:eastAsiaTheme="minorEastAsia" w:hAnsi="Arial" w:cstheme="minorBidi"/>
                <w:kern w:val="24"/>
                <w:sz w:val="18"/>
                <w:szCs w:val="18"/>
              </w:rPr>
              <w:t>Tiedot</w:t>
            </w:r>
            <w:r w:rsidR="001E060A" w:rsidRPr="00C011D0">
              <w:rPr>
                <w:rFonts w:eastAsiaTheme="minorEastAsia" w:hAnsi="Arial" w:cstheme="minorBidi"/>
                <w:kern w:val="24"/>
                <w:sz w:val="18"/>
                <w:szCs w:val="18"/>
              </w:rPr>
              <w:t xml:space="preserve"> tuotetuissa</w:t>
            </w:r>
            <w:r w:rsidRPr="00C011D0">
              <w:rPr>
                <w:rFonts w:eastAsiaTheme="minorEastAsia" w:hAnsi="Arial" w:cstheme="minorBidi"/>
                <w:kern w:val="24"/>
                <w:sz w:val="18"/>
                <w:szCs w:val="18"/>
              </w:rPr>
              <w:t xml:space="preserve"> tilinpäätöksissä oikeita ja riittäviä</w:t>
            </w:r>
          </w:p>
        </w:tc>
        <w:tc>
          <w:tcPr>
            <w:tcW w:w="1085" w:type="dxa"/>
          </w:tcPr>
          <w:p w14:paraId="709F6622" w14:textId="674E8A11" w:rsidR="008E1C44" w:rsidRPr="00134F27" w:rsidRDefault="008E1C44" w:rsidP="00C011D0">
            <w:pPr>
              <w:pStyle w:val="Leipteksti"/>
              <w:ind w:left="0"/>
              <w:jc w:val="center"/>
              <w:rPr>
                <w:rFonts w:ascii="Arial" w:hAnsi="Arial" w:cs="Arial"/>
                <w:color w:val="000000" w:themeColor="text1"/>
                <w:kern w:val="24"/>
                <w:sz w:val="18"/>
                <w:szCs w:val="18"/>
              </w:rPr>
            </w:pPr>
            <w:r w:rsidRPr="00134F27">
              <w:rPr>
                <w:rFonts w:ascii="Arial" w:hAnsi="Arial" w:cs="Arial"/>
                <w:color w:val="000000" w:themeColor="text1"/>
                <w:kern w:val="24"/>
                <w:sz w:val="18"/>
                <w:szCs w:val="18"/>
              </w:rPr>
              <w:t>2023</w:t>
            </w:r>
          </w:p>
        </w:tc>
      </w:tr>
      <w:tr w:rsidR="008E1C44" w14:paraId="64884F62" w14:textId="6289E263" w:rsidTr="00C011D0">
        <w:trPr>
          <w:cantSplit/>
          <w:trHeight w:val="1134"/>
        </w:trPr>
        <w:tc>
          <w:tcPr>
            <w:tcW w:w="945" w:type="dxa"/>
            <w:vMerge w:val="restart"/>
            <w:textDirection w:val="btLr"/>
            <w:vAlign w:val="center"/>
          </w:tcPr>
          <w:p w14:paraId="195C1838" w14:textId="0E4B5E59" w:rsidR="008E1C44" w:rsidRPr="00C011D0" w:rsidRDefault="008E1C44" w:rsidP="00C011D0">
            <w:pPr>
              <w:pStyle w:val="Leipteksti"/>
              <w:ind w:left="113" w:right="113"/>
              <w:jc w:val="center"/>
              <w:rPr>
                <w:b/>
                <w:bCs/>
                <w:sz w:val="18"/>
                <w:szCs w:val="18"/>
              </w:rPr>
            </w:pPr>
            <w:r w:rsidRPr="00C011D0">
              <w:rPr>
                <w:b/>
                <w:bCs/>
                <w:sz w:val="18"/>
                <w:szCs w:val="18"/>
              </w:rPr>
              <w:t>Sisäinen valvonta, riskien hallinta</w:t>
            </w:r>
            <w:r w:rsidR="0068458A">
              <w:rPr>
                <w:b/>
                <w:bCs/>
                <w:sz w:val="18"/>
                <w:szCs w:val="18"/>
              </w:rPr>
              <w:t xml:space="preserve"> </w:t>
            </w:r>
            <w:r w:rsidRPr="00C011D0">
              <w:rPr>
                <w:b/>
                <w:bCs/>
                <w:sz w:val="18"/>
                <w:szCs w:val="18"/>
              </w:rPr>
              <w:t>ja jatkuvuus</w:t>
            </w:r>
          </w:p>
        </w:tc>
        <w:tc>
          <w:tcPr>
            <w:tcW w:w="2256" w:type="dxa"/>
          </w:tcPr>
          <w:p w14:paraId="7D19D775" w14:textId="77777777" w:rsidR="008E1C44" w:rsidRPr="00134F27" w:rsidRDefault="008E1C44" w:rsidP="008E1C44">
            <w:pPr>
              <w:pStyle w:val="Leipteksti"/>
              <w:ind w:left="0"/>
            </w:pPr>
          </w:p>
        </w:tc>
        <w:tc>
          <w:tcPr>
            <w:tcW w:w="1104" w:type="dxa"/>
          </w:tcPr>
          <w:p w14:paraId="121194F5" w14:textId="69C2505D" w:rsidR="008E1C44" w:rsidRPr="00C011D0" w:rsidRDefault="008E1C44" w:rsidP="00C011D0">
            <w:pPr>
              <w:pStyle w:val="Leipteksti"/>
              <w:ind w:left="0"/>
              <w:jc w:val="center"/>
              <w:rPr>
                <w:sz w:val="18"/>
                <w:szCs w:val="18"/>
              </w:rPr>
            </w:pPr>
          </w:p>
        </w:tc>
        <w:tc>
          <w:tcPr>
            <w:tcW w:w="1753" w:type="dxa"/>
          </w:tcPr>
          <w:p w14:paraId="636BAFC5" w14:textId="5C9200E8" w:rsidR="008E1C44" w:rsidRDefault="008E1C44" w:rsidP="008E1C44">
            <w:pPr>
              <w:pStyle w:val="Leipteksti"/>
              <w:ind w:left="0"/>
            </w:pPr>
            <w:r>
              <w:rPr>
                <w:rFonts w:ascii="Arial" w:hAnsi="Arial" w:cs="Arial"/>
                <w:color w:val="000000" w:themeColor="dark1"/>
                <w:kern w:val="24"/>
                <w:sz w:val="18"/>
                <w:szCs w:val="18"/>
              </w:rPr>
              <w:t>Sisäinen valvonta kirjanpitoyksikö</w:t>
            </w:r>
            <w:r w:rsidR="0068458A">
              <w:rPr>
                <w:rFonts w:ascii="Arial" w:hAnsi="Arial" w:cs="Arial"/>
                <w:color w:val="000000" w:themeColor="dark1"/>
                <w:kern w:val="24"/>
                <w:sz w:val="18"/>
                <w:szCs w:val="18"/>
              </w:rPr>
              <w:t>i</w:t>
            </w:r>
            <w:r>
              <w:rPr>
                <w:rFonts w:ascii="Arial" w:hAnsi="Arial" w:cs="Arial"/>
                <w:color w:val="000000" w:themeColor="dark1"/>
                <w:kern w:val="24"/>
                <w:sz w:val="18"/>
                <w:szCs w:val="18"/>
              </w:rPr>
              <w:t xml:space="preserve">ssä toimivaa </w:t>
            </w:r>
          </w:p>
        </w:tc>
        <w:tc>
          <w:tcPr>
            <w:tcW w:w="1090" w:type="dxa"/>
          </w:tcPr>
          <w:p w14:paraId="56ACC0AA" w14:textId="65D590A6" w:rsidR="008E1C44" w:rsidRPr="00C011D0" w:rsidRDefault="008E1C44" w:rsidP="00C011D0">
            <w:pPr>
              <w:pStyle w:val="Leipteksti"/>
              <w:ind w:left="0"/>
              <w:jc w:val="center"/>
              <w:rPr>
                <w:sz w:val="18"/>
                <w:szCs w:val="18"/>
              </w:rPr>
            </w:pPr>
            <w:r w:rsidRPr="00134F27">
              <w:rPr>
                <w:rFonts w:ascii="Arial" w:hAnsi="Arial" w:cs="Arial"/>
                <w:color w:val="000000" w:themeColor="text1"/>
                <w:kern w:val="24"/>
                <w:sz w:val="18"/>
                <w:szCs w:val="18"/>
              </w:rPr>
              <w:t>2023</w:t>
            </w:r>
          </w:p>
        </w:tc>
        <w:tc>
          <w:tcPr>
            <w:tcW w:w="1967" w:type="dxa"/>
          </w:tcPr>
          <w:p w14:paraId="3542F39B" w14:textId="791F3ABD" w:rsidR="008E1C44" w:rsidRPr="001E060A" w:rsidRDefault="008E1C44" w:rsidP="008E1C44">
            <w:pPr>
              <w:pStyle w:val="Leipteksti"/>
              <w:ind w:left="0"/>
            </w:pPr>
            <w:r w:rsidRPr="00C011D0">
              <w:rPr>
                <w:rFonts w:ascii="Arial" w:hAnsi="Arial" w:cs="Arial"/>
                <w:kern w:val="24"/>
                <w:sz w:val="18"/>
                <w:szCs w:val="18"/>
              </w:rPr>
              <w:t xml:space="preserve">Sisäinen valvonta </w:t>
            </w:r>
            <w:r w:rsidR="001E060A" w:rsidRPr="00C011D0">
              <w:rPr>
                <w:rFonts w:ascii="Arial" w:hAnsi="Arial" w:cs="Arial"/>
                <w:kern w:val="24"/>
                <w:sz w:val="18"/>
                <w:szCs w:val="18"/>
              </w:rPr>
              <w:t>palvelutuotannossa</w:t>
            </w:r>
            <w:r w:rsidRPr="00C011D0">
              <w:rPr>
                <w:rFonts w:ascii="Arial" w:hAnsi="Arial" w:cs="Arial"/>
                <w:kern w:val="24"/>
                <w:sz w:val="18"/>
                <w:szCs w:val="18"/>
              </w:rPr>
              <w:t xml:space="preserve"> toimivaa </w:t>
            </w:r>
          </w:p>
        </w:tc>
        <w:tc>
          <w:tcPr>
            <w:tcW w:w="1085" w:type="dxa"/>
          </w:tcPr>
          <w:p w14:paraId="5EBEDE08" w14:textId="3B527815" w:rsidR="008E1C44" w:rsidRPr="00C011D0" w:rsidRDefault="008E1C44" w:rsidP="00C011D0">
            <w:pPr>
              <w:pStyle w:val="Leipteksti"/>
              <w:ind w:left="0"/>
              <w:jc w:val="center"/>
              <w:rPr>
                <w:sz w:val="18"/>
                <w:szCs w:val="18"/>
              </w:rPr>
            </w:pPr>
            <w:r w:rsidRPr="00134F27">
              <w:rPr>
                <w:rFonts w:ascii="Arial" w:hAnsi="Arial" w:cs="Arial"/>
                <w:color w:val="000000" w:themeColor="text1"/>
                <w:kern w:val="24"/>
                <w:sz w:val="18"/>
                <w:szCs w:val="18"/>
              </w:rPr>
              <w:t>2023</w:t>
            </w:r>
          </w:p>
        </w:tc>
      </w:tr>
      <w:tr w:rsidR="008E1C44" w14:paraId="45A536E0" w14:textId="34D6B35F" w:rsidTr="00C011D0">
        <w:trPr>
          <w:cantSplit/>
          <w:trHeight w:val="1134"/>
        </w:trPr>
        <w:tc>
          <w:tcPr>
            <w:tcW w:w="945" w:type="dxa"/>
            <w:vMerge/>
            <w:textDirection w:val="btLr"/>
          </w:tcPr>
          <w:p w14:paraId="5C5A46C7" w14:textId="7EEE0E0B" w:rsidR="008E1C44" w:rsidRDefault="008E1C44" w:rsidP="00C011D0">
            <w:pPr>
              <w:pStyle w:val="Leipteksti"/>
              <w:ind w:left="113" w:right="113"/>
              <w:jc w:val="center"/>
            </w:pPr>
          </w:p>
        </w:tc>
        <w:tc>
          <w:tcPr>
            <w:tcW w:w="2256" w:type="dxa"/>
          </w:tcPr>
          <w:p w14:paraId="0E5A3AE1" w14:textId="66845CEE" w:rsidR="008E1C44" w:rsidRPr="00134F27" w:rsidRDefault="008E1C44" w:rsidP="008E1C44">
            <w:pPr>
              <w:pStyle w:val="Leipteksti"/>
              <w:ind w:left="0"/>
            </w:pPr>
          </w:p>
        </w:tc>
        <w:tc>
          <w:tcPr>
            <w:tcW w:w="1104" w:type="dxa"/>
          </w:tcPr>
          <w:p w14:paraId="3D25427E" w14:textId="2DECF3EF" w:rsidR="008E1C44" w:rsidRPr="00C011D0" w:rsidRDefault="008E1C44" w:rsidP="00C011D0">
            <w:pPr>
              <w:pStyle w:val="Leipteksti"/>
              <w:ind w:left="0"/>
              <w:jc w:val="center"/>
              <w:rPr>
                <w:sz w:val="18"/>
                <w:szCs w:val="18"/>
              </w:rPr>
            </w:pPr>
          </w:p>
        </w:tc>
        <w:tc>
          <w:tcPr>
            <w:tcW w:w="1753" w:type="dxa"/>
          </w:tcPr>
          <w:p w14:paraId="36918382" w14:textId="7C7BF238" w:rsidR="008E1C44" w:rsidRDefault="008E1C44" w:rsidP="008E1C44">
            <w:pPr>
              <w:pStyle w:val="Leipteksti"/>
              <w:ind w:left="0"/>
            </w:pPr>
            <w:r>
              <w:rPr>
                <w:rFonts w:eastAsiaTheme="minorEastAsia" w:hAnsi="Arial" w:cstheme="minorBidi"/>
                <w:color w:val="000000" w:themeColor="dark1"/>
                <w:kern w:val="24"/>
                <w:sz w:val="18"/>
                <w:szCs w:val="18"/>
              </w:rPr>
              <w:t xml:space="preserve">Tietoturva- ja suojapoikkeamat määrä/vaikuttavuus/laadullinen puoli </w:t>
            </w:r>
          </w:p>
        </w:tc>
        <w:tc>
          <w:tcPr>
            <w:tcW w:w="1090" w:type="dxa"/>
          </w:tcPr>
          <w:p w14:paraId="4AE797D2" w14:textId="3E1D65D4" w:rsidR="008E1C44" w:rsidRPr="00C011D0" w:rsidRDefault="008E1C44" w:rsidP="00C011D0">
            <w:pPr>
              <w:pStyle w:val="Leipteksti"/>
              <w:ind w:left="0"/>
              <w:jc w:val="center"/>
              <w:rPr>
                <w:sz w:val="18"/>
                <w:szCs w:val="18"/>
              </w:rPr>
            </w:pPr>
            <w:r w:rsidRPr="00C011D0">
              <w:rPr>
                <w:sz w:val="18"/>
                <w:szCs w:val="18"/>
              </w:rPr>
              <w:t>202</w:t>
            </w:r>
            <w:r w:rsidR="001E060A">
              <w:rPr>
                <w:sz w:val="18"/>
                <w:szCs w:val="18"/>
              </w:rPr>
              <w:t>4</w:t>
            </w:r>
          </w:p>
        </w:tc>
        <w:tc>
          <w:tcPr>
            <w:tcW w:w="1967" w:type="dxa"/>
          </w:tcPr>
          <w:p w14:paraId="076EEDCB" w14:textId="58ED900C" w:rsidR="008E1C44" w:rsidRDefault="008E1C44" w:rsidP="008E1C44">
            <w:pPr>
              <w:pStyle w:val="Leipteksti"/>
              <w:ind w:left="0"/>
            </w:pPr>
            <w:r>
              <w:rPr>
                <w:rFonts w:eastAsiaTheme="minorEastAsia" w:hAnsi="Arial" w:cstheme="minorBidi"/>
                <w:color w:val="000000" w:themeColor="dark1"/>
                <w:kern w:val="24"/>
                <w:sz w:val="18"/>
                <w:szCs w:val="18"/>
              </w:rPr>
              <w:t xml:space="preserve">Tietoturva- ja suojapoikkeamat määrä/vaikuttavuus/laadullinen puoli </w:t>
            </w:r>
            <w:r w:rsidR="001E060A">
              <w:rPr>
                <w:rFonts w:eastAsiaTheme="minorEastAsia" w:hAnsi="Arial" w:cstheme="minorBidi"/>
                <w:color w:val="000000" w:themeColor="dark1"/>
                <w:kern w:val="24"/>
                <w:sz w:val="18"/>
                <w:szCs w:val="18"/>
              </w:rPr>
              <w:t>- palvelutuotanto</w:t>
            </w:r>
          </w:p>
        </w:tc>
        <w:tc>
          <w:tcPr>
            <w:tcW w:w="1085" w:type="dxa"/>
          </w:tcPr>
          <w:p w14:paraId="2BAC17A8" w14:textId="08D8466B" w:rsidR="008E1C44" w:rsidRPr="00C011D0" w:rsidRDefault="008E1C44" w:rsidP="00C011D0">
            <w:pPr>
              <w:pStyle w:val="Leipteksti"/>
              <w:ind w:left="0"/>
              <w:jc w:val="center"/>
              <w:rPr>
                <w:sz w:val="18"/>
                <w:szCs w:val="18"/>
              </w:rPr>
            </w:pPr>
            <w:r w:rsidRPr="00C011D0">
              <w:rPr>
                <w:sz w:val="18"/>
                <w:szCs w:val="18"/>
              </w:rPr>
              <w:t>202</w:t>
            </w:r>
            <w:r w:rsidR="001E060A">
              <w:rPr>
                <w:sz w:val="18"/>
                <w:szCs w:val="18"/>
              </w:rPr>
              <w:t>3</w:t>
            </w:r>
          </w:p>
        </w:tc>
      </w:tr>
      <w:tr w:rsidR="008E1C44" w14:paraId="336E935A" w14:textId="15FE4EF3" w:rsidTr="00C011D0">
        <w:trPr>
          <w:cantSplit/>
          <w:trHeight w:val="1134"/>
        </w:trPr>
        <w:tc>
          <w:tcPr>
            <w:tcW w:w="945" w:type="dxa"/>
            <w:vMerge/>
            <w:textDirection w:val="btLr"/>
            <w:vAlign w:val="center"/>
          </w:tcPr>
          <w:p w14:paraId="6E36F6B4" w14:textId="3D8E33B6" w:rsidR="008E1C44" w:rsidRDefault="008E1C44" w:rsidP="00C011D0">
            <w:pPr>
              <w:pStyle w:val="Leipteksti"/>
              <w:ind w:left="113" w:right="113"/>
            </w:pPr>
          </w:p>
        </w:tc>
        <w:tc>
          <w:tcPr>
            <w:tcW w:w="2256" w:type="dxa"/>
          </w:tcPr>
          <w:p w14:paraId="6842406C" w14:textId="77777777" w:rsidR="008E1C44" w:rsidRDefault="008E1C44" w:rsidP="008E1C44">
            <w:pPr>
              <w:pStyle w:val="Yltunniste"/>
              <w:rPr>
                <w:rFonts w:ascii="Arial" w:hAnsi="Arial" w:cs="Arial"/>
                <w:sz w:val="36"/>
                <w:szCs w:val="36"/>
              </w:rPr>
            </w:pPr>
            <w:r>
              <w:rPr>
                <w:rFonts w:eastAsiaTheme="minorEastAsia" w:hAnsi="Arial" w:cstheme="minorBidi"/>
                <w:color w:val="000000" w:themeColor="text1"/>
                <w:kern w:val="24"/>
                <w:sz w:val="18"/>
                <w:szCs w:val="18"/>
              </w:rPr>
              <w:t>Hyväksytty jatkuvuussuunnitelma % (jatkuvuussuunnitelmien määrä/</w:t>
            </w:r>
          </w:p>
          <w:p w14:paraId="4DA35498" w14:textId="15A39E60" w:rsidR="008E1C44" w:rsidRPr="00134F27" w:rsidRDefault="00B42067" w:rsidP="008E1C44">
            <w:pPr>
              <w:pStyle w:val="Leipteksti"/>
              <w:ind w:left="0"/>
            </w:pPr>
            <w:r w:rsidRPr="00B42067">
              <w:rPr>
                <w:rFonts w:eastAsiaTheme="minorEastAsia" w:hAnsi="Arial" w:cstheme="minorBidi"/>
                <w:color w:val="000000" w:themeColor="text1"/>
                <w:kern w:val="24"/>
                <w:sz w:val="18"/>
                <w:szCs w:val="18"/>
              </w:rPr>
              <w:t>kirjanpitoyksi</w:t>
            </w:r>
            <w:r>
              <w:rPr>
                <w:rFonts w:eastAsiaTheme="minorEastAsia" w:hAnsi="Arial" w:cstheme="minorBidi"/>
                <w:color w:val="000000" w:themeColor="text1"/>
                <w:kern w:val="24"/>
                <w:sz w:val="18"/>
                <w:szCs w:val="18"/>
              </w:rPr>
              <w:t>kköjen</w:t>
            </w:r>
            <w:r w:rsidR="008E1C44">
              <w:rPr>
                <w:rFonts w:eastAsiaTheme="minorEastAsia" w:hAnsi="Arial" w:cstheme="minorBidi"/>
                <w:color w:val="000000" w:themeColor="text1"/>
                <w:kern w:val="24"/>
                <w:sz w:val="18"/>
                <w:szCs w:val="18"/>
              </w:rPr>
              <w:t xml:space="preserve"> määrä)</w:t>
            </w:r>
          </w:p>
        </w:tc>
        <w:tc>
          <w:tcPr>
            <w:tcW w:w="1104" w:type="dxa"/>
          </w:tcPr>
          <w:p w14:paraId="4D3D901C" w14:textId="237AA794" w:rsidR="008E1C44" w:rsidRPr="00C011D0" w:rsidRDefault="008E1C44" w:rsidP="00C011D0">
            <w:pPr>
              <w:pStyle w:val="Leipteksti"/>
              <w:ind w:left="0"/>
              <w:jc w:val="center"/>
              <w:rPr>
                <w:sz w:val="18"/>
                <w:szCs w:val="18"/>
              </w:rPr>
            </w:pPr>
            <w:r w:rsidRPr="00C011D0">
              <w:rPr>
                <w:sz w:val="18"/>
                <w:szCs w:val="18"/>
              </w:rPr>
              <w:t>2024</w:t>
            </w:r>
          </w:p>
        </w:tc>
        <w:tc>
          <w:tcPr>
            <w:tcW w:w="1753" w:type="dxa"/>
          </w:tcPr>
          <w:p w14:paraId="0DF13924" w14:textId="5758DC80" w:rsidR="008E1C44" w:rsidRDefault="008E1C44" w:rsidP="00C011D0">
            <w:pPr>
              <w:pStyle w:val="Yltunniste"/>
            </w:pPr>
            <w:r>
              <w:rPr>
                <w:rFonts w:eastAsiaTheme="minorEastAsia" w:hAnsi="Arial" w:cstheme="minorBidi"/>
                <w:color w:val="000000" w:themeColor="text1"/>
                <w:kern w:val="24"/>
                <w:sz w:val="18"/>
                <w:szCs w:val="18"/>
              </w:rPr>
              <w:t>Hyväksytty jatkuvuussuunnitelma (kpl)</w:t>
            </w:r>
          </w:p>
        </w:tc>
        <w:tc>
          <w:tcPr>
            <w:tcW w:w="1090" w:type="dxa"/>
          </w:tcPr>
          <w:p w14:paraId="76FEBE63" w14:textId="4379B117" w:rsidR="008E1C44" w:rsidRPr="00C011D0" w:rsidRDefault="008E1C44" w:rsidP="00C011D0">
            <w:pPr>
              <w:pStyle w:val="Leipteksti"/>
              <w:ind w:left="0"/>
              <w:jc w:val="center"/>
              <w:rPr>
                <w:sz w:val="18"/>
                <w:szCs w:val="18"/>
              </w:rPr>
            </w:pPr>
            <w:r w:rsidRPr="00C011D0">
              <w:rPr>
                <w:sz w:val="18"/>
                <w:szCs w:val="18"/>
              </w:rPr>
              <w:t>2024</w:t>
            </w:r>
          </w:p>
        </w:tc>
        <w:tc>
          <w:tcPr>
            <w:tcW w:w="1967" w:type="dxa"/>
          </w:tcPr>
          <w:p w14:paraId="7A29DF75" w14:textId="7E160D0C" w:rsidR="008E1C44" w:rsidRDefault="008E1C44" w:rsidP="00C011D0">
            <w:pPr>
              <w:pStyle w:val="NormaaliWWW"/>
              <w:spacing w:before="0" w:beforeAutospacing="0" w:after="0" w:afterAutospacing="0"/>
            </w:pPr>
            <w:r>
              <w:rPr>
                <w:rFonts w:asciiTheme="minorHAnsi" w:eastAsiaTheme="minorEastAsia" w:hAnsi="Arial" w:cstheme="minorBidi"/>
                <w:color w:val="000000" w:themeColor="text1"/>
                <w:kern w:val="24"/>
                <w:sz w:val="18"/>
                <w:szCs w:val="18"/>
              </w:rPr>
              <w:t xml:space="preserve">Hyväksytty jatkuvuussuunnitelma </w:t>
            </w:r>
          </w:p>
        </w:tc>
        <w:tc>
          <w:tcPr>
            <w:tcW w:w="1085" w:type="dxa"/>
          </w:tcPr>
          <w:p w14:paraId="58278B21" w14:textId="38DE974B" w:rsidR="008E1C44" w:rsidRPr="00C011D0" w:rsidRDefault="008E1C44" w:rsidP="00C011D0">
            <w:pPr>
              <w:pStyle w:val="Leipteksti"/>
              <w:ind w:left="0"/>
              <w:jc w:val="center"/>
              <w:rPr>
                <w:sz w:val="18"/>
                <w:szCs w:val="18"/>
              </w:rPr>
            </w:pPr>
            <w:r w:rsidRPr="00C011D0">
              <w:rPr>
                <w:sz w:val="18"/>
                <w:szCs w:val="18"/>
              </w:rPr>
              <w:t>2024</w:t>
            </w:r>
          </w:p>
        </w:tc>
      </w:tr>
      <w:tr w:rsidR="008E1C44" w14:paraId="72B1B765" w14:textId="5A7605A2" w:rsidTr="00C011D0">
        <w:trPr>
          <w:cantSplit/>
          <w:trHeight w:val="1134"/>
        </w:trPr>
        <w:tc>
          <w:tcPr>
            <w:tcW w:w="945" w:type="dxa"/>
            <w:vMerge/>
            <w:textDirection w:val="btLr"/>
          </w:tcPr>
          <w:p w14:paraId="3417A34F" w14:textId="77777777" w:rsidR="008E1C44" w:rsidRDefault="008E1C44" w:rsidP="00C011D0">
            <w:pPr>
              <w:pStyle w:val="Leipteksti"/>
              <w:ind w:left="113" w:right="113"/>
            </w:pPr>
          </w:p>
        </w:tc>
        <w:tc>
          <w:tcPr>
            <w:tcW w:w="2256" w:type="dxa"/>
          </w:tcPr>
          <w:p w14:paraId="09E0EFB6" w14:textId="2277994B" w:rsidR="008E1C44" w:rsidRDefault="008E1C44" w:rsidP="008E1C44">
            <w:pPr>
              <w:pStyle w:val="Leipteksti"/>
              <w:ind w:left="0"/>
            </w:pPr>
            <w:r>
              <w:rPr>
                <w:rFonts w:eastAsiaTheme="minorEastAsia" w:hAnsi="Arial" w:cstheme="minorBidi"/>
                <w:color w:val="000000" w:themeColor="text1"/>
                <w:kern w:val="24"/>
                <w:sz w:val="18"/>
                <w:szCs w:val="18"/>
              </w:rPr>
              <w:t>Jatkuvuussuunnitelman laatu – VK arviointi</w:t>
            </w:r>
          </w:p>
        </w:tc>
        <w:tc>
          <w:tcPr>
            <w:tcW w:w="1104" w:type="dxa"/>
          </w:tcPr>
          <w:p w14:paraId="7121FDA6" w14:textId="4A482BF2" w:rsidR="008E1C44" w:rsidRPr="00C011D0" w:rsidRDefault="008E1C44" w:rsidP="00C011D0">
            <w:pPr>
              <w:pStyle w:val="Leipteksti"/>
              <w:ind w:left="0"/>
              <w:jc w:val="center"/>
              <w:rPr>
                <w:sz w:val="18"/>
                <w:szCs w:val="18"/>
              </w:rPr>
            </w:pPr>
            <w:r w:rsidRPr="00C011D0">
              <w:rPr>
                <w:sz w:val="18"/>
                <w:szCs w:val="18"/>
              </w:rPr>
              <w:t>2024</w:t>
            </w:r>
          </w:p>
        </w:tc>
        <w:tc>
          <w:tcPr>
            <w:tcW w:w="1753" w:type="dxa"/>
          </w:tcPr>
          <w:p w14:paraId="1558BCB6" w14:textId="07FCE657" w:rsidR="008E1C44" w:rsidRDefault="008E1C44" w:rsidP="008E1C44">
            <w:pPr>
              <w:pStyle w:val="Leipteksti"/>
              <w:ind w:left="0"/>
            </w:pPr>
            <w:r>
              <w:rPr>
                <w:rFonts w:eastAsiaTheme="minorEastAsia" w:hAnsi="Arial" w:cstheme="minorBidi"/>
                <w:color w:val="000000" w:themeColor="text1"/>
                <w:kern w:val="24"/>
                <w:sz w:val="18"/>
                <w:szCs w:val="18"/>
              </w:rPr>
              <w:t>Jatkuvuussuunnitelman laatu – VK arviointi</w:t>
            </w:r>
          </w:p>
        </w:tc>
        <w:tc>
          <w:tcPr>
            <w:tcW w:w="1090" w:type="dxa"/>
          </w:tcPr>
          <w:p w14:paraId="49EAF057" w14:textId="7F906D43" w:rsidR="008E1C44" w:rsidRPr="00C011D0" w:rsidRDefault="008E1C44" w:rsidP="00C011D0">
            <w:pPr>
              <w:pStyle w:val="Leipteksti"/>
              <w:ind w:left="0"/>
              <w:jc w:val="center"/>
              <w:rPr>
                <w:sz w:val="18"/>
                <w:szCs w:val="18"/>
              </w:rPr>
            </w:pPr>
            <w:r w:rsidRPr="00C011D0">
              <w:rPr>
                <w:sz w:val="18"/>
                <w:szCs w:val="18"/>
              </w:rPr>
              <w:t>2024</w:t>
            </w:r>
          </w:p>
        </w:tc>
        <w:tc>
          <w:tcPr>
            <w:tcW w:w="1967" w:type="dxa"/>
          </w:tcPr>
          <w:p w14:paraId="084C5050" w14:textId="17F64817" w:rsidR="008E1C44" w:rsidRDefault="008E1C44" w:rsidP="008E1C44">
            <w:pPr>
              <w:pStyle w:val="Leipteksti"/>
              <w:ind w:left="0"/>
            </w:pPr>
            <w:r>
              <w:rPr>
                <w:rFonts w:eastAsiaTheme="minorEastAsia" w:hAnsi="Arial" w:cstheme="minorBidi"/>
                <w:color w:val="000000" w:themeColor="text1"/>
                <w:kern w:val="24"/>
                <w:sz w:val="18"/>
                <w:szCs w:val="18"/>
              </w:rPr>
              <w:t>Jatkuvuussuunnitelman laatu – VK arviointi</w:t>
            </w:r>
          </w:p>
        </w:tc>
        <w:tc>
          <w:tcPr>
            <w:tcW w:w="1085" w:type="dxa"/>
          </w:tcPr>
          <w:p w14:paraId="7CC2FF06" w14:textId="55FBCB33" w:rsidR="008E1C44" w:rsidRPr="00C011D0" w:rsidRDefault="008E1C44" w:rsidP="00C011D0">
            <w:pPr>
              <w:pStyle w:val="Leipteksti"/>
              <w:ind w:left="0"/>
              <w:jc w:val="center"/>
              <w:rPr>
                <w:sz w:val="18"/>
                <w:szCs w:val="18"/>
              </w:rPr>
            </w:pPr>
            <w:r w:rsidRPr="00C011D0">
              <w:rPr>
                <w:sz w:val="18"/>
                <w:szCs w:val="18"/>
              </w:rPr>
              <w:t>2024</w:t>
            </w:r>
          </w:p>
        </w:tc>
      </w:tr>
    </w:tbl>
    <w:p w14:paraId="512CE69C" w14:textId="77777777" w:rsidR="00134F27" w:rsidRDefault="00134F27" w:rsidP="00134F27">
      <w:pPr>
        <w:pStyle w:val="Leipteksti"/>
        <w:ind w:left="0"/>
      </w:pPr>
    </w:p>
    <w:p w14:paraId="42B055C7" w14:textId="44ADD4B5" w:rsidR="00134F27" w:rsidRDefault="00134F27" w:rsidP="00C011D0">
      <w:pPr>
        <w:pStyle w:val="Leipteksti"/>
        <w:ind w:left="0"/>
      </w:pPr>
      <w:r>
        <w:t>*</w:t>
      </w:r>
      <w:r>
        <w:rPr>
          <w:vertAlign w:val="superscript"/>
        </w:rPr>
        <w:t xml:space="preserve">, </w:t>
      </w:r>
      <w:r>
        <w:t xml:space="preserve">** </w:t>
      </w:r>
      <w:r w:rsidRPr="00C011D0">
        <w:rPr>
          <w:sz w:val="18"/>
          <w:szCs w:val="18"/>
        </w:rPr>
        <w:t xml:space="preserve">Toimintamallin ja prosessien kypsyyden arviointi tullaan tekemään vertailuna ns. </w:t>
      </w:r>
      <w:proofErr w:type="spellStart"/>
      <w:r w:rsidRPr="00C011D0">
        <w:rPr>
          <w:sz w:val="18"/>
          <w:szCs w:val="18"/>
        </w:rPr>
        <w:t>best</w:t>
      </w:r>
      <w:proofErr w:type="spellEnd"/>
      <w:r w:rsidRPr="00C011D0">
        <w:rPr>
          <w:sz w:val="18"/>
          <w:szCs w:val="18"/>
        </w:rPr>
        <w:t xml:space="preserve"> </w:t>
      </w:r>
      <w:proofErr w:type="spellStart"/>
      <w:r w:rsidRPr="00C011D0">
        <w:rPr>
          <w:sz w:val="18"/>
          <w:szCs w:val="18"/>
        </w:rPr>
        <w:t>practice</w:t>
      </w:r>
      <w:proofErr w:type="spellEnd"/>
      <w:r w:rsidRPr="00C011D0">
        <w:rPr>
          <w:sz w:val="18"/>
          <w:szCs w:val="18"/>
        </w:rPr>
        <w:t xml:space="preserve"> -malliin. Toimintamallin arvioinnissa tavoitteena on ymmärtää, tuotetaanko toiminnot ”oikeissa paikoissa”, kirjanpitoyksikössä vs. palvelukeskuksessa. Prosessien kypsyys puolestaan arvioidaan eri aktiviteettien perusteella. Aktiviteetit on jaettu eri tasoille perustasosta johtavaan</w:t>
      </w:r>
      <w:r w:rsidR="00ED7E9F">
        <w:rPr>
          <w:sz w:val="18"/>
          <w:szCs w:val="18"/>
        </w:rPr>
        <w:t xml:space="preserve">. </w:t>
      </w:r>
    </w:p>
    <w:p w14:paraId="28683000" w14:textId="1CC4BDC1" w:rsidR="00134F27" w:rsidRDefault="008E1C44">
      <w:r>
        <w:br w:type="page"/>
      </w:r>
    </w:p>
    <w:p w14:paraId="269129DA" w14:textId="22A3C594" w:rsidR="00BA301D" w:rsidRDefault="00BA301D">
      <w:r>
        <w:lastRenderedPageBreak/>
        <w:t>Alla olevassa taulukossa kuvataan palvelukokemuksen ja osaamisen sekä talouden johtamisen mittarit.</w:t>
      </w:r>
    </w:p>
    <w:tbl>
      <w:tblPr>
        <w:tblStyle w:val="TaulukkoRuudukko"/>
        <w:tblpPr w:leftFromText="141" w:rightFromText="141" w:vertAnchor="page" w:horzAnchor="margin" w:tblpY="2750"/>
        <w:tblW w:w="10200" w:type="dxa"/>
        <w:tblLook w:val="04A0" w:firstRow="1" w:lastRow="0" w:firstColumn="1" w:lastColumn="0" w:noHBand="0" w:noVBand="1"/>
      </w:tblPr>
      <w:tblGrid>
        <w:gridCol w:w="945"/>
        <w:gridCol w:w="2256"/>
        <w:gridCol w:w="1104"/>
        <w:gridCol w:w="1753"/>
        <w:gridCol w:w="1090"/>
        <w:gridCol w:w="1967"/>
        <w:gridCol w:w="1085"/>
      </w:tblGrid>
      <w:tr w:rsidR="00BA301D" w14:paraId="607F59CE" w14:textId="77777777" w:rsidTr="00BA301D">
        <w:tc>
          <w:tcPr>
            <w:tcW w:w="945" w:type="dxa"/>
            <w:shd w:val="clear" w:color="auto" w:fill="10497F" w:themeFill="text2"/>
          </w:tcPr>
          <w:p w14:paraId="588DF341" w14:textId="77777777" w:rsidR="00BA301D" w:rsidRPr="00C011D0" w:rsidRDefault="00BA301D" w:rsidP="00BA301D">
            <w:pPr>
              <w:pStyle w:val="Leipteksti"/>
              <w:ind w:left="0"/>
              <w:rPr>
                <w:sz w:val="20"/>
                <w:szCs w:val="20"/>
              </w:rPr>
            </w:pPr>
            <w:r w:rsidRPr="00C011D0">
              <w:rPr>
                <w:b/>
                <w:bCs/>
                <w:color w:val="FFFFFF" w:themeColor="background1"/>
                <w:sz w:val="20"/>
                <w:szCs w:val="20"/>
              </w:rPr>
              <w:t>Ajuri</w:t>
            </w:r>
          </w:p>
        </w:tc>
        <w:tc>
          <w:tcPr>
            <w:tcW w:w="2256" w:type="dxa"/>
            <w:shd w:val="clear" w:color="auto" w:fill="10497F" w:themeFill="text2"/>
          </w:tcPr>
          <w:p w14:paraId="58B9E259" w14:textId="77777777" w:rsidR="00BA301D" w:rsidRPr="00C011D0" w:rsidRDefault="00BA301D" w:rsidP="00BA301D">
            <w:pPr>
              <w:pStyle w:val="Leipteksti"/>
              <w:ind w:left="0"/>
              <w:rPr>
                <w:sz w:val="20"/>
                <w:szCs w:val="20"/>
              </w:rPr>
            </w:pPr>
            <w:r w:rsidRPr="00134F27">
              <w:rPr>
                <w:rFonts w:ascii="Arial" w:hAnsi="Arial" w:cs="Arial"/>
                <w:b/>
                <w:bCs/>
                <w:color w:val="FFFFFF" w:themeColor="background1"/>
                <w:kern w:val="24"/>
                <w:sz w:val="20"/>
                <w:szCs w:val="20"/>
              </w:rPr>
              <w:t>Valtion taloushallinto</w:t>
            </w:r>
          </w:p>
        </w:tc>
        <w:tc>
          <w:tcPr>
            <w:tcW w:w="1104" w:type="dxa"/>
            <w:shd w:val="clear" w:color="auto" w:fill="10497F" w:themeFill="text2"/>
          </w:tcPr>
          <w:p w14:paraId="6E2D5316" w14:textId="77777777" w:rsidR="00BA301D" w:rsidRPr="00C011D0" w:rsidRDefault="00BA301D" w:rsidP="00BA301D">
            <w:pPr>
              <w:pStyle w:val="Leipteksti"/>
              <w:ind w:left="0"/>
              <w:rPr>
                <w:sz w:val="20"/>
                <w:szCs w:val="20"/>
              </w:rPr>
            </w:pPr>
            <w:r w:rsidRPr="00134F27">
              <w:rPr>
                <w:rFonts w:ascii="Arial" w:hAnsi="Arial" w:cs="Arial"/>
                <w:b/>
                <w:bCs/>
                <w:color w:val="FFFFFF" w:themeColor="background1"/>
                <w:kern w:val="24"/>
                <w:sz w:val="20"/>
                <w:szCs w:val="20"/>
              </w:rPr>
              <w:t>Käyttöönotto</w:t>
            </w:r>
          </w:p>
        </w:tc>
        <w:tc>
          <w:tcPr>
            <w:tcW w:w="1753" w:type="dxa"/>
            <w:shd w:val="clear" w:color="auto" w:fill="10497F" w:themeFill="text2"/>
          </w:tcPr>
          <w:p w14:paraId="5BD95C44" w14:textId="40FF7FCC" w:rsidR="00BA301D" w:rsidRPr="00C011D0" w:rsidRDefault="00B42067" w:rsidP="00BA301D">
            <w:pPr>
              <w:pStyle w:val="Leipteksti"/>
              <w:ind w:left="0"/>
              <w:rPr>
                <w:sz w:val="20"/>
                <w:szCs w:val="20"/>
              </w:rPr>
            </w:pPr>
            <w:r>
              <w:rPr>
                <w:rFonts w:ascii="Arial" w:hAnsi="Arial" w:cs="Arial"/>
                <w:b/>
                <w:bCs/>
                <w:color w:val="FFFFFF" w:themeColor="background1"/>
                <w:kern w:val="24"/>
                <w:sz w:val="20"/>
                <w:szCs w:val="20"/>
              </w:rPr>
              <w:t>K</w:t>
            </w:r>
            <w:r w:rsidRPr="00B42067">
              <w:rPr>
                <w:rFonts w:ascii="Arial" w:hAnsi="Arial" w:cs="Arial"/>
                <w:b/>
                <w:bCs/>
                <w:color w:val="FFFFFF" w:themeColor="background1"/>
                <w:kern w:val="24"/>
                <w:sz w:val="20"/>
                <w:szCs w:val="20"/>
              </w:rPr>
              <w:t>irjanpitoyksikö</w:t>
            </w:r>
            <w:r>
              <w:rPr>
                <w:rFonts w:ascii="Arial" w:hAnsi="Arial" w:cs="Arial"/>
                <w:b/>
                <w:bCs/>
                <w:color w:val="FFFFFF" w:themeColor="background1"/>
                <w:kern w:val="24"/>
                <w:sz w:val="20"/>
                <w:szCs w:val="20"/>
              </w:rPr>
              <w:t>t</w:t>
            </w:r>
          </w:p>
        </w:tc>
        <w:tc>
          <w:tcPr>
            <w:tcW w:w="1090" w:type="dxa"/>
            <w:shd w:val="clear" w:color="auto" w:fill="10497F" w:themeFill="text2"/>
          </w:tcPr>
          <w:p w14:paraId="3CB57E7C" w14:textId="77777777" w:rsidR="00BA301D" w:rsidRPr="00C011D0" w:rsidRDefault="00BA301D" w:rsidP="00BA301D">
            <w:pPr>
              <w:pStyle w:val="Leipteksti"/>
              <w:ind w:left="0"/>
              <w:rPr>
                <w:sz w:val="20"/>
                <w:szCs w:val="20"/>
              </w:rPr>
            </w:pPr>
            <w:r w:rsidRPr="00134F27">
              <w:rPr>
                <w:rFonts w:ascii="Arial" w:hAnsi="Arial" w:cs="Arial"/>
                <w:b/>
                <w:bCs/>
                <w:color w:val="FFFFFF" w:themeColor="background1"/>
                <w:kern w:val="24"/>
                <w:sz w:val="20"/>
                <w:szCs w:val="20"/>
              </w:rPr>
              <w:t>Käyttöönotto</w:t>
            </w:r>
          </w:p>
        </w:tc>
        <w:tc>
          <w:tcPr>
            <w:tcW w:w="1967" w:type="dxa"/>
            <w:shd w:val="clear" w:color="auto" w:fill="10497F" w:themeFill="text2"/>
          </w:tcPr>
          <w:p w14:paraId="19C23676" w14:textId="77777777" w:rsidR="00BA301D" w:rsidRPr="00C011D0" w:rsidRDefault="00BA301D" w:rsidP="00BA301D">
            <w:pPr>
              <w:pStyle w:val="Leipteksti"/>
              <w:ind w:left="0"/>
              <w:rPr>
                <w:sz w:val="20"/>
                <w:szCs w:val="20"/>
              </w:rPr>
            </w:pPr>
            <w:r w:rsidRPr="00134F27">
              <w:rPr>
                <w:rFonts w:ascii="Arial" w:hAnsi="Arial" w:cs="Arial"/>
                <w:b/>
                <w:bCs/>
                <w:color w:val="FFFFFF" w:themeColor="background1"/>
                <w:kern w:val="24"/>
                <w:sz w:val="20"/>
                <w:szCs w:val="20"/>
              </w:rPr>
              <w:t>Palkeet palvelukeskus</w:t>
            </w:r>
          </w:p>
        </w:tc>
        <w:tc>
          <w:tcPr>
            <w:tcW w:w="1085" w:type="dxa"/>
            <w:shd w:val="clear" w:color="auto" w:fill="10497F" w:themeFill="text2"/>
          </w:tcPr>
          <w:p w14:paraId="4AB0176C" w14:textId="77777777" w:rsidR="00BA301D" w:rsidRPr="00C011D0" w:rsidRDefault="00BA301D" w:rsidP="00BA301D">
            <w:pPr>
              <w:pStyle w:val="Leipteksti"/>
              <w:ind w:left="0"/>
              <w:rPr>
                <w:sz w:val="20"/>
                <w:szCs w:val="20"/>
              </w:rPr>
            </w:pPr>
            <w:r w:rsidRPr="00134F27">
              <w:rPr>
                <w:rFonts w:ascii="Arial" w:hAnsi="Arial" w:cs="Arial"/>
                <w:b/>
                <w:bCs/>
                <w:color w:val="FFFFFF" w:themeColor="background1"/>
                <w:kern w:val="24"/>
                <w:sz w:val="20"/>
                <w:szCs w:val="20"/>
              </w:rPr>
              <w:t>Käyttöönotto</w:t>
            </w:r>
          </w:p>
        </w:tc>
      </w:tr>
      <w:tr w:rsidR="00BA301D" w14:paraId="69527507" w14:textId="77777777" w:rsidTr="00BA301D">
        <w:trPr>
          <w:cantSplit/>
          <w:trHeight w:val="1134"/>
        </w:trPr>
        <w:tc>
          <w:tcPr>
            <w:tcW w:w="945" w:type="dxa"/>
            <w:textDirection w:val="btLr"/>
            <w:vAlign w:val="center"/>
          </w:tcPr>
          <w:p w14:paraId="10A5304C" w14:textId="77777777" w:rsidR="00BA301D" w:rsidRPr="003E1331" w:rsidRDefault="00BA301D" w:rsidP="00BA301D">
            <w:pPr>
              <w:pStyle w:val="Leipteksti"/>
              <w:ind w:left="113" w:right="113"/>
              <w:jc w:val="center"/>
              <w:rPr>
                <w:sz w:val="18"/>
                <w:szCs w:val="18"/>
              </w:rPr>
            </w:pPr>
            <w:r w:rsidRPr="003E1331">
              <w:rPr>
                <w:b/>
                <w:bCs/>
                <w:sz w:val="18"/>
                <w:szCs w:val="18"/>
              </w:rPr>
              <w:t>Käyttäjäystävälliset palvelut</w:t>
            </w:r>
          </w:p>
          <w:p w14:paraId="2C3A7BC6" w14:textId="77777777" w:rsidR="00BA301D" w:rsidRPr="003E1331" w:rsidRDefault="00BA301D" w:rsidP="00BA301D">
            <w:pPr>
              <w:pStyle w:val="Leipteksti"/>
              <w:ind w:left="113" w:right="113"/>
              <w:jc w:val="center"/>
              <w:rPr>
                <w:sz w:val="18"/>
                <w:szCs w:val="18"/>
              </w:rPr>
            </w:pPr>
          </w:p>
        </w:tc>
        <w:tc>
          <w:tcPr>
            <w:tcW w:w="2256" w:type="dxa"/>
          </w:tcPr>
          <w:p w14:paraId="5AAB1C31" w14:textId="77777777" w:rsidR="00BA301D" w:rsidRPr="003E1331" w:rsidRDefault="00BA301D" w:rsidP="00BA301D">
            <w:pPr>
              <w:pStyle w:val="Leipteksti"/>
              <w:ind w:left="0"/>
              <w:rPr>
                <w:sz w:val="18"/>
                <w:szCs w:val="18"/>
              </w:rPr>
            </w:pPr>
          </w:p>
        </w:tc>
        <w:tc>
          <w:tcPr>
            <w:tcW w:w="1104" w:type="dxa"/>
          </w:tcPr>
          <w:p w14:paraId="716565A8" w14:textId="77777777" w:rsidR="00BA301D" w:rsidRPr="003E1331" w:rsidRDefault="00BA301D" w:rsidP="00BA301D">
            <w:pPr>
              <w:pStyle w:val="Leipteksti"/>
              <w:ind w:left="0"/>
              <w:jc w:val="center"/>
              <w:rPr>
                <w:sz w:val="18"/>
                <w:szCs w:val="18"/>
              </w:rPr>
            </w:pPr>
          </w:p>
        </w:tc>
        <w:tc>
          <w:tcPr>
            <w:tcW w:w="1753" w:type="dxa"/>
          </w:tcPr>
          <w:p w14:paraId="59F9C069" w14:textId="77777777" w:rsidR="00BA301D" w:rsidRPr="003E1331" w:rsidRDefault="00BA301D" w:rsidP="00BA301D">
            <w:pPr>
              <w:pStyle w:val="Leipteksti"/>
              <w:ind w:left="0"/>
              <w:rPr>
                <w:sz w:val="18"/>
                <w:szCs w:val="18"/>
              </w:rPr>
            </w:pPr>
            <w:r w:rsidRPr="003E1331">
              <w:rPr>
                <w:sz w:val="18"/>
                <w:szCs w:val="18"/>
              </w:rPr>
              <w:t>Asiakastyytyväisyyskysely</w:t>
            </w:r>
          </w:p>
          <w:p w14:paraId="5D576904" w14:textId="77777777" w:rsidR="00BA301D" w:rsidRPr="003E1331" w:rsidRDefault="00BA301D" w:rsidP="00BA301D">
            <w:pPr>
              <w:pStyle w:val="Leipteksti"/>
              <w:ind w:left="0"/>
              <w:rPr>
                <w:sz w:val="18"/>
                <w:szCs w:val="18"/>
              </w:rPr>
            </w:pPr>
          </w:p>
        </w:tc>
        <w:tc>
          <w:tcPr>
            <w:tcW w:w="1090" w:type="dxa"/>
          </w:tcPr>
          <w:p w14:paraId="7D64955E" w14:textId="3C8D2736" w:rsidR="00BA301D" w:rsidRPr="003E1331" w:rsidRDefault="00BA301D" w:rsidP="00BA301D">
            <w:pPr>
              <w:pStyle w:val="Leipteksti"/>
              <w:ind w:left="0"/>
              <w:jc w:val="center"/>
              <w:rPr>
                <w:sz w:val="18"/>
                <w:szCs w:val="18"/>
              </w:rPr>
            </w:pPr>
            <w:r w:rsidRPr="003E1331">
              <w:rPr>
                <w:sz w:val="18"/>
                <w:szCs w:val="18"/>
              </w:rPr>
              <w:t>202</w:t>
            </w:r>
            <w:r w:rsidR="0080165B">
              <w:rPr>
                <w:sz w:val="18"/>
                <w:szCs w:val="18"/>
              </w:rPr>
              <w:t>4</w:t>
            </w:r>
          </w:p>
        </w:tc>
        <w:tc>
          <w:tcPr>
            <w:tcW w:w="1967" w:type="dxa"/>
          </w:tcPr>
          <w:p w14:paraId="16C32BF7" w14:textId="77777777" w:rsidR="00BA301D" w:rsidRPr="003E1331" w:rsidRDefault="00BA301D" w:rsidP="00BA301D">
            <w:pPr>
              <w:pStyle w:val="Leipteksti"/>
              <w:ind w:left="0"/>
              <w:rPr>
                <w:sz w:val="18"/>
                <w:szCs w:val="18"/>
              </w:rPr>
            </w:pPr>
          </w:p>
        </w:tc>
        <w:tc>
          <w:tcPr>
            <w:tcW w:w="1085" w:type="dxa"/>
          </w:tcPr>
          <w:p w14:paraId="587A5D19" w14:textId="77777777" w:rsidR="00BA301D" w:rsidRDefault="00BA301D" w:rsidP="00BA301D">
            <w:pPr>
              <w:pStyle w:val="Leipteksti"/>
              <w:ind w:left="0"/>
              <w:jc w:val="center"/>
            </w:pPr>
          </w:p>
        </w:tc>
      </w:tr>
      <w:tr w:rsidR="00BA301D" w14:paraId="6F93D215" w14:textId="77777777" w:rsidTr="00BA301D">
        <w:trPr>
          <w:cantSplit/>
          <w:trHeight w:val="1134"/>
        </w:trPr>
        <w:tc>
          <w:tcPr>
            <w:tcW w:w="945" w:type="dxa"/>
            <w:textDirection w:val="btLr"/>
            <w:vAlign w:val="center"/>
          </w:tcPr>
          <w:p w14:paraId="1B606B6E" w14:textId="77777777" w:rsidR="00BA301D" w:rsidRPr="002C46E1" w:rsidRDefault="00BA301D" w:rsidP="00BA301D">
            <w:pPr>
              <w:pStyle w:val="Leipteksti"/>
              <w:ind w:left="113" w:right="113"/>
              <w:jc w:val="center"/>
              <w:rPr>
                <w:sz w:val="18"/>
                <w:szCs w:val="18"/>
              </w:rPr>
            </w:pPr>
            <w:r w:rsidRPr="002C46E1">
              <w:rPr>
                <w:b/>
                <w:bCs/>
                <w:sz w:val="18"/>
                <w:szCs w:val="18"/>
              </w:rPr>
              <w:t xml:space="preserve">Käyttäjäystävälliset </w:t>
            </w:r>
            <w:r>
              <w:rPr>
                <w:b/>
                <w:bCs/>
                <w:sz w:val="18"/>
                <w:szCs w:val="18"/>
              </w:rPr>
              <w:t>työvälineet</w:t>
            </w:r>
          </w:p>
          <w:p w14:paraId="5D06254A" w14:textId="77777777" w:rsidR="00BA301D" w:rsidRPr="003E1331" w:rsidRDefault="00BA301D" w:rsidP="00BA301D">
            <w:pPr>
              <w:pStyle w:val="Leipteksti"/>
              <w:ind w:left="113" w:right="113"/>
              <w:jc w:val="center"/>
              <w:rPr>
                <w:sz w:val="18"/>
                <w:szCs w:val="18"/>
              </w:rPr>
            </w:pPr>
          </w:p>
        </w:tc>
        <w:tc>
          <w:tcPr>
            <w:tcW w:w="2256" w:type="dxa"/>
          </w:tcPr>
          <w:p w14:paraId="4FD168EA" w14:textId="39E3D555" w:rsidR="00BA301D" w:rsidRPr="003E1331" w:rsidRDefault="00BA301D" w:rsidP="00BA301D">
            <w:pPr>
              <w:pStyle w:val="Leipteksti"/>
              <w:ind w:left="0"/>
              <w:rPr>
                <w:sz w:val="18"/>
                <w:szCs w:val="18"/>
              </w:rPr>
            </w:pPr>
            <w:r w:rsidRPr="003E1331">
              <w:rPr>
                <w:rFonts w:eastAsiaTheme="minorEastAsia" w:hAnsi="Arial" w:cstheme="minorBidi"/>
                <w:color w:val="000000" w:themeColor="dark1"/>
                <w:kern w:val="24"/>
                <w:sz w:val="18"/>
                <w:szCs w:val="18"/>
              </w:rPr>
              <w:t xml:space="preserve">Valtion yhteisten järjestelmien teknologia tukee työskentelyä - nykytila vs. tavoitetila, asteikko </w:t>
            </w:r>
            <w:r w:rsidR="00A45988" w:rsidRPr="003E1331">
              <w:rPr>
                <w:rFonts w:eastAsiaTheme="minorEastAsia" w:hAnsi="Arial" w:cstheme="minorBidi"/>
                <w:color w:val="000000" w:themeColor="dark1"/>
                <w:kern w:val="24"/>
                <w:sz w:val="18"/>
                <w:szCs w:val="18"/>
              </w:rPr>
              <w:t>1–5</w:t>
            </w:r>
          </w:p>
        </w:tc>
        <w:tc>
          <w:tcPr>
            <w:tcW w:w="1104" w:type="dxa"/>
          </w:tcPr>
          <w:p w14:paraId="2FB2BB77" w14:textId="77777777" w:rsidR="00BA301D" w:rsidRPr="003E1331" w:rsidRDefault="00BA301D" w:rsidP="00BA301D">
            <w:pPr>
              <w:pStyle w:val="Leipteksti"/>
              <w:ind w:left="0"/>
              <w:jc w:val="center"/>
              <w:rPr>
                <w:sz w:val="18"/>
                <w:szCs w:val="18"/>
              </w:rPr>
            </w:pPr>
            <w:r w:rsidRPr="003E1331">
              <w:rPr>
                <w:sz w:val="18"/>
                <w:szCs w:val="18"/>
              </w:rPr>
              <w:t>2024</w:t>
            </w:r>
          </w:p>
        </w:tc>
        <w:tc>
          <w:tcPr>
            <w:tcW w:w="1753" w:type="dxa"/>
          </w:tcPr>
          <w:p w14:paraId="76CE91A1" w14:textId="30061A25" w:rsidR="00BA301D" w:rsidRPr="003E1331" w:rsidRDefault="00BA301D" w:rsidP="00BA301D">
            <w:pPr>
              <w:pStyle w:val="Leipteksti"/>
              <w:ind w:left="0"/>
              <w:rPr>
                <w:sz w:val="18"/>
                <w:szCs w:val="18"/>
              </w:rPr>
            </w:pPr>
            <w:r w:rsidRPr="003E1331">
              <w:rPr>
                <w:rFonts w:eastAsiaTheme="minorEastAsia" w:hAnsi="Arial" w:cstheme="minorBidi"/>
                <w:color w:val="000000" w:themeColor="dark1"/>
                <w:kern w:val="24"/>
                <w:sz w:val="18"/>
                <w:szCs w:val="18"/>
              </w:rPr>
              <w:t>Käyttäjätyytyväisyyskysely (osana asiakastyytyväisyyskyselyä)</w:t>
            </w:r>
          </w:p>
        </w:tc>
        <w:tc>
          <w:tcPr>
            <w:tcW w:w="1090" w:type="dxa"/>
          </w:tcPr>
          <w:p w14:paraId="6DB5BFAD" w14:textId="198A9CCE" w:rsidR="00BA301D" w:rsidRPr="003E1331" w:rsidRDefault="00BA301D" w:rsidP="00BA301D">
            <w:pPr>
              <w:pStyle w:val="Leipteksti"/>
              <w:ind w:left="0"/>
              <w:jc w:val="center"/>
              <w:rPr>
                <w:sz w:val="18"/>
                <w:szCs w:val="18"/>
              </w:rPr>
            </w:pPr>
            <w:r w:rsidRPr="003E1331">
              <w:rPr>
                <w:sz w:val="18"/>
                <w:szCs w:val="18"/>
              </w:rPr>
              <w:t>202</w:t>
            </w:r>
            <w:r w:rsidR="0080165B">
              <w:rPr>
                <w:sz w:val="18"/>
                <w:szCs w:val="18"/>
              </w:rPr>
              <w:t>4</w:t>
            </w:r>
          </w:p>
        </w:tc>
        <w:tc>
          <w:tcPr>
            <w:tcW w:w="1967" w:type="dxa"/>
          </w:tcPr>
          <w:p w14:paraId="70874927" w14:textId="68C536D2" w:rsidR="00BA301D" w:rsidRPr="003E1331" w:rsidRDefault="00BA301D" w:rsidP="00BA301D">
            <w:pPr>
              <w:pStyle w:val="Leipteksti"/>
              <w:ind w:left="0"/>
              <w:rPr>
                <w:sz w:val="18"/>
                <w:szCs w:val="18"/>
              </w:rPr>
            </w:pPr>
            <w:r w:rsidRPr="003E1331">
              <w:rPr>
                <w:rFonts w:eastAsiaTheme="minorEastAsia" w:hAnsi="Arial" w:cstheme="minorBidi"/>
                <w:color w:val="000000" w:themeColor="dark1"/>
                <w:kern w:val="24"/>
                <w:sz w:val="18"/>
                <w:szCs w:val="18"/>
              </w:rPr>
              <w:t>Käyttäjätyytyväisyyskysely</w:t>
            </w:r>
          </w:p>
        </w:tc>
        <w:tc>
          <w:tcPr>
            <w:tcW w:w="1085" w:type="dxa"/>
          </w:tcPr>
          <w:p w14:paraId="110E605F" w14:textId="77777777" w:rsidR="00BA301D" w:rsidRPr="003E1331" w:rsidRDefault="00BA301D" w:rsidP="00BA301D">
            <w:pPr>
              <w:pStyle w:val="Leipteksti"/>
              <w:ind w:left="0"/>
              <w:jc w:val="center"/>
              <w:rPr>
                <w:sz w:val="18"/>
                <w:szCs w:val="18"/>
              </w:rPr>
            </w:pPr>
            <w:r w:rsidRPr="003E1331">
              <w:rPr>
                <w:sz w:val="18"/>
                <w:szCs w:val="18"/>
              </w:rPr>
              <w:t>2024</w:t>
            </w:r>
          </w:p>
        </w:tc>
      </w:tr>
      <w:tr w:rsidR="00BA301D" w14:paraId="63C5AD2F" w14:textId="77777777" w:rsidTr="00BA301D">
        <w:trPr>
          <w:cantSplit/>
          <w:trHeight w:val="1134"/>
        </w:trPr>
        <w:tc>
          <w:tcPr>
            <w:tcW w:w="945" w:type="dxa"/>
            <w:vMerge w:val="restart"/>
            <w:textDirection w:val="btLr"/>
            <w:vAlign w:val="center"/>
          </w:tcPr>
          <w:p w14:paraId="14EF6AF7" w14:textId="1AE88EBD" w:rsidR="00BA301D" w:rsidRPr="003E1331" w:rsidRDefault="00BA301D" w:rsidP="00BA301D">
            <w:pPr>
              <w:pStyle w:val="Leipteksti"/>
              <w:ind w:left="113" w:right="113"/>
              <w:jc w:val="center"/>
              <w:rPr>
                <w:b/>
                <w:bCs/>
                <w:sz w:val="18"/>
                <w:szCs w:val="18"/>
              </w:rPr>
            </w:pPr>
            <w:r w:rsidRPr="003E1331">
              <w:rPr>
                <w:b/>
                <w:bCs/>
                <w:sz w:val="18"/>
                <w:szCs w:val="18"/>
              </w:rPr>
              <w:t xml:space="preserve">Kyvykkyys vastata muutokseen – ihmiset, </w:t>
            </w:r>
            <w:proofErr w:type="gramStart"/>
            <w:r w:rsidRPr="003E1331">
              <w:rPr>
                <w:b/>
                <w:bCs/>
                <w:sz w:val="18"/>
                <w:szCs w:val="18"/>
              </w:rPr>
              <w:t>järjestelmät,</w:t>
            </w:r>
            <w:r w:rsidR="00A45988">
              <w:rPr>
                <w:b/>
                <w:bCs/>
                <w:sz w:val="18"/>
                <w:szCs w:val="18"/>
              </w:rPr>
              <w:t xml:space="preserve"> </w:t>
            </w:r>
            <w:r>
              <w:rPr>
                <w:b/>
                <w:bCs/>
                <w:sz w:val="18"/>
                <w:szCs w:val="18"/>
              </w:rPr>
              <w:t xml:space="preserve">  </w:t>
            </w:r>
            <w:proofErr w:type="gramEnd"/>
            <w:r>
              <w:rPr>
                <w:b/>
                <w:bCs/>
                <w:sz w:val="18"/>
                <w:szCs w:val="18"/>
              </w:rPr>
              <w:t xml:space="preserve">     </w:t>
            </w:r>
            <w:r w:rsidRPr="003E1331">
              <w:rPr>
                <w:b/>
                <w:bCs/>
                <w:sz w:val="18"/>
                <w:szCs w:val="18"/>
              </w:rPr>
              <w:t xml:space="preserve"> innovaatio</w:t>
            </w:r>
          </w:p>
        </w:tc>
        <w:tc>
          <w:tcPr>
            <w:tcW w:w="2256" w:type="dxa"/>
          </w:tcPr>
          <w:p w14:paraId="3FE7389B" w14:textId="77777777" w:rsidR="00BA301D" w:rsidRPr="003E1331" w:rsidRDefault="00BA301D" w:rsidP="00BA301D">
            <w:pPr>
              <w:pStyle w:val="Leipteksti"/>
              <w:ind w:left="0"/>
              <w:rPr>
                <w:sz w:val="18"/>
                <w:szCs w:val="18"/>
              </w:rPr>
            </w:pPr>
          </w:p>
        </w:tc>
        <w:tc>
          <w:tcPr>
            <w:tcW w:w="1104" w:type="dxa"/>
          </w:tcPr>
          <w:p w14:paraId="247378F6" w14:textId="77777777" w:rsidR="00BA301D" w:rsidRPr="003E1331" w:rsidRDefault="00BA301D" w:rsidP="00BA301D">
            <w:pPr>
              <w:pStyle w:val="Leipteksti"/>
              <w:ind w:left="0"/>
              <w:jc w:val="center"/>
              <w:rPr>
                <w:sz w:val="18"/>
                <w:szCs w:val="18"/>
              </w:rPr>
            </w:pPr>
          </w:p>
        </w:tc>
        <w:tc>
          <w:tcPr>
            <w:tcW w:w="1753" w:type="dxa"/>
          </w:tcPr>
          <w:p w14:paraId="7CF4495C" w14:textId="32BE4C34" w:rsidR="00BA301D" w:rsidRPr="003E1331" w:rsidRDefault="00BA301D" w:rsidP="00BA301D">
            <w:pPr>
              <w:pStyle w:val="Leipteksti"/>
              <w:ind w:left="0"/>
              <w:rPr>
                <w:sz w:val="18"/>
                <w:szCs w:val="18"/>
              </w:rPr>
            </w:pPr>
            <w:r w:rsidRPr="003E1331">
              <w:rPr>
                <w:rFonts w:eastAsiaTheme="minorEastAsia" w:hAnsi="Arial" w:cstheme="minorBidi"/>
                <w:color w:val="000000" w:themeColor="dark1"/>
                <w:kern w:val="24"/>
                <w:sz w:val="18"/>
                <w:szCs w:val="18"/>
              </w:rPr>
              <w:t xml:space="preserve">Taloushallinnon henkilöstön tulevaisuuden kyvykkyyksien taso –kyvykkyysarviointi, nykytila vs. tavoitetila, asteikko </w:t>
            </w:r>
            <w:r w:rsidR="00A45988" w:rsidRPr="003E1331">
              <w:rPr>
                <w:rFonts w:eastAsiaTheme="minorEastAsia" w:hAnsi="Arial" w:cstheme="minorBidi"/>
                <w:color w:val="000000" w:themeColor="dark1"/>
                <w:kern w:val="24"/>
                <w:sz w:val="18"/>
                <w:szCs w:val="18"/>
              </w:rPr>
              <w:t>1–5</w:t>
            </w:r>
          </w:p>
        </w:tc>
        <w:tc>
          <w:tcPr>
            <w:tcW w:w="1090" w:type="dxa"/>
          </w:tcPr>
          <w:p w14:paraId="42AF4003" w14:textId="77777777" w:rsidR="00BA301D" w:rsidRPr="003E1331" w:rsidRDefault="00BA301D" w:rsidP="00BA301D">
            <w:pPr>
              <w:pStyle w:val="Leipteksti"/>
              <w:ind w:left="0"/>
              <w:jc w:val="center"/>
              <w:rPr>
                <w:sz w:val="18"/>
                <w:szCs w:val="18"/>
              </w:rPr>
            </w:pPr>
            <w:r w:rsidRPr="003E1331">
              <w:rPr>
                <w:sz w:val="18"/>
                <w:szCs w:val="18"/>
              </w:rPr>
              <w:t>2025</w:t>
            </w:r>
          </w:p>
        </w:tc>
        <w:tc>
          <w:tcPr>
            <w:tcW w:w="1967" w:type="dxa"/>
          </w:tcPr>
          <w:p w14:paraId="58379B04" w14:textId="511DF46A" w:rsidR="00BA301D" w:rsidRPr="003E1331" w:rsidRDefault="00BA301D" w:rsidP="00BA301D">
            <w:pPr>
              <w:pStyle w:val="Leipteksti"/>
              <w:ind w:left="0"/>
              <w:rPr>
                <w:sz w:val="18"/>
                <w:szCs w:val="18"/>
              </w:rPr>
            </w:pPr>
            <w:r w:rsidRPr="003E1331">
              <w:rPr>
                <w:rFonts w:eastAsiaTheme="minorEastAsia" w:hAnsi="Arial" w:cstheme="minorBidi"/>
                <w:color w:val="000000" w:themeColor="dark1"/>
                <w:kern w:val="24"/>
                <w:sz w:val="18"/>
                <w:szCs w:val="18"/>
              </w:rPr>
              <w:t xml:space="preserve">Taloushallinnon henkilöstön tulevaisuuden kyvykkyyksien taso </w:t>
            </w:r>
            <w:r w:rsidR="00121B4E">
              <w:rPr>
                <w:rFonts w:eastAsiaTheme="minorEastAsia" w:hAnsi="Arial" w:cstheme="minorBidi"/>
                <w:color w:val="000000" w:themeColor="dark1"/>
                <w:kern w:val="24"/>
                <w:sz w:val="18"/>
                <w:szCs w:val="18"/>
              </w:rPr>
              <w:t>-</w:t>
            </w:r>
            <w:r w:rsidRPr="003E1331">
              <w:rPr>
                <w:rFonts w:eastAsiaTheme="minorEastAsia" w:hAnsi="Arial" w:cstheme="minorBidi"/>
                <w:color w:val="000000" w:themeColor="dark1"/>
                <w:kern w:val="24"/>
                <w:sz w:val="18"/>
                <w:szCs w:val="18"/>
              </w:rPr>
              <w:t xml:space="preserve">kyvykkyysarviointi, nykytila vs. tavoitetila, asteikko </w:t>
            </w:r>
            <w:r w:rsidR="00A45988" w:rsidRPr="003E1331">
              <w:rPr>
                <w:rFonts w:eastAsiaTheme="minorEastAsia" w:hAnsi="Arial" w:cstheme="minorBidi"/>
                <w:color w:val="000000" w:themeColor="dark1"/>
                <w:kern w:val="24"/>
                <w:sz w:val="18"/>
                <w:szCs w:val="18"/>
              </w:rPr>
              <w:t>1–5</w:t>
            </w:r>
          </w:p>
        </w:tc>
        <w:tc>
          <w:tcPr>
            <w:tcW w:w="1085" w:type="dxa"/>
          </w:tcPr>
          <w:p w14:paraId="6842BFD1" w14:textId="77777777" w:rsidR="00BA301D" w:rsidRPr="003E1331" w:rsidRDefault="00BA301D" w:rsidP="00BA301D">
            <w:pPr>
              <w:pStyle w:val="Leipteksti"/>
              <w:ind w:left="0"/>
              <w:jc w:val="center"/>
              <w:rPr>
                <w:sz w:val="18"/>
                <w:szCs w:val="18"/>
              </w:rPr>
            </w:pPr>
            <w:r w:rsidRPr="003E1331">
              <w:rPr>
                <w:sz w:val="18"/>
                <w:szCs w:val="18"/>
              </w:rPr>
              <w:t>2025</w:t>
            </w:r>
          </w:p>
        </w:tc>
      </w:tr>
      <w:tr w:rsidR="00BA301D" w14:paraId="5F3A3F8D" w14:textId="77777777" w:rsidTr="00BA301D">
        <w:trPr>
          <w:cantSplit/>
          <w:trHeight w:val="1134"/>
        </w:trPr>
        <w:tc>
          <w:tcPr>
            <w:tcW w:w="945" w:type="dxa"/>
            <w:vMerge/>
            <w:textDirection w:val="btLr"/>
            <w:vAlign w:val="center"/>
          </w:tcPr>
          <w:p w14:paraId="3191D25F" w14:textId="77777777" w:rsidR="00BA301D" w:rsidRPr="003E1331" w:rsidRDefault="00BA301D" w:rsidP="00BA301D">
            <w:pPr>
              <w:pStyle w:val="Leipteksti"/>
              <w:ind w:left="113" w:right="113"/>
              <w:jc w:val="center"/>
              <w:rPr>
                <w:sz w:val="18"/>
                <w:szCs w:val="18"/>
              </w:rPr>
            </w:pPr>
          </w:p>
        </w:tc>
        <w:tc>
          <w:tcPr>
            <w:tcW w:w="2256" w:type="dxa"/>
          </w:tcPr>
          <w:p w14:paraId="42404860" w14:textId="77777777" w:rsidR="00BA301D" w:rsidRPr="003E1331" w:rsidRDefault="00BA301D" w:rsidP="00BA301D">
            <w:pPr>
              <w:pStyle w:val="Leipteksti"/>
              <w:ind w:left="0"/>
              <w:rPr>
                <w:sz w:val="18"/>
                <w:szCs w:val="18"/>
              </w:rPr>
            </w:pPr>
          </w:p>
        </w:tc>
        <w:tc>
          <w:tcPr>
            <w:tcW w:w="1104" w:type="dxa"/>
          </w:tcPr>
          <w:p w14:paraId="372557C1" w14:textId="77777777" w:rsidR="00BA301D" w:rsidRPr="003E1331" w:rsidRDefault="00BA301D" w:rsidP="00BA301D">
            <w:pPr>
              <w:pStyle w:val="Leipteksti"/>
              <w:ind w:left="0"/>
              <w:jc w:val="center"/>
              <w:rPr>
                <w:sz w:val="18"/>
                <w:szCs w:val="18"/>
              </w:rPr>
            </w:pPr>
          </w:p>
        </w:tc>
        <w:tc>
          <w:tcPr>
            <w:tcW w:w="1753" w:type="dxa"/>
          </w:tcPr>
          <w:p w14:paraId="2EA44887" w14:textId="0786C5A6" w:rsidR="00BA301D" w:rsidRPr="003E1331" w:rsidRDefault="00BA301D" w:rsidP="00BA301D">
            <w:pPr>
              <w:pStyle w:val="Leipteksti"/>
              <w:ind w:left="0"/>
              <w:rPr>
                <w:sz w:val="18"/>
                <w:szCs w:val="18"/>
              </w:rPr>
            </w:pPr>
            <w:r w:rsidRPr="003E1331">
              <w:rPr>
                <w:rFonts w:eastAsiaTheme="minorEastAsia" w:hAnsi="Arial" w:cstheme="minorBidi"/>
                <w:color w:val="000000" w:themeColor="dark1"/>
                <w:kern w:val="24"/>
                <w:sz w:val="18"/>
                <w:szCs w:val="18"/>
              </w:rPr>
              <w:t xml:space="preserve">Taloushallinnon perusosaamisen taso –kyvykkyysarviointi, nykytila vs. tavoitetila, asteikko </w:t>
            </w:r>
            <w:r w:rsidR="00A45988" w:rsidRPr="003E1331">
              <w:rPr>
                <w:rFonts w:eastAsiaTheme="minorEastAsia" w:hAnsi="Arial" w:cstheme="minorBidi"/>
                <w:color w:val="000000" w:themeColor="dark1"/>
                <w:kern w:val="24"/>
                <w:sz w:val="18"/>
                <w:szCs w:val="18"/>
              </w:rPr>
              <w:t>1–5</w:t>
            </w:r>
          </w:p>
        </w:tc>
        <w:tc>
          <w:tcPr>
            <w:tcW w:w="1090" w:type="dxa"/>
          </w:tcPr>
          <w:p w14:paraId="6F7F2C78" w14:textId="77777777" w:rsidR="00BA301D" w:rsidRPr="003E1331" w:rsidRDefault="00BA301D" w:rsidP="00BA301D">
            <w:pPr>
              <w:pStyle w:val="Leipteksti"/>
              <w:ind w:left="0"/>
              <w:jc w:val="center"/>
              <w:rPr>
                <w:sz w:val="18"/>
                <w:szCs w:val="18"/>
              </w:rPr>
            </w:pPr>
            <w:r w:rsidRPr="003E1331">
              <w:rPr>
                <w:sz w:val="18"/>
                <w:szCs w:val="18"/>
              </w:rPr>
              <w:t>2025</w:t>
            </w:r>
          </w:p>
        </w:tc>
        <w:tc>
          <w:tcPr>
            <w:tcW w:w="1967" w:type="dxa"/>
          </w:tcPr>
          <w:p w14:paraId="7CD9F818" w14:textId="22AB396B" w:rsidR="00BA301D" w:rsidRPr="003E1331" w:rsidRDefault="00BA301D" w:rsidP="00BA301D">
            <w:pPr>
              <w:pStyle w:val="Leipteksti"/>
              <w:ind w:left="0"/>
              <w:rPr>
                <w:sz w:val="18"/>
                <w:szCs w:val="18"/>
              </w:rPr>
            </w:pPr>
            <w:r w:rsidRPr="003E1331">
              <w:rPr>
                <w:rFonts w:eastAsiaTheme="minorEastAsia" w:hAnsi="Arial" w:cstheme="minorBidi"/>
                <w:color w:val="000000" w:themeColor="dark1"/>
                <w:kern w:val="24"/>
                <w:sz w:val="18"/>
                <w:szCs w:val="18"/>
              </w:rPr>
              <w:t xml:space="preserve">Taloushallinnon perusosaamisen taso –kyvykkyysarviointi, nykytila vs. tavoitetila, asteikko </w:t>
            </w:r>
            <w:r w:rsidR="00A45988" w:rsidRPr="003E1331">
              <w:rPr>
                <w:rFonts w:eastAsiaTheme="minorEastAsia" w:hAnsi="Arial" w:cstheme="minorBidi"/>
                <w:color w:val="000000" w:themeColor="dark1"/>
                <w:kern w:val="24"/>
                <w:sz w:val="18"/>
                <w:szCs w:val="18"/>
              </w:rPr>
              <w:t>1–5</w:t>
            </w:r>
          </w:p>
        </w:tc>
        <w:tc>
          <w:tcPr>
            <w:tcW w:w="1085" w:type="dxa"/>
          </w:tcPr>
          <w:p w14:paraId="510F9E57" w14:textId="77777777" w:rsidR="00BA301D" w:rsidRPr="003E1331" w:rsidRDefault="00BA301D" w:rsidP="00BA301D">
            <w:pPr>
              <w:pStyle w:val="Leipteksti"/>
              <w:ind w:left="0"/>
              <w:jc w:val="center"/>
              <w:rPr>
                <w:sz w:val="18"/>
                <w:szCs w:val="18"/>
              </w:rPr>
            </w:pPr>
            <w:r w:rsidRPr="003E1331">
              <w:rPr>
                <w:sz w:val="18"/>
                <w:szCs w:val="18"/>
              </w:rPr>
              <w:t>2025</w:t>
            </w:r>
          </w:p>
        </w:tc>
      </w:tr>
      <w:tr w:rsidR="00BA301D" w14:paraId="22F37B97" w14:textId="77777777" w:rsidTr="00BA301D">
        <w:trPr>
          <w:cantSplit/>
          <w:trHeight w:val="1134"/>
        </w:trPr>
        <w:tc>
          <w:tcPr>
            <w:tcW w:w="945" w:type="dxa"/>
            <w:vMerge/>
            <w:textDirection w:val="btLr"/>
            <w:vAlign w:val="center"/>
          </w:tcPr>
          <w:p w14:paraId="58A4FD28" w14:textId="77777777" w:rsidR="00BA301D" w:rsidRPr="003E1331" w:rsidRDefault="00BA301D" w:rsidP="00BA301D">
            <w:pPr>
              <w:pStyle w:val="Leipteksti"/>
              <w:ind w:left="113" w:right="113"/>
              <w:jc w:val="center"/>
              <w:rPr>
                <w:sz w:val="18"/>
                <w:szCs w:val="18"/>
              </w:rPr>
            </w:pPr>
          </w:p>
        </w:tc>
        <w:tc>
          <w:tcPr>
            <w:tcW w:w="2256" w:type="dxa"/>
          </w:tcPr>
          <w:p w14:paraId="4C90C7D0" w14:textId="0F5A66D1" w:rsidR="00BA301D" w:rsidRPr="003E1331" w:rsidRDefault="00BA301D" w:rsidP="00BA301D">
            <w:pPr>
              <w:pStyle w:val="Leipteksti"/>
              <w:ind w:left="0"/>
              <w:rPr>
                <w:sz w:val="18"/>
                <w:szCs w:val="18"/>
              </w:rPr>
            </w:pPr>
            <w:r w:rsidRPr="003E1331">
              <w:rPr>
                <w:rFonts w:hAnsi="Arial" w:cs="Arial"/>
                <w:color w:val="000000" w:themeColor="dark1"/>
                <w:kern w:val="24"/>
                <w:sz w:val="18"/>
                <w:szCs w:val="18"/>
              </w:rPr>
              <w:t xml:space="preserve">Taloushallinnon järjestelmien toimintojen kyvykkyys suhteessa </w:t>
            </w:r>
            <w:proofErr w:type="spellStart"/>
            <w:r w:rsidRPr="003E1331">
              <w:rPr>
                <w:rFonts w:hAnsi="Arial" w:cs="Arial"/>
                <w:color w:val="000000" w:themeColor="dark1"/>
                <w:kern w:val="24"/>
                <w:sz w:val="18"/>
                <w:szCs w:val="18"/>
              </w:rPr>
              <w:t>benchmarkkiin</w:t>
            </w:r>
            <w:proofErr w:type="spellEnd"/>
            <w:r w:rsidRPr="003E1331">
              <w:rPr>
                <w:rFonts w:hAnsi="Arial" w:cs="Arial"/>
                <w:color w:val="000000" w:themeColor="dark1"/>
                <w:kern w:val="24"/>
                <w:sz w:val="18"/>
                <w:szCs w:val="18"/>
              </w:rPr>
              <w:t xml:space="preserve"> </w:t>
            </w:r>
          </w:p>
        </w:tc>
        <w:tc>
          <w:tcPr>
            <w:tcW w:w="1104" w:type="dxa"/>
          </w:tcPr>
          <w:p w14:paraId="694E600F" w14:textId="77777777" w:rsidR="00BA301D" w:rsidRPr="003E1331" w:rsidRDefault="00BA301D" w:rsidP="00BA301D">
            <w:pPr>
              <w:pStyle w:val="Leipteksti"/>
              <w:ind w:left="0"/>
              <w:jc w:val="center"/>
              <w:rPr>
                <w:sz w:val="18"/>
                <w:szCs w:val="18"/>
              </w:rPr>
            </w:pPr>
            <w:r w:rsidRPr="003E1331">
              <w:rPr>
                <w:sz w:val="18"/>
                <w:szCs w:val="18"/>
              </w:rPr>
              <w:t>2025</w:t>
            </w:r>
          </w:p>
        </w:tc>
        <w:tc>
          <w:tcPr>
            <w:tcW w:w="1753" w:type="dxa"/>
          </w:tcPr>
          <w:p w14:paraId="7EC8160F" w14:textId="31C2B3F2" w:rsidR="00BA301D" w:rsidRPr="003E1331" w:rsidRDefault="00BA301D" w:rsidP="00BA301D">
            <w:pPr>
              <w:pStyle w:val="Leipteksti"/>
              <w:ind w:left="0"/>
              <w:rPr>
                <w:sz w:val="18"/>
                <w:szCs w:val="18"/>
              </w:rPr>
            </w:pPr>
            <w:r w:rsidRPr="003E1331">
              <w:rPr>
                <w:rFonts w:eastAsiaTheme="minorEastAsia" w:hAnsi="Arial" w:cstheme="minorBidi"/>
                <w:color w:val="000000"/>
                <w:kern w:val="24"/>
                <w:sz w:val="18"/>
                <w:szCs w:val="18"/>
              </w:rPr>
              <w:t xml:space="preserve">Taloushallinnon järjestelmien toimintojen kyvykkyys suhteessa </w:t>
            </w:r>
            <w:proofErr w:type="spellStart"/>
            <w:r w:rsidRPr="003E1331">
              <w:rPr>
                <w:rFonts w:eastAsiaTheme="minorEastAsia" w:hAnsi="Arial" w:cstheme="minorBidi"/>
                <w:color w:val="000000"/>
                <w:kern w:val="24"/>
                <w:sz w:val="18"/>
                <w:szCs w:val="18"/>
              </w:rPr>
              <w:t>benchmarkkiin</w:t>
            </w:r>
            <w:proofErr w:type="spellEnd"/>
            <w:r w:rsidRPr="003E1331">
              <w:rPr>
                <w:rFonts w:eastAsiaTheme="minorEastAsia" w:hAnsi="Arial" w:cstheme="minorBidi"/>
                <w:color w:val="000000"/>
                <w:kern w:val="24"/>
                <w:sz w:val="18"/>
                <w:szCs w:val="18"/>
              </w:rPr>
              <w:t xml:space="preserve"> </w:t>
            </w:r>
          </w:p>
        </w:tc>
        <w:tc>
          <w:tcPr>
            <w:tcW w:w="1090" w:type="dxa"/>
          </w:tcPr>
          <w:p w14:paraId="5D032BE4" w14:textId="77777777" w:rsidR="00BA301D" w:rsidRPr="003E1331" w:rsidRDefault="00BA301D" w:rsidP="00BA301D">
            <w:pPr>
              <w:pStyle w:val="Leipteksti"/>
              <w:ind w:left="0"/>
              <w:jc w:val="center"/>
              <w:rPr>
                <w:sz w:val="18"/>
                <w:szCs w:val="18"/>
              </w:rPr>
            </w:pPr>
            <w:r w:rsidRPr="003E1331">
              <w:rPr>
                <w:sz w:val="18"/>
                <w:szCs w:val="18"/>
              </w:rPr>
              <w:t>2025</w:t>
            </w:r>
          </w:p>
        </w:tc>
        <w:tc>
          <w:tcPr>
            <w:tcW w:w="1967" w:type="dxa"/>
          </w:tcPr>
          <w:p w14:paraId="5DB7C023" w14:textId="58592D9F" w:rsidR="00BA301D" w:rsidRPr="003E1331" w:rsidRDefault="00BA301D" w:rsidP="00BA301D">
            <w:pPr>
              <w:pStyle w:val="Leipteksti"/>
              <w:ind w:left="0"/>
              <w:rPr>
                <w:sz w:val="18"/>
                <w:szCs w:val="18"/>
              </w:rPr>
            </w:pPr>
            <w:r w:rsidRPr="003E1331">
              <w:rPr>
                <w:rFonts w:eastAsiaTheme="minorEastAsia" w:hAnsi="Arial" w:cstheme="minorBidi"/>
                <w:color w:val="000000"/>
                <w:kern w:val="24"/>
                <w:sz w:val="18"/>
                <w:szCs w:val="18"/>
              </w:rPr>
              <w:t xml:space="preserve">Taloushallinnon järjestelmien toimintojen kyvykkyys suhteessa </w:t>
            </w:r>
            <w:proofErr w:type="spellStart"/>
            <w:r w:rsidRPr="003E1331">
              <w:rPr>
                <w:rFonts w:eastAsiaTheme="minorEastAsia" w:hAnsi="Arial" w:cstheme="minorBidi"/>
                <w:color w:val="000000"/>
                <w:kern w:val="24"/>
                <w:sz w:val="18"/>
                <w:szCs w:val="18"/>
              </w:rPr>
              <w:t>benchmarkkiin</w:t>
            </w:r>
            <w:proofErr w:type="spellEnd"/>
            <w:r w:rsidRPr="003E1331">
              <w:rPr>
                <w:rFonts w:eastAsiaTheme="minorEastAsia" w:hAnsi="Arial" w:cstheme="minorBidi"/>
                <w:color w:val="000000"/>
                <w:kern w:val="24"/>
                <w:sz w:val="18"/>
                <w:szCs w:val="18"/>
              </w:rPr>
              <w:t xml:space="preserve"> </w:t>
            </w:r>
          </w:p>
        </w:tc>
        <w:tc>
          <w:tcPr>
            <w:tcW w:w="1085" w:type="dxa"/>
          </w:tcPr>
          <w:p w14:paraId="6D52F7A6" w14:textId="77777777" w:rsidR="00BA301D" w:rsidRPr="003E1331" w:rsidRDefault="00BA301D" w:rsidP="00BA301D">
            <w:pPr>
              <w:pStyle w:val="Leipteksti"/>
              <w:ind w:left="0"/>
              <w:jc w:val="center"/>
              <w:rPr>
                <w:sz w:val="18"/>
                <w:szCs w:val="18"/>
              </w:rPr>
            </w:pPr>
            <w:r w:rsidRPr="003E1331">
              <w:rPr>
                <w:sz w:val="18"/>
                <w:szCs w:val="18"/>
              </w:rPr>
              <w:t>2025</w:t>
            </w:r>
          </w:p>
        </w:tc>
      </w:tr>
      <w:tr w:rsidR="00BA301D" w14:paraId="0320883C" w14:textId="77777777" w:rsidTr="00BA301D">
        <w:trPr>
          <w:cantSplit/>
          <w:trHeight w:val="1134"/>
        </w:trPr>
        <w:tc>
          <w:tcPr>
            <w:tcW w:w="945" w:type="dxa"/>
            <w:vMerge/>
            <w:textDirection w:val="btLr"/>
            <w:vAlign w:val="center"/>
          </w:tcPr>
          <w:p w14:paraId="71D91310" w14:textId="77777777" w:rsidR="00BA301D" w:rsidRPr="003E1331" w:rsidRDefault="00BA301D" w:rsidP="00BA301D">
            <w:pPr>
              <w:pStyle w:val="Leipteksti"/>
              <w:ind w:left="113" w:right="113"/>
              <w:jc w:val="center"/>
              <w:rPr>
                <w:sz w:val="18"/>
                <w:szCs w:val="18"/>
              </w:rPr>
            </w:pPr>
          </w:p>
        </w:tc>
        <w:tc>
          <w:tcPr>
            <w:tcW w:w="2256" w:type="dxa"/>
          </w:tcPr>
          <w:p w14:paraId="2FBD4A65" w14:textId="77777777" w:rsidR="00BA301D" w:rsidRPr="003E1331" w:rsidRDefault="00BA301D" w:rsidP="00BA301D">
            <w:pPr>
              <w:pStyle w:val="Leipteksti"/>
              <w:ind w:left="0"/>
              <w:rPr>
                <w:sz w:val="18"/>
                <w:szCs w:val="18"/>
              </w:rPr>
            </w:pPr>
            <w:r w:rsidRPr="003E1331">
              <w:rPr>
                <w:rFonts w:hAnsi="Arial" w:cs="Arial"/>
                <w:color w:val="000000" w:themeColor="text1"/>
                <w:kern w:val="24"/>
                <w:sz w:val="18"/>
                <w:szCs w:val="18"/>
              </w:rPr>
              <w:t>Investointi innovaatioihin – korvaus ja kehittäminen</w:t>
            </w:r>
          </w:p>
        </w:tc>
        <w:tc>
          <w:tcPr>
            <w:tcW w:w="1104" w:type="dxa"/>
          </w:tcPr>
          <w:p w14:paraId="0BDBC8A8" w14:textId="77777777" w:rsidR="00BA301D" w:rsidRPr="003E1331" w:rsidRDefault="00BA301D" w:rsidP="00BA301D">
            <w:pPr>
              <w:pStyle w:val="Leipteksti"/>
              <w:ind w:left="0"/>
              <w:jc w:val="center"/>
              <w:rPr>
                <w:sz w:val="18"/>
                <w:szCs w:val="18"/>
              </w:rPr>
            </w:pPr>
            <w:r w:rsidRPr="003E1331">
              <w:rPr>
                <w:sz w:val="18"/>
                <w:szCs w:val="18"/>
              </w:rPr>
              <w:t>2025</w:t>
            </w:r>
          </w:p>
        </w:tc>
        <w:tc>
          <w:tcPr>
            <w:tcW w:w="1753" w:type="dxa"/>
          </w:tcPr>
          <w:p w14:paraId="09AD7ED8" w14:textId="77777777" w:rsidR="00BA301D" w:rsidRPr="003E1331" w:rsidRDefault="00BA301D" w:rsidP="00BA301D">
            <w:pPr>
              <w:pStyle w:val="Leipteksti"/>
              <w:ind w:left="0"/>
              <w:rPr>
                <w:sz w:val="18"/>
                <w:szCs w:val="18"/>
              </w:rPr>
            </w:pPr>
            <w:r w:rsidRPr="003E1331">
              <w:rPr>
                <w:rFonts w:hAnsi="Arial" w:cs="Arial"/>
                <w:color w:val="000000" w:themeColor="text1"/>
                <w:kern w:val="24"/>
                <w:sz w:val="18"/>
                <w:szCs w:val="18"/>
              </w:rPr>
              <w:t>Investointi innovaatioihin – korvaus ja kehittäminen</w:t>
            </w:r>
          </w:p>
        </w:tc>
        <w:tc>
          <w:tcPr>
            <w:tcW w:w="1090" w:type="dxa"/>
          </w:tcPr>
          <w:p w14:paraId="5FE7E594" w14:textId="77777777" w:rsidR="00BA301D" w:rsidRPr="003E1331" w:rsidRDefault="00BA301D" w:rsidP="00BA301D">
            <w:pPr>
              <w:pStyle w:val="Leipteksti"/>
              <w:ind w:left="0"/>
              <w:jc w:val="center"/>
              <w:rPr>
                <w:sz w:val="18"/>
                <w:szCs w:val="18"/>
              </w:rPr>
            </w:pPr>
            <w:r w:rsidRPr="003E1331">
              <w:rPr>
                <w:sz w:val="18"/>
                <w:szCs w:val="18"/>
              </w:rPr>
              <w:t>2025</w:t>
            </w:r>
          </w:p>
        </w:tc>
        <w:tc>
          <w:tcPr>
            <w:tcW w:w="1967" w:type="dxa"/>
          </w:tcPr>
          <w:p w14:paraId="5E5F590C" w14:textId="77777777" w:rsidR="00BA301D" w:rsidRPr="003E1331" w:rsidRDefault="00BA301D" w:rsidP="00BA301D">
            <w:pPr>
              <w:pStyle w:val="Leipteksti"/>
              <w:ind w:left="0"/>
              <w:rPr>
                <w:sz w:val="18"/>
                <w:szCs w:val="18"/>
              </w:rPr>
            </w:pPr>
            <w:r w:rsidRPr="003E1331">
              <w:rPr>
                <w:rFonts w:hAnsi="Arial" w:cs="Arial"/>
                <w:color w:val="000000" w:themeColor="text1"/>
                <w:kern w:val="24"/>
                <w:sz w:val="18"/>
                <w:szCs w:val="18"/>
              </w:rPr>
              <w:t>Investointi innovaatioihin – korvaus ja kehittäminen</w:t>
            </w:r>
          </w:p>
        </w:tc>
        <w:tc>
          <w:tcPr>
            <w:tcW w:w="1085" w:type="dxa"/>
          </w:tcPr>
          <w:p w14:paraId="0AE80BFC" w14:textId="77777777" w:rsidR="00BA301D" w:rsidRPr="003E1331" w:rsidRDefault="00BA301D" w:rsidP="00BA301D">
            <w:pPr>
              <w:pStyle w:val="Leipteksti"/>
              <w:ind w:left="0"/>
              <w:jc w:val="center"/>
              <w:rPr>
                <w:sz w:val="18"/>
                <w:szCs w:val="18"/>
              </w:rPr>
            </w:pPr>
            <w:r w:rsidRPr="003E1331">
              <w:rPr>
                <w:sz w:val="18"/>
                <w:szCs w:val="18"/>
              </w:rPr>
              <w:t>2025</w:t>
            </w:r>
          </w:p>
        </w:tc>
      </w:tr>
      <w:tr w:rsidR="00BA301D" w14:paraId="218743E8" w14:textId="77777777" w:rsidTr="00BA301D">
        <w:trPr>
          <w:cantSplit/>
          <w:trHeight w:val="1134"/>
        </w:trPr>
        <w:tc>
          <w:tcPr>
            <w:tcW w:w="945" w:type="dxa"/>
            <w:textDirection w:val="btLr"/>
            <w:vAlign w:val="center"/>
          </w:tcPr>
          <w:p w14:paraId="1217166E" w14:textId="77777777" w:rsidR="00BA301D" w:rsidRPr="003E1331" w:rsidRDefault="00BA301D" w:rsidP="00BA301D">
            <w:pPr>
              <w:pStyle w:val="Leipteksti"/>
              <w:ind w:left="113" w:right="113"/>
              <w:jc w:val="center"/>
              <w:rPr>
                <w:b/>
                <w:bCs/>
                <w:sz w:val="18"/>
                <w:szCs w:val="18"/>
              </w:rPr>
            </w:pPr>
            <w:r w:rsidRPr="003E1331">
              <w:rPr>
                <w:b/>
                <w:bCs/>
                <w:sz w:val="18"/>
                <w:szCs w:val="18"/>
              </w:rPr>
              <w:t>Talouden johtamisen helppous ja läpinäkyvyys</w:t>
            </w:r>
          </w:p>
        </w:tc>
        <w:tc>
          <w:tcPr>
            <w:tcW w:w="2256" w:type="dxa"/>
          </w:tcPr>
          <w:p w14:paraId="1AC42905" w14:textId="62EA9993" w:rsidR="00BA301D" w:rsidRPr="00BA301D" w:rsidRDefault="00BA301D" w:rsidP="00BA301D">
            <w:pPr>
              <w:pStyle w:val="Leipteksti"/>
              <w:ind w:left="0"/>
              <w:rPr>
                <w:rFonts w:hAnsi="Arial" w:cs="Arial"/>
                <w:color w:val="000000" w:themeColor="text1"/>
                <w:kern w:val="24"/>
                <w:sz w:val="18"/>
                <w:szCs w:val="18"/>
              </w:rPr>
            </w:pPr>
            <w:r w:rsidRPr="00BA301D">
              <w:rPr>
                <w:rFonts w:hAnsi="Arial" w:cs="Arial"/>
                <w:color w:val="000000" w:themeColor="text1"/>
                <w:kern w:val="24"/>
                <w:sz w:val="18"/>
                <w:szCs w:val="18"/>
              </w:rPr>
              <w:t xml:space="preserve">Taloustiedon raportoinnin käyttökelpoisuus (saatavuus ja raportoinnin laatu) </w:t>
            </w:r>
            <w:r w:rsidR="00121B4E">
              <w:rPr>
                <w:rFonts w:hAnsi="Arial" w:cs="Arial"/>
                <w:color w:val="000000" w:themeColor="text1"/>
                <w:kern w:val="24"/>
                <w:sz w:val="18"/>
                <w:szCs w:val="18"/>
              </w:rPr>
              <w:t xml:space="preserve">– </w:t>
            </w:r>
            <w:r w:rsidRPr="00BA301D">
              <w:rPr>
                <w:rFonts w:hAnsi="Arial" w:cs="Arial"/>
                <w:color w:val="000000" w:themeColor="text1"/>
                <w:kern w:val="24"/>
                <w:sz w:val="18"/>
                <w:szCs w:val="18"/>
              </w:rPr>
              <w:t xml:space="preserve">nykytila vs. tavoitetila, asteikko </w:t>
            </w:r>
            <w:r w:rsidR="00A45988" w:rsidRPr="00BA301D">
              <w:rPr>
                <w:rFonts w:hAnsi="Arial" w:cs="Arial"/>
                <w:color w:val="000000" w:themeColor="text1"/>
                <w:kern w:val="24"/>
                <w:sz w:val="18"/>
                <w:szCs w:val="18"/>
              </w:rPr>
              <w:t>1–5</w:t>
            </w:r>
          </w:p>
          <w:p w14:paraId="726671FD" w14:textId="77777777" w:rsidR="00BA301D" w:rsidRPr="003E1331" w:rsidRDefault="00BA301D" w:rsidP="00BA301D">
            <w:pPr>
              <w:pStyle w:val="Leipteksti"/>
              <w:ind w:left="0"/>
              <w:rPr>
                <w:rFonts w:hAnsi="Arial" w:cs="Arial"/>
                <w:color w:val="000000" w:themeColor="text1"/>
                <w:kern w:val="24"/>
                <w:sz w:val="18"/>
                <w:szCs w:val="18"/>
              </w:rPr>
            </w:pPr>
          </w:p>
        </w:tc>
        <w:tc>
          <w:tcPr>
            <w:tcW w:w="1104" w:type="dxa"/>
          </w:tcPr>
          <w:p w14:paraId="5F2FFA8F" w14:textId="77777777" w:rsidR="00BA301D" w:rsidRPr="003E1331" w:rsidRDefault="00BA301D" w:rsidP="00BA301D">
            <w:pPr>
              <w:pStyle w:val="Leipteksti"/>
              <w:ind w:left="0"/>
              <w:jc w:val="center"/>
              <w:rPr>
                <w:sz w:val="18"/>
                <w:szCs w:val="18"/>
              </w:rPr>
            </w:pPr>
            <w:r w:rsidRPr="003E1331">
              <w:rPr>
                <w:sz w:val="18"/>
                <w:szCs w:val="18"/>
              </w:rPr>
              <w:t>2024</w:t>
            </w:r>
          </w:p>
        </w:tc>
        <w:tc>
          <w:tcPr>
            <w:tcW w:w="1753" w:type="dxa"/>
          </w:tcPr>
          <w:p w14:paraId="4EAC1F55" w14:textId="5819BA56" w:rsidR="00BA301D" w:rsidRPr="00BA301D" w:rsidRDefault="00BA301D" w:rsidP="00BA301D">
            <w:pPr>
              <w:pStyle w:val="Leipteksti"/>
              <w:ind w:left="0"/>
              <w:rPr>
                <w:rFonts w:hAnsi="Arial" w:cs="Arial"/>
                <w:color w:val="000000" w:themeColor="text1"/>
                <w:kern w:val="24"/>
                <w:sz w:val="18"/>
                <w:szCs w:val="18"/>
              </w:rPr>
            </w:pPr>
            <w:r w:rsidRPr="00BA301D">
              <w:rPr>
                <w:rFonts w:hAnsi="Arial" w:cs="Arial"/>
                <w:color w:val="000000" w:themeColor="text1"/>
                <w:kern w:val="24"/>
                <w:sz w:val="18"/>
                <w:szCs w:val="18"/>
              </w:rPr>
              <w:t xml:space="preserve">Taloustiedon raportoinnin käyttökelpoisuus (saatavuus ja raportoinnin laatu) </w:t>
            </w:r>
            <w:r w:rsidR="00121B4E">
              <w:rPr>
                <w:rFonts w:hAnsi="Arial" w:cs="Arial"/>
                <w:color w:val="000000" w:themeColor="text1"/>
                <w:kern w:val="24"/>
                <w:sz w:val="18"/>
                <w:szCs w:val="18"/>
              </w:rPr>
              <w:t>– n</w:t>
            </w:r>
            <w:r w:rsidRPr="00BA301D">
              <w:rPr>
                <w:rFonts w:hAnsi="Arial" w:cs="Arial"/>
                <w:color w:val="000000" w:themeColor="text1"/>
                <w:kern w:val="24"/>
                <w:sz w:val="18"/>
                <w:szCs w:val="18"/>
              </w:rPr>
              <w:t xml:space="preserve">ykytila vs. tavoitetila, asteikko </w:t>
            </w:r>
            <w:r w:rsidR="00A45988" w:rsidRPr="00BA301D">
              <w:rPr>
                <w:rFonts w:hAnsi="Arial" w:cs="Arial"/>
                <w:color w:val="000000" w:themeColor="text1"/>
                <w:kern w:val="24"/>
                <w:sz w:val="18"/>
                <w:szCs w:val="18"/>
              </w:rPr>
              <w:t>1–5</w:t>
            </w:r>
          </w:p>
          <w:p w14:paraId="3C3AE27C" w14:textId="77777777" w:rsidR="00BA301D" w:rsidRPr="003E1331" w:rsidRDefault="00BA301D" w:rsidP="00BA301D">
            <w:pPr>
              <w:pStyle w:val="Leipteksti"/>
              <w:ind w:left="0"/>
              <w:rPr>
                <w:rFonts w:hAnsi="Arial" w:cs="Arial"/>
                <w:color w:val="000000" w:themeColor="text1"/>
                <w:kern w:val="24"/>
                <w:sz w:val="18"/>
                <w:szCs w:val="18"/>
              </w:rPr>
            </w:pPr>
          </w:p>
        </w:tc>
        <w:tc>
          <w:tcPr>
            <w:tcW w:w="1090" w:type="dxa"/>
          </w:tcPr>
          <w:p w14:paraId="3A0F8A63" w14:textId="77777777" w:rsidR="00BA301D" w:rsidRPr="003E1331" w:rsidRDefault="00BA301D" w:rsidP="00BA301D">
            <w:pPr>
              <w:pStyle w:val="Leipteksti"/>
              <w:ind w:left="0"/>
              <w:jc w:val="center"/>
              <w:rPr>
                <w:sz w:val="18"/>
                <w:szCs w:val="18"/>
              </w:rPr>
            </w:pPr>
            <w:r w:rsidRPr="003E1331">
              <w:rPr>
                <w:sz w:val="18"/>
                <w:szCs w:val="18"/>
              </w:rPr>
              <w:t>2024</w:t>
            </w:r>
          </w:p>
        </w:tc>
        <w:tc>
          <w:tcPr>
            <w:tcW w:w="1967" w:type="dxa"/>
          </w:tcPr>
          <w:p w14:paraId="013CBB8E" w14:textId="04FED0FC" w:rsidR="00BA301D" w:rsidRPr="00BA301D" w:rsidRDefault="00BA301D" w:rsidP="00BA301D">
            <w:pPr>
              <w:pStyle w:val="Leipteksti"/>
              <w:ind w:left="0"/>
              <w:rPr>
                <w:rFonts w:hAnsi="Arial" w:cs="Arial"/>
                <w:color w:val="000000" w:themeColor="text1"/>
                <w:kern w:val="24"/>
                <w:sz w:val="18"/>
                <w:szCs w:val="18"/>
              </w:rPr>
            </w:pPr>
            <w:r w:rsidRPr="00BA301D">
              <w:rPr>
                <w:rFonts w:hAnsi="Arial" w:cs="Arial"/>
                <w:color w:val="000000" w:themeColor="text1"/>
                <w:kern w:val="24"/>
                <w:sz w:val="18"/>
                <w:szCs w:val="18"/>
              </w:rPr>
              <w:t xml:space="preserve">Taloustiedon raportoinnin käyttökelpoisuus (saatavuus ja raportoinnin laatu) </w:t>
            </w:r>
            <w:r w:rsidR="00121B4E">
              <w:rPr>
                <w:rFonts w:hAnsi="Arial" w:cs="Arial"/>
                <w:color w:val="000000" w:themeColor="text1"/>
                <w:kern w:val="24"/>
                <w:sz w:val="18"/>
                <w:szCs w:val="18"/>
              </w:rPr>
              <w:t>– n</w:t>
            </w:r>
            <w:r w:rsidRPr="00BA301D">
              <w:rPr>
                <w:rFonts w:hAnsi="Arial" w:cs="Arial"/>
                <w:color w:val="000000" w:themeColor="text1"/>
                <w:kern w:val="24"/>
                <w:sz w:val="18"/>
                <w:szCs w:val="18"/>
              </w:rPr>
              <w:t xml:space="preserve">ykytila vs. tavoitetila, asteikko </w:t>
            </w:r>
            <w:r w:rsidR="00A45988" w:rsidRPr="00BA301D">
              <w:rPr>
                <w:rFonts w:hAnsi="Arial" w:cs="Arial"/>
                <w:color w:val="000000" w:themeColor="text1"/>
                <w:kern w:val="24"/>
                <w:sz w:val="18"/>
                <w:szCs w:val="18"/>
              </w:rPr>
              <w:t>1–5</w:t>
            </w:r>
          </w:p>
          <w:p w14:paraId="11F3E3EC" w14:textId="77777777" w:rsidR="00BA301D" w:rsidRPr="003E1331" w:rsidRDefault="00BA301D" w:rsidP="00BA301D">
            <w:pPr>
              <w:pStyle w:val="Leipteksti"/>
              <w:ind w:left="0"/>
              <w:rPr>
                <w:rFonts w:hAnsi="Arial" w:cs="Arial"/>
                <w:color w:val="000000" w:themeColor="text1"/>
                <w:kern w:val="24"/>
                <w:sz w:val="18"/>
                <w:szCs w:val="18"/>
              </w:rPr>
            </w:pPr>
          </w:p>
        </w:tc>
        <w:tc>
          <w:tcPr>
            <w:tcW w:w="1085" w:type="dxa"/>
          </w:tcPr>
          <w:p w14:paraId="547B8417" w14:textId="77777777" w:rsidR="00BA301D" w:rsidRPr="003E1331" w:rsidRDefault="00BA301D" w:rsidP="00BA301D">
            <w:pPr>
              <w:pStyle w:val="Leipteksti"/>
              <w:ind w:left="0"/>
              <w:jc w:val="center"/>
              <w:rPr>
                <w:sz w:val="18"/>
                <w:szCs w:val="18"/>
              </w:rPr>
            </w:pPr>
            <w:r w:rsidRPr="003E1331">
              <w:rPr>
                <w:sz w:val="18"/>
                <w:szCs w:val="18"/>
              </w:rPr>
              <w:t>2024</w:t>
            </w:r>
          </w:p>
        </w:tc>
      </w:tr>
    </w:tbl>
    <w:p w14:paraId="71887378" w14:textId="294065E1" w:rsidR="00BA301D" w:rsidRDefault="00BA301D">
      <w:r>
        <w:t xml:space="preserve"> </w:t>
      </w:r>
      <w:r>
        <w:br w:type="page"/>
      </w:r>
    </w:p>
    <w:p w14:paraId="643984BC" w14:textId="27D039C0" w:rsidR="00966EC6" w:rsidRDefault="00A63B6C" w:rsidP="00966EC6">
      <w:pPr>
        <w:pStyle w:val="Otsikko2"/>
      </w:pPr>
      <w:bookmarkStart w:id="4" w:name="_Toc119322685"/>
      <w:r>
        <w:lastRenderedPageBreak/>
        <w:t>Keskitetysti kerättävät tiedot</w:t>
      </w:r>
      <w:r w:rsidR="00B24FF5">
        <w:t xml:space="preserve"> – en</w:t>
      </w:r>
      <w:r w:rsidR="00A03141">
        <w:t>simmäinen vaihe</w:t>
      </w:r>
      <w:r w:rsidR="002E53A2">
        <w:t xml:space="preserve"> 2023</w:t>
      </w:r>
      <w:bookmarkEnd w:id="4"/>
    </w:p>
    <w:tbl>
      <w:tblPr>
        <w:tblStyle w:val="TaulukkoRuudukko"/>
        <w:tblpPr w:leftFromText="141" w:rightFromText="141" w:vertAnchor="page" w:horzAnchor="page" w:tblpX="2381" w:tblpY="3033"/>
        <w:tblW w:w="7693" w:type="dxa"/>
        <w:tblLook w:val="04A0" w:firstRow="1" w:lastRow="0" w:firstColumn="1" w:lastColumn="0" w:noHBand="0" w:noVBand="1"/>
      </w:tblPr>
      <w:tblGrid>
        <w:gridCol w:w="3114"/>
        <w:gridCol w:w="2268"/>
        <w:gridCol w:w="2311"/>
      </w:tblGrid>
      <w:tr w:rsidR="0080165B" w14:paraId="2E9CA6A0" w14:textId="77777777" w:rsidTr="00C011D0">
        <w:tc>
          <w:tcPr>
            <w:tcW w:w="3114" w:type="dxa"/>
            <w:shd w:val="clear" w:color="auto" w:fill="10497F" w:themeFill="text2"/>
          </w:tcPr>
          <w:p w14:paraId="55B8FCAE" w14:textId="77777777" w:rsidR="0080165B" w:rsidRPr="002C46E1" w:rsidRDefault="0080165B" w:rsidP="0080165B">
            <w:pPr>
              <w:pStyle w:val="Leipteksti"/>
              <w:ind w:left="0"/>
              <w:rPr>
                <w:rFonts w:ascii="Arial" w:hAnsi="Arial" w:cs="Arial"/>
                <w:b/>
                <w:bCs/>
                <w:color w:val="FFFFFF" w:themeColor="background1"/>
                <w:kern w:val="24"/>
                <w:sz w:val="20"/>
                <w:szCs w:val="20"/>
              </w:rPr>
            </w:pPr>
            <w:r w:rsidRPr="002C46E1">
              <w:rPr>
                <w:rFonts w:ascii="Arial" w:hAnsi="Arial" w:cs="Arial"/>
                <w:b/>
                <w:bCs/>
                <w:color w:val="FFFFFF" w:themeColor="background1"/>
                <w:kern w:val="24"/>
                <w:sz w:val="20"/>
                <w:szCs w:val="20"/>
              </w:rPr>
              <w:t>Valtion taloushallinto</w:t>
            </w:r>
          </w:p>
        </w:tc>
        <w:tc>
          <w:tcPr>
            <w:tcW w:w="2268" w:type="dxa"/>
            <w:shd w:val="clear" w:color="auto" w:fill="10497F" w:themeFill="text2"/>
          </w:tcPr>
          <w:p w14:paraId="34C273E2" w14:textId="24D6946C" w:rsidR="0080165B" w:rsidRPr="002C46E1" w:rsidRDefault="00B42067" w:rsidP="0080165B">
            <w:pPr>
              <w:pStyle w:val="Leipteksti"/>
              <w:ind w:left="0"/>
              <w:rPr>
                <w:color w:val="FFFFFF" w:themeColor="background1"/>
              </w:rPr>
            </w:pPr>
            <w:r>
              <w:rPr>
                <w:rFonts w:ascii="Arial" w:hAnsi="Arial" w:cs="Arial"/>
                <w:b/>
                <w:bCs/>
                <w:color w:val="FFFFFF" w:themeColor="background1"/>
                <w:kern w:val="24"/>
                <w:sz w:val="20"/>
                <w:szCs w:val="20"/>
              </w:rPr>
              <w:t>Kirjanpitoyksikö</w:t>
            </w:r>
            <w:r w:rsidRPr="002C46E1">
              <w:rPr>
                <w:rFonts w:ascii="Arial" w:hAnsi="Arial" w:cs="Arial"/>
                <w:b/>
                <w:bCs/>
                <w:color w:val="FFFFFF" w:themeColor="background1"/>
                <w:kern w:val="24"/>
                <w:sz w:val="20"/>
                <w:szCs w:val="20"/>
              </w:rPr>
              <w:t>t</w:t>
            </w:r>
          </w:p>
        </w:tc>
        <w:tc>
          <w:tcPr>
            <w:tcW w:w="2311" w:type="dxa"/>
            <w:shd w:val="clear" w:color="auto" w:fill="10497F" w:themeFill="text2"/>
          </w:tcPr>
          <w:p w14:paraId="22E46252" w14:textId="77777777" w:rsidR="0080165B" w:rsidRPr="002C46E1" w:rsidRDefault="0080165B" w:rsidP="0080165B">
            <w:pPr>
              <w:pStyle w:val="Leipteksti"/>
              <w:ind w:left="0"/>
              <w:rPr>
                <w:color w:val="FFFFFF" w:themeColor="background1"/>
              </w:rPr>
            </w:pPr>
            <w:r w:rsidRPr="002C46E1">
              <w:rPr>
                <w:rFonts w:ascii="Arial" w:hAnsi="Arial" w:cs="Arial"/>
                <w:b/>
                <w:bCs/>
                <w:color w:val="FFFFFF" w:themeColor="background1"/>
                <w:kern w:val="24"/>
                <w:sz w:val="20"/>
                <w:szCs w:val="20"/>
              </w:rPr>
              <w:t>Palkeet palvelukeskus</w:t>
            </w:r>
          </w:p>
        </w:tc>
      </w:tr>
      <w:tr w:rsidR="0080165B" w14:paraId="68549FDB" w14:textId="77777777" w:rsidTr="00C011D0">
        <w:tc>
          <w:tcPr>
            <w:tcW w:w="3114" w:type="dxa"/>
          </w:tcPr>
          <w:p w14:paraId="4AB122DD" w14:textId="77777777" w:rsidR="0080165B" w:rsidRDefault="0080165B" w:rsidP="0080165B">
            <w:pPr>
              <w:pStyle w:val="Leipteksti"/>
              <w:ind w:left="0"/>
            </w:pPr>
            <w:r>
              <w:rPr>
                <w:rFonts w:eastAsiaTheme="minorEastAsia" w:hAnsi="Arial" w:cstheme="minorBidi"/>
                <w:color w:val="000000" w:themeColor="dark1"/>
                <w:kern w:val="24"/>
                <w:sz w:val="18"/>
                <w:szCs w:val="18"/>
              </w:rPr>
              <w:t xml:space="preserve">Valtion taloushallinnon kokonaiskustannukset per valtion toimintamenot (%) </w:t>
            </w:r>
            <w:r>
              <w:rPr>
                <w:rFonts w:eastAsiaTheme="minorEastAsia" w:hAnsi="Arial" w:cstheme="minorBidi"/>
                <w:color w:val="000000" w:themeColor="dark1"/>
                <w:kern w:val="24"/>
                <w:sz w:val="18"/>
                <w:szCs w:val="18"/>
              </w:rPr>
              <w:tab/>
            </w:r>
          </w:p>
        </w:tc>
        <w:tc>
          <w:tcPr>
            <w:tcW w:w="2268" w:type="dxa"/>
          </w:tcPr>
          <w:p w14:paraId="089350DB" w14:textId="5FA245CA" w:rsidR="0080165B" w:rsidRDefault="0080165B" w:rsidP="0080165B">
            <w:pPr>
              <w:pStyle w:val="Leipteksti"/>
              <w:ind w:left="0"/>
            </w:pPr>
            <w:r>
              <w:rPr>
                <w:rFonts w:eastAsiaTheme="minorEastAsia" w:hAnsi="Arial" w:cstheme="minorBidi"/>
                <w:color w:val="000000" w:themeColor="dark1"/>
                <w:kern w:val="24"/>
                <w:sz w:val="18"/>
                <w:szCs w:val="18"/>
              </w:rPr>
              <w:tab/>
            </w:r>
          </w:p>
        </w:tc>
        <w:tc>
          <w:tcPr>
            <w:tcW w:w="2311" w:type="dxa"/>
          </w:tcPr>
          <w:p w14:paraId="16918980" w14:textId="77777777" w:rsidR="0080165B" w:rsidRDefault="0080165B" w:rsidP="0080165B">
            <w:pPr>
              <w:pStyle w:val="Leipteksti"/>
              <w:ind w:left="0"/>
            </w:pPr>
          </w:p>
        </w:tc>
      </w:tr>
      <w:tr w:rsidR="0080165B" w14:paraId="332F4ABF" w14:textId="77777777" w:rsidTr="00C011D0">
        <w:tc>
          <w:tcPr>
            <w:tcW w:w="3114" w:type="dxa"/>
          </w:tcPr>
          <w:p w14:paraId="118582C8" w14:textId="77777777" w:rsidR="0080165B" w:rsidRDefault="0080165B" w:rsidP="0080165B">
            <w:pPr>
              <w:pStyle w:val="Leipteksti"/>
              <w:ind w:left="0"/>
            </w:pPr>
            <w:r>
              <w:rPr>
                <w:rFonts w:ascii="Arial" w:hAnsi="Arial" w:cs="Arial"/>
                <w:color w:val="000000" w:themeColor="dark1"/>
                <w:kern w:val="24"/>
                <w:sz w:val="18"/>
                <w:szCs w:val="18"/>
              </w:rPr>
              <w:t>Taloushallinnon raportoitu työmäärä (</w:t>
            </w:r>
            <w:proofErr w:type="spellStart"/>
            <w:r>
              <w:rPr>
                <w:rFonts w:ascii="Arial" w:hAnsi="Arial" w:cs="Arial"/>
                <w:color w:val="000000" w:themeColor="dark1"/>
                <w:kern w:val="24"/>
                <w:sz w:val="18"/>
                <w:szCs w:val="18"/>
              </w:rPr>
              <w:t>htv</w:t>
            </w:r>
            <w:proofErr w:type="spellEnd"/>
            <w:r>
              <w:rPr>
                <w:rFonts w:ascii="Arial" w:hAnsi="Arial" w:cs="Arial"/>
                <w:color w:val="000000" w:themeColor="dark1"/>
                <w:kern w:val="24"/>
                <w:sz w:val="18"/>
                <w:szCs w:val="18"/>
              </w:rPr>
              <w:t xml:space="preserve">) suhteessa valtion kokonaishenkilötyövuosiin (%) </w:t>
            </w:r>
          </w:p>
        </w:tc>
        <w:tc>
          <w:tcPr>
            <w:tcW w:w="2268" w:type="dxa"/>
          </w:tcPr>
          <w:p w14:paraId="49F6ED8D" w14:textId="023562B0" w:rsidR="0080165B" w:rsidRDefault="0080165B" w:rsidP="0080165B">
            <w:pPr>
              <w:pStyle w:val="Leipteksti"/>
              <w:ind w:left="0"/>
            </w:pPr>
            <w:r>
              <w:rPr>
                <w:rFonts w:ascii="Arial" w:hAnsi="Arial" w:cs="Arial"/>
                <w:color w:val="000000" w:themeColor="dark1"/>
                <w:kern w:val="24"/>
                <w:sz w:val="18"/>
                <w:szCs w:val="18"/>
              </w:rPr>
              <w:t xml:space="preserve">Taloushallinnon raportoitu työmäärä </w:t>
            </w:r>
            <w:proofErr w:type="gramStart"/>
            <w:r>
              <w:rPr>
                <w:rFonts w:ascii="Arial" w:hAnsi="Arial" w:cs="Arial"/>
                <w:color w:val="000000" w:themeColor="dark1"/>
                <w:kern w:val="24"/>
                <w:sz w:val="18"/>
                <w:szCs w:val="18"/>
              </w:rPr>
              <w:t xml:space="preserve">suhteessa </w:t>
            </w:r>
            <w:r w:rsidR="00B42067">
              <w:t xml:space="preserve"> </w:t>
            </w:r>
            <w:r w:rsidR="00B42067" w:rsidRPr="00B42067">
              <w:rPr>
                <w:rFonts w:ascii="Arial" w:hAnsi="Arial" w:cs="Arial"/>
                <w:color w:val="000000" w:themeColor="dark1"/>
                <w:kern w:val="24"/>
                <w:sz w:val="18"/>
                <w:szCs w:val="18"/>
              </w:rPr>
              <w:t>kirjanpitoyksikön</w:t>
            </w:r>
            <w:proofErr w:type="gramEnd"/>
            <w:r w:rsidR="00B42067" w:rsidRPr="00B42067" w:rsidDel="00B42067">
              <w:rPr>
                <w:rFonts w:ascii="Arial" w:hAnsi="Arial" w:cs="Arial"/>
                <w:color w:val="000000" w:themeColor="dark1"/>
                <w:kern w:val="24"/>
                <w:sz w:val="18"/>
                <w:szCs w:val="18"/>
              </w:rPr>
              <w:t xml:space="preserve"> </w:t>
            </w:r>
            <w:r>
              <w:rPr>
                <w:rFonts w:ascii="Arial" w:hAnsi="Arial" w:cs="Arial"/>
                <w:color w:val="000000" w:themeColor="dark1"/>
                <w:kern w:val="24"/>
                <w:sz w:val="18"/>
                <w:szCs w:val="18"/>
              </w:rPr>
              <w:t>kokonaishenkilötyövuosiin (%)</w:t>
            </w:r>
          </w:p>
        </w:tc>
        <w:tc>
          <w:tcPr>
            <w:tcW w:w="2311" w:type="dxa"/>
          </w:tcPr>
          <w:p w14:paraId="21040B39" w14:textId="77777777" w:rsidR="0080165B" w:rsidRDefault="0080165B" w:rsidP="0080165B">
            <w:pPr>
              <w:pStyle w:val="Leipteksti"/>
              <w:ind w:left="0"/>
            </w:pPr>
            <w:r>
              <w:rPr>
                <w:rFonts w:ascii="Arial" w:hAnsi="Arial" w:cs="Arial"/>
                <w:color w:val="000000" w:themeColor="text1"/>
                <w:kern w:val="24"/>
                <w:sz w:val="18"/>
                <w:szCs w:val="18"/>
              </w:rPr>
              <w:t>Talouspalvelujen työmäärä (</w:t>
            </w:r>
            <w:proofErr w:type="spellStart"/>
            <w:r>
              <w:rPr>
                <w:rFonts w:ascii="Arial" w:hAnsi="Arial" w:cs="Arial"/>
                <w:color w:val="000000" w:themeColor="text1"/>
                <w:kern w:val="24"/>
                <w:sz w:val="18"/>
                <w:szCs w:val="18"/>
              </w:rPr>
              <w:t>htv</w:t>
            </w:r>
            <w:proofErr w:type="spellEnd"/>
            <w:r>
              <w:rPr>
                <w:rFonts w:ascii="Arial" w:hAnsi="Arial" w:cs="Arial"/>
                <w:color w:val="000000" w:themeColor="text1"/>
                <w:kern w:val="24"/>
                <w:sz w:val="18"/>
                <w:szCs w:val="18"/>
              </w:rPr>
              <w:t>) suhteessa valtion taloushallinnon henkilötyövuosiin (%)</w:t>
            </w:r>
          </w:p>
        </w:tc>
      </w:tr>
      <w:tr w:rsidR="0080165B" w14:paraId="409B70EF" w14:textId="77777777" w:rsidTr="00C011D0">
        <w:tc>
          <w:tcPr>
            <w:tcW w:w="3114" w:type="dxa"/>
          </w:tcPr>
          <w:p w14:paraId="38534E57" w14:textId="77777777" w:rsidR="0080165B" w:rsidRDefault="0080165B" w:rsidP="0080165B">
            <w:pPr>
              <w:pStyle w:val="Leipteksti"/>
              <w:ind w:left="0"/>
            </w:pPr>
          </w:p>
        </w:tc>
        <w:tc>
          <w:tcPr>
            <w:tcW w:w="2268" w:type="dxa"/>
          </w:tcPr>
          <w:p w14:paraId="6EF127FC" w14:textId="77777777" w:rsidR="0080165B" w:rsidRDefault="0080165B" w:rsidP="0080165B">
            <w:pPr>
              <w:pStyle w:val="Leipteksti"/>
              <w:ind w:left="0"/>
            </w:pPr>
          </w:p>
        </w:tc>
        <w:tc>
          <w:tcPr>
            <w:tcW w:w="2311" w:type="dxa"/>
          </w:tcPr>
          <w:p w14:paraId="3497DA38" w14:textId="26DB95FA" w:rsidR="0080165B" w:rsidRPr="00C011D0" w:rsidRDefault="0080165B" w:rsidP="0080165B">
            <w:pPr>
              <w:pStyle w:val="Leipteksti"/>
              <w:ind w:left="0"/>
              <w:rPr>
                <w:color w:val="FF0000"/>
              </w:rPr>
            </w:pPr>
            <w:r w:rsidRPr="00C011D0">
              <w:rPr>
                <w:rFonts w:ascii="Arial" w:hAnsi="Arial" w:cs="Arial"/>
                <w:kern w:val="24"/>
                <w:sz w:val="18"/>
                <w:szCs w:val="18"/>
              </w:rPr>
              <w:t>Prosessin tehokkuus</w:t>
            </w:r>
            <w:r w:rsidR="00755DCB" w:rsidRPr="00C011D0">
              <w:rPr>
                <w:rFonts w:ascii="Arial" w:hAnsi="Arial" w:cs="Arial"/>
                <w:kern w:val="24"/>
                <w:sz w:val="18"/>
                <w:szCs w:val="18"/>
              </w:rPr>
              <w:t xml:space="preserve"> – ostolaskut ja myyntilaskut</w:t>
            </w:r>
            <w:r w:rsidRPr="00C011D0">
              <w:rPr>
                <w:rFonts w:ascii="Arial" w:hAnsi="Arial" w:cs="Arial"/>
                <w:kern w:val="24"/>
                <w:sz w:val="18"/>
                <w:szCs w:val="18"/>
              </w:rPr>
              <w:t xml:space="preserve"> </w:t>
            </w:r>
            <w:r w:rsidR="00755DCB" w:rsidRPr="00C011D0">
              <w:rPr>
                <w:rFonts w:ascii="Arial" w:hAnsi="Arial" w:cs="Arial"/>
                <w:kern w:val="24"/>
                <w:sz w:val="18"/>
                <w:szCs w:val="18"/>
              </w:rPr>
              <w:t>(</w:t>
            </w:r>
            <w:r w:rsidRPr="00C011D0">
              <w:rPr>
                <w:rFonts w:ascii="Arial" w:hAnsi="Arial" w:cs="Arial"/>
                <w:kern w:val="24"/>
                <w:sz w:val="18"/>
                <w:szCs w:val="18"/>
              </w:rPr>
              <w:t>kpl/</w:t>
            </w:r>
            <w:proofErr w:type="spellStart"/>
            <w:r w:rsidRPr="00C011D0">
              <w:rPr>
                <w:rFonts w:ascii="Arial" w:hAnsi="Arial" w:cs="Arial"/>
                <w:kern w:val="24"/>
                <w:sz w:val="18"/>
                <w:szCs w:val="18"/>
              </w:rPr>
              <w:t>htv</w:t>
            </w:r>
            <w:proofErr w:type="spellEnd"/>
            <w:r w:rsidRPr="00C011D0">
              <w:rPr>
                <w:rFonts w:ascii="Arial" w:hAnsi="Arial" w:cs="Arial"/>
                <w:kern w:val="24"/>
                <w:sz w:val="18"/>
                <w:szCs w:val="18"/>
              </w:rPr>
              <w:t>)</w:t>
            </w:r>
          </w:p>
        </w:tc>
      </w:tr>
      <w:tr w:rsidR="0080165B" w14:paraId="5B6BF3F6" w14:textId="77777777" w:rsidTr="00C011D0">
        <w:tc>
          <w:tcPr>
            <w:tcW w:w="3114" w:type="dxa"/>
          </w:tcPr>
          <w:p w14:paraId="5695F194" w14:textId="77777777" w:rsidR="0080165B" w:rsidRDefault="0080165B" w:rsidP="0080165B">
            <w:pPr>
              <w:pStyle w:val="Leipteksti"/>
              <w:ind w:left="0"/>
            </w:pPr>
          </w:p>
        </w:tc>
        <w:tc>
          <w:tcPr>
            <w:tcW w:w="2268" w:type="dxa"/>
          </w:tcPr>
          <w:p w14:paraId="5161AE61" w14:textId="77777777" w:rsidR="0080165B" w:rsidRDefault="0080165B" w:rsidP="0080165B">
            <w:pPr>
              <w:pStyle w:val="Leipteksti"/>
              <w:ind w:left="0"/>
            </w:pPr>
          </w:p>
        </w:tc>
        <w:tc>
          <w:tcPr>
            <w:tcW w:w="2311" w:type="dxa"/>
          </w:tcPr>
          <w:p w14:paraId="2B6BA37E" w14:textId="77777777" w:rsidR="0080165B" w:rsidRPr="00C011D0" w:rsidRDefault="0080165B" w:rsidP="0080165B">
            <w:pPr>
              <w:pStyle w:val="Leipteksti"/>
              <w:ind w:left="0"/>
              <w:rPr>
                <w:color w:val="FF0000"/>
              </w:rPr>
            </w:pPr>
            <w:r w:rsidRPr="00C011D0">
              <w:rPr>
                <w:rFonts w:ascii="Arial" w:eastAsia="Times New Roman" w:hAnsi="Arial" w:cs="Arial"/>
                <w:kern w:val="24"/>
                <w:sz w:val="18"/>
                <w:szCs w:val="18"/>
                <w:lang w:eastAsia="fi-FI"/>
              </w:rPr>
              <w:t>Taloushallinnon prosessien a</w:t>
            </w:r>
            <w:r w:rsidRPr="00C011D0">
              <w:rPr>
                <w:rFonts w:ascii="Arial" w:hAnsi="Arial" w:cs="Arial"/>
                <w:kern w:val="24"/>
                <w:sz w:val="18"/>
                <w:szCs w:val="18"/>
              </w:rPr>
              <w:t>utomaatioaste</w:t>
            </w:r>
            <w:r w:rsidRPr="00C011D0" w:rsidDel="00BF3393">
              <w:rPr>
                <w:rFonts w:ascii="Arial" w:hAnsi="Arial" w:cs="Arial"/>
                <w:kern w:val="24"/>
                <w:sz w:val="18"/>
                <w:szCs w:val="18"/>
              </w:rPr>
              <w:t xml:space="preserve"> </w:t>
            </w:r>
            <w:r w:rsidRPr="00C011D0">
              <w:rPr>
                <w:rFonts w:ascii="Arial" w:hAnsi="Arial" w:cs="Arial"/>
                <w:kern w:val="24"/>
                <w:sz w:val="18"/>
                <w:szCs w:val="18"/>
              </w:rPr>
              <w:t>%</w:t>
            </w:r>
          </w:p>
        </w:tc>
      </w:tr>
      <w:tr w:rsidR="0080165B" w14:paraId="215D90AC" w14:textId="77777777" w:rsidTr="00C011D0">
        <w:tc>
          <w:tcPr>
            <w:tcW w:w="3114" w:type="dxa"/>
          </w:tcPr>
          <w:p w14:paraId="577B0061" w14:textId="77777777" w:rsidR="0080165B" w:rsidRDefault="0080165B" w:rsidP="0080165B">
            <w:pPr>
              <w:pStyle w:val="NormaaliWWW"/>
              <w:spacing w:before="0" w:beforeAutospacing="0" w:after="0" w:afterAutospacing="0"/>
              <w:rPr>
                <w:rFonts w:ascii="Arial" w:hAnsi="Arial" w:cs="Arial"/>
                <w:sz w:val="36"/>
                <w:szCs w:val="36"/>
              </w:rPr>
            </w:pPr>
            <w:r>
              <w:rPr>
                <w:rFonts w:ascii="Arial" w:hAnsi="Arial" w:cs="Arial"/>
                <w:color w:val="000000" w:themeColor="dark1"/>
                <w:kern w:val="24"/>
                <w:sz w:val="18"/>
                <w:szCs w:val="18"/>
              </w:rPr>
              <w:t xml:space="preserve">Sähköisten myyntilaskujen osuus </w:t>
            </w:r>
          </w:p>
          <w:p w14:paraId="24CA652D" w14:textId="77777777" w:rsidR="0080165B" w:rsidRDefault="0080165B" w:rsidP="0080165B">
            <w:pPr>
              <w:pStyle w:val="Leipteksti"/>
              <w:ind w:left="0"/>
              <w:rPr>
                <w:rFonts w:eastAsiaTheme="minorEastAsia" w:hAnsi="Arial" w:cstheme="minorBidi"/>
                <w:color w:val="000000" w:themeColor="dark1"/>
                <w:kern w:val="24"/>
                <w:sz w:val="18"/>
                <w:szCs w:val="18"/>
              </w:rPr>
            </w:pPr>
          </w:p>
        </w:tc>
        <w:tc>
          <w:tcPr>
            <w:tcW w:w="2268" w:type="dxa"/>
          </w:tcPr>
          <w:p w14:paraId="03984452" w14:textId="77777777" w:rsidR="0080165B" w:rsidRDefault="0080165B" w:rsidP="0080165B">
            <w:pPr>
              <w:pStyle w:val="Leipteksti"/>
              <w:ind w:left="0"/>
              <w:rPr>
                <w:rFonts w:eastAsiaTheme="minorEastAsia" w:hAnsi="Arial" w:cstheme="minorBidi"/>
                <w:color w:val="000000" w:themeColor="dark1"/>
                <w:kern w:val="24"/>
                <w:sz w:val="18"/>
                <w:szCs w:val="18"/>
              </w:rPr>
            </w:pPr>
            <w:r>
              <w:rPr>
                <w:rFonts w:ascii="Arial" w:hAnsi="Arial" w:cs="Arial"/>
                <w:color w:val="000000" w:themeColor="dark1"/>
                <w:kern w:val="24"/>
                <w:sz w:val="18"/>
                <w:szCs w:val="18"/>
              </w:rPr>
              <w:t>Sähköisten myyntilaskujen osuus</w:t>
            </w:r>
          </w:p>
        </w:tc>
        <w:tc>
          <w:tcPr>
            <w:tcW w:w="2311" w:type="dxa"/>
          </w:tcPr>
          <w:p w14:paraId="0381B085" w14:textId="4FB23355" w:rsidR="0080165B" w:rsidRDefault="0080165B" w:rsidP="0080165B">
            <w:pPr>
              <w:pStyle w:val="Leipteksti"/>
              <w:ind w:left="0"/>
            </w:pPr>
            <w:r>
              <w:rPr>
                <w:rFonts w:ascii="Arial" w:hAnsi="Arial" w:cs="Arial"/>
                <w:color w:val="000000" w:themeColor="dark1"/>
                <w:kern w:val="24"/>
                <w:sz w:val="18"/>
                <w:szCs w:val="18"/>
              </w:rPr>
              <w:t>Sähköisten myyntilaskujen osuus</w:t>
            </w:r>
            <w:r w:rsidR="00ED7E9F">
              <w:rPr>
                <w:rFonts w:ascii="Arial" w:hAnsi="Arial" w:cs="Arial"/>
                <w:color w:val="000000" w:themeColor="dark1"/>
                <w:kern w:val="24"/>
                <w:sz w:val="18"/>
                <w:szCs w:val="18"/>
              </w:rPr>
              <w:t xml:space="preserve"> %</w:t>
            </w:r>
          </w:p>
        </w:tc>
      </w:tr>
      <w:tr w:rsidR="0080165B" w14:paraId="46D463E5" w14:textId="77777777" w:rsidTr="00C011D0">
        <w:tc>
          <w:tcPr>
            <w:tcW w:w="3114" w:type="dxa"/>
          </w:tcPr>
          <w:p w14:paraId="1D83CC5C" w14:textId="77777777" w:rsidR="0080165B" w:rsidRPr="00D46C49" w:rsidRDefault="0080165B" w:rsidP="0080165B">
            <w:pPr>
              <w:pStyle w:val="Leipteksti"/>
              <w:ind w:left="0"/>
              <w:rPr>
                <w:rFonts w:eastAsiaTheme="minorEastAsia" w:hAnsi="Arial" w:cstheme="minorBidi"/>
                <w:kern w:val="24"/>
                <w:sz w:val="18"/>
                <w:szCs w:val="18"/>
              </w:rPr>
            </w:pPr>
            <w:r w:rsidRPr="00D46C49">
              <w:rPr>
                <w:rFonts w:ascii="Arial" w:hAnsi="Arial" w:cs="Arial"/>
                <w:kern w:val="24"/>
                <w:sz w:val="18"/>
                <w:szCs w:val="18"/>
              </w:rPr>
              <w:t>Sähköisten kuittien osuus</w:t>
            </w:r>
          </w:p>
        </w:tc>
        <w:tc>
          <w:tcPr>
            <w:tcW w:w="2268" w:type="dxa"/>
          </w:tcPr>
          <w:p w14:paraId="6443AFE6" w14:textId="77777777" w:rsidR="0080165B" w:rsidRPr="00D46C49" w:rsidRDefault="0080165B" w:rsidP="0080165B">
            <w:pPr>
              <w:pStyle w:val="Leipteksti"/>
              <w:ind w:left="0"/>
              <w:rPr>
                <w:rFonts w:eastAsiaTheme="minorEastAsia" w:hAnsi="Arial" w:cstheme="minorBidi"/>
                <w:kern w:val="24"/>
                <w:sz w:val="18"/>
                <w:szCs w:val="18"/>
              </w:rPr>
            </w:pPr>
            <w:r w:rsidRPr="00D46C49">
              <w:rPr>
                <w:rFonts w:ascii="Arial" w:hAnsi="Arial" w:cs="Arial"/>
                <w:kern w:val="24"/>
                <w:sz w:val="18"/>
                <w:szCs w:val="18"/>
              </w:rPr>
              <w:t>Sähköisten kuittien osuus</w:t>
            </w:r>
          </w:p>
        </w:tc>
        <w:tc>
          <w:tcPr>
            <w:tcW w:w="2311" w:type="dxa"/>
          </w:tcPr>
          <w:p w14:paraId="13BFF987" w14:textId="474B7E1D" w:rsidR="0080165B" w:rsidRPr="00D46C49" w:rsidRDefault="0080165B" w:rsidP="0080165B">
            <w:pPr>
              <w:pStyle w:val="Leipteksti"/>
              <w:ind w:left="0"/>
            </w:pPr>
          </w:p>
        </w:tc>
      </w:tr>
      <w:tr w:rsidR="0080165B" w14:paraId="3C7711AB" w14:textId="77777777" w:rsidTr="00C011D0">
        <w:tc>
          <w:tcPr>
            <w:tcW w:w="3114" w:type="dxa"/>
          </w:tcPr>
          <w:p w14:paraId="5D091657" w14:textId="77777777" w:rsidR="0080165B" w:rsidRDefault="0080165B" w:rsidP="0080165B">
            <w:pPr>
              <w:pStyle w:val="Leipteksti"/>
              <w:ind w:left="0"/>
            </w:pPr>
            <w:r>
              <w:rPr>
                <w:rFonts w:eastAsiaTheme="minorEastAsia" w:hAnsi="Arial" w:cstheme="minorBidi"/>
                <w:color w:val="000000" w:themeColor="dark1"/>
                <w:kern w:val="24"/>
                <w:sz w:val="18"/>
                <w:szCs w:val="18"/>
              </w:rPr>
              <w:t>Tilaukseen perustuvien valtion ostolaskujen %-osuus</w:t>
            </w:r>
            <w:r>
              <w:rPr>
                <w:rFonts w:eastAsiaTheme="minorEastAsia" w:hAnsi="Arial" w:cstheme="minorBidi"/>
                <w:color w:val="000000" w:themeColor="dark1"/>
                <w:kern w:val="24"/>
                <w:sz w:val="18"/>
                <w:szCs w:val="18"/>
              </w:rPr>
              <w:tab/>
            </w:r>
          </w:p>
        </w:tc>
        <w:tc>
          <w:tcPr>
            <w:tcW w:w="2268" w:type="dxa"/>
          </w:tcPr>
          <w:p w14:paraId="40AAF2C1" w14:textId="77777777" w:rsidR="0080165B" w:rsidRDefault="0080165B" w:rsidP="0080165B">
            <w:pPr>
              <w:pStyle w:val="Leipteksti"/>
              <w:ind w:left="0"/>
            </w:pPr>
            <w:r>
              <w:rPr>
                <w:rFonts w:eastAsiaTheme="minorEastAsia" w:hAnsi="Arial" w:cstheme="minorBidi"/>
                <w:color w:val="000000" w:themeColor="dark1"/>
                <w:kern w:val="24"/>
                <w:sz w:val="18"/>
                <w:szCs w:val="18"/>
              </w:rPr>
              <w:t>Tilaukseen perustuvien valtion ostolaskujen %-osuus</w:t>
            </w:r>
          </w:p>
        </w:tc>
        <w:tc>
          <w:tcPr>
            <w:tcW w:w="2311" w:type="dxa"/>
          </w:tcPr>
          <w:p w14:paraId="792FA635" w14:textId="77777777" w:rsidR="0080165B" w:rsidRPr="002C46E1" w:rsidRDefault="0080165B" w:rsidP="0080165B">
            <w:pPr>
              <w:rPr>
                <w:rFonts w:ascii="Arial" w:hAnsi="Arial" w:cs="Arial"/>
                <w:sz w:val="18"/>
                <w:szCs w:val="36"/>
              </w:rPr>
            </w:pPr>
            <w:r w:rsidRPr="002C46E1">
              <w:rPr>
                <w:rFonts w:ascii="Arial" w:hAnsi="Arial" w:cs="Arial"/>
                <w:color w:val="000000" w:themeColor="dark1"/>
                <w:kern w:val="24"/>
                <w:sz w:val="18"/>
                <w:szCs w:val="18"/>
              </w:rPr>
              <w:t>Automaattisesti käsiteltyjen valtion ostolaskujen osuus, %</w:t>
            </w:r>
          </w:p>
          <w:p w14:paraId="34084620" w14:textId="77777777" w:rsidR="0080165B" w:rsidRDefault="0080165B" w:rsidP="0080165B">
            <w:pPr>
              <w:pStyle w:val="Leipteksti"/>
              <w:ind w:left="0"/>
            </w:pPr>
          </w:p>
        </w:tc>
      </w:tr>
      <w:tr w:rsidR="0080165B" w14:paraId="19ABE2FF" w14:textId="77777777" w:rsidTr="00C011D0">
        <w:trPr>
          <w:cantSplit/>
          <w:trHeight w:val="1134"/>
        </w:trPr>
        <w:tc>
          <w:tcPr>
            <w:tcW w:w="3114" w:type="dxa"/>
          </w:tcPr>
          <w:p w14:paraId="3EED9102" w14:textId="3A6D3B3A" w:rsidR="0080165B" w:rsidRDefault="0080165B" w:rsidP="0080165B">
            <w:pPr>
              <w:pStyle w:val="Leipteksti"/>
              <w:ind w:left="0"/>
            </w:pPr>
            <w:r>
              <w:rPr>
                <w:rFonts w:eastAsiaTheme="minorEastAsia" w:hAnsi="Arial" w:cstheme="minorBidi"/>
                <w:color w:val="000000" w:themeColor="dark1"/>
                <w:kern w:val="24"/>
                <w:sz w:val="18"/>
                <w:szCs w:val="18"/>
              </w:rPr>
              <w:t>Valtion tilinpäätös: Tiedot kirjanpitoyksikköjen tilinpäätöksissä oikeita ja riittäviä</w:t>
            </w:r>
          </w:p>
        </w:tc>
        <w:tc>
          <w:tcPr>
            <w:tcW w:w="2268" w:type="dxa"/>
          </w:tcPr>
          <w:p w14:paraId="3AE0C2EF" w14:textId="0F2300F1" w:rsidR="0080165B" w:rsidRDefault="0080165B" w:rsidP="0080165B">
            <w:pPr>
              <w:pStyle w:val="Leipteksti"/>
              <w:ind w:left="0"/>
            </w:pPr>
            <w:r>
              <w:rPr>
                <w:rFonts w:eastAsiaTheme="minorEastAsia" w:hAnsi="Arial" w:cstheme="minorBidi"/>
                <w:color w:val="000000" w:themeColor="dark1"/>
                <w:kern w:val="24"/>
                <w:sz w:val="18"/>
                <w:szCs w:val="18"/>
              </w:rPr>
              <w:t>Tiedot tilinpäätöksissä oikeita ja riittäviä</w:t>
            </w:r>
          </w:p>
        </w:tc>
        <w:tc>
          <w:tcPr>
            <w:tcW w:w="2311" w:type="dxa"/>
          </w:tcPr>
          <w:p w14:paraId="5BA3100E" w14:textId="77777777" w:rsidR="0080165B" w:rsidRDefault="0080165B" w:rsidP="0080165B">
            <w:pPr>
              <w:pStyle w:val="Leipteksti"/>
              <w:ind w:left="0"/>
            </w:pPr>
          </w:p>
        </w:tc>
      </w:tr>
      <w:tr w:rsidR="0080165B" w14:paraId="4ABE2469" w14:textId="77777777" w:rsidTr="0080165B">
        <w:trPr>
          <w:cantSplit/>
          <w:trHeight w:val="1134"/>
        </w:trPr>
        <w:tc>
          <w:tcPr>
            <w:tcW w:w="3114" w:type="dxa"/>
          </w:tcPr>
          <w:p w14:paraId="1786D125" w14:textId="77777777" w:rsidR="0080165B" w:rsidRDefault="0080165B" w:rsidP="0080165B">
            <w:pPr>
              <w:pStyle w:val="Leipteksti"/>
              <w:ind w:left="0"/>
              <w:rPr>
                <w:rFonts w:eastAsiaTheme="minorEastAsia" w:hAnsi="Arial" w:cstheme="minorBidi"/>
                <w:color w:val="000000" w:themeColor="dark1"/>
                <w:kern w:val="24"/>
                <w:sz w:val="18"/>
                <w:szCs w:val="18"/>
              </w:rPr>
            </w:pPr>
          </w:p>
        </w:tc>
        <w:tc>
          <w:tcPr>
            <w:tcW w:w="2268" w:type="dxa"/>
          </w:tcPr>
          <w:p w14:paraId="2A123FC6" w14:textId="7B87B4EB" w:rsidR="0080165B" w:rsidRDefault="0080165B" w:rsidP="0080165B">
            <w:pPr>
              <w:pStyle w:val="Leipteksti"/>
              <w:ind w:left="0"/>
              <w:rPr>
                <w:rFonts w:eastAsiaTheme="minorEastAsia" w:hAnsi="Arial" w:cstheme="minorBidi"/>
                <w:color w:val="000000" w:themeColor="dark1"/>
                <w:kern w:val="24"/>
                <w:sz w:val="18"/>
                <w:szCs w:val="18"/>
              </w:rPr>
            </w:pPr>
            <w:r>
              <w:rPr>
                <w:rFonts w:ascii="Arial" w:hAnsi="Arial" w:cs="Arial"/>
                <w:color w:val="000000" w:themeColor="dark1"/>
                <w:kern w:val="24"/>
                <w:sz w:val="18"/>
                <w:szCs w:val="18"/>
              </w:rPr>
              <w:t>Sisäinen valvonta kirjanpitoyksiköissä toimivaa</w:t>
            </w:r>
          </w:p>
        </w:tc>
        <w:tc>
          <w:tcPr>
            <w:tcW w:w="2311" w:type="dxa"/>
          </w:tcPr>
          <w:p w14:paraId="192565C6" w14:textId="77777777" w:rsidR="0080165B" w:rsidRDefault="0080165B" w:rsidP="0080165B">
            <w:pPr>
              <w:pStyle w:val="Leipteksti"/>
              <w:ind w:left="0"/>
            </w:pPr>
          </w:p>
        </w:tc>
      </w:tr>
    </w:tbl>
    <w:p w14:paraId="03E01CE5" w14:textId="6C749EFE" w:rsidR="00BA301D" w:rsidRDefault="00A03141" w:rsidP="00C011D0">
      <w:pPr>
        <w:pStyle w:val="Leipteksti"/>
        <w:ind w:left="0" w:firstLine="1304"/>
      </w:pPr>
      <w:r>
        <w:t xml:space="preserve">Seuraavat mittaritiedot tullaan </w:t>
      </w:r>
      <w:r w:rsidR="00B5567D">
        <w:t xml:space="preserve">tuottamaan/keräämään </w:t>
      </w:r>
      <w:r>
        <w:t xml:space="preserve">keskitetysti: </w:t>
      </w:r>
    </w:p>
    <w:p w14:paraId="5104755A" w14:textId="77777777" w:rsidR="00BA301D" w:rsidRDefault="00BA301D" w:rsidP="00C011D0">
      <w:pPr>
        <w:pStyle w:val="Leipteksti"/>
        <w:ind w:left="0"/>
      </w:pPr>
    </w:p>
    <w:p w14:paraId="15D18482" w14:textId="77777777" w:rsidR="00BA301D" w:rsidRDefault="00BA301D" w:rsidP="000D5C6D">
      <w:pPr>
        <w:pStyle w:val="Leipteksti"/>
      </w:pPr>
    </w:p>
    <w:p w14:paraId="55EB1694" w14:textId="77777777" w:rsidR="0080165B" w:rsidRDefault="0080165B" w:rsidP="00C011D0">
      <w:pPr>
        <w:pStyle w:val="Leipteksti"/>
        <w:ind w:left="1930"/>
      </w:pPr>
    </w:p>
    <w:p w14:paraId="204F0A0C" w14:textId="77777777" w:rsidR="00B5567D" w:rsidRPr="00A03141" w:rsidRDefault="00B5567D" w:rsidP="00B24FF5">
      <w:pPr>
        <w:pStyle w:val="Leipteksti"/>
        <w:ind w:left="3688"/>
      </w:pPr>
    </w:p>
    <w:p w14:paraId="5F2D4B84" w14:textId="77777777" w:rsidR="00B5567D" w:rsidRPr="002E595D" w:rsidRDefault="00B5567D" w:rsidP="00B24FF5">
      <w:pPr>
        <w:pStyle w:val="Leipteksti"/>
        <w:ind w:left="2968"/>
      </w:pPr>
    </w:p>
    <w:p w14:paraId="089878BA" w14:textId="2A1479B6" w:rsidR="00F864E4" w:rsidRDefault="00F864E4" w:rsidP="000D5C6D">
      <w:pPr>
        <w:pStyle w:val="Leipteksti"/>
      </w:pPr>
    </w:p>
    <w:p w14:paraId="6E8DF602" w14:textId="5723A216" w:rsidR="0080165B" w:rsidRDefault="0080165B" w:rsidP="000D5C6D">
      <w:pPr>
        <w:pStyle w:val="Leipteksti"/>
      </w:pPr>
    </w:p>
    <w:p w14:paraId="0D0E0D79" w14:textId="6F278883" w:rsidR="0080165B" w:rsidRDefault="0080165B" w:rsidP="000D5C6D">
      <w:pPr>
        <w:pStyle w:val="Leipteksti"/>
      </w:pPr>
    </w:p>
    <w:p w14:paraId="5AACF436" w14:textId="3821A7BD" w:rsidR="0080165B" w:rsidRDefault="0080165B" w:rsidP="000D5C6D">
      <w:pPr>
        <w:pStyle w:val="Leipteksti"/>
      </w:pPr>
    </w:p>
    <w:p w14:paraId="7E2CDB9E" w14:textId="19F23410" w:rsidR="0080165B" w:rsidRDefault="0080165B" w:rsidP="000D5C6D">
      <w:pPr>
        <w:pStyle w:val="Leipteksti"/>
      </w:pPr>
    </w:p>
    <w:p w14:paraId="7BC4006F" w14:textId="29518C20" w:rsidR="0080165B" w:rsidRDefault="0080165B" w:rsidP="000D5C6D">
      <w:pPr>
        <w:pStyle w:val="Leipteksti"/>
      </w:pPr>
    </w:p>
    <w:p w14:paraId="38796D62" w14:textId="25662690" w:rsidR="0080165B" w:rsidRDefault="0080165B" w:rsidP="000D5C6D">
      <w:pPr>
        <w:pStyle w:val="Leipteksti"/>
      </w:pPr>
    </w:p>
    <w:p w14:paraId="5AE2339C" w14:textId="36CE0515" w:rsidR="0080165B" w:rsidRDefault="0080165B" w:rsidP="000D5C6D">
      <w:pPr>
        <w:pStyle w:val="Leipteksti"/>
      </w:pPr>
    </w:p>
    <w:p w14:paraId="18A5BDE3" w14:textId="29727D57" w:rsidR="0080165B" w:rsidRDefault="0080165B" w:rsidP="000D5C6D">
      <w:pPr>
        <w:pStyle w:val="Leipteksti"/>
      </w:pPr>
    </w:p>
    <w:p w14:paraId="283F3E36" w14:textId="1D425BA9" w:rsidR="0080165B" w:rsidRDefault="0080165B" w:rsidP="000D5C6D">
      <w:pPr>
        <w:pStyle w:val="Leipteksti"/>
      </w:pPr>
    </w:p>
    <w:p w14:paraId="15C32529" w14:textId="7A75434C" w:rsidR="0080165B" w:rsidRDefault="0080165B" w:rsidP="000D5C6D">
      <w:pPr>
        <w:pStyle w:val="Leipteksti"/>
      </w:pPr>
    </w:p>
    <w:p w14:paraId="7FA3BDA8" w14:textId="47AFCA65" w:rsidR="0080165B" w:rsidRDefault="0080165B" w:rsidP="000D5C6D">
      <w:pPr>
        <w:pStyle w:val="Leipteksti"/>
      </w:pPr>
    </w:p>
    <w:p w14:paraId="3DF461FA" w14:textId="635F9321" w:rsidR="0080165B" w:rsidRDefault="0080165B" w:rsidP="000D5C6D">
      <w:pPr>
        <w:pStyle w:val="Leipteksti"/>
      </w:pPr>
    </w:p>
    <w:p w14:paraId="649C34A0" w14:textId="579BBD95" w:rsidR="0080165B" w:rsidRDefault="0080165B" w:rsidP="000D5C6D">
      <w:pPr>
        <w:pStyle w:val="Leipteksti"/>
      </w:pPr>
    </w:p>
    <w:p w14:paraId="0CC4E6B5" w14:textId="78D35E9B" w:rsidR="0080165B" w:rsidRDefault="0080165B" w:rsidP="000D5C6D">
      <w:pPr>
        <w:pStyle w:val="Leipteksti"/>
      </w:pPr>
    </w:p>
    <w:p w14:paraId="5FE14AA1" w14:textId="60F8F919" w:rsidR="0080165B" w:rsidRDefault="0080165B" w:rsidP="000D5C6D">
      <w:pPr>
        <w:pStyle w:val="Leipteksti"/>
      </w:pPr>
    </w:p>
    <w:p w14:paraId="11302131" w14:textId="77777777" w:rsidR="00134F27" w:rsidRDefault="00134F27">
      <w:pPr>
        <w:rPr>
          <w:rFonts w:asciiTheme="majorHAnsi" w:eastAsiaTheme="majorEastAsia" w:hAnsiTheme="majorHAnsi" w:cstheme="majorBidi"/>
          <w:b/>
          <w:bCs/>
          <w:szCs w:val="26"/>
        </w:rPr>
      </w:pPr>
      <w:r>
        <w:br w:type="page"/>
      </w:r>
    </w:p>
    <w:p w14:paraId="33649947" w14:textId="2B110584" w:rsidR="00A63B6C" w:rsidRDefault="00A63B6C" w:rsidP="00A63B6C">
      <w:pPr>
        <w:pStyle w:val="Otsikko2"/>
      </w:pPr>
      <w:bookmarkStart w:id="5" w:name="_Toc119322686"/>
      <w:r>
        <w:lastRenderedPageBreak/>
        <w:t xml:space="preserve">Kirjanpitoyksiköiltä </w:t>
      </w:r>
      <w:r w:rsidR="00A03141">
        <w:t>ensimmäisessä vaiheessa</w:t>
      </w:r>
      <w:r>
        <w:t xml:space="preserve"> kerättävät tiedot</w:t>
      </w:r>
      <w:bookmarkEnd w:id="5"/>
      <w:r w:rsidR="00211A69">
        <w:t xml:space="preserve"> </w:t>
      </w:r>
    </w:p>
    <w:p w14:paraId="6AC202B9" w14:textId="450C5801" w:rsidR="002E595D" w:rsidRDefault="00C15400" w:rsidP="00C15400">
      <w:pPr>
        <w:pStyle w:val="Leipteksti"/>
      </w:pPr>
      <w:r>
        <w:t>Kirjanpitoyksiköiltä kerättävät taloushallinnon mittaritiedot ovat seuraavat:</w:t>
      </w:r>
    </w:p>
    <w:p w14:paraId="0C69D01E" w14:textId="22D26A27" w:rsidR="002E595D" w:rsidRPr="000C0309" w:rsidRDefault="00A03141" w:rsidP="00C011D0">
      <w:pPr>
        <w:pStyle w:val="Leipteksti"/>
        <w:rPr>
          <w:b/>
          <w:bCs/>
        </w:rPr>
      </w:pPr>
      <w:r w:rsidRPr="000C0309">
        <w:rPr>
          <w:b/>
          <w:bCs/>
        </w:rPr>
        <w:t>Tuottavuus ja tehokkuus</w:t>
      </w:r>
      <w:r w:rsidR="002E595D" w:rsidRPr="000C0309">
        <w:rPr>
          <w:b/>
          <w:bCs/>
        </w:rPr>
        <w:t xml:space="preserve"> </w:t>
      </w:r>
    </w:p>
    <w:p w14:paraId="15D78987" w14:textId="0AC03207" w:rsidR="00A03141" w:rsidRPr="002E595D" w:rsidRDefault="002E595D" w:rsidP="007474F7">
      <w:pPr>
        <w:pStyle w:val="Leipteksti"/>
        <w:numPr>
          <w:ilvl w:val="2"/>
          <w:numId w:val="12"/>
        </w:numPr>
      </w:pPr>
      <w:r w:rsidRPr="002E595D">
        <w:t xml:space="preserve">Taloushallinnon kokonaiskustannukset per </w:t>
      </w:r>
      <w:r w:rsidR="00B42067" w:rsidRPr="00B42067">
        <w:t>kirjanpitoyksikön</w:t>
      </w:r>
      <w:r w:rsidR="00B42067" w:rsidRPr="00B42067" w:rsidDel="00B42067">
        <w:t xml:space="preserve"> </w:t>
      </w:r>
      <w:r w:rsidRPr="002E595D">
        <w:t>toimintamenot (%)</w:t>
      </w:r>
    </w:p>
    <w:p w14:paraId="6F48F896" w14:textId="77777777" w:rsidR="00F37E99" w:rsidRDefault="00F37E99" w:rsidP="007474F7">
      <w:pPr>
        <w:pStyle w:val="Leipteksti"/>
      </w:pPr>
    </w:p>
    <w:p w14:paraId="00E52986" w14:textId="3AAA20D6" w:rsidR="00C15400" w:rsidRDefault="00A45988" w:rsidP="007474F7">
      <w:pPr>
        <w:pStyle w:val="Leipteksti"/>
      </w:pPr>
      <w:r w:rsidRPr="00121B4E">
        <w:t xml:space="preserve">Kirjanpitoyksiköt toimittavat mittaritiedot sähköpostitse osoitteeseen </w:t>
      </w:r>
      <w:hyperlink r:id="rId12" w:history="1">
        <w:r w:rsidR="00D46C49" w:rsidRPr="00F57228">
          <w:rPr>
            <w:rStyle w:val="Hyperlinkki"/>
          </w:rPr>
          <w:t>prosessiohjaus@valtiokonttori.fi</w:t>
        </w:r>
      </w:hyperlink>
      <w:r w:rsidR="00D46C49">
        <w:t xml:space="preserve"> </w:t>
      </w:r>
      <w:r w:rsidRPr="00F37E99">
        <w:rPr>
          <w:b/>
          <w:bCs/>
        </w:rPr>
        <w:t>vuosittain 15.5. mennessä</w:t>
      </w:r>
      <w:r w:rsidRPr="00121B4E">
        <w:t>.</w:t>
      </w:r>
      <w:r w:rsidR="007474F7" w:rsidRPr="00121B4E">
        <w:t xml:space="preserve"> </w:t>
      </w:r>
      <w:r w:rsidR="00F37E99">
        <w:t>Varsinaisen mittariarvon lisäksi toimitetaan luvut, joiden kautta mittariarvoon on päästy (eli esim. kun kyseessä on %-osuutta kuvaava mittari, toimitetaan myös osoittajan ja nimittäjän tiedot).</w:t>
      </w:r>
    </w:p>
    <w:p w14:paraId="33585DC1" w14:textId="77777777" w:rsidR="00121B4E" w:rsidRPr="00C15400" w:rsidRDefault="00121B4E" w:rsidP="007474F7">
      <w:pPr>
        <w:pStyle w:val="Leipteksti"/>
      </w:pPr>
    </w:p>
    <w:p w14:paraId="1BA26DA2" w14:textId="6D72E8EA" w:rsidR="005C2545" w:rsidRDefault="005C2545" w:rsidP="005C2545">
      <w:pPr>
        <w:pStyle w:val="Otsikko2"/>
      </w:pPr>
      <w:bookmarkStart w:id="6" w:name="_Toc119322687"/>
      <w:r>
        <w:t>Julkaiseminen</w:t>
      </w:r>
      <w:bookmarkEnd w:id="6"/>
    </w:p>
    <w:p w14:paraId="3E23B139" w14:textId="0D9A68FE" w:rsidR="00FB308F" w:rsidRDefault="00FB308F" w:rsidP="00FB308F">
      <w:pPr>
        <w:pStyle w:val="Leipteksti"/>
      </w:pPr>
      <w:r>
        <w:t>Taloushallinnon mittaritiedot tullaan julkaisemaan tutkihallintoa.fi-sivustolla. Julkaisemisen käytännöt toimet hoitaa Valtiokonttori. Tietoturvaan, jatkuvuuteen ja varautumiseen liittyviä tietoja ei kuitenkaan tulla julkaisemaan, vaan ne kerätään vain Valtiokonttorin, Palkeiden ja sisäiseen käyttöön.</w:t>
      </w:r>
    </w:p>
    <w:p w14:paraId="33C094A1" w14:textId="6FA8ED00" w:rsidR="007474F7" w:rsidRDefault="007474F7" w:rsidP="00FB308F">
      <w:pPr>
        <w:pStyle w:val="Leipteksti"/>
      </w:pPr>
      <w:r w:rsidRPr="007474F7">
        <w:t>Valtiokonttori viestii kirjanpitoyksiköille, kun se on julkaissut mittaritietoja tutkihallintoa.fi-sivustolla.</w:t>
      </w:r>
    </w:p>
    <w:p w14:paraId="3E98F922" w14:textId="77777777" w:rsidR="007474F7" w:rsidRDefault="007474F7" w:rsidP="00FB308F">
      <w:pPr>
        <w:pStyle w:val="Leipteksti"/>
      </w:pPr>
    </w:p>
    <w:p w14:paraId="2496FB9D" w14:textId="12892245" w:rsidR="006E53B0" w:rsidRDefault="000F6F2C" w:rsidP="006E53B0">
      <w:pPr>
        <w:pStyle w:val="Otsikko1"/>
      </w:pPr>
      <w:bookmarkStart w:id="7" w:name="_Toc119322688"/>
      <w:r>
        <w:t>Mittaritietojen seuranta</w:t>
      </w:r>
      <w:r w:rsidR="00961973">
        <w:t xml:space="preserve"> ja </w:t>
      </w:r>
      <w:r w:rsidR="00F17415">
        <w:t>seurantaan</w:t>
      </w:r>
      <w:r w:rsidR="00961973">
        <w:t xml:space="preserve"> kytkeytyvä ohjaus</w:t>
      </w:r>
      <w:r w:rsidR="00E0130E">
        <w:t xml:space="preserve"> ja tuki</w:t>
      </w:r>
      <w:bookmarkEnd w:id="7"/>
    </w:p>
    <w:p w14:paraId="31F46B70" w14:textId="77777777" w:rsidR="00121B4E" w:rsidRPr="00121B4E" w:rsidRDefault="00121B4E" w:rsidP="00121B4E">
      <w:pPr>
        <w:pStyle w:val="Leipteksti"/>
      </w:pPr>
    </w:p>
    <w:p w14:paraId="343CA4A5" w14:textId="45CCBC9F" w:rsidR="007B3CB4" w:rsidRDefault="007B3CB4" w:rsidP="007B3CB4">
      <w:pPr>
        <w:pStyle w:val="Otsikko2"/>
      </w:pPr>
      <w:bookmarkStart w:id="8" w:name="_Toc119322689"/>
      <w:r>
        <w:t>Kirjanpitoyksikön rooli ja tehtävät</w:t>
      </w:r>
      <w:bookmarkEnd w:id="8"/>
      <w:r w:rsidR="00211A69">
        <w:t xml:space="preserve"> </w:t>
      </w:r>
    </w:p>
    <w:p w14:paraId="274D0942" w14:textId="08CA6E46" w:rsidR="00B36F57" w:rsidRDefault="00DA18E2" w:rsidP="00B36F57">
      <w:pPr>
        <w:pStyle w:val="Leipteksti"/>
      </w:pPr>
      <w:r>
        <w:t xml:space="preserve">Kirjanpitoyksikkö sopii taloushallinnon mittarien tavoitearvoista sitä ohjaavan ministeriön kanssa. </w:t>
      </w:r>
      <w:r w:rsidR="00B36F57">
        <w:t>Kirjanpitoyksikkö vertaa taloushallinnon mittaritietojaan sellaisten kirjanpitoyksiköiden mittaritietoihin, joiden toiminnassa on samoja piirteitä kuin sen omassa toiminnassa (vrt. esim. tutkimuslaitosten vertailu keskenään). Kirjanpitoyksikkö käy aktiivista vuoropuhelua verrokkikirjanpitoyksiköidensä kanssa parhaiden käytäntöjen jakamiseksi.</w:t>
      </w:r>
      <w:r>
        <w:t xml:space="preserve"> Kirjanpitoyksikkö käy aktiivista vuoropuhelua myös sitä ohjaavan ministeriön kanssa kirjanpitoyksikön toiminnan kehittämiseksi siten, että mittarien tavoitearvoihin päästään.</w:t>
      </w:r>
    </w:p>
    <w:p w14:paraId="58F52AF3" w14:textId="77777777" w:rsidR="00121B4E" w:rsidRPr="00B36F57" w:rsidRDefault="00121B4E" w:rsidP="00B36F57">
      <w:pPr>
        <w:pStyle w:val="Leipteksti"/>
      </w:pPr>
    </w:p>
    <w:p w14:paraId="59D99294" w14:textId="57E55116" w:rsidR="00223AE0" w:rsidRDefault="00223AE0" w:rsidP="00223AE0">
      <w:pPr>
        <w:pStyle w:val="Otsikko2"/>
      </w:pPr>
      <w:bookmarkStart w:id="9" w:name="_Toc119322690"/>
      <w:r>
        <w:lastRenderedPageBreak/>
        <w:t>Ministeriön rooli ja tehtävät</w:t>
      </w:r>
      <w:bookmarkEnd w:id="9"/>
      <w:r w:rsidR="00211A69">
        <w:t xml:space="preserve"> </w:t>
      </w:r>
    </w:p>
    <w:p w14:paraId="09C2E693" w14:textId="3CAD2915" w:rsidR="00B36F57" w:rsidRDefault="00B36F57" w:rsidP="00B36F57">
      <w:pPr>
        <w:pStyle w:val="Leipteksti"/>
      </w:pPr>
      <w:r>
        <w:t xml:space="preserve">Ministeriö </w:t>
      </w:r>
      <w:r w:rsidR="00211A69">
        <w:t>sopii</w:t>
      </w:r>
      <w:r w:rsidR="00DA18E2">
        <w:t xml:space="preserve"> mittarien</w:t>
      </w:r>
      <w:r w:rsidR="00211A69">
        <w:t xml:space="preserve"> tavoit</w:t>
      </w:r>
      <w:r w:rsidR="00DA18E2">
        <w:t>earvoista hallinnonalansa</w:t>
      </w:r>
      <w:r w:rsidR="00211A69">
        <w:t xml:space="preserve"> kirjanpitoyksiköiden kanssa</w:t>
      </w:r>
      <w:r w:rsidR="00DA18E2">
        <w:t xml:space="preserve">. </w:t>
      </w:r>
      <w:r w:rsidR="00BB2BC4" w:rsidRPr="00BB2BC4">
        <w:t xml:space="preserve">Tavoitearvojen tulee perustua tutkihallintoa.fi-sivustolla julkaistaviin, valtiovarainministeriön ja Valtiokonttorin välisissä tulossopimuksissa sovittuihin koko valtiota koskeviin tavoitearvoihin (tai päivitetyssä valtion taloushallintostrategiassa kuvattuihin vastaaviin tavoitearvoihin). </w:t>
      </w:r>
      <w:r w:rsidR="00DA18E2">
        <w:t>Ministeriö</w:t>
      </w:r>
      <w:r w:rsidR="00211A69">
        <w:t xml:space="preserve"> </w:t>
      </w:r>
      <w:r>
        <w:t>seuraa kirjanpitoyksiköiden mittaritietoja sekä ohjaa ja tukee kirjanpitoyksiköitä niiden toiminnan kehittämisessä</w:t>
      </w:r>
      <w:r w:rsidR="00DA18E2">
        <w:t xml:space="preserve"> siten, että mittarien tavoitearvoihin päästään</w:t>
      </w:r>
      <w:r>
        <w:t>.</w:t>
      </w:r>
    </w:p>
    <w:p w14:paraId="5A0DD82E" w14:textId="77777777" w:rsidR="00121B4E" w:rsidRPr="00B36F57" w:rsidRDefault="00121B4E" w:rsidP="00B36F57">
      <w:pPr>
        <w:pStyle w:val="Leipteksti"/>
      </w:pPr>
    </w:p>
    <w:p w14:paraId="462BC5F8" w14:textId="61CC8698" w:rsidR="00223AE0" w:rsidRDefault="00223AE0" w:rsidP="00223AE0">
      <w:pPr>
        <w:pStyle w:val="Otsikko2"/>
      </w:pPr>
      <w:bookmarkStart w:id="10" w:name="_Toc119322691"/>
      <w:r>
        <w:t>Palkeiden rooli ja tehtävät</w:t>
      </w:r>
      <w:bookmarkEnd w:id="10"/>
      <w:r w:rsidR="00211A69">
        <w:t xml:space="preserve"> </w:t>
      </w:r>
    </w:p>
    <w:p w14:paraId="5B798F30" w14:textId="44F510B1" w:rsidR="00DE29F8" w:rsidRDefault="00DE29F8" w:rsidP="00DE29F8">
      <w:pPr>
        <w:pStyle w:val="Leipteksti"/>
      </w:pPr>
      <w:r>
        <w:t xml:space="preserve">Palkeet </w:t>
      </w:r>
      <w:proofErr w:type="gramStart"/>
      <w:r>
        <w:t>seuraa</w:t>
      </w:r>
      <w:proofErr w:type="gramEnd"/>
      <w:r>
        <w:t xml:space="preserve"> taloushallinnon palvelutuotantonsa mittaritietoja ja käynnistää tarvittaessa toimenpiteitä toimintansa ja prosessiensa kehittämiseksi.</w:t>
      </w:r>
    </w:p>
    <w:p w14:paraId="088E2428" w14:textId="77777777" w:rsidR="00121B4E" w:rsidRPr="00DE29F8" w:rsidRDefault="00121B4E" w:rsidP="00DE29F8">
      <w:pPr>
        <w:pStyle w:val="Leipteksti"/>
      </w:pPr>
    </w:p>
    <w:p w14:paraId="2475E4DC" w14:textId="515E4D81" w:rsidR="00223AE0" w:rsidRDefault="00223AE0" w:rsidP="00223AE0">
      <w:pPr>
        <w:pStyle w:val="Otsikko2"/>
      </w:pPr>
      <w:bookmarkStart w:id="11" w:name="_Toc119322692"/>
      <w:r>
        <w:t>Valtiokonttorin rooli ja tehtävät</w:t>
      </w:r>
      <w:bookmarkEnd w:id="11"/>
      <w:r w:rsidR="00211A69">
        <w:t xml:space="preserve"> </w:t>
      </w:r>
    </w:p>
    <w:p w14:paraId="3046E0FD" w14:textId="26D02F93" w:rsidR="00B36F57" w:rsidRPr="00B36F57" w:rsidRDefault="00B36F57" w:rsidP="00B36F57">
      <w:pPr>
        <w:pStyle w:val="Leipteksti"/>
      </w:pPr>
      <w:r>
        <w:t>Valtiokonttori seuraa valtiotason mittaritietoja ja on tarvittaessa yhteydessä kirjanpitoyksikköön ja sitä ohjaavaan ministeriöön kirjanpitoyksikön tukemiseksi</w:t>
      </w:r>
      <w:r w:rsidR="009B3904">
        <w:t xml:space="preserve"> sen</w:t>
      </w:r>
      <w:r>
        <w:t xml:space="preserve"> taloushallinnon toimintojen kehittämisessä.</w:t>
      </w:r>
      <w:r w:rsidR="00DE29F8">
        <w:t xml:space="preserve"> Valtiokonttori seuraa myös Palkeiden palvelutuotannon mittaritietoja sekä ohjaa ja tukee Palkeita sen toiminnan kehittämisessä.</w:t>
      </w:r>
    </w:p>
    <w:p w14:paraId="6AA02094" w14:textId="648A2BDC" w:rsidR="00F17415" w:rsidRDefault="00F17415" w:rsidP="00F17415">
      <w:pPr>
        <w:pStyle w:val="Leipteksti"/>
      </w:pPr>
    </w:p>
    <w:p w14:paraId="23C17D0D" w14:textId="50E7254D" w:rsidR="00121B4E" w:rsidRDefault="00121B4E" w:rsidP="00F17415">
      <w:pPr>
        <w:pStyle w:val="Leipteksti"/>
      </w:pPr>
    </w:p>
    <w:p w14:paraId="4E8EE30C" w14:textId="5AA928A9" w:rsidR="00121B4E" w:rsidRDefault="00121B4E" w:rsidP="00F17415">
      <w:pPr>
        <w:pStyle w:val="Leipteksti"/>
      </w:pPr>
    </w:p>
    <w:p w14:paraId="2689CB6A" w14:textId="0F4D6A31" w:rsidR="00121B4E" w:rsidRDefault="00121B4E" w:rsidP="00F17415">
      <w:pPr>
        <w:pStyle w:val="Leipteksti"/>
      </w:pPr>
    </w:p>
    <w:p w14:paraId="27EF949F" w14:textId="2D2561CB" w:rsidR="00121B4E" w:rsidRDefault="00121B4E" w:rsidP="00F17415">
      <w:pPr>
        <w:pStyle w:val="Leipteksti"/>
      </w:pPr>
    </w:p>
    <w:p w14:paraId="0E256DE9" w14:textId="4CF629DC" w:rsidR="00121B4E" w:rsidRDefault="00121B4E" w:rsidP="00F17415">
      <w:pPr>
        <w:pStyle w:val="Leipteksti"/>
      </w:pPr>
    </w:p>
    <w:p w14:paraId="1AB0A8D4" w14:textId="06498092" w:rsidR="00121B4E" w:rsidRDefault="00121B4E" w:rsidP="00F17415">
      <w:pPr>
        <w:pStyle w:val="Leipteksti"/>
      </w:pPr>
    </w:p>
    <w:p w14:paraId="4CD61351" w14:textId="4BAFDFB2" w:rsidR="00121B4E" w:rsidRDefault="00121B4E" w:rsidP="00F17415">
      <w:pPr>
        <w:pStyle w:val="Leipteksti"/>
      </w:pPr>
    </w:p>
    <w:p w14:paraId="35257E44" w14:textId="7A69BEEE" w:rsidR="00121B4E" w:rsidRDefault="00121B4E" w:rsidP="00F17415">
      <w:pPr>
        <w:pStyle w:val="Leipteksti"/>
      </w:pPr>
    </w:p>
    <w:p w14:paraId="45CEB48F" w14:textId="25F1B4C8" w:rsidR="00121B4E" w:rsidRDefault="00121B4E" w:rsidP="00F17415">
      <w:pPr>
        <w:pStyle w:val="Leipteksti"/>
      </w:pPr>
    </w:p>
    <w:p w14:paraId="44B12689" w14:textId="5B20335B" w:rsidR="00121B4E" w:rsidRDefault="00121B4E" w:rsidP="00F17415">
      <w:pPr>
        <w:pStyle w:val="Leipteksti"/>
      </w:pPr>
    </w:p>
    <w:p w14:paraId="7D5EFEE0" w14:textId="4064C8E4" w:rsidR="00121B4E" w:rsidRDefault="00121B4E" w:rsidP="00F17415">
      <w:pPr>
        <w:pStyle w:val="Leipteksti"/>
      </w:pPr>
    </w:p>
    <w:p w14:paraId="757BB3DB" w14:textId="25AFE161" w:rsidR="00121B4E" w:rsidRDefault="00121B4E" w:rsidP="00F17415">
      <w:pPr>
        <w:pStyle w:val="Leipteksti"/>
      </w:pPr>
    </w:p>
    <w:p w14:paraId="676613C9" w14:textId="52120625" w:rsidR="00121B4E" w:rsidRDefault="00121B4E" w:rsidP="00F17415">
      <w:pPr>
        <w:pStyle w:val="Leipteksti"/>
      </w:pPr>
    </w:p>
    <w:p w14:paraId="1882AA83" w14:textId="67D41ABC" w:rsidR="00121B4E" w:rsidRDefault="00121B4E" w:rsidP="00F17415">
      <w:pPr>
        <w:pStyle w:val="Leipteksti"/>
      </w:pPr>
    </w:p>
    <w:p w14:paraId="17C69A29" w14:textId="77777777" w:rsidR="00121B4E" w:rsidRDefault="00121B4E" w:rsidP="00F17415">
      <w:pPr>
        <w:pStyle w:val="Leipteksti"/>
      </w:pPr>
    </w:p>
    <w:p w14:paraId="4E20DF32" w14:textId="77777777" w:rsidR="00F17415" w:rsidRDefault="00F17415" w:rsidP="00F17415">
      <w:pPr>
        <w:pStyle w:val="Leipteksti"/>
      </w:pPr>
    </w:p>
    <w:p w14:paraId="7745F7C1" w14:textId="1C4E6EF2" w:rsidR="00F17415" w:rsidRPr="00F17415" w:rsidRDefault="00F17415" w:rsidP="00121B4E">
      <w:pPr>
        <w:pStyle w:val="Otsikko1"/>
        <w:numPr>
          <w:ilvl w:val="0"/>
          <w:numId w:val="0"/>
        </w:numPr>
        <w:ind w:left="1304"/>
      </w:pPr>
      <w:bookmarkStart w:id="12" w:name="_Toc119322693"/>
      <w:r w:rsidRPr="00F17415">
        <w:t>Liit</w:t>
      </w:r>
      <w:r w:rsidR="006A6FCF">
        <w:t>e</w:t>
      </w:r>
      <w:r w:rsidRPr="00F17415">
        <w:tab/>
        <w:t>Mittarien</w:t>
      </w:r>
      <w:r w:rsidR="00580A07">
        <w:t xml:space="preserve"> kuvaukset ja</w:t>
      </w:r>
      <w:r w:rsidRPr="00F17415">
        <w:t xml:space="preserve"> laskenta</w:t>
      </w:r>
      <w:r w:rsidR="00580A07">
        <w:t>tavat</w:t>
      </w:r>
      <w:bookmarkEnd w:id="12"/>
      <w:r w:rsidR="00211A69">
        <w:t xml:space="preserve"> </w:t>
      </w:r>
    </w:p>
    <w:p w14:paraId="57D20675" w14:textId="59BA0EFD" w:rsidR="00BB706C" w:rsidRDefault="00BB706C" w:rsidP="00BB706C">
      <w:pPr>
        <w:pStyle w:val="Leipteksti"/>
      </w:pPr>
    </w:p>
    <w:tbl>
      <w:tblPr>
        <w:tblStyle w:val="TaulukkoRuudukko"/>
        <w:tblW w:w="0" w:type="auto"/>
        <w:tblInd w:w="1271" w:type="dxa"/>
        <w:tblLook w:val="04A0" w:firstRow="1" w:lastRow="0" w:firstColumn="1" w:lastColumn="0" w:noHBand="0" w:noVBand="1"/>
      </w:tblPr>
      <w:tblGrid>
        <w:gridCol w:w="2666"/>
        <w:gridCol w:w="3288"/>
        <w:gridCol w:w="2403"/>
      </w:tblGrid>
      <w:tr w:rsidR="006B1B52" w14:paraId="705C1B41" w14:textId="77777777" w:rsidTr="00572F90">
        <w:tc>
          <w:tcPr>
            <w:tcW w:w="2666" w:type="dxa"/>
            <w:shd w:val="clear" w:color="auto" w:fill="BDDAF6" w:themeFill="text2" w:themeFillTint="33"/>
          </w:tcPr>
          <w:p w14:paraId="6C2400BB" w14:textId="0412A2F9" w:rsidR="00BB706C" w:rsidRPr="000C0309" w:rsidRDefault="00BB706C" w:rsidP="00BB706C">
            <w:pPr>
              <w:pStyle w:val="Leipteksti"/>
              <w:ind w:left="0"/>
              <w:rPr>
                <w:b/>
                <w:bCs/>
              </w:rPr>
            </w:pPr>
            <w:r w:rsidRPr="000C0309">
              <w:rPr>
                <w:b/>
                <w:bCs/>
              </w:rPr>
              <w:t>Mittari</w:t>
            </w:r>
          </w:p>
        </w:tc>
        <w:tc>
          <w:tcPr>
            <w:tcW w:w="3288" w:type="dxa"/>
            <w:shd w:val="clear" w:color="auto" w:fill="BDDAF6" w:themeFill="text2" w:themeFillTint="33"/>
          </w:tcPr>
          <w:p w14:paraId="3C3CF07B" w14:textId="6469E73A" w:rsidR="00BB706C" w:rsidRPr="000C0309" w:rsidRDefault="00BB706C" w:rsidP="00BB706C">
            <w:pPr>
              <w:pStyle w:val="Leipteksti"/>
              <w:ind w:left="0"/>
              <w:rPr>
                <w:b/>
                <w:bCs/>
              </w:rPr>
            </w:pPr>
            <w:r w:rsidRPr="000C0309">
              <w:rPr>
                <w:b/>
                <w:bCs/>
              </w:rPr>
              <w:t>Laskentatapa</w:t>
            </w:r>
          </w:p>
        </w:tc>
        <w:tc>
          <w:tcPr>
            <w:tcW w:w="2403" w:type="dxa"/>
            <w:shd w:val="clear" w:color="auto" w:fill="BDDAF6" w:themeFill="text2" w:themeFillTint="33"/>
          </w:tcPr>
          <w:p w14:paraId="08E283EA" w14:textId="1A5E18FC" w:rsidR="00BB706C" w:rsidRPr="000C0309" w:rsidRDefault="00BB706C" w:rsidP="00BB706C">
            <w:pPr>
              <w:pStyle w:val="Leipteksti"/>
              <w:ind w:left="0"/>
              <w:rPr>
                <w:b/>
                <w:bCs/>
              </w:rPr>
            </w:pPr>
            <w:r w:rsidRPr="000C0309">
              <w:rPr>
                <w:b/>
                <w:bCs/>
              </w:rPr>
              <w:t>Kommentit</w:t>
            </w:r>
          </w:p>
        </w:tc>
      </w:tr>
      <w:tr w:rsidR="006B1B52" w14:paraId="48A4EE14" w14:textId="77777777" w:rsidTr="00572F90">
        <w:tc>
          <w:tcPr>
            <w:tcW w:w="2666" w:type="dxa"/>
          </w:tcPr>
          <w:p w14:paraId="287D4504" w14:textId="793E0431" w:rsidR="00BB706C" w:rsidRDefault="00BB706C" w:rsidP="000C0309">
            <w:pPr>
              <w:pStyle w:val="Leipteksti"/>
              <w:ind w:left="0"/>
            </w:pPr>
            <w:r w:rsidRPr="002E595D">
              <w:t xml:space="preserve">Taloushallinnon kokonaiskustannukset per </w:t>
            </w:r>
            <w:proofErr w:type="spellStart"/>
            <w:r w:rsidR="00784B67">
              <w:t>kpy:n</w:t>
            </w:r>
            <w:proofErr w:type="spellEnd"/>
            <w:r w:rsidR="00784B67" w:rsidRPr="002E595D">
              <w:t xml:space="preserve"> </w:t>
            </w:r>
            <w:r w:rsidRPr="002E595D">
              <w:t>toimintamenot (%)</w:t>
            </w:r>
          </w:p>
          <w:p w14:paraId="0483E51E" w14:textId="77777777" w:rsidR="00BB706C" w:rsidRDefault="00BB706C" w:rsidP="00BB706C">
            <w:pPr>
              <w:pStyle w:val="Leipteksti"/>
              <w:ind w:left="0"/>
            </w:pPr>
          </w:p>
        </w:tc>
        <w:tc>
          <w:tcPr>
            <w:tcW w:w="3288" w:type="dxa"/>
          </w:tcPr>
          <w:p w14:paraId="52F95E0E" w14:textId="20103029" w:rsidR="00BB706C" w:rsidRDefault="00BB706C" w:rsidP="00BB706C">
            <w:pPr>
              <w:pStyle w:val="Leipteksti"/>
              <w:ind w:left="0"/>
            </w:pPr>
            <w:r>
              <w:t>Taloushallinnon kokonaiskustannukset</w:t>
            </w:r>
            <w:r w:rsidR="00C10D7E">
              <w:t xml:space="preserve"> </w:t>
            </w:r>
            <w:r>
              <w:t>=</w:t>
            </w:r>
            <w:r w:rsidR="008625F7">
              <w:t xml:space="preserve"> Kirjanpitoyksikön t</w:t>
            </w:r>
            <w:r>
              <w:t xml:space="preserve">aloushallinnon </w:t>
            </w:r>
            <w:proofErr w:type="spellStart"/>
            <w:r>
              <w:t>htv</w:t>
            </w:r>
            <w:proofErr w:type="spellEnd"/>
            <w:r>
              <w:t>-kustannukset</w:t>
            </w:r>
            <w:r w:rsidRPr="00BB706C">
              <w:t>,</w:t>
            </w:r>
            <w:r w:rsidR="008625F7">
              <w:t xml:space="preserve"> Palkeilta ostetut taloushallinnon palvelukustannukset</w:t>
            </w:r>
            <w:r w:rsidR="005C13D9">
              <w:t xml:space="preserve"> (sis. yhteisten taloushallinnon tietojärjestelmien kustannukset)</w:t>
            </w:r>
            <w:r w:rsidR="008625F7">
              <w:t xml:space="preserve">, </w:t>
            </w:r>
            <w:proofErr w:type="spellStart"/>
            <w:r w:rsidR="005C13D9">
              <w:t>KPY:n</w:t>
            </w:r>
            <w:proofErr w:type="spellEnd"/>
            <w:r w:rsidR="005C13D9">
              <w:t xml:space="preserve"> omien </w:t>
            </w:r>
            <w:r w:rsidRPr="00BB706C">
              <w:t>taloushallinnon järjestelm</w:t>
            </w:r>
            <w:r w:rsidR="005C13D9">
              <w:t xml:space="preserve">ien </w:t>
            </w:r>
            <w:r w:rsidRPr="00BB706C">
              <w:t>kustannukset</w:t>
            </w:r>
            <w:r w:rsidR="0039299E">
              <w:t xml:space="preserve"> (lisenssit, kehitys- ja ylläpitokustannukset)</w:t>
            </w:r>
            <w:r w:rsidRPr="00BB706C">
              <w:t xml:space="preserve">, </w:t>
            </w:r>
            <w:r w:rsidR="005C13D9">
              <w:t xml:space="preserve">muut </w:t>
            </w:r>
            <w:r>
              <w:t xml:space="preserve">ostetut taloushallinnon </w:t>
            </w:r>
            <w:r w:rsidRPr="00BB706C">
              <w:t>asiantuntijapalvelut</w:t>
            </w:r>
          </w:p>
        </w:tc>
        <w:tc>
          <w:tcPr>
            <w:tcW w:w="2403" w:type="dxa"/>
          </w:tcPr>
          <w:p w14:paraId="12EA6D5B" w14:textId="77777777" w:rsidR="00BB706C" w:rsidRDefault="00BB706C" w:rsidP="00BB706C">
            <w:pPr>
              <w:pStyle w:val="Leipteksti"/>
              <w:ind w:left="0"/>
            </w:pPr>
            <w:r w:rsidRPr="00BB706C">
              <w:t xml:space="preserve">Yhteisten tietojärjestelmien kustannukset allokoidaan </w:t>
            </w:r>
            <w:proofErr w:type="spellStart"/>
            <w:r w:rsidRPr="00BB706C">
              <w:t>htv:n</w:t>
            </w:r>
            <w:proofErr w:type="spellEnd"/>
            <w:r w:rsidRPr="00BB706C">
              <w:t xml:space="preserve"> perusteella</w:t>
            </w:r>
          </w:p>
          <w:p w14:paraId="439A14BB" w14:textId="1610D125" w:rsidR="00572F90" w:rsidRDefault="00572F90" w:rsidP="00BB706C">
            <w:pPr>
              <w:pStyle w:val="Leipteksti"/>
              <w:ind w:left="0"/>
            </w:pPr>
            <w:r>
              <w:t>Taloushallinnon asiantuntijapalvelut kattavat esim. konsulttipalvelut</w:t>
            </w:r>
          </w:p>
        </w:tc>
      </w:tr>
      <w:tr w:rsidR="006B1B52" w14:paraId="619DF20B" w14:textId="77777777" w:rsidTr="00572F90">
        <w:tc>
          <w:tcPr>
            <w:tcW w:w="2666" w:type="dxa"/>
          </w:tcPr>
          <w:p w14:paraId="7A4E54DF" w14:textId="6191F1F6" w:rsidR="00BB706C" w:rsidRDefault="00572F90" w:rsidP="00BB706C">
            <w:pPr>
              <w:pStyle w:val="Leipteksti"/>
              <w:ind w:left="0"/>
            </w:pPr>
            <w:r w:rsidRPr="00572F90">
              <w:t xml:space="preserve">Taloushallinnon raportoitu työmäärä suhteessa </w:t>
            </w:r>
            <w:proofErr w:type="spellStart"/>
            <w:r w:rsidR="005C13D9">
              <w:t>kpy:n</w:t>
            </w:r>
            <w:proofErr w:type="spellEnd"/>
            <w:r w:rsidR="005C13D9">
              <w:t xml:space="preserve"> </w:t>
            </w:r>
            <w:r w:rsidRPr="00572F90">
              <w:t>kokonaishenkilötyövuosiin (%)</w:t>
            </w:r>
          </w:p>
        </w:tc>
        <w:tc>
          <w:tcPr>
            <w:tcW w:w="3288" w:type="dxa"/>
          </w:tcPr>
          <w:p w14:paraId="2613EF80" w14:textId="09A2F678" w:rsidR="000E4303" w:rsidRDefault="005C13D9" w:rsidP="000E4303">
            <w:pPr>
              <w:pStyle w:val="Leipteksti"/>
              <w:ind w:left="0"/>
            </w:pPr>
            <w:r>
              <w:t xml:space="preserve">Tunnusluku saadaan talous- ja henkilöstöhallinnon tuottavuusseurantaraportilta. </w:t>
            </w:r>
          </w:p>
          <w:p w14:paraId="2A1AE686" w14:textId="682B2A8C" w:rsidR="000E4303" w:rsidRDefault="000E4303" w:rsidP="00F37B49">
            <w:pPr>
              <w:pStyle w:val="Leipteksti"/>
              <w:ind w:left="0"/>
            </w:pPr>
          </w:p>
        </w:tc>
        <w:tc>
          <w:tcPr>
            <w:tcW w:w="2403" w:type="dxa"/>
          </w:tcPr>
          <w:p w14:paraId="650A71BA" w14:textId="77777777" w:rsidR="00BB706C" w:rsidRDefault="00BB706C" w:rsidP="00BB706C">
            <w:pPr>
              <w:pStyle w:val="Leipteksti"/>
              <w:ind w:left="0"/>
            </w:pPr>
          </w:p>
        </w:tc>
      </w:tr>
      <w:tr w:rsidR="005C13D9" w14:paraId="36E82A64" w14:textId="77777777" w:rsidTr="00572F90">
        <w:tc>
          <w:tcPr>
            <w:tcW w:w="2666" w:type="dxa"/>
          </w:tcPr>
          <w:p w14:paraId="035B7501" w14:textId="4FBBE9B2" w:rsidR="005C13D9" w:rsidRDefault="005C13D9" w:rsidP="005C13D9">
            <w:pPr>
              <w:pStyle w:val="Leipteksti"/>
              <w:ind w:left="0"/>
            </w:pPr>
            <w:r w:rsidRPr="00572F90">
              <w:t>Sähköisten myyntilaskujen osuu</w:t>
            </w:r>
            <w:r>
              <w:t>s</w:t>
            </w:r>
          </w:p>
        </w:tc>
        <w:tc>
          <w:tcPr>
            <w:tcW w:w="3288" w:type="dxa"/>
          </w:tcPr>
          <w:p w14:paraId="66A45524" w14:textId="3C6511B2" w:rsidR="005C13D9" w:rsidRDefault="009C4315" w:rsidP="005C13D9">
            <w:pPr>
              <w:pStyle w:val="Leipteksti"/>
              <w:ind w:left="0"/>
            </w:pPr>
            <w:r>
              <w:t>Tunnusluku saadaan valtion verkkolaskutilastoista</w:t>
            </w:r>
          </w:p>
        </w:tc>
        <w:tc>
          <w:tcPr>
            <w:tcW w:w="2403" w:type="dxa"/>
          </w:tcPr>
          <w:p w14:paraId="4963459B" w14:textId="47FBC29E" w:rsidR="005C13D9" w:rsidRDefault="005C13D9" w:rsidP="005C13D9">
            <w:pPr>
              <w:pStyle w:val="Leipteksti"/>
              <w:ind w:left="0"/>
            </w:pPr>
          </w:p>
        </w:tc>
      </w:tr>
      <w:tr w:rsidR="005C13D9" w14:paraId="02D9C3C6" w14:textId="77777777" w:rsidTr="00572F90">
        <w:tc>
          <w:tcPr>
            <w:tcW w:w="2666" w:type="dxa"/>
          </w:tcPr>
          <w:p w14:paraId="03AF0930" w14:textId="502179B0" w:rsidR="005C13D9" w:rsidRDefault="005C13D9" w:rsidP="005C13D9">
            <w:pPr>
              <w:pStyle w:val="Leipteksti"/>
              <w:ind w:left="0"/>
            </w:pPr>
            <w:r w:rsidRPr="00D46C49">
              <w:t>Sähköisten kuittien osuus</w:t>
            </w:r>
          </w:p>
        </w:tc>
        <w:tc>
          <w:tcPr>
            <w:tcW w:w="3288" w:type="dxa"/>
          </w:tcPr>
          <w:p w14:paraId="6D00209F" w14:textId="5095437D" w:rsidR="005C13D9" w:rsidRDefault="005C13D9" w:rsidP="005C13D9">
            <w:pPr>
              <w:pStyle w:val="Leipteksti"/>
              <w:ind w:left="0"/>
            </w:pPr>
          </w:p>
        </w:tc>
        <w:tc>
          <w:tcPr>
            <w:tcW w:w="2403" w:type="dxa"/>
          </w:tcPr>
          <w:p w14:paraId="38F057B8" w14:textId="77777777" w:rsidR="005C13D9" w:rsidRDefault="005C13D9" w:rsidP="005C13D9">
            <w:pPr>
              <w:pStyle w:val="Leipteksti"/>
              <w:ind w:left="0"/>
            </w:pPr>
          </w:p>
        </w:tc>
      </w:tr>
      <w:tr w:rsidR="005C13D9" w14:paraId="69FFD707" w14:textId="77777777" w:rsidTr="00572F90">
        <w:tc>
          <w:tcPr>
            <w:tcW w:w="2666" w:type="dxa"/>
          </w:tcPr>
          <w:p w14:paraId="77382EE9" w14:textId="410ECF57" w:rsidR="005C13D9" w:rsidRDefault="005C13D9" w:rsidP="005C13D9">
            <w:pPr>
              <w:pStyle w:val="Leipteksti"/>
              <w:ind w:left="0"/>
            </w:pPr>
            <w:r w:rsidRPr="00572F90">
              <w:t xml:space="preserve">Tilaukseen perustuvien ostolaskujen </w:t>
            </w:r>
            <w:r>
              <w:t>prosentti</w:t>
            </w:r>
            <w:r w:rsidRPr="00572F90">
              <w:t>osuus</w:t>
            </w:r>
          </w:p>
        </w:tc>
        <w:tc>
          <w:tcPr>
            <w:tcW w:w="3288" w:type="dxa"/>
          </w:tcPr>
          <w:p w14:paraId="416C9263" w14:textId="4BD60E0B" w:rsidR="005C13D9" w:rsidRDefault="009C4315" w:rsidP="005C13D9">
            <w:pPr>
              <w:pStyle w:val="Leipteksti"/>
              <w:ind w:left="0"/>
            </w:pPr>
            <w:r>
              <w:t>Tunnusluku saadaan valtion verkkolaskutilastoista</w:t>
            </w:r>
          </w:p>
        </w:tc>
        <w:tc>
          <w:tcPr>
            <w:tcW w:w="2403" w:type="dxa"/>
          </w:tcPr>
          <w:p w14:paraId="7D38C68A" w14:textId="7BEB93AB" w:rsidR="005C13D9" w:rsidRDefault="005C13D9" w:rsidP="005C13D9">
            <w:pPr>
              <w:pStyle w:val="Leipteksti"/>
              <w:ind w:left="0"/>
            </w:pPr>
          </w:p>
        </w:tc>
      </w:tr>
      <w:tr w:rsidR="005C13D9" w14:paraId="5E56D23B" w14:textId="77777777" w:rsidTr="00572F90">
        <w:tc>
          <w:tcPr>
            <w:tcW w:w="2666" w:type="dxa"/>
          </w:tcPr>
          <w:p w14:paraId="16E90F19" w14:textId="353BA6DE" w:rsidR="005C13D9" w:rsidRDefault="005C13D9" w:rsidP="005C13D9">
            <w:pPr>
              <w:pStyle w:val="Leipteksti"/>
              <w:ind w:left="0"/>
            </w:pPr>
            <w:r w:rsidRPr="00572F90">
              <w:t>Tiedot tilinpäätöksissä oikeita ja riittäviä</w:t>
            </w:r>
          </w:p>
        </w:tc>
        <w:tc>
          <w:tcPr>
            <w:tcW w:w="3288" w:type="dxa"/>
          </w:tcPr>
          <w:p w14:paraId="05F4E69C" w14:textId="2CA8C60D" w:rsidR="005C13D9" w:rsidRDefault="005C13D9" w:rsidP="005C13D9">
            <w:pPr>
              <w:pStyle w:val="Leipteksti"/>
              <w:ind w:left="0"/>
            </w:pPr>
            <w:proofErr w:type="spellStart"/>
            <w:r>
              <w:rPr>
                <w:rFonts w:ascii="Arial" w:hAnsi="Arial" w:cs="Arial"/>
                <w:color w:val="000000" w:themeColor="dark1"/>
                <w:kern w:val="24"/>
              </w:rPr>
              <w:t>VTV:n</w:t>
            </w:r>
            <w:proofErr w:type="spellEnd"/>
            <w:r>
              <w:rPr>
                <w:rFonts w:ascii="Arial" w:hAnsi="Arial" w:cs="Arial"/>
                <w:color w:val="000000" w:themeColor="dark1"/>
                <w:kern w:val="24"/>
              </w:rPr>
              <w:t xml:space="preserve"> havainnot tilinpäätökseen ja tietojen oikeellisuuteen liittyen (kpl)</w:t>
            </w:r>
          </w:p>
        </w:tc>
        <w:tc>
          <w:tcPr>
            <w:tcW w:w="2403" w:type="dxa"/>
          </w:tcPr>
          <w:p w14:paraId="1F3FAED0" w14:textId="21679881" w:rsidR="005C13D9" w:rsidRDefault="009C4315" w:rsidP="005C13D9">
            <w:pPr>
              <w:pStyle w:val="Leipteksti"/>
              <w:ind w:left="0"/>
            </w:pPr>
            <w:proofErr w:type="spellStart"/>
            <w:r>
              <w:t>VTV:n</w:t>
            </w:r>
            <w:proofErr w:type="spellEnd"/>
            <w:r>
              <w:t xml:space="preserve"> vuosikertomus </w:t>
            </w:r>
          </w:p>
        </w:tc>
      </w:tr>
      <w:tr w:rsidR="005C13D9" w14:paraId="438B5C87" w14:textId="77777777" w:rsidTr="00572F90">
        <w:tc>
          <w:tcPr>
            <w:tcW w:w="2666" w:type="dxa"/>
          </w:tcPr>
          <w:p w14:paraId="549D172E" w14:textId="77777777" w:rsidR="005C13D9" w:rsidRPr="00572F90" w:rsidRDefault="005C13D9" w:rsidP="005C13D9">
            <w:pPr>
              <w:pStyle w:val="Leipteksti"/>
              <w:ind w:left="0"/>
            </w:pPr>
            <w:r w:rsidRPr="00572F90">
              <w:lastRenderedPageBreak/>
              <w:t xml:space="preserve">Sisäinen valvonta kirjanpitoyksiköissä toimivaa  </w:t>
            </w:r>
          </w:p>
          <w:p w14:paraId="43CC089C" w14:textId="77777777" w:rsidR="005C13D9" w:rsidRDefault="005C13D9" w:rsidP="005C13D9">
            <w:pPr>
              <w:pStyle w:val="Leipteksti"/>
              <w:ind w:left="0"/>
            </w:pPr>
          </w:p>
        </w:tc>
        <w:tc>
          <w:tcPr>
            <w:tcW w:w="3288" w:type="dxa"/>
          </w:tcPr>
          <w:p w14:paraId="05732716" w14:textId="6B707094" w:rsidR="005C13D9" w:rsidRDefault="005C13D9" w:rsidP="005C13D9">
            <w:pPr>
              <w:pStyle w:val="Leipteksti"/>
              <w:ind w:left="0"/>
            </w:pPr>
            <w:proofErr w:type="spellStart"/>
            <w:r>
              <w:rPr>
                <w:rFonts w:ascii="Arial" w:hAnsi="Arial" w:cs="Arial"/>
                <w:color w:val="000000" w:themeColor="dark1"/>
                <w:kern w:val="24"/>
              </w:rPr>
              <w:t>VTV:n</w:t>
            </w:r>
            <w:proofErr w:type="spellEnd"/>
            <w:r>
              <w:rPr>
                <w:rFonts w:ascii="Arial" w:hAnsi="Arial" w:cs="Arial"/>
                <w:color w:val="000000" w:themeColor="dark1"/>
                <w:kern w:val="24"/>
              </w:rPr>
              <w:t xml:space="preserve"> havainnot sisäisen valvonnan osalta (kpl)</w:t>
            </w:r>
          </w:p>
        </w:tc>
        <w:tc>
          <w:tcPr>
            <w:tcW w:w="2403" w:type="dxa"/>
          </w:tcPr>
          <w:p w14:paraId="2DAF2560" w14:textId="4CB3BAB4" w:rsidR="005C13D9" w:rsidRDefault="009C4315" w:rsidP="005C13D9">
            <w:pPr>
              <w:pStyle w:val="Leipteksti"/>
              <w:ind w:left="0"/>
            </w:pPr>
            <w:proofErr w:type="spellStart"/>
            <w:r>
              <w:t>VTV:n</w:t>
            </w:r>
            <w:proofErr w:type="spellEnd"/>
            <w:r>
              <w:t xml:space="preserve"> vuosikertomus</w:t>
            </w:r>
          </w:p>
        </w:tc>
      </w:tr>
    </w:tbl>
    <w:p w14:paraId="51DDE31D" w14:textId="77777777" w:rsidR="00BB706C" w:rsidRPr="00BB706C" w:rsidRDefault="00BB706C" w:rsidP="000C0309">
      <w:pPr>
        <w:pStyle w:val="Leipteksti"/>
      </w:pPr>
    </w:p>
    <w:p w14:paraId="2D910ECE" w14:textId="77777777" w:rsidR="006E53B0" w:rsidRDefault="006E53B0" w:rsidP="00587B3D">
      <w:pPr>
        <w:pStyle w:val="Leipteksti"/>
      </w:pPr>
    </w:p>
    <w:sectPr w:rsidR="006E53B0" w:rsidSect="00104ECD">
      <w:headerReference w:type="default" r:id="rId13"/>
      <w:footerReference w:type="default" r:id="rId14"/>
      <w:pgSz w:w="11906" w:h="16838" w:code="9"/>
      <w:pgMar w:top="2155" w:right="567" w:bottom="2211"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CBFCB" w14:textId="77777777" w:rsidR="00043682" w:rsidRDefault="00043682" w:rsidP="000672D9">
      <w:r>
        <w:separator/>
      </w:r>
    </w:p>
  </w:endnote>
  <w:endnote w:type="continuationSeparator" w:id="0">
    <w:p w14:paraId="3AEBC97D" w14:textId="77777777" w:rsidR="00043682" w:rsidRDefault="00043682" w:rsidP="000672D9">
      <w:r>
        <w:continuationSeparator/>
      </w:r>
    </w:p>
  </w:endnote>
  <w:endnote w:type="continuationNotice" w:id="1">
    <w:p w14:paraId="73A94C9F" w14:textId="77777777" w:rsidR="00043682" w:rsidRDefault="000436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10206" w:type="dxa"/>
      <w:tblInd w:w="-28" w:type="dxa"/>
      <w:tblLayout w:type="fixed"/>
      <w:tblLook w:val="04A0" w:firstRow="1" w:lastRow="0" w:firstColumn="1" w:lastColumn="0" w:noHBand="0" w:noVBand="1"/>
    </w:tblPr>
    <w:tblGrid>
      <w:gridCol w:w="3906"/>
      <w:gridCol w:w="6300"/>
    </w:tblGrid>
    <w:tr w:rsidR="006E53B0" w14:paraId="04964389" w14:textId="77777777" w:rsidTr="009A483E">
      <w:tc>
        <w:tcPr>
          <w:tcW w:w="3906" w:type="dxa"/>
          <w:vAlign w:val="bottom"/>
        </w:tcPr>
        <w:p w14:paraId="6553212D" w14:textId="77777777" w:rsidR="006E53B0" w:rsidRDefault="006E53B0" w:rsidP="00341A9A">
          <w:pPr>
            <w:pStyle w:val="Alatunniste"/>
          </w:pPr>
          <w:r>
            <w:rPr>
              <w:noProof/>
              <w:lang w:eastAsia="fi-FI"/>
            </w:rPr>
            <w:drawing>
              <wp:inline distT="0" distB="0" distL="0" distR="0" wp14:anchorId="740D3B5D" wp14:editId="3AAB49B5">
                <wp:extent cx="2088606" cy="828000"/>
                <wp:effectExtent l="0" t="0" r="6985"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88606" cy="828000"/>
                        </a:xfrm>
                        <a:prstGeom prst="rect">
                          <a:avLst/>
                        </a:prstGeom>
                        <a:noFill/>
                        <a:ln w="9525">
                          <a:noFill/>
                          <a:miter lim="800000"/>
                          <a:headEnd/>
                          <a:tailEnd/>
                        </a:ln>
                      </pic:spPr>
                    </pic:pic>
                  </a:graphicData>
                </a:graphic>
              </wp:inline>
            </w:drawing>
          </w:r>
        </w:p>
      </w:tc>
      <w:tc>
        <w:tcPr>
          <w:tcW w:w="6300" w:type="dxa"/>
          <w:vAlign w:val="bottom"/>
        </w:tcPr>
        <w:p w14:paraId="412CB4BB" w14:textId="77777777" w:rsidR="006E53B0" w:rsidRDefault="006E53B0" w:rsidP="000C4081">
          <w:pPr>
            <w:pStyle w:val="Alatunniste"/>
          </w:pPr>
          <w:r>
            <w:t>Sörnäisten rantatie 13, Helsinki, PL 14, 00054 VALTIOKONTTORI</w:t>
          </w:r>
        </w:p>
        <w:p w14:paraId="6B1E4DA9" w14:textId="77777777" w:rsidR="006E53B0" w:rsidRDefault="006E53B0" w:rsidP="000C4081">
          <w:pPr>
            <w:pStyle w:val="Alatunniste"/>
          </w:pPr>
          <w:r>
            <w:t>Puh. 0295 50 2000, Faksi 0295 50 3333, www.valtiokonttori.fi</w:t>
          </w:r>
        </w:p>
      </w:tc>
    </w:tr>
  </w:tbl>
  <w:p w14:paraId="13A98B0E" w14:textId="77777777" w:rsidR="00F04286" w:rsidRDefault="00F0428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9E916" w14:textId="77777777" w:rsidR="00043682" w:rsidRDefault="00043682" w:rsidP="000672D9">
      <w:r>
        <w:separator/>
      </w:r>
    </w:p>
  </w:footnote>
  <w:footnote w:type="continuationSeparator" w:id="0">
    <w:p w14:paraId="3330AF17" w14:textId="77777777" w:rsidR="00043682" w:rsidRDefault="00043682" w:rsidP="000672D9">
      <w:r>
        <w:continuationSeparator/>
      </w:r>
    </w:p>
  </w:footnote>
  <w:footnote w:type="continuationNotice" w:id="1">
    <w:p w14:paraId="0ABAC09F" w14:textId="77777777" w:rsidR="00043682" w:rsidRDefault="000436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10345" w:type="dxa"/>
      <w:tblLayout w:type="fixed"/>
      <w:tblLook w:val="04A0" w:firstRow="1" w:lastRow="0" w:firstColumn="1" w:lastColumn="0" w:noHBand="0" w:noVBand="1"/>
    </w:tblPr>
    <w:tblGrid>
      <w:gridCol w:w="5216"/>
      <w:gridCol w:w="2155"/>
      <w:gridCol w:w="1758"/>
      <w:gridCol w:w="1216"/>
    </w:tblGrid>
    <w:tr w:rsidR="00966A03" w:rsidRPr="008D59E1" w14:paraId="6E1C9509" w14:textId="77777777" w:rsidTr="00BA30C0">
      <w:sdt>
        <w:sdtPr>
          <w:rPr>
            <w:b/>
          </w:rPr>
          <w:alias w:val="Organisaatio"/>
          <w:id w:val="1634602298"/>
          <w:dataBinding w:prefixMappings="xmlns:ns0='http://schemas.microsoft.com/office/2006/metadata/properties' xmlns:ns1='http://www.w3.org/2001/XMLSchema-instance' xmlns:ns2='7bd5e188-82eb-453b-b65d-8905964ba2f2' xmlns:ns3='http://schemas.microsoft.com/sharepoint/v3' " w:xpath="/ns0:properties[1]/documentManagement[1]/ns3:VKOrganization[1]" w:storeItemID="{7B0B84D3-DD61-4F6A-8B94-3D7676252263}"/>
          <w:text/>
        </w:sdtPr>
        <w:sdtEndPr/>
        <w:sdtContent>
          <w:tc>
            <w:tcPr>
              <w:tcW w:w="5216" w:type="dxa"/>
            </w:tcPr>
            <w:p w14:paraId="17267CDD" w14:textId="77777777" w:rsidR="00966A03" w:rsidRPr="00861DE3" w:rsidRDefault="00966A03" w:rsidP="005B44AB">
              <w:pPr>
                <w:pStyle w:val="Yltunniste"/>
                <w:rPr>
                  <w:b/>
                </w:rPr>
              </w:pPr>
              <w:r>
                <w:rPr>
                  <w:b/>
                </w:rPr>
                <w:t>Valtiokonttori</w:t>
              </w:r>
            </w:p>
          </w:tc>
        </w:sdtContent>
      </w:sdt>
      <w:sdt>
        <w:sdtPr>
          <w:rPr>
            <w:b/>
          </w:rPr>
          <w:alias w:val="Asiakirjalaji"/>
          <w:id w:val="-941377652"/>
          <w:dataBinding w:prefixMappings="xmlns:ns0='http://schemas.microsoft.com/office/2006/metadata/properties' xmlns:ns1='http://www.w3.org/2001/XMLSchema-instance' xmlns:ns2='7bd5e188-82eb-453b-b65d-8905964ba2f2' xmlns:ns3='http://schemas.microsoft.com/sharepoint/v3' " w:xpath="/ns0:properties[1]/documentManagement[1]/ns3:VKDocumentType[1]" w:storeItemID="{7B0B84D3-DD61-4F6A-8B94-3D7676252263}"/>
          <w:comboBox>
            <w:listItem w:value="[Asiakirjalaji]"/>
          </w:comboBox>
        </w:sdtPr>
        <w:sdtEndPr/>
        <w:sdtContent>
          <w:tc>
            <w:tcPr>
              <w:tcW w:w="2155" w:type="dxa"/>
            </w:tcPr>
            <w:p w14:paraId="3A90F42A" w14:textId="2A52FCB2" w:rsidR="00966A03" w:rsidRPr="00A7455F" w:rsidRDefault="006E53B0" w:rsidP="005B44AB">
              <w:pPr>
                <w:pStyle w:val="Yltunniste"/>
                <w:rPr>
                  <w:b/>
                </w:rPr>
              </w:pPr>
              <w:r>
                <w:rPr>
                  <w:b/>
                </w:rPr>
                <w:t>Ohje</w:t>
              </w:r>
            </w:p>
          </w:tc>
        </w:sdtContent>
      </w:sdt>
      <w:tc>
        <w:tcPr>
          <w:tcW w:w="1758" w:type="dxa"/>
        </w:tcPr>
        <w:p w14:paraId="65F3CCD7" w14:textId="26F8203C" w:rsidR="00966A03" w:rsidRPr="008D59E1" w:rsidRDefault="00966A03" w:rsidP="005B44AB">
          <w:pPr>
            <w:pStyle w:val="Yltunniste"/>
          </w:pPr>
        </w:p>
      </w:tc>
      <w:tc>
        <w:tcPr>
          <w:tcW w:w="1216" w:type="dxa"/>
        </w:tcPr>
        <w:p w14:paraId="55064F49" w14:textId="77777777" w:rsidR="00966A03" w:rsidRPr="008D59E1" w:rsidRDefault="00966A03" w:rsidP="005B44AB">
          <w:pPr>
            <w:pStyle w:val="Yltunniste"/>
          </w:pPr>
          <w:r>
            <w:fldChar w:fldCharType="begin"/>
          </w:r>
          <w:r>
            <w:instrText xml:space="preserve"> PAGE  \* Arabic  \* MERGEFORMAT </w:instrText>
          </w:r>
          <w:r>
            <w:fldChar w:fldCharType="separate"/>
          </w:r>
          <w:r>
            <w:rPr>
              <w:noProof/>
            </w:rPr>
            <w:t>1</w:t>
          </w:r>
          <w:r>
            <w:rPr>
              <w:noProof/>
            </w:rPr>
            <w:fldChar w:fldCharType="end"/>
          </w:r>
          <w:r>
            <w:t xml:space="preserve"> (</w:t>
          </w:r>
          <w:r>
            <w:fldChar w:fldCharType="begin"/>
          </w:r>
          <w:r>
            <w:instrText xml:space="preserve"> NUMPAGES  \# "0" \* Arabic  \* MERGEFORMAT </w:instrText>
          </w:r>
          <w:r>
            <w:fldChar w:fldCharType="separate"/>
          </w:r>
          <w:r>
            <w:rPr>
              <w:noProof/>
            </w:rPr>
            <w:t>1</w:t>
          </w:r>
          <w:r>
            <w:rPr>
              <w:noProof/>
            </w:rPr>
            <w:fldChar w:fldCharType="end"/>
          </w:r>
          <w:r>
            <w:t>)</w:t>
          </w:r>
        </w:p>
      </w:tc>
    </w:tr>
    <w:tr w:rsidR="00966A03" w:rsidRPr="008D59E1" w14:paraId="2F26CA18" w14:textId="77777777" w:rsidTr="00BA30C0">
      <w:sdt>
        <w:sdtPr>
          <w:alias w:val="Toimiala"/>
          <w:tag w:val="VKLineOfBusiness"/>
          <w:id w:val="624895438"/>
          <w:dataBinding w:prefixMappings="xmlns:ns0='http://schemas.microsoft.com/office/2006/metadata/properties' xmlns:ns1='http://www.w3.org/2001/XMLSchema-instance' xmlns:ns2='7bd5e188-82eb-453b-b65d-8905964ba2f2' xmlns:ns3='http://schemas.microsoft.com/sharepoint/v3' " w:xpath="/ns0:properties[1]/documentManagement[1]/ns3:VKLineOfBusiness[1]" w:storeItemID="{7B0B84D3-DD61-4F6A-8B94-3D7676252263}"/>
          <w:dropDownList>
            <w:listItem w:value="[Toimiala]"/>
          </w:dropDownList>
        </w:sdtPr>
        <w:sdtEndPr/>
        <w:sdtContent>
          <w:tc>
            <w:tcPr>
              <w:tcW w:w="5216" w:type="dxa"/>
            </w:tcPr>
            <w:p w14:paraId="598E5B3A" w14:textId="5DFF38CF" w:rsidR="00966A03" w:rsidRPr="008D59E1" w:rsidRDefault="006E53B0" w:rsidP="000164D8">
              <w:r>
                <w:t>T3 – Talous, tieto ja työelämä</w:t>
              </w:r>
            </w:p>
          </w:tc>
        </w:sdtContent>
      </w:sdt>
      <w:sdt>
        <w:sdtPr>
          <w:alias w:val="Tarkenne"/>
          <w:tag w:val="Tarkenne"/>
          <w:id w:val="1491061732"/>
          <w:text/>
        </w:sdtPr>
        <w:sdtEndPr/>
        <w:sdtContent>
          <w:tc>
            <w:tcPr>
              <w:tcW w:w="2155" w:type="dxa"/>
              <w:vMerge w:val="restart"/>
            </w:tcPr>
            <w:p w14:paraId="454E9BB5" w14:textId="2C8C1B8A" w:rsidR="00966A03" w:rsidRPr="008D59E1" w:rsidRDefault="00F37B49" w:rsidP="005B44AB">
              <w:pPr>
                <w:pStyle w:val="Yltunniste"/>
              </w:pPr>
              <w:r>
                <w:t>Luonnos</w:t>
              </w:r>
            </w:p>
          </w:tc>
        </w:sdtContent>
      </w:sdt>
      <w:tc>
        <w:tcPr>
          <w:tcW w:w="1758" w:type="dxa"/>
        </w:tcPr>
        <w:p w14:paraId="73B84E36" w14:textId="1E051568" w:rsidR="00966A03" w:rsidRPr="008D59E1" w:rsidRDefault="00966A03" w:rsidP="005B44AB">
          <w:pPr>
            <w:pStyle w:val="Yltunniste"/>
          </w:pPr>
        </w:p>
      </w:tc>
      <w:tc>
        <w:tcPr>
          <w:tcW w:w="1216" w:type="dxa"/>
        </w:tcPr>
        <w:p w14:paraId="009D5732" w14:textId="77777777" w:rsidR="00966A03" w:rsidRPr="008D59E1" w:rsidRDefault="00966A03" w:rsidP="005B44AB">
          <w:pPr>
            <w:pStyle w:val="Yltunniste"/>
          </w:pPr>
        </w:p>
      </w:tc>
    </w:tr>
    <w:tr w:rsidR="00966A03" w:rsidRPr="008D59E1" w14:paraId="3FB79011" w14:textId="77777777" w:rsidTr="00BA30C0">
      <w:tc>
        <w:tcPr>
          <w:tcW w:w="5216" w:type="dxa"/>
        </w:tcPr>
        <w:p w14:paraId="7E23C5A5" w14:textId="5B300513" w:rsidR="00966A03" w:rsidRPr="008D59E1" w:rsidRDefault="00966A03" w:rsidP="005B44AB"/>
      </w:tc>
      <w:tc>
        <w:tcPr>
          <w:tcW w:w="2155" w:type="dxa"/>
          <w:vMerge/>
        </w:tcPr>
        <w:p w14:paraId="3D6248DC" w14:textId="77777777" w:rsidR="00966A03" w:rsidRPr="008D59E1" w:rsidRDefault="00966A03" w:rsidP="005B44AB">
          <w:pPr>
            <w:pStyle w:val="Yltunniste"/>
          </w:pPr>
        </w:p>
      </w:tc>
      <w:sdt>
        <w:sdtPr>
          <w:alias w:val="Diaarinumero"/>
          <w:id w:val="-378864325"/>
          <w:dataBinding w:prefixMappings="xmlns:ns0='http://schemas.microsoft.com/office/2006/metadata/properties' xmlns:ns1='http://www.w3.org/2001/XMLSchema-instance' xmlns:ns2='7bd5e188-82eb-453b-b65d-8905964ba2f2' xmlns:ns3='http://schemas.microsoft.com/sharepoint/v3' " w:xpath="/ns0:properties[1]/documentManagement[1]/ns2:Diaarinumero[1]" w:storeItemID="{7B0B84D3-DD61-4F6A-8B94-3D7676252263}"/>
          <w:text/>
        </w:sdtPr>
        <w:sdtEndPr/>
        <w:sdtContent>
          <w:tc>
            <w:tcPr>
              <w:tcW w:w="2974" w:type="dxa"/>
              <w:gridSpan w:val="2"/>
            </w:tcPr>
            <w:p w14:paraId="7E91F02B" w14:textId="6D23085E" w:rsidR="00966A03" w:rsidRPr="008D59E1" w:rsidRDefault="00430E95" w:rsidP="005B44AB">
              <w:pPr>
                <w:pStyle w:val="Yltunniste"/>
              </w:pPr>
              <w:r>
                <w:t>VK/83144/00.00.00.01/2022</w:t>
              </w:r>
            </w:p>
          </w:tc>
        </w:sdtContent>
      </w:sdt>
    </w:tr>
    <w:tr w:rsidR="00966A03" w:rsidRPr="008D59E1" w14:paraId="56EC9D4C" w14:textId="77777777" w:rsidTr="00BA30C0">
      <w:tc>
        <w:tcPr>
          <w:tcW w:w="5216" w:type="dxa"/>
        </w:tcPr>
        <w:p w14:paraId="001EAC21" w14:textId="286F3B0F" w:rsidR="00966A03" w:rsidRPr="008D59E1" w:rsidRDefault="00966A03" w:rsidP="005B44AB"/>
      </w:tc>
      <w:sdt>
        <w:sdtPr>
          <w:alias w:val="Asiakirjan päivämäärä"/>
          <w:id w:val="783771756"/>
          <w:dataBinding w:prefixMappings="xmlns:ns0='http://schemas.microsoft.com/office/2006/metadata/properties' xmlns:ns1='http://www.w3.org/2001/XMLSchema-instance' xmlns:ns2='7bd5e188-82eb-453b-b65d-8905964ba2f2' xmlns:ns3='http://schemas.microsoft.com/sharepoint/v3' " w:xpath="/ns0:properties[1]/documentManagement[1]/ns3:VKEventStartDate[1]" w:storeItemID="{7B0B84D3-DD61-4F6A-8B94-3D7676252263}"/>
          <w:date w:fullDate="2022-11-28T00:00:00Z">
            <w:dateFormat w:val="d.M.yyyy"/>
            <w:lid w:val="fi-FI"/>
            <w:storeMappedDataAs w:val="dateTime"/>
            <w:calendar w:val="gregorian"/>
          </w:date>
        </w:sdtPr>
        <w:sdtEndPr/>
        <w:sdtContent>
          <w:tc>
            <w:tcPr>
              <w:tcW w:w="2155" w:type="dxa"/>
            </w:tcPr>
            <w:p w14:paraId="33BE1A32" w14:textId="254640A9" w:rsidR="00966A03" w:rsidRPr="008D59E1" w:rsidRDefault="003F2971" w:rsidP="005B44AB">
              <w:pPr>
                <w:pStyle w:val="Yltunniste"/>
              </w:pPr>
              <w:r>
                <w:t>2</w:t>
              </w:r>
              <w:r w:rsidR="00D46C49">
                <w:t>8</w:t>
              </w:r>
              <w:r>
                <w:t>.11.2022</w:t>
              </w:r>
            </w:p>
          </w:tc>
        </w:sdtContent>
      </w:sdt>
      <w:tc>
        <w:tcPr>
          <w:tcW w:w="2974" w:type="dxa"/>
          <w:gridSpan w:val="2"/>
        </w:tcPr>
        <w:p w14:paraId="1EFFD073" w14:textId="77777777" w:rsidR="00966A03" w:rsidRPr="008D59E1" w:rsidRDefault="00966A03" w:rsidP="005B44AB">
          <w:pPr>
            <w:pStyle w:val="Yltunniste"/>
          </w:pPr>
        </w:p>
      </w:tc>
    </w:tr>
  </w:tbl>
  <w:p w14:paraId="4E5B5E6D" w14:textId="77777777" w:rsidR="00A7455F" w:rsidRPr="007B1CBA" w:rsidRDefault="00A7455F" w:rsidP="007B1CBA">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0B3C"/>
    <w:multiLevelType w:val="multilevel"/>
    <w:tmpl w:val="22A8CFD8"/>
    <w:numStyleLink w:val="Valtiokonttoriluettelomerkit"/>
  </w:abstractNum>
  <w:abstractNum w:abstractNumId="1" w15:restartNumberingAfterBreak="0">
    <w:nsid w:val="1A80677E"/>
    <w:multiLevelType w:val="hybridMultilevel"/>
    <w:tmpl w:val="25DEFB3E"/>
    <w:lvl w:ilvl="0" w:tplc="4EAEE016">
      <w:start w:val="2"/>
      <w:numFmt w:val="decimal"/>
      <w:lvlText w:val="%1."/>
      <w:lvlJc w:val="left"/>
      <w:pPr>
        <w:ind w:left="2968" w:hanging="360"/>
      </w:pPr>
      <w:rPr>
        <w:rFonts w:hint="default"/>
      </w:rPr>
    </w:lvl>
    <w:lvl w:ilvl="1" w:tplc="FFFFFFFF">
      <w:start w:val="1"/>
      <w:numFmt w:val="bullet"/>
      <w:lvlText w:val=""/>
      <w:lvlJc w:val="left"/>
      <w:pPr>
        <w:ind w:left="3688" w:hanging="360"/>
      </w:pPr>
      <w:rPr>
        <w:rFonts w:ascii="Symbol" w:hAnsi="Symbol" w:hint="default"/>
      </w:rPr>
    </w:lvl>
    <w:lvl w:ilvl="2" w:tplc="FFFFFFFF" w:tentative="1">
      <w:start w:val="1"/>
      <w:numFmt w:val="lowerRoman"/>
      <w:lvlText w:val="%3."/>
      <w:lvlJc w:val="right"/>
      <w:pPr>
        <w:ind w:left="4408" w:hanging="180"/>
      </w:pPr>
    </w:lvl>
    <w:lvl w:ilvl="3" w:tplc="FFFFFFFF" w:tentative="1">
      <w:start w:val="1"/>
      <w:numFmt w:val="decimal"/>
      <w:lvlText w:val="%4."/>
      <w:lvlJc w:val="left"/>
      <w:pPr>
        <w:ind w:left="5128" w:hanging="360"/>
      </w:pPr>
    </w:lvl>
    <w:lvl w:ilvl="4" w:tplc="FFFFFFFF" w:tentative="1">
      <w:start w:val="1"/>
      <w:numFmt w:val="lowerLetter"/>
      <w:lvlText w:val="%5."/>
      <w:lvlJc w:val="left"/>
      <w:pPr>
        <w:ind w:left="5848" w:hanging="360"/>
      </w:pPr>
    </w:lvl>
    <w:lvl w:ilvl="5" w:tplc="FFFFFFFF" w:tentative="1">
      <w:start w:val="1"/>
      <w:numFmt w:val="lowerRoman"/>
      <w:lvlText w:val="%6."/>
      <w:lvlJc w:val="right"/>
      <w:pPr>
        <w:ind w:left="6568" w:hanging="180"/>
      </w:pPr>
    </w:lvl>
    <w:lvl w:ilvl="6" w:tplc="FFFFFFFF" w:tentative="1">
      <w:start w:val="1"/>
      <w:numFmt w:val="decimal"/>
      <w:lvlText w:val="%7."/>
      <w:lvlJc w:val="left"/>
      <w:pPr>
        <w:ind w:left="7288" w:hanging="360"/>
      </w:pPr>
    </w:lvl>
    <w:lvl w:ilvl="7" w:tplc="FFFFFFFF" w:tentative="1">
      <w:start w:val="1"/>
      <w:numFmt w:val="lowerLetter"/>
      <w:lvlText w:val="%8."/>
      <w:lvlJc w:val="left"/>
      <w:pPr>
        <w:ind w:left="8008" w:hanging="360"/>
      </w:pPr>
    </w:lvl>
    <w:lvl w:ilvl="8" w:tplc="FFFFFFFF" w:tentative="1">
      <w:start w:val="1"/>
      <w:numFmt w:val="lowerRoman"/>
      <w:lvlText w:val="%9."/>
      <w:lvlJc w:val="right"/>
      <w:pPr>
        <w:ind w:left="8728" w:hanging="180"/>
      </w:pPr>
    </w:lvl>
  </w:abstractNum>
  <w:abstractNum w:abstractNumId="2" w15:restartNumberingAfterBreak="0">
    <w:nsid w:val="1C4003A9"/>
    <w:multiLevelType w:val="hybridMultilevel"/>
    <w:tmpl w:val="40D00124"/>
    <w:lvl w:ilvl="0" w:tplc="9912CCE0">
      <w:start w:val="1"/>
      <w:numFmt w:val="decimal"/>
      <w:lvlText w:val="%1."/>
      <w:lvlJc w:val="left"/>
      <w:pPr>
        <w:ind w:left="1210" w:hanging="360"/>
      </w:pPr>
      <w:rPr>
        <w:rFonts w:hint="default"/>
      </w:rPr>
    </w:lvl>
    <w:lvl w:ilvl="1" w:tplc="040B0001">
      <w:start w:val="1"/>
      <w:numFmt w:val="bullet"/>
      <w:lvlText w:val=""/>
      <w:lvlJc w:val="left"/>
      <w:pPr>
        <w:ind w:left="1930" w:hanging="360"/>
      </w:pPr>
      <w:rPr>
        <w:rFonts w:ascii="Symbol" w:hAnsi="Symbol" w:hint="default"/>
      </w:rPr>
    </w:lvl>
    <w:lvl w:ilvl="2" w:tplc="040B0013">
      <w:start w:val="1"/>
      <w:numFmt w:val="upperRoman"/>
      <w:lvlText w:val="%3."/>
      <w:lvlJc w:val="right"/>
      <w:pPr>
        <w:ind w:left="2650" w:hanging="180"/>
      </w:pPr>
      <w:rPr>
        <w:rFonts w:hint="default"/>
      </w:rPr>
    </w:lvl>
    <w:lvl w:ilvl="3" w:tplc="040B000F" w:tentative="1">
      <w:start w:val="1"/>
      <w:numFmt w:val="decimal"/>
      <w:lvlText w:val="%4."/>
      <w:lvlJc w:val="left"/>
      <w:pPr>
        <w:ind w:left="3370" w:hanging="360"/>
      </w:pPr>
    </w:lvl>
    <w:lvl w:ilvl="4" w:tplc="040B0019" w:tentative="1">
      <w:start w:val="1"/>
      <w:numFmt w:val="lowerLetter"/>
      <w:lvlText w:val="%5."/>
      <w:lvlJc w:val="left"/>
      <w:pPr>
        <w:ind w:left="4090" w:hanging="360"/>
      </w:pPr>
    </w:lvl>
    <w:lvl w:ilvl="5" w:tplc="040B001B" w:tentative="1">
      <w:start w:val="1"/>
      <w:numFmt w:val="lowerRoman"/>
      <w:lvlText w:val="%6."/>
      <w:lvlJc w:val="right"/>
      <w:pPr>
        <w:ind w:left="4810" w:hanging="180"/>
      </w:pPr>
    </w:lvl>
    <w:lvl w:ilvl="6" w:tplc="040B000F" w:tentative="1">
      <w:start w:val="1"/>
      <w:numFmt w:val="decimal"/>
      <w:lvlText w:val="%7."/>
      <w:lvlJc w:val="left"/>
      <w:pPr>
        <w:ind w:left="5530" w:hanging="360"/>
      </w:pPr>
    </w:lvl>
    <w:lvl w:ilvl="7" w:tplc="040B0019" w:tentative="1">
      <w:start w:val="1"/>
      <w:numFmt w:val="lowerLetter"/>
      <w:lvlText w:val="%8."/>
      <w:lvlJc w:val="left"/>
      <w:pPr>
        <w:ind w:left="6250" w:hanging="360"/>
      </w:pPr>
    </w:lvl>
    <w:lvl w:ilvl="8" w:tplc="040B001B" w:tentative="1">
      <w:start w:val="1"/>
      <w:numFmt w:val="lowerRoman"/>
      <w:lvlText w:val="%9."/>
      <w:lvlJc w:val="right"/>
      <w:pPr>
        <w:ind w:left="6970" w:hanging="180"/>
      </w:pPr>
    </w:lvl>
  </w:abstractNum>
  <w:abstractNum w:abstractNumId="3" w15:restartNumberingAfterBreak="0">
    <w:nsid w:val="219B7F33"/>
    <w:multiLevelType w:val="hybridMultilevel"/>
    <w:tmpl w:val="3424A8AC"/>
    <w:lvl w:ilvl="0" w:tplc="6E644ABA">
      <w:start w:val="1"/>
      <w:numFmt w:val="decimal"/>
      <w:lvlText w:val="%1."/>
      <w:lvlJc w:val="left"/>
      <w:pPr>
        <w:ind w:left="2968" w:hanging="360"/>
      </w:pPr>
      <w:rPr>
        <w:rFonts w:hint="default"/>
      </w:rPr>
    </w:lvl>
    <w:lvl w:ilvl="1" w:tplc="FFFFFFFF">
      <w:start w:val="1"/>
      <w:numFmt w:val="bullet"/>
      <w:lvlText w:val=""/>
      <w:lvlJc w:val="left"/>
      <w:pPr>
        <w:ind w:left="3688" w:hanging="360"/>
      </w:pPr>
      <w:rPr>
        <w:rFonts w:ascii="Symbol" w:hAnsi="Symbol" w:hint="default"/>
      </w:rPr>
    </w:lvl>
    <w:lvl w:ilvl="2" w:tplc="FFFFFFFF" w:tentative="1">
      <w:start w:val="1"/>
      <w:numFmt w:val="lowerRoman"/>
      <w:lvlText w:val="%3."/>
      <w:lvlJc w:val="right"/>
      <w:pPr>
        <w:ind w:left="4408" w:hanging="180"/>
      </w:pPr>
    </w:lvl>
    <w:lvl w:ilvl="3" w:tplc="FFFFFFFF" w:tentative="1">
      <w:start w:val="1"/>
      <w:numFmt w:val="decimal"/>
      <w:lvlText w:val="%4."/>
      <w:lvlJc w:val="left"/>
      <w:pPr>
        <w:ind w:left="5128" w:hanging="360"/>
      </w:pPr>
    </w:lvl>
    <w:lvl w:ilvl="4" w:tplc="FFFFFFFF" w:tentative="1">
      <w:start w:val="1"/>
      <w:numFmt w:val="lowerLetter"/>
      <w:lvlText w:val="%5."/>
      <w:lvlJc w:val="left"/>
      <w:pPr>
        <w:ind w:left="5848" w:hanging="360"/>
      </w:pPr>
    </w:lvl>
    <w:lvl w:ilvl="5" w:tplc="FFFFFFFF" w:tentative="1">
      <w:start w:val="1"/>
      <w:numFmt w:val="lowerRoman"/>
      <w:lvlText w:val="%6."/>
      <w:lvlJc w:val="right"/>
      <w:pPr>
        <w:ind w:left="6568" w:hanging="180"/>
      </w:pPr>
    </w:lvl>
    <w:lvl w:ilvl="6" w:tplc="FFFFFFFF" w:tentative="1">
      <w:start w:val="1"/>
      <w:numFmt w:val="decimal"/>
      <w:lvlText w:val="%7."/>
      <w:lvlJc w:val="left"/>
      <w:pPr>
        <w:ind w:left="7288" w:hanging="360"/>
      </w:pPr>
    </w:lvl>
    <w:lvl w:ilvl="7" w:tplc="FFFFFFFF" w:tentative="1">
      <w:start w:val="1"/>
      <w:numFmt w:val="lowerLetter"/>
      <w:lvlText w:val="%8."/>
      <w:lvlJc w:val="left"/>
      <w:pPr>
        <w:ind w:left="8008" w:hanging="360"/>
      </w:pPr>
    </w:lvl>
    <w:lvl w:ilvl="8" w:tplc="FFFFFFFF" w:tentative="1">
      <w:start w:val="1"/>
      <w:numFmt w:val="lowerRoman"/>
      <w:lvlText w:val="%9."/>
      <w:lvlJc w:val="right"/>
      <w:pPr>
        <w:ind w:left="8728" w:hanging="180"/>
      </w:pPr>
    </w:lvl>
  </w:abstractNum>
  <w:abstractNum w:abstractNumId="4" w15:restartNumberingAfterBreak="0">
    <w:nsid w:val="3AB50035"/>
    <w:multiLevelType w:val="hybridMultilevel"/>
    <w:tmpl w:val="56EAC576"/>
    <w:lvl w:ilvl="0" w:tplc="C0F409D4">
      <w:start w:val="1"/>
      <w:numFmt w:val="decimal"/>
      <w:lvlText w:val="%1)"/>
      <w:lvlJc w:val="left"/>
      <w:pPr>
        <w:tabs>
          <w:tab w:val="num" w:pos="720"/>
        </w:tabs>
        <w:ind w:left="720" w:hanging="360"/>
      </w:pPr>
    </w:lvl>
    <w:lvl w:ilvl="1" w:tplc="87EAA088" w:tentative="1">
      <w:start w:val="1"/>
      <w:numFmt w:val="decimal"/>
      <w:lvlText w:val="%2)"/>
      <w:lvlJc w:val="left"/>
      <w:pPr>
        <w:tabs>
          <w:tab w:val="num" w:pos="1440"/>
        </w:tabs>
        <w:ind w:left="1440" w:hanging="360"/>
      </w:pPr>
    </w:lvl>
    <w:lvl w:ilvl="2" w:tplc="0A1C2DD8" w:tentative="1">
      <w:start w:val="1"/>
      <w:numFmt w:val="decimal"/>
      <w:lvlText w:val="%3)"/>
      <w:lvlJc w:val="left"/>
      <w:pPr>
        <w:tabs>
          <w:tab w:val="num" w:pos="2160"/>
        </w:tabs>
        <w:ind w:left="2160" w:hanging="360"/>
      </w:pPr>
    </w:lvl>
    <w:lvl w:ilvl="3" w:tplc="2646C514" w:tentative="1">
      <w:start w:val="1"/>
      <w:numFmt w:val="decimal"/>
      <w:lvlText w:val="%4)"/>
      <w:lvlJc w:val="left"/>
      <w:pPr>
        <w:tabs>
          <w:tab w:val="num" w:pos="2880"/>
        </w:tabs>
        <w:ind w:left="2880" w:hanging="360"/>
      </w:pPr>
    </w:lvl>
    <w:lvl w:ilvl="4" w:tplc="352A088C" w:tentative="1">
      <w:start w:val="1"/>
      <w:numFmt w:val="decimal"/>
      <w:lvlText w:val="%5)"/>
      <w:lvlJc w:val="left"/>
      <w:pPr>
        <w:tabs>
          <w:tab w:val="num" w:pos="3600"/>
        </w:tabs>
        <w:ind w:left="3600" w:hanging="360"/>
      </w:pPr>
    </w:lvl>
    <w:lvl w:ilvl="5" w:tplc="334C7B1C" w:tentative="1">
      <w:start w:val="1"/>
      <w:numFmt w:val="decimal"/>
      <w:lvlText w:val="%6)"/>
      <w:lvlJc w:val="left"/>
      <w:pPr>
        <w:tabs>
          <w:tab w:val="num" w:pos="4320"/>
        </w:tabs>
        <w:ind w:left="4320" w:hanging="360"/>
      </w:pPr>
    </w:lvl>
    <w:lvl w:ilvl="6" w:tplc="80AE1604" w:tentative="1">
      <w:start w:val="1"/>
      <w:numFmt w:val="decimal"/>
      <w:lvlText w:val="%7)"/>
      <w:lvlJc w:val="left"/>
      <w:pPr>
        <w:tabs>
          <w:tab w:val="num" w:pos="5040"/>
        </w:tabs>
        <w:ind w:left="5040" w:hanging="360"/>
      </w:pPr>
    </w:lvl>
    <w:lvl w:ilvl="7" w:tplc="FE26B022" w:tentative="1">
      <w:start w:val="1"/>
      <w:numFmt w:val="decimal"/>
      <w:lvlText w:val="%8)"/>
      <w:lvlJc w:val="left"/>
      <w:pPr>
        <w:tabs>
          <w:tab w:val="num" w:pos="5760"/>
        </w:tabs>
        <w:ind w:left="5760" w:hanging="360"/>
      </w:pPr>
    </w:lvl>
    <w:lvl w:ilvl="8" w:tplc="BA8872D8" w:tentative="1">
      <w:start w:val="1"/>
      <w:numFmt w:val="decimal"/>
      <w:lvlText w:val="%9)"/>
      <w:lvlJc w:val="left"/>
      <w:pPr>
        <w:tabs>
          <w:tab w:val="num" w:pos="6480"/>
        </w:tabs>
        <w:ind w:left="6480" w:hanging="360"/>
      </w:pPr>
    </w:lvl>
  </w:abstractNum>
  <w:abstractNum w:abstractNumId="5" w15:restartNumberingAfterBreak="0">
    <w:nsid w:val="3C042856"/>
    <w:multiLevelType w:val="multilevel"/>
    <w:tmpl w:val="22A8CFD8"/>
    <w:styleLink w:val="Valtiokonttoriluettelomerkit"/>
    <w:lvl w:ilvl="0">
      <w:start w:val="1"/>
      <w:numFmt w:val="bullet"/>
      <w:pStyle w:val="Merkittyluettelo"/>
      <w:lvlText w:val="–"/>
      <w:lvlJc w:val="left"/>
      <w:pPr>
        <w:ind w:left="3005" w:hanging="397"/>
      </w:pPr>
      <w:rPr>
        <w:rFonts w:ascii="Arial" w:hAnsi="Arial" w:hint="default"/>
      </w:rPr>
    </w:lvl>
    <w:lvl w:ilvl="1">
      <w:start w:val="1"/>
      <w:numFmt w:val="bullet"/>
      <w:lvlText w:val="•"/>
      <w:lvlJc w:val="left"/>
      <w:pPr>
        <w:ind w:left="3402" w:hanging="397"/>
      </w:pPr>
      <w:rPr>
        <w:rFonts w:ascii="Arial" w:hAnsi="Arial" w:hint="default"/>
      </w:rPr>
    </w:lvl>
    <w:lvl w:ilvl="2">
      <w:start w:val="1"/>
      <w:numFmt w:val="bullet"/>
      <w:lvlText w:val="○"/>
      <w:lvlJc w:val="left"/>
      <w:pPr>
        <w:ind w:left="3799" w:hanging="397"/>
      </w:pPr>
      <w:rPr>
        <w:rFonts w:ascii="Arial" w:hAnsi="Arial" w:hint="default"/>
      </w:rPr>
    </w:lvl>
    <w:lvl w:ilvl="3">
      <w:start w:val="1"/>
      <w:numFmt w:val="bullet"/>
      <w:lvlText w:val="–"/>
      <w:lvlJc w:val="left"/>
      <w:pPr>
        <w:ind w:left="4196" w:hanging="397"/>
      </w:pPr>
      <w:rPr>
        <w:rFonts w:ascii="Arial" w:hAnsi="Arial" w:hint="default"/>
      </w:rPr>
    </w:lvl>
    <w:lvl w:ilvl="4">
      <w:start w:val="1"/>
      <w:numFmt w:val="bullet"/>
      <w:lvlText w:val="•"/>
      <w:lvlJc w:val="left"/>
      <w:pPr>
        <w:ind w:left="4593" w:hanging="397"/>
      </w:pPr>
      <w:rPr>
        <w:rFonts w:ascii="Arial" w:hAnsi="Arial" w:hint="default"/>
      </w:rPr>
    </w:lvl>
    <w:lvl w:ilvl="5">
      <w:start w:val="1"/>
      <w:numFmt w:val="bullet"/>
      <w:lvlText w:val="○"/>
      <w:lvlJc w:val="left"/>
      <w:pPr>
        <w:ind w:left="4990" w:hanging="397"/>
      </w:pPr>
      <w:rPr>
        <w:rFonts w:ascii="Arial" w:hAnsi="Arial" w:hint="default"/>
      </w:rPr>
    </w:lvl>
    <w:lvl w:ilvl="6">
      <w:start w:val="1"/>
      <w:numFmt w:val="bullet"/>
      <w:lvlText w:val="–"/>
      <w:lvlJc w:val="left"/>
      <w:pPr>
        <w:ind w:left="5387" w:hanging="397"/>
      </w:pPr>
      <w:rPr>
        <w:rFonts w:ascii="Arial" w:hAnsi="Arial" w:hint="default"/>
      </w:rPr>
    </w:lvl>
    <w:lvl w:ilvl="7">
      <w:start w:val="1"/>
      <w:numFmt w:val="bullet"/>
      <w:lvlText w:val="•"/>
      <w:lvlJc w:val="left"/>
      <w:pPr>
        <w:ind w:left="5784" w:hanging="397"/>
      </w:pPr>
      <w:rPr>
        <w:rFonts w:ascii="Arial" w:hAnsi="Arial" w:hint="default"/>
      </w:rPr>
    </w:lvl>
    <w:lvl w:ilvl="8">
      <w:start w:val="1"/>
      <w:numFmt w:val="bullet"/>
      <w:lvlText w:val="○"/>
      <w:lvlJc w:val="left"/>
      <w:pPr>
        <w:ind w:left="6181" w:hanging="397"/>
      </w:pPr>
      <w:rPr>
        <w:rFonts w:ascii="Arial" w:hAnsi="Arial" w:hint="default"/>
      </w:rPr>
    </w:lvl>
  </w:abstractNum>
  <w:abstractNum w:abstractNumId="6" w15:restartNumberingAfterBreak="0">
    <w:nsid w:val="3E515909"/>
    <w:multiLevelType w:val="hybridMultilevel"/>
    <w:tmpl w:val="F28C6AE6"/>
    <w:lvl w:ilvl="0" w:tplc="040B000F">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7" w15:restartNumberingAfterBreak="0">
    <w:nsid w:val="419D69E9"/>
    <w:multiLevelType w:val="multilevel"/>
    <w:tmpl w:val="82BA7B94"/>
    <w:numStyleLink w:val="Valtiokonttoriluettelonumerointi"/>
  </w:abstractNum>
  <w:abstractNum w:abstractNumId="8" w15:restartNumberingAfterBreak="0">
    <w:nsid w:val="465975DA"/>
    <w:multiLevelType w:val="multilevel"/>
    <w:tmpl w:val="82BA7B94"/>
    <w:styleLink w:val="Valtiokonttoriluettelonumerointi"/>
    <w:lvl w:ilvl="0">
      <w:start w:val="1"/>
      <w:numFmt w:val="decimal"/>
      <w:pStyle w:val="Numeroituluettelo"/>
      <w:lvlText w:val="%1."/>
      <w:lvlJc w:val="left"/>
      <w:pPr>
        <w:ind w:left="3005" w:hanging="397"/>
      </w:pPr>
      <w:rPr>
        <w:rFonts w:hint="default"/>
      </w:rPr>
    </w:lvl>
    <w:lvl w:ilvl="1">
      <w:start w:val="1"/>
      <w:numFmt w:val="bullet"/>
      <w:lvlText w:val="•"/>
      <w:lvlJc w:val="left"/>
      <w:pPr>
        <w:ind w:left="3402" w:hanging="397"/>
      </w:pPr>
      <w:rPr>
        <w:rFonts w:ascii="Arial" w:hAnsi="Arial" w:hint="default"/>
      </w:rPr>
    </w:lvl>
    <w:lvl w:ilvl="2">
      <w:start w:val="1"/>
      <w:numFmt w:val="bullet"/>
      <w:lvlText w:val="○"/>
      <w:lvlJc w:val="left"/>
      <w:pPr>
        <w:ind w:left="3799" w:hanging="397"/>
      </w:pPr>
      <w:rPr>
        <w:rFonts w:ascii="Arial" w:hAnsi="Arial" w:hint="default"/>
      </w:rPr>
    </w:lvl>
    <w:lvl w:ilvl="3">
      <w:start w:val="1"/>
      <w:numFmt w:val="bullet"/>
      <w:lvlText w:val="–"/>
      <w:lvlJc w:val="left"/>
      <w:pPr>
        <w:ind w:left="4196" w:hanging="397"/>
      </w:pPr>
      <w:rPr>
        <w:rFonts w:ascii="Arial" w:hAnsi="Arial" w:hint="default"/>
      </w:rPr>
    </w:lvl>
    <w:lvl w:ilvl="4">
      <w:start w:val="1"/>
      <w:numFmt w:val="bullet"/>
      <w:lvlText w:val="•"/>
      <w:lvlJc w:val="left"/>
      <w:pPr>
        <w:ind w:left="4593" w:hanging="397"/>
      </w:pPr>
      <w:rPr>
        <w:rFonts w:ascii="Arial" w:hAnsi="Arial" w:hint="default"/>
      </w:rPr>
    </w:lvl>
    <w:lvl w:ilvl="5">
      <w:start w:val="1"/>
      <w:numFmt w:val="bullet"/>
      <w:lvlText w:val="○"/>
      <w:lvlJc w:val="left"/>
      <w:pPr>
        <w:ind w:left="4990" w:hanging="397"/>
      </w:pPr>
      <w:rPr>
        <w:rFonts w:ascii="Arial" w:hAnsi="Arial" w:hint="default"/>
      </w:rPr>
    </w:lvl>
    <w:lvl w:ilvl="6">
      <w:start w:val="1"/>
      <w:numFmt w:val="bullet"/>
      <w:lvlText w:val="–"/>
      <w:lvlJc w:val="left"/>
      <w:pPr>
        <w:ind w:left="5387" w:hanging="397"/>
      </w:pPr>
      <w:rPr>
        <w:rFonts w:ascii="Arial" w:hAnsi="Arial" w:hint="default"/>
      </w:rPr>
    </w:lvl>
    <w:lvl w:ilvl="7">
      <w:start w:val="1"/>
      <w:numFmt w:val="bullet"/>
      <w:lvlText w:val="•"/>
      <w:lvlJc w:val="left"/>
      <w:pPr>
        <w:ind w:left="5784" w:hanging="397"/>
      </w:pPr>
      <w:rPr>
        <w:rFonts w:ascii="Arial" w:hAnsi="Arial" w:hint="default"/>
      </w:rPr>
    </w:lvl>
    <w:lvl w:ilvl="8">
      <w:start w:val="1"/>
      <w:numFmt w:val="bullet"/>
      <w:lvlText w:val="○"/>
      <w:lvlJc w:val="left"/>
      <w:pPr>
        <w:ind w:left="6181" w:hanging="397"/>
      </w:pPr>
      <w:rPr>
        <w:rFonts w:ascii="Arial" w:hAnsi="Arial" w:hint="default"/>
      </w:rPr>
    </w:lvl>
  </w:abstractNum>
  <w:abstractNum w:abstractNumId="9" w15:restartNumberingAfterBreak="0">
    <w:nsid w:val="48FD68CE"/>
    <w:multiLevelType w:val="hybridMultilevel"/>
    <w:tmpl w:val="8FFEB00A"/>
    <w:lvl w:ilvl="0" w:tplc="3F8A0820">
      <w:start w:val="1"/>
      <w:numFmt w:val="decimal"/>
      <w:lvlText w:val="%1)"/>
      <w:lvlJc w:val="left"/>
      <w:pPr>
        <w:ind w:left="2968" w:hanging="360"/>
      </w:pPr>
      <w:rPr>
        <w:rFonts w:hint="default"/>
      </w:rPr>
    </w:lvl>
    <w:lvl w:ilvl="1" w:tplc="A49A1650">
      <w:start w:val="13"/>
      <w:numFmt w:val="bullet"/>
      <w:lvlText w:val="-"/>
      <w:lvlJc w:val="left"/>
      <w:pPr>
        <w:ind w:left="3688" w:hanging="360"/>
      </w:pPr>
      <w:rPr>
        <w:rFonts w:ascii="Arial" w:eastAsiaTheme="minorHAnsi" w:hAnsi="Arial" w:cs="Arial" w:hint="default"/>
      </w:r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10" w15:restartNumberingAfterBreak="0">
    <w:nsid w:val="4B3D2C58"/>
    <w:multiLevelType w:val="hybridMultilevel"/>
    <w:tmpl w:val="4AA03C2C"/>
    <w:lvl w:ilvl="0" w:tplc="A49A1650">
      <w:start w:val="13"/>
      <w:numFmt w:val="bullet"/>
      <w:lvlText w:val="-"/>
      <w:lvlJc w:val="left"/>
      <w:pPr>
        <w:ind w:left="2968" w:hanging="360"/>
      </w:pPr>
      <w:rPr>
        <w:rFonts w:ascii="Arial" w:eastAsiaTheme="minorHAnsi" w:hAnsi="Arial" w:cs="Aria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1" w15:restartNumberingAfterBreak="0">
    <w:nsid w:val="4C0770B6"/>
    <w:multiLevelType w:val="hybridMultilevel"/>
    <w:tmpl w:val="9E4E9F26"/>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2" w15:restartNumberingAfterBreak="0">
    <w:nsid w:val="50CF5456"/>
    <w:multiLevelType w:val="hybridMultilevel"/>
    <w:tmpl w:val="7CE00646"/>
    <w:lvl w:ilvl="0" w:tplc="93165028">
      <w:start w:val="3"/>
      <w:numFmt w:val="decimal"/>
      <w:lvlText w:val="%1."/>
      <w:lvlJc w:val="left"/>
      <w:pPr>
        <w:ind w:left="2968" w:hanging="360"/>
      </w:pPr>
      <w:rPr>
        <w:rFonts w:hint="default"/>
      </w:rPr>
    </w:lvl>
    <w:lvl w:ilvl="1" w:tplc="FFFFFFFF">
      <w:start w:val="1"/>
      <w:numFmt w:val="bullet"/>
      <w:lvlText w:val=""/>
      <w:lvlJc w:val="left"/>
      <w:pPr>
        <w:ind w:left="3688" w:hanging="360"/>
      </w:pPr>
      <w:rPr>
        <w:rFonts w:ascii="Symbol" w:hAnsi="Symbol" w:hint="default"/>
      </w:rPr>
    </w:lvl>
    <w:lvl w:ilvl="2" w:tplc="FFFFFFFF" w:tentative="1">
      <w:start w:val="1"/>
      <w:numFmt w:val="lowerRoman"/>
      <w:lvlText w:val="%3."/>
      <w:lvlJc w:val="right"/>
      <w:pPr>
        <w:ind w:left="4408" w:hanging="180"/>
      </w:pPr>
    </w:lvl>
    <w:lvl w:ilvl="3" w:tplc="FFFFFFFF" w:tentative="1">
      <w:start w:val="1"/>
      <w:numFmt w:val="decimal"/>
      <w:lvlText w:val="%4."/>
      <w:lvlJc w:val="left"/>
      <w:pPr>
        <w:ind w:left="5128" w:hanging="360"/>
      </w:pPr>
    </w:lvl>
    <w:lvl w:ilvl="4" w:tplc="FFFFFFFF" w:tentative="1">
      <w:start w:val="1"/>
      <w:numFmt w:val="lowerLetter"/>
      <w:lvlText w:val="%5."/>
      <w:lvlJc w:val="left"/>
      <w:pPr>
        <w:ind w:left="5848" w:hanging="360"/>
      </w:pPr>
    </w:lvl>
    <w:lvl w:ilvl="5" w:tplc="FFFFFFFF" w:tentative="1">
      <w:start w:val="1"/>
      <w:numFmt w:val="lowerRoman"/>
      <w:lvlText w:val="%6."/>
      <w:lvlJc w:val="right"/>
      <w:pPr>
        <w:ind w:left="6568" w:hanging="180"/>
      </w:pPr>
    </w:lvl>
    <w:lvl w:ilvl="6" w:tplc="FFFFFFFF" w:tentative="1">
      <w:start w:val="1"/>
      <w:numFmt w:val="decimal"/>
      <w:lvlText w:val="%7."/>
      <w:lvlJc w:val="left"/>
      <w:pPr>
        <w:ind w:left="7288" w:hanging="360"/>
      </w:pPr>
    </w:lvl>
    <w:lvl w:ilvl="7" w:tplc="FFFFFFFF" w:tentative="1">
      <w:start w:val="1"/>
      <w:numFmt w:val="lowerLetter"/>
      <w:lvlText w:val="%8."/>
      <w:lvlJc w:val="left"/>
      <w:pPr>
        <w:ind w:left="8008" w:hanging="360"/>
      </w:pPr>
    </w:lvl>
    <w:lvl w:ilvl="8" w:tplc="FFFFFFFF" w:tentative="1">
      <w:start w:val="1"/>
      <w:numFmt w:val="lowerRoman"/>
      <w:lvlText w:val="%9."/>
      <w:lvlJc w:val="right"/>
      <w:pPr>
        <w:ind w:left="8728" w:hanging="180"/>
      </w:pPr>
    </w:lvl>
  </w:abstractNum>
  <w:abstractNum w:abstractNumId="13" w15:restartNumberingAfterBreak="0">
    <w:nsid w:val="63BA19D9"/>
    <w:multiLevelType w:val="hybridMultilevel"/>
    <w:tmpl w:val="2E503178"/>
    <w:lvl w:ilvl="0" w:tplc="D6EE0CBC">
      <w:start w:val="1"/>
      <w:numFmt w:val="decimal"/>
      <w:lvlText w:val="%1."/>
      <w:lvlJc w:val="left"/>
      <w:pPr>
        <w:ind w:left="2968" w:hanging="360"/>
      </w:pPr>
      <w:rPr>
        <w:rFonts w:hint="default"/>
      </w:rPr>
    </w:lvl>
    <w:lvl w:ilvl="1" w:tplc="FFFFFFFF">
      <w:start w:val="1"/>
      <w:numFmt w:val="bullet"/>
      <w:lvlText w:val=""/>
      <w:lvlJc w:val="left"/>
      <w:pPr>
        <w:ind w:left="3688" w:hanging="360"/>
      </w:pPr>
      <w:rPr>
        <w:rFonts w:ascii="Symbol" w:hAnsi="Symbol" w:hint="default"/>
      </w:rPr>
    </w:lvl>
    <w:lvl w:ilvl="2" w:tplc="FFFFFFFF" w:tentative="1">
      <w:start w:val="1"/>
      <w:numFmt w:val="lowerRoman"/>
      <w:lvlText w:val="%3."/>
      <w:lvlJc w:val="right"/>
      <w:pPr>
        <w:ind w:left="4408" w:hanging="180"/>
      </w:pPr>
    </w:lvl>
    <w:lvl w:ilvl="3" w:tplc="FFFFFFFF" w:tentative="1">
      <w:start w:val="1"/>
      <w:numFmt w:val="decimal"/>
      <w:lvlText w:val="%4."/>
      <w:lvlJc w:val="left"/>
      <w:pPr>
        <w:ind w:left="5128" w:hanging="360"/>
      </w:pPr>
    </w:lvl>
    <w:lvl w:ilvl="4" w:tplc="FFFFFFFF" w:tentative="1">
      <w:start w:val="1"/>
      <w:numFmt w:val="lowerLetter"/>
      <w:lvlText w:val="%5."/>
      <w:lvlJc w:val="left"/>
      <w:pPr>
        <w:ind w:left="5848" w:hanging="360"/>
      </w:pPr>
    </w:lvl>
    <w:lvl w:ilvl="5" w:tplc="FFFFFFFF" w:tentative="1">
      <w:start w:val="1"/>
      <w:numFmt w:val="lowerRoman"/>
      <w:lvlText w:val="%6."/>
      <w:lvlJc w:val="right"/>
      <w:pPr>
        <w:ind w:left="6568" w:hanging="180"/>
      </w:pPr>
    </w:lvl>
    <w:lvl w:ilvl="6" w:tplc="FFFFFFFF" w:tentative="1">
      <w:start w:val="1"/>
      <w:numFmt w:val="decimal"/>
      <w:lvlText w:val="%7."/>
      <w:lvlJc w:val="left"/>
      <w:pPr>
        <w:ind w:left="7288" w:hanging="360"/>
      </w:pPr>
    </w:lvl>
    <w:lvl w:ilvl="7" w:tplc="FFFFFFFF" w:tentative="1">
      <w:start w:val="1"/>
      <w:numFmt w:val="lowerLetter"/>
      <w:lvlText w:val="%8."/>
      <w:lvlJc w:val="left"/>
      <w:pPr>
        <w:ind w:left="8008" w:hanging="360"/>
      </w:pPr>
    </w:lvl>
    <w:lvl w:ilvl="8" w:tplc="FFFFFFFF" w:tentative="1">
      <w:start w:val="1"/>
      <w:numFmt w:val="lowerRoman"/>
      <w:lvlText w:val="%9."/>
      <w:lvlJc w:val="right"/>
      <w:pPr>
        <w:ind w:left="8728" w:hanging="180"/>
      </w:pPr>
    </w:lvl>
  </w:abstractNum>
  <w:abstractNum w:abstractNumId="14" w15:restartNumberingAfterBreak="0">
    <w:nsid w:val="66D66B9C"/>
    <w:multiLevelType w:val="hybridMultilevel"/>
    <w:tmpl w:val="56EAC576"/>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5" w15:restartNumberingAfterBreak="0">
    <w:nsid w:val="69EE1B70"/>
    <w:multiLevelType w:val="multilevel"/>
    <w:tmpl w:val="5EB25F5A"/>
    <w:styleLink w:val="Valtiokonttoriotsikkonumerointi"/>
    <w:lvl w:ilvl="0">
      <w:start w:val="1"/>
      <w:numFmt w:val="decimal"/>
      <w:pStyle w:val="Otsikko1"/>
      <w:lvlText w:val="%1"/>
      <w:lvlJc w:val="left"/>
      <w:pPr>
        <w:ind w:left="1304" w:hanging="1304"/>
      </w:pPr>
      <w:rPr>
        <w:rFonts w:hint="default"/>
      </w:rPr>
    </w:lvl>
    <w:lvl w:ilvl="1">
      <w:start w:val="1"/>
      <w:numFmt w:val="decimal"/>
      <w:pStyle w:val="Otsikko2"/>
      <w:lvlText w:val="%1.%2"/>
      <w:lvlJc w:val="left"/>
      <w:pPr>
        <w:ind w:left="1304" w:hanging="1304"/>
      </w:pPr>
      <w:rPr>
        <w:rFonts w:hint="default"/>
      </w:rPr>
    </w:lvl>
    <w:lvl w:ilvl="2">
      <w:start w:val="1"/>
      <w:numFmt w:val="decimal"/>
      <w:pStyle w:val="Otsikko3"/>
      <w:lvlText w:val="%1.%2.%3"/>
      <w:lvlJc w:val="left"/>
      <w:pPr>
        <w:ind w:left="1304" w:hanging="1304"/>
      </w:pPr>
      <w:rPr>
        <w:rFonts w:hint="default"/>
      </w:rPr>
    </w:lvl>
    <w:lvl w:ilvl="3">
      <w:start w:val="1"/>
      <w:numFmt w:val="decimal"/>
      <w:pStyle w:val="Otsikko4"/>
      <w:lvlText w:val="%1.%2.%3.%4"/>
      <w:lvlJc w:val="left"/>
      <w:pPr>
        <w:ind w:left="1304" w:hanging="1304"/>
      </w:pPr>
      <w:rPr>
        <w:rFonts w:hint="default"/>
      </w:rPr>
    </w:lvl>
    <w:lvl w:ilvl="4">
      <w:start w:val="1"/>
      <w:numFmt w:val="decimal"/>
      <w:pStyle w:val="Otsikko5"/>
      <w:lvlText w:val="%1.%2.%3.%4.%5"/>
      <w:lvlJc w:val="left"/>
      <w:pPr>
        <w:ind w:left="1418" w:hanging="1418"/>
      </w:pPr>
      <w:rPr>
        <w:rFonts w:hint="default"/>
      </w:rPr>
    </w:lvl>
    <w:lvl w:ilvl="5">
      <w:start w:val="1"/>
      <w:numFmt w:val="decimal"/>
      <w:pStyle w:val="Otsikko6"/>
      <w:lvlText w:val="%1.%2.%3.%4.%5.%6"/>
      <w:lvlJc w:val="left"/>
      <w:pPr>
        <w:ind w:left="1701" w:hanging="1701"/>
      </w:pPr>
      <w:rPr>
        <w:rFonts w:hint="default"/>
      </w:rPr>
    </w:lvl>
    <w:lvl w:ilvl="6">
      <w:start w:val="1"/>
      <w:numFmt w:val="decimal"/>
      <w:pStyle w:val="Otsikko7"/>
      <w:lvlText w:val="%1.%2.%3.%4.%5.%6.%7"/>
      <w:lvlJc w:val="left"/>
      <w:pPr>
        <w:ind w:left="1985" w:hanging="1985"/>
      </w:pPr>
      <w:rPr>
        <w:rFonts w:hint="default"/>
      </w:rPr>
    </w:lvl>
    <w:lvl w:ilvl="7">
      <w:start w:val="1"/>
      <w:numFmt w:val="decimal"/>
      <w:pStyle w:val="Otsikko8"/>
      <w:lvlText w:val="%1.%2.%3.%4.%5.%6.%7.%8"/>
      <w:lvlJc w:val="left"/>
      <w:pPr>
        <w:ind w:left="2268" w:hanging="2268"/>
      </w:pPr>
      <w:rPr>
        <w:rFonts w:hint="default"/>
      </w:rPr>
    </w:lvl>
    <w:lvl w:ilvl="8">
      <w:start w:val="1"/>
      <w:numFmt w:val="decimal"/>
      <w:pStyle w:val="Otsikko9"/>
      <w:lvlText w:val="%1.%2.%3.%4.%5.%6.%7.%8.%9"/>
      <w:lvlJc w:val="left"/>
      <w:pPr>
        <w:ind w:left="2552" w:hanging="2552"/>
      </w:pPr>
      <w:rPr>
        <w:rFonts w:hint="default"/>
      </w:rPr>
    </w:lvl>
  </w:abstractNum>
  <w:abstractNum w:abstractNumId="16" w15:restartNumberingAfterBreak="0">
    <w:nsid w:val="6CC45FB3"/>
    <w:multiLevelType w:val="multilevel"/>
    <w:tmpl w:val="3B8E03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4ED6996"/>
    <w:multiLevelType w:val="hybridMultilevel"/>
    <w:tmpl w:val="EA0A0948"/>
    <w:lvl w:ilvl="0" w:tplc="75780FE2">
      <w:start w:val="1"/>
      <w:numFmt w:val="decimal"/>
      <w:lvlText w:val="%1)"/>
      <w:lvlJc w:val="left"/>
      <w:pPr>
        <w:tabs>
          <w:tab w:val="num" w:pos="720"/>
        </w:tabs>
        <w:ind w:left="720" w:hanging="360"/>
      </w:pPr>
    </w:lvl>
    <w:lvl w:ilvl="1" w:tplc="CC324462" w:tentative="1">
      <w:start w:val="1"/>
      <w:numFmt w:val="decimal"/>
      <w:lvlText w:val="%2)"/>
      <w:lvlJc w:val="left"/>
      <w:pPr>
        <w:tabs>
          <w:tab w:val="num" w:pos="1440"/>
        </w:tabs>
        <w:ind w:left="1440" w:hanging="360"/>
      </w:pPr>
    </w:lvl>
    <w:lvl w:ilvl="2" w:tplc="E558FC2A" w:tentative="1">
      <w:start w:val="1"/>
      <w:numFmt w:val="decimal"/>
      <w:lvlText w:val="%3)"/>
      <w:lvlJc w:val="left"/>
      <w:pPr>
        <w:tabs>
          <w:tab w:val="num" w:pos="2160"/>
        </w:tabs>
        <w:ind w:left="2160" w:hanging="360"/>
      </w:pPr>
    </w:lvl>
    <w:lvl w:ilvl="3" w:tplc="6D689A74" w:tentative="1">
      <w:start w:val="1"/>
      <w:numFmt w:val="decimal"/>
      <w:lvlText w:val="%4)"/>
      <w:lvlJc w:val="left"/>
      <w:pPr>
        <w:tabs>
          <w:tab w:val="num" w:pos="2880"/>
        </w:tabs>
        <w:ind w:left="2880" w:hanging="360"/>
      </w:pPr>
    </w:lvl>
    <w:lvl w:ilvl="4" w:tplc="FEF6E668" w:tentative="1">
      <w:start w:val="1"/>
      <w:numFmt w:val="decimal"/>
      <w:lvlText w:val="%5)"/>
      <w:lvlJc w:val="left"/>
      <w:pPr>
        <w:tabs>
          <w:tab w:val="num" w:pos="3600"/>
        </w:tabs>
        <w:ind w:left="3600" w:hanging="360"/>
      </w:pPr>
    </w:lvl>
    <w:lvl w:ilvl="5" w:tplc="DC16DF86" w:tentative="1">
      <w:start w:val="1"/>
      <w:numFmt w:val="decimal"/>
      <w:lvlText w:val="%6)"/>
      <w:lvlJc w:val="left"/>
      <w:pPr>
        <w:tabs>
          <w:tab w:val="num" w:pos="4320"/>
        </w:tabs>
        <w:ind w:left="4320" w:hanging="360"/>
      </w:pPr>
    </w:lvl>
    <w:lvl w:ilvl="6" w:tplc="90CA2226" w:tentative="1">
      <w:start w:val="1"/>
      <w:numFmt w:val="decimal"/>
      <w:lvlText w:val="%7)"/>
      <w:lvlJc w:val="left"/>
      <w:pPr>
        <w:tabs>
          <w:tab w:val="num" w:pos="5040"/>
        </w:tabs>
        <w:ind w:left="5040" w:hanging="360"/>
      </w:pPr>
    </w:lvl>
    <w:lvl w:ilvl="7" w:tplc="92960D96" w:tentative="1">
      <w:start w:val="1"/>
      <w:numFmt w:val="decimal"/>
      <w:lvlText w:val="%8)"/>
      <w:lvlJc w:val="left"/>
      <w:pPr>
        <w:tabs>
          <w:tab w:val="num" w:pos="5760"/>
        </w:tabs>
        <w:ind w:left="5760" w:hanging="360"/>
      </w:pPr>
    </w:lvl>
    <w:lvl w:ilvl="8" w:tplc="A47255B4" w:tentative="1">
      <w:start w:val="1"/>
      <w:numFmt w:val="decimal"/>
      <w:lvlText w:val="%9)"/>
      <w:lvlJc w:val="left"/>
      <w:pPr>
        <w:tabs>
          <w:tab w:val="num" w:pos="6480"/>
        </w:tabs>
        <w:ind w:left="6480" w:hanging="360"/>
      </w:pPr>
    </w:lvl>
  </w:abstractNum>
  <w:abstractNum w:abstractNumId="18" w15:restartNumberingAfterBreak="0">
    <w:nsid w:val="756C7A80"/>
    <w:multiLevelType w:val="hybridMultilevel"/>
    <w:tmpl w:val="56EAC576"/>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num w:numId="1">
    <w:abstractNumId w:val="5"/>
  </w:num>
  <w:num w:numId="2">
    <w:abstractNumId w:val="8"/>
  </w:num>
  <w:num w:numId="3">
    <w:abstractNumId w:val="15"/>
  </w:num>
  <w:num w:numId="4">
    <w:abstractNumId w:val="0"/>
  </w:num>
  <w:num w:numId="5">
    <w:abstractNumId w:val="7"/>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5"/>
  </w:num>
  <w:num w:numId="9">
    <w:abstractNumId w:val="15"/>
  </w:num>
  <w:num w:numId="10">
    <w:abstractNumId w:val="10"/>
  </w:num>
  <w:num w:numId="11">
    <w:abstractNumId w:val="9"/>
  </w:num>
  <w:num w:numId="12">
    <w:abstractNumId w:val="2"/>
  </w:num>
  <w:num w:numId="13">
    <w:abstractNumId w:val="13"/>
  </w:num>
  <w:num w:numId="14">
    <w:abstractNumId w:val="3"/>
  </w:num>
  <w:num w:numId="15">
    <w:abstractNumId w:val="1"/>
  </w:num>
  <w:num w:numId="16">
    <w:abstractNumId w:val="12"/>
  </w:num>
  <w:num w:numId="17">
    <w:abstractNumId w:val="11"/>
  </w:num>
  <w:num w:numId="18">
    <w:abstractNumId w:val="17"/>
  </w:num>
  <w:num w:numId="19">
    <w:abstractNumId w:val="4"/>
  </w:num>
  <w:num w:numId="20">
    <w:abstractNumId w:val="14"/>
  </w:num>
  <w:num w:numId="21">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3B0"/>
    <w:rsid w:val="00013CA1"/>
    <w:rsid w:val="000164D8"/>
    <w:rsid w:val="00017E6E"/>
    <w:rsid w:val="00023702"/>
    <w:rsid w:val="0003119B"/>
    <w:rsid w:val="000424DE"/>
    <w:rsid w:val="00043682"/>
    <w:rsid w:val="000562C3"/>
    <w:rsid w:val="00061976"/>
    <w:rsid w:val="00063141"/>
    <w:rsid w:val="000672D9"/>
    <w:rsid w:val="00070C1F"/>
    <w:rsid w:val="00076278"/>
    <w:rsid w:val="00092C50"/>
    <w:rsid w:val="00097AA8"/>
    <w:rsid w:val="000A1437"/>
    <w:rsid w:val="000A739B"/>
    <w:rsid w:val="000C0309"/>
    <w:rsid w:val="000C0FEB"/>
    <w:rsid w:val="000D5C6D"/>
    <w:rsid w:val="000E4303"/>
    <w:rsid w:val="000F0BE9"/>
    <w:rsid w:val="000F0D1B"/>
    <w:rsid w:val="000F2B67"/>
    <w:rsid w:val="000F6F2C"/>
    <w:rsid w:val="00104ECD"/>
    <w:rsid w:val="00105754"/>
    <w:rsid w:val="00107D3F"/>
    <w:rsid w:val="00111F4D"/>
    <w:rsid w:val="00121B4E"/>
    <w:rsid w:val="0012561A"/>
    <w:rsid w:val="00134F27"/>
    <w:rsid w:val="001374E6"/>
    <w:rsid w:val="00137E59"/>
    <w:rsid w:val="00140F9B"/>
    <w:rsid w:val="00142000"/>
    <w:rsid w:val="00146B1B"/>
    <w:rsid w:val="00163176"/>
    <w:rsid w:val="001657D9"/>
    <w:rsid w:val="00170925"/>
    <w:rsid w:val="001742E5"/>
    <w:rsid w:val="00177EBA"/>
    <w:rsid w:val="00183E49"/>
    <w:rsid w:val="00184A2B"/>
    <w:rsid w:val="00187451"/>
    <w:rsid w:val="00195817"/>
    <w:rsid w:val="001A31FD"/>
    <w:rsid w:val="001A480A"/>
    <w:rsid w:val="001A5EF6"/>
    <w:rsid w:val="001B059C"/>
    <w:rsid w:val="001D22DB"/>
    <w:rsid w:val="001D6623"/>
    <w:rsid w:val="001E060A"/>
    <w:rsid w:val="001E4598"/>
    <w:rsid w:val="001E6D62"/>
    <w:rsid w:val="001F35E5"/>
    <w:rsid w:val="0020791D"/>
    <w:rsid w:val="00211A69"/>
    <w:rsid w:val="00212E17"/>
    <w:rsid w:val="00213EDF"/>
    <w:rsid w:val="00223AE0"/>
    <w:rsid w:val="00223C21"/>
    <w:rsid w:val="002316F5"/>
    <w:rsid w:val="0023449B"/>
    <w:rsid w:val="00234B81"/>
    <w:rsid w:val="00237D3D"/>
    <w:rsid w:val="00246E95"/>
    <w:rsid w:val="0024789C"/>
    <w:rsid w:val="0025336C"/>
    <w:rsid w:val="0027482F"/>
    <w:rsid w:val="00276A2D"/>
    <w:rsid w:val="00280255"/>
    <w:rsid w:val="002809F9"/>
    <w:rsid w:val="002A565B"/>
    <w:rsid w:val="002B3B2D"/>
    <w:rsid w:val="002B552D"/>
    <w:rsid w:val="002B7FC8"/>
    <w:rsid w:val="002D596C"/>
    <w:rsid w:val="002D6C96"/>
    <w:rsid w:val="002E53A2"/>
    <w:rsid w:val="002E595D"/>
    <w:rsid w:val="002E75EB"/>
    <w:rsid w:val="002F5278"/>
    <w:rsid w:val="0030095E"/>
    <w:rsid w:val="00302CE7"/>
    <w:rsid w:val="0030360A"/>
    <w:rsid w:val="00310FEC"/>
    <w:rsid w:val="0031107B"/>
    <w:rsid w:val="0031257F"/>
    <w:rsid w:val="00314463"/>
    <w:rsid w:val="00316C11"/>
    <w:rsid w:val="00322942"/>
    <w:rsid w:val="00332570"/>
    <w:rsid w:val="0033462E"/>
    <w:rsid w:val="00341A9A"/>
    <w:rsid w:val="00347836"/>
    <w:rsid w:val="00347C5C"/>
    <w:rsid w:val="0036537E"/>
    <w:rsid w:val="00371F35"/>
    <w:rsid w:val="00376A1B"/>
    <w:rsid w:val="0039299E"/>
    <w:rsid w:val="003975A1"/>
    <w:rsid w:val="003B44E8"/>
    <w:rsid w:val="003B679B"/>
    <w:rsid w:val="003B7BDE"/>
    <w:rsid w:val="003D35A1"/>
    <w:rsid w:val="003E02AE"/>
    <w:rsid w:val="003E4FC6"/>
    <w:rsid w:val="003F129C"/>
    <w:rsid w:val="003F17F7"/>
    <w:rsid w:val="003F2971"/>
    <w:rsid w:val="003F342E"/>
    <w:rsid w:val="00411EDB"/>
    <w:rsid w:val="00430E95"/>
    <w:rsid w:val="0044272B"/>
    <w:rsid w:val="00446383"/>
    <w:rsid w:val="004478FA"/>
    <w:rsid w:val="00447F37"/>
    <w:rsid w:val="00461375"/>
    <w:rsid w:val="00465243"/>
    <w:rsid w:val="004662B4"/>
    <w:rsid w:val="004729EE"/>
    <w:rsid w:val="00473C2A"/>
    <w:rsid w:val="00490A0E"/>
    <w:rsid w:val="00494326"/>
    <w:rsid w:val="00495BA7"/>
    <w:rsid w:val="00495F23"/>
    <w:rsid w:val="004A1700"/>
    <w:rsid w:val="004B4A59"/>
    <w:rsid w:val="004D7A92"/>
    <w:rsid w:val="004E5C4A"/>
    <w:rsid w:val="00507796"/>
    <w:rsid w:val="0051257A"/>
    <w:rsid w:val="005362C8"/>
    <w:rsid w:val="0053711C"/>
    <w:rsid w:val="00540D6E"/>
    <w:rsid w:val="00542799"/>
    <w:rsid w:val="00565A07"/>
    <w:rsid w:val="00572F90"/>
    <w:rsid w:val="005754E6"/>
    <w:rsid w:val="00580A07"/>
    <w:rsid w:val="00587B3D"/>
    <w:rsid w:val="00595209"/>
    <w:rsid w:val="005A7BB6"/>
    <w:rsid w:val="005B43FC"/>
    <w:rsid w:val="005B44AB"/>
    <w:rsid w:val="005B4AB4"/>
    <w:rsid w:val="005C13D9"/>
    <w:rsid w:val="005C2545"/>
    <w:rsid w:val="005C4E34"/>
    <w:rsid w:val="005C61E8"/>
    <w:rsid w:val="00611090"/>
    <w:rsid w:val="00617A28"/>
    <w:rsid w:val="00626BE8"/>
    <w:rsid w:val="00641268"/>
    <w:rsid w:val="006469BA"/>
    <w:rsid w:val="006503E1"/>
    <w:rsid w:val="006549CC"/>
    <w:rsid w:val="0068458A"/>
    <w:rsid w:val="00685D00"/>
    <w:rsid w:val="0069337E"/>
    <w:rsid w:val="0069606C"/>
    <w:rsid w:val="006A02B3"/>
    <w:rsid w:val="006A0BE6"/>
    <w:rsid w:val="006A356C"/>
    <w:rsid w:val="006A6FCF"/>
    <w:rsid w:val="006B1B52"/>
    <w:rsid w:val="006B2182"/>
    <w:rsid w:val="006C27F3"/>
    <w:rsid w:val="006D5B27"/>
    <w:rsid w:val="006D6BCA"/>
    <w:rsid w:val="006E20F9"/>
    <w:rsid w:val="006E53B0"/>
    <w:rsid w:val="006E56E3"/>
    <w:rsid w:val="006E6A71"/>
    <w:rsid w:val="006F78E6"/>
    <w:rsid w:val="00704430"/>
    <w:rsid w:val="007112FF"/>
    <w:rsid w:val="00717DEE"/>
    <w:rsid w:val="00721976"/>
    <w:rsid w:val="00727927"/>
    <w:rsid w:val="007301F8"/>
    <w:rsid w:val="007434E5"/>
    <w:rsid w:val="007474F7"/>
    <w:rsid w:val="00747B11"/>
    <w:rsid w:val="00751D4C"/>
    <w:rsid w:val="00752378"/>
    <w:rsid w:val="00755DCB"/>
    <w:rsid w:val="0077472D"/>
    <w:rsid w:val="00774BFE"/>
    <w:rsid w:val="00784B67"/>
    <w:rsid w:val="007933AD"/>
    <w:rsid w:val="007A2D36"/>
    <w:rsid w:val="007A4BCF"/>
    <w:rsid w:val="007A616D"/>
    <w:rsid w:val="007A7F85"/>
    <w:rsid w:val="007B08F7"/>
    <w:rsid w:val="007B1CBA"/>
    <w:rsid w:val="007B3CB4"/>
    <w:rsid w:val="007B4A54"/>
    <w:rsid w:val="007C75F8"/>
    <w:rsid w:val="007E2ABD"/>
    <w:rsid w:val="007E61D4"/>
    <w:rsid w:val="007E6EE8"/>
    <w:rsid w:val="007F0875"/>
    <w:rsid w:val="007F6005"/>
    <w:rsid w:val="0080165B"/>
    <w:rsid w:val="008163E5"/>
    <w:rsid w:val="008168B2"/>
    <w:rsid w:val="00832D9B"/>
    <w:rsid w:val="00833782"/>
    <w:rsid w:val="0084008C"/>
    <w:rsid w:val="0084531F"/>
    <w:rsid w:val="00855E48"/>
    <w:rsid w:val="00861DE3"/>
    <w:rsid w:val="008625F7"/>
    <w:rsid w:val="00863B30"/>
    <w:rsid w:val="0087271F"/>
    <w:rsid w:val="00877B51"/>
    <w:rsid w:val="00880DCB"/>
    <w:rsid w:val="0088324C"/>
    <w:rsid w:val="00896241"/>
    <w:rsid w:val="008B2E75"/>
    <w:rsid w:val="008C3B4C"/>
    <w:rsid w:val="008D110F"/>
    <w:rsid w:val="008D18C1"/>
    <w:rsid w:val="008D4A22"/>
    <w:rsid w:val="008D59E1"/>
    <w:rsid w:val="008E0A22"/>
    <w:rsid w:val="008E1C44"/>
    <w:rsid w:val="008E53D8"/>
    <w:rsid w:val="008F07E2"/>
    <w:rsid w:val="008F195E"/>
    <w:rsid w:val="009019B2"/>
    <w:rsid w:val="00904D3A"/>
    <w:rsid w:val="00916F77"/>
    <w:rsid w:val="00921346"/>
    <w:rsid w:val="00923976"/>
    <w:rsid w:val="00933C97"/>
    <w:rsid w:val="00943688"/>
    <w:rsid w:val="00946E87"/>
    <w:rsid w:val="00952EF8"/>
    <w:rsid w:val="00961973"/>
    <w:rsid w:val="00966A03"/>
    <w:rsid w:val="00966EC6"/>
    <w:rsid w:val="00967FDC"/>
    <w:rsid w:val="009728FB"/>
    <w:rsid w:val="009769D4"/>
    <w:rsid w:val="009951B0"/>
    <w:rsid w:val="009A44A6"/>
    <w:rsid w:val="009A7CC8"/>
    <w:rsid w:val="009B2A32"/>
    <w:rsid w:val="009B3904"/>
    <w:rsid w:val="009B7478"/>
    <w:rsid w:val="009C0A36"/>
    <w:rsid w:val="009C4315"/>
    <w:rsid w:val="009C594C"/>
    <w:rsid w:val="009C78EA"/>
    <w:rsid w:val="009E010F"/>
    <w:rsid w:val="009E26BA"/>
    <w:rsid w:val="009F3CD1"/>
    <w:rsid w:val="00A0221B"/>
    <w:rsid w:val="00A03141"/>
    <w:rsid w:val="00A13A10"/>
    <w:rsid w:val="00A35759"/>
    <w:rsid w:val="00A35830"/>
    <w:rsid w:val="00A374E1"/>
    <w:rsid w:val="00A45988"/>
    <w:rsid w:val="00A47EDC"/>
    <w:rsid w:val="00A544E4"/>
    <w:rsid w:val="00A54C88"/>
    <w:rsid w:val="00A61114"/>
    <w:rsid w:val="00A63582"/>
    <w:rsid w:val="00A63B6C"/>
    <w:rsid w:val="00A64D82"/>
    <w:rsid w:val="00A66007"/>
    <w:rsid w:val="00A67B09"/>
    <w:rsid w:val="00A70680"/>
    <w:rsid w:val="00A7455F"/>
    <w:rsid w:val="00A8090E"/>
    <w:rsid w:val="00A816EA"/>
    <w:rsid w:val="00A8348C"/>
    <w:rsid w:val="00A84C41"/>
    <w:rsid w:val="00A94AEC"/>
    <w:rsid w:val="00AB021A"/>
    <w:rsid w:val="00AB2F74"/>
    <w:rsid w:val="00AC1420"/>
    <w:rsid w:val="00AC4FBE"/>
    <w:rsid w:val="00AD015B"/>
    <w:rsid w:val="00AD39CE"/>
    <w:rsid w:val="00AD54CC"/>
    <w:rsid w:val="00AE2B3E"/>
    <w:rsid w:val="00AE72C7"/>
    <w:rsid w:val="00AF1EB9"/>
    <w:rsid w:val="00AF6B8C"/>
    <w:rsid w:val="00B05623"/>
    <w:rsid w:val="00B05904"/>
    <w:rsid w:val="00B24FF5"/>
    <w:rsid w:val="00B306F9"/>
    <w:rsid w:val="00B36F57"/>
    <w:rsid w:val="00B42067"/>
    <w:rsid w:val="00B43C21"/>
    <w:rsid w:val="00B43E1E"/>
    <w:rsid w:val="00B47189"/>
    <w:rsid w:val="00B5567D"/>
    <w:rsid w:val="00B571DB"/>
    <w:rsid w:val="00B635B0"/>
    <w:rsid w:val="00B777C3"/>
    <w:rsid w:val="00B850A8"/>
    <w:rsid w:val="00B96176"/>
    <w:rsid w:val="00BA301D"/>
    <w:rsid w:val="00BB2BC4"/>
    <w:rsid w:val="00BB5795"/>
    <w:rsid w:val="00BB706C"/>
    <w:rsid w:val="00BD26F3"/>
    <w:rsid w:val="00BD4FB8"/>
    <w:rsid w:val="00BE178E"/>
    <w:rsid w:val="00BE4FB1"/>
    <w:rsid w:val="00BF3393"/>
    <w:rsid w:val="00BF737A"/>
    <w:rsid w:val="00C011D0"/>
    <w:rsid w:val="00C10D7E"/>
    <w:rsid w:val="00C15400"/>
    <w:rsid w:val="00C212FD"/>
    <w:rsid w:val="00C232F6"/>
    <w:rsid w:val="00C24F46"/>
    <w:rsid w:val="00C3674B"/>
    <w:rsid w:val="00C50637"/>
    <w:rsid w:val="00C563FE"/>
    <w:rsid w:val="00C57571"/>
    <w:rsid w:val="00C6128D"/>
    <w:rsid w:val="00C755B0"/>
    <w:rsid w:val="00C9392C"/>
    <w:rsid w:val="00C9486A"/>
    <w:rsid w:val="00CA0C0C"/>
    <w:rsid w:val="00CA1DC4"/>
    <w:rsid w:val="00CB1E5C"/>
    <w:rsid w:val="00CC5CE2"/>
    <w:rsid w:val="00CC6352"/>
    <w:rsid w:val="00CD3323"/>
    <w:rsid w:val="00CD6A56"/>
    <w:rsid w:val="00CE3C1F"/>
    <w:rsid w:val="00CE5057"/>
    <w:rsid w:val="00CE7557"/>
    <w:rsid w:val="00CF2682"/>
    <w:rsid w:val="00CF2C0A"/>
    <w:rsid w:val="00CF644C"/>
    <w:rsid w:val="00D02CAD"/>
    <w:rsid w:val="00D10B78"/>
    <w:rsid w:val="00D2155E"/>
    <w:rsid w:val="00D25CF7"/>
    <w:rsid w:val="00D26109"/>
    <w:rsid w:val="00D31F8D"/>
    <w:rsid w:val="00D447EF"/>
    <w:rsid w:val="00D46C49"/>
    <w:rsid w:val="00D55480"/>
    <w:rsid w:val="00D55E7E"/>
    <w:rsid w:val="00D578F1"/>
    <w:rsid w:val="00D80F21"/>
    <w:rsid w:val="00D9162C"/>
    <w:rsid w:val="00D91EBD"/>
    <w:rsid w:val="00DA0F66"/>
    <w:rsid w:val="00DA18E2"/>
    <w:rsid w:val="00DA5E93"/>
    <w:rsid w:val="00DB02BB"/>
    <w:rsid w:val="00DC4306"/>
    <w:rsid w:val="00DD31F6"/>
    <w:rsid w:val="00DD40AC"/>
    <w:rsid w:val="00DE28D7"/>
    <w:rsid w:val="00DE29F8"/>
    <w:rsid w:val="00DE41B8"/>
    <w:rsid w:val="00DE437A"/>
    <w:rsid w:val="00DF4661"/>
    <w:rsid w:val="00E0130E"/>
    <w:rsid w:val="00E07781"/>
    <w:rsid w:val="00E14A61"/>
    <w:rsid w:val="00E338D7"/>
    <w:rsid w:val="00E374EB"/>
    <w:rsid w:val="00E45F72"/>
    <w:rsid w:val="00E47337"/>
    <w:rsid w:val="00E54F12"/>
    <w:rsid w:val="00E60B99"/>
    <w:rsid w:val="00E61DA7"/>
    <w:rsid w:val="00E67788"/>
    <w:rsid w:val="00E83BF8"/>
    <w:rsid w:val="00E84453"/>
    <w:rsid w:val="00E84905"/>
    <w:rsid w:val="00EA281E"/>
    <w:rsid w:val="00EB0481"/>
    <w:rsid w:val="00EB4E6D"/>
    <w:rsid w:val="00EC7FDA"/>
    <w:rsid w:val="00ED1B26"/>
    <w:rsid w:val="00ED41D5"/>
    <w:rsid w:val="00ED56B7"/>
    <w:rsid w:val="00ED7E9F"/>
    <w:rsid w:val="00EE0019"/>
    <w:rsid w:val="00EE0986"/>
    <w:rsid w:val="00EE1236"/>
    <w:rsid w:val="00EF72B0"/>
    <w:rsid w:val="00F00B41"/>
    <w:rsid w:val="00F03061"/>
    <w:rsid w:val="00F04286"/>
    <w:rsid w:val="00F1235C"/>
    <w:rsid w:val="00F1542F"/>
    <w:rsid w:val="00F17415"/>
    <w:rsid w:val="00F17F2E"/>
    <w:rsid w:val="00F37B49"/>
    <w:rsid w:val="00F37E99"/>
    <w:rsid w:val="00F42FFE"/>
    <w:rsid w:val="00F450CA"/>
    <w:rsid w:val="00F47CC8"/>
    <w:rsid w:val="00F502C5"/>
    <w:rsid w:val="00F5677F"/>
    <w:rsid w:val="00F623A7"/>
    <w:rsid w:val="00F648D0"/>
    <w:rsid w:val="00F864E4"/>
    <w:rsid w:val="00F94746"/>
    <w:rsid w:val="00F970A3"/>
    <w:rsid w:val="00FA27C0"/>
    <w:rsid w:val="00FA6D03"/>
    <w:rsid w:val="00FB2169"/>
    <w:rsid w:val="00FB308F"/>
    <w:rsid w:val="00FB4DF3"/>
    <w:rsid w:val="00FC4450"/>
    <w:rsid w:val="00FD2861"/>
    <w:rsid w:val="00FE1E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B5170"/>
  <w15:docId w15:val="{489C756A-77A7-42CE-A2E2-4C6808A91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662B4"/>
  </w:style>
  <w:style w:type="paragraph" w:styleId="Otsikko1">
    <w:name w:val="heading 1"/>
    <w:basedOn w:val="Normaali"/>
    <w:next w:val="Leipteksti"/>
    <w:link w:val="Otsikko1Char"/>
    <w:uiPriority w:val="9"/>
    <w:qFormat/>
    <w:rsid w:val="000C0FEB"/>
    <w:pPr>
      <w:keepNext/>
      <w:keepLines/>
      <w:numPr>
        <w:numId w:val="3"/>
      </w:numPr>
      <w:spacing w:after="220"/>
      <w:outlineLvl w:val="0"/>
    </w:pPr>
    <w:rPr>
      <w:rFonts w:asciiTheme="majorHAnsi" w:eastAsiaTheme="majorEastAsia" w:hAnsiTheme="majorHAnsi" w:cstheme="majorBidi"/>
      <w:b/>
      <w:bCs/>
      <w:sz w:val="26"/>
      <w:szCs w:val="28"/>
    </w:rPr>
  </w:style>
  <w:style w:type="paragraph" w:styleId="Otsikko2">
    <w:name w:val="heading 2"/>
    <w:basedOn w:val="Normaali"/>
    <w:next w:val="Leipteksti"/>
    <w:link w:val="Otsikko2Char"/>
    <w:uiPriority w:val="9"/>
    <w:qFormat/>
    <w:rsid w:val="00465243"/>
    <w:pPr>
      <w:keepNext/>
      <w:keepLines/>
      <w:numPr>
        <w:ilvl w:val="1"/>
        <w:numId w:val="3"/>
      </w:numPr>
      <w:spacing w:after="22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465243"/>
    <w:pPr>
      <w:keepNext/>
      <w:keepLines/>
      <w:numPr>
        <w:ilvl w:val="2"/>
        <w:numId w:val="3"/>
      </w:numPr>
      <w:spacing w:after="220"/>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rsid w:val="00465243"/>
    <w:pPr>
      <w:keepNext/>
      <w:keepLines/>
      <w:numPr>
        <w:ilvl w:val="3"/>
        <w:numId w:val="3"/>
      </w:numPr>
      <w:spacing w:after="22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465243"/>
    <w:pPr>
      <w:keepNext/>
      <w:keepLines/>
      <w:numPr>
        <w:ilvl w:val="4"/>
        <w:numId w:val="3"/>
      </w:numPr>
      <w:spacing w:after="22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465243"/>
    <w:pPr>
      <w:keepNext/>
      <w:keepLines/>
      <w:numPr>
        <w:ilvl w:val="5"/>
        <w:numId w:val="3"/>
      </w:numPr>
      <w:spacing w:after="22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465243"/>
    <w:pPr>
      <w:keepNext/>
      <w:keepLines/>
      <w:numPr>
        <w:ilvl w:val="6"/>
        <w:numId w:val="3"/>
      </w:numPr>
      <w:spacing w:after="22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465243"/>
    <w:pPr>
      <w:keepNext/>
      <w:keepLines/>
      <w:numPr>
        <w:ilvl w:val="7"/>
        <w:numId w:val="3"/>
      </w:numPr>
      <w:spacing w:after="220"/>
      <w:outlineLvl w:val="7"/>
    </w:pPr>
    <w:rPr>
      <w:rFonts w:asciiTheme="majorHAnsi" w:eastAsiaTheme="majorEastAsia" w:hAnsiTheme="majorHAnsi" w:cstheme="majorBidi"/>
    </w:rPr>
  </w:style>
  <w:style w:type="paragraph" w:styleId="Otsikko9">
    <w:name w:val="heading 9"/>
    <w:basedOn w:val="Normaali"/>
    <w:next w:val="Leipteksti"/>
    <w:link w:val="Otsikko9Char"/>
    <w:uiPriority w:val="9"/>
    <w:rsid w:val="00465243"/>
    <w:pPr>
      <w:keepNext/>
      <w:keepLines/>
      <w:numPr>
        <w:ilvl w:val="8"/>
        <w:numId w:val="3"/>
      </w:numPr>
      <w:spacing w:after="220"/>
      <w:outlineLvl w:val="8"/>
    </w:pPr>
    <w:rPr>
      <w:rFonts w:asciiTheme="majorHAnsi" w:eastAsiaTheme="majorEastAsia" w:hAnsiTheme="majorHAnsi" w:cstheme="majorBid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8168B2"/>
  </w:style>
  <w:style w:type="character" w:customStyle="1" w:styleId="YltunnisteChar">
    <w:name w:val="Ylätunniste Char"/>
    <w:basedOn w:val="Kappaleenoletusfontti"/>
    <w:link w:val="Yltunniste"/>
    <w:uiPriority w:val="99"/>
    <w:rsid w:val="000672D9"/>
    <w:rPr>
      <w:sz w:val="22"/>
      <w:szCs w:val="22"/>
    </w:rPr>
  </w:style>
  <w:style w:type="paragraph" w:styleId="Alatunniste">
    <w:name w:val="footer"/>
    <w:basedOn w:val="Normaali"/>
    <w:link w:val="AlatunnisteChar"/>
    <w:uiPriority w:val="99"/>
    <w:rsid w:val="008168B2"/>
    <w:pPr>
      <w:spacing w:line="264" w:lineRule="auto"/>
    </w:pPr>
    <w:rPr>
      <w:sz w:val="15"/>
    </w:rPr>
  </w:style>
  <w:style w:type="character" w:customStyle="1" w:styleId="AlatunnisteChar">
    <w:name w:val="Alatunniste Char"/>
    <w:basedOn w:val="Kappaleenoletusfontti"/>
    <w:link w:val="Alatunniste"/>
    <w:uiPriority w:val="99"/>
    <w:rsid w:val="00341A9A"/>
    <w:rPr>
      <w:sz w:val="15"/>
      <w:szCs w:val="22"/>
    </w:rPr>
  </w:style>
  <w:style w:type="table" w:styleId="TaulukkoRuudukko">
    <w:name w:val="Table Grid"/>
    <w:basedOn w:val="Normaalitaulukko"/>
    <w:uiPriority w:val="59"/>
    <w:rsid w:val="008168B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Eireunaviivaa">
    <w:name w:val="Ei reunaviivaa"/>
    <w:basedOn w:val="Normaalitaulukko"/>
    <w:uiPriority w:val="99"/>
    <w:qFormat/>
    <w:rsid w:val="008168B2"/>
    <w:tblPr>
      <w:tblCellMar>
        <w:left w:w="0" w:type="dxa"/>
        <w:right w:w="0" w:type="dxa"/>
      </w:tblCellMar>
    </w:tblPr>
  </w:style>
  <w:style w:type="character" w:styleId="Paikkamerkkiteksti">
    <w:name w:val="Placeholder Text"/>
    <w:basedOn w:val="Kappaleenoletusfontti"/>
    <w:uiPriority w:val="99"/>
    <w:rsid w:val="008168B2"/>
    <w:rPr>
      <w:color w:val="auto"/>
    </w:rPr>
  </w:style>
  <w:style w:type="paragraph" w:styleId="Seliteteksti">
    <w:name w:val="Balloon Text"/>
    <w:basedOn w:val="Normaali"/>
    <w:link w:val="SelitetekstiChar"/>
    <w:uiPriority w:val="99"/>
    <w:semiHidden/>
    <w:unhideWhenUsed/>
    <w:rsid w:val="008168B2"/>
    <w:rPr>
      <w:rFonts w:ascii="Tahoma" w:hAnsi="Tahoma" w:cs="Tahoma"/>
      <w:sz w:val="16"/>
      <w:szCs w:val="16"/>
    </w:rPr>
  </w:style>
  <w:style w:type="character" w:customStyle="1" w:styleId="SelitetekstiChar">
    <w:name w:val="Seliteteksti Char"/>
    <w:basedOn w:val="Kappaleenoletusfontti"/>
    <w:link w:val="Seliteteksti"/>
    <w:uiPriority w:val="99"/>
    <w:semiHidden/>
    <w:rsid w:val="00747B11"/>
    <w:rPr>
      <w:rFonts w:ascii="Tahoma" w:hAnsi="Tahoma" w:cs="Tahoma"/>
      <w:sz w:val="16"/>
      <w:szCs w:val="16"/>
    </w:rPr>
  </w:style>
  <w:style w:type="paragraph" w:styleId="Leipteksti">
    <w:name w:val="Body Text"/>
    <w:basedOn w:val="Normaali"/>
    <w:link w:val="LeiptekstiChar"/>
    <w:uiPriority w:val="1"/>
    <w:qFormat/>
    <w:rsid w:val="000C0FEB"/>
    <w:pPr>
      <w:spacing w:after="220"/>
      <w:ind w:left="2608"/>
    </w:pPr>
  </w:style>
  <w:style w:type="character" w:customStyle="1" w:styleId="LeiptekstiChar">
    <w:name w:val="Leipäteksti Char"/>
    <w:basedOn w:val="Kappaleenoletusfontti"/>
    <w:link w:val="Leipteksti"/>
    <w:uiPriority w:val="1"/>
    <w:rsid w:val="000C0FEB"/>
  </w:style>
  <w:style w:type="paragraph" w:styleId="Otsikko">
    <w:name w:val="Title"/>
    <w:basedOn w:val="Normaali"/>
    <w:next w:val="Leipteksti"/>
    <w:link w:val="OtsikkoChar"/>
    <w:uiPriority w:val="10"/>
    <w:qFormat/>
    <w:rsid w:val="00BE178E"/>
    <w:pPr>
      <w:spacing w:after="220"/>
    </w:pPr>
    <w:rPr>
      <w:rFonts w:asciiTheme="majorHAnsi" w:eastAsiaTheme="majorEastAsia" w:hAnsiTheme="majorHAnsi" w:cstheme="majorHAnsi"/>
      <w:b/>
      <w:sz w:val="30"/>
      <w:szCs w:val="52"/>
    </w:rPr>
  </w:style>
  <w:style w:type="character" w:customStyle="1" w:styleId="OtsikkoChar">
    <w:name w:val="Otsikko Char"/>
    <w:basedOn w:val="Kappaleenoletusfontti"/>
    <w:link w:val="Otsikko"/>
    <w:uiPriority w:val="10"/>
    <w:rsid w:val="00BE178E"/>
    <w:rPr>
      <w:rFonts w:asciiTheme="majorHAnsi" w:eastAsiaTheme="majorEastAsia" w:hAnsiTheme="majorHAnsi" w:cstheme="majorHAnsi"/>
      <w:b/>
      <w:sz w:val="30"/>
      <w:szCs w:val="52"/>
    </w:rPr>
  </w:style>
  <w:style w:type="character" w:customStyle="1" w:styleId="Otsikko1Char">
    <w:name w:val="Otsikko 1 Char"/>
    <w:basedOn w:val="Kappaleenoletusfontti"/>
    <w:link w:val="Otsikko1"/>
    <w:uiPriority w:val="9"/>
    <w:rsid w:val="000C0FEB"/>
    <w:rPr>
      <w:rFonts w:asciiTheme="majorHAnsi" w:eastAsiaTheme="majorEastAsia" w:hAnsiTheme="majorHAnsi" w:cstheme="majorBidi"/>
      <w:b/>
      <w:bCs/>
      <w:sz w:val="26"/>
      <w:szCs w:val="28"/>
    </w:rPr>
  </w:style>
  <w:style w:type="character" w:customStyle="1" w:styleId="Otsikko2Char">
    <w:name w:val="Otsikko 2 Char"/>
    <w:basedOn w:val="Kappaleenoletusfontti"/>
    <w:link w:val="Otsikko2"/>
    <w:uiPriority w:val="9"/>
    <w:rsid w:val="00465243"/>
    <w:rPr>
      <w:rFonts w:asciiTheme="majorHAnsi" w:eastAsiaTheme="majorEastAsia" w:hAnsiTheme="majorHAnsi" w:cstheme="majorBidi"/>
      <w:b/>
      <w:bCs/>
      <w:szCs w:val="26"/>
    </w:rPr>
  </w:style>
  <w:style w:type="character" w:customStyle="1" w:styleId="Otsikko3Char">
    <w:name w:val="Otsikko 3 Char"/>
    <w:basedOn w:val="Kappaleenoletusfontti"/>
    <w:link w:val="Otsikko3"/>
    <w:uiPriority w:val="9"/>
    <w:rsid w:val="00465243"/>
    <w:rPr>
      <w:rFonts w:asciiTheme="majorHAnsi" w:eastAsiaTheme="majorEastAsia" w:hAnsiTheme="majorHAnsi" w:cstheme="majorBidi"/>
      <w:bCs/>
    </w:rPr>
  </w:style>
  <w:style w:type="character" w:customStyle="1" w:styleId="Otsikko4Char">
    <w:name w:val="Otsikko 4 Char"/>
    <w:basedOn w:val="Kappaleenoletusfontti"/>
    <w:link w:val="Otsikko4"/>
    <w:uiPriority w:val="9"/>
    <w:rsid w:val="00465243"/>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465243"/>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465243"/>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465243"/>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465243"/>
    <w:rPr>
      <w:rFonts w:asciiTheme="majorHAnsi" w:eastAsiaTheme="majorEastAsia" w:hAnsiTheme="majorHAnsi" w:cstheme="majorBidi"/>
    </w:rPr>
  </w:style>
  <w:style w:type="character" w:customStyle="1" w:styleId="Otsikko9Char">
    <w:name w:val="Otsikko 9 Char"/>
    <w:basedOn w:val="Kappaleenoletusfontti"/>
    <w:link w:val="Otsikko9"/>
    <w:uiPriority w:val="9"/>
    <w:rsid w:val="00465243"/>
    <w:rPr>
      <w:rFonts w:asciiTheme="majorHAnsi" w:eastAsiaTheme="majorEastAsia" w:hAnsiTheme="majorHAnsi" w:cstheme="majorBidi"/>
      <w:iCs/>
    </w:rPr>
  </w:style>
  <w:style w:type="numbering" w:customStyle="1" w:styleId="Valtiokonttoriotsikkonumerointi">
    <w:name w:val="Valtiokonttori otsikkonumerointi"/>
    <w:uiPriority w:val="99"/>
    <w:rsid w:val="008168B2"/>
    <w:pPr>
      <w:numPr>
        <w:numId w:val="3"/>
      </w:numPr>
    </w:pPr>
  </w:style>
  <w:style w:type="paragraph" w:styleId="Eivli">
    <w:name w:val="No Spacing"/>
    <w:uiPriority w:val="2"/>
    <w:qFormat/>
    <w:rsid w:val="008168B2"/>
    <w:pPr>
      <w:ind w:left="2608"/>
    </w:pPr>
  </w:style>
  <w:style w:type="numbering" w:customStyle="1" w:styleId="Valtiokonttoriluettelomerkit">
    <w:name w:val="Valtiokonttori luettelomerkit"/>
    <w:uiPriority w:val="99"/>
    <w:rsid w:val="00C232F6"/>
    <w:pPr>
      <w:numPr>
        <w:numId w:val="1"/>
      </w:numPr>
    </w:pPr>
  </w:style>
  <w:style w:type="numbering" w:customStyle="1" w:styleId="Valtiokonttoriluettelonumerointi">
    <w:name w:val="Valtiokonttori luettelonumerointi"/>
    <w:uiPriority w:val="99"/>
    <w:rsid w:val="00CA0C0C"/>
    <w:pPr>
      <w:numPr>
        <w:numId w:val="2"/>
      </w:numPr>
    </w:pPr>
  </w:style>
  <w:style w:type="paragraph" w:styleId="Merkittyluettelo">
    <w:name w:val="List Bullet"/>
    <w:basedOn w:val="Normaali"/>
    <w:uiPriority w:val="99"/>
    <w:qFormat/>
    <w:rsid w:val="00C232F6"/>
    <w:pPr>
      <w:numPr>
        <w:numId w:val="4"/>
      </w:numPr>
      <w:spacing w:after="220"/>
      <w:contextualSpacing/>
    </w:pPr>
  </w:style>
  <w:style w:type="paragraph" w:styleId="Numeroituluettelo">
    <w:name w:val="List Number"/>
    <w:basedOn w:val="Normaali"/>
    <w:uiPriority w:val="99"/>
    <w:qFormat/>
    <w:rsid w:val="00CA0C0C"/>
    <w:pPr>
      <w:numPr>
        <w:numId w:val="5"/>
      </w:numPr>
      <w:spacing w:after="220"/>
      <w:contextualSpacing/>
    </w:pPr>
  </w:style>
  <w:style w:type="paragraph" w:styleId="Sisllysluettelonotsikko">
    <w:name w:val="TOC Heading"/>
    <w:basedOn w:val="Otsikko1"/>
    <w:next w:val="Normaali"/>
    <w:uiPriority w:val="39"/>
    <w:qFormat/>
    <w:rsid w:val="008168B2"/>
    <w:pPr>
      <w:numPr>
        <w:numId w:val="0"/>
      </w:numPr>
      <w:outlineLvl w:val="9"/>
    </w:pPr>
    <w:rPr>
      <w:sz w:val="30"/>
    </w:rPr>
  </w:style>
  <w:style w:type="paragraph" w:styleId="Sisluet1">
    <w:name w:val="toc 1"/>
    <w:basedOn w:val="Normaali"/>
    <w:next w:val="Normaali"/>
    <w:autoRedefine/>
    <w:uiPriority w:val="39"/>
    <w:rsid w:val="006E53B0"/>
    <w:pPr>
      <w:spacing w:after="100"/>
    </w:pPr>
  </w:style>
  <w:style w:type="character" w:styleId="Hyperlinkki">
    <w:name w:val="Hyperlink"/>
    <w:basedOn w:val="Kappaleenoletusfontti"/>
    <w:uiPriority w:val="99"/>
    <w:unhideWhenUsed/>
    <w:rsid w:val="006E53B0"/>
    <w:rPr>
      <w:color w:val="004E57" w:themeColor="hyperlink"/>
      <w:u w:val="single"/>
    </w:rPr>
  </w:style>
  <w:style w:type="paragraph" w:styleId="Sisluet2">
    <w:name w:val="toc 2"/>
    <w:basedOn w:val="Normaali"/>
    <w:next w:val="Normaali"/>
    <w:autoRedefine/>
    <w:uiPriority w:val="39"/>
    <w:rsid w:val="00916F77"/>
    <w:pPr>
      <w:spacing w:after="100"/>
      <w:ind w:left="220"/>
    </w:pPr>
  </w:style>
  <w:style w:type="character" w:styleId="Kommentinviite">
    <w:name w:val="annotation reference"/>
    <w:basedOn w:val="Kappaleenoletusfontti"/>
    <w:uiPriority w:val="99"/>
    <w:semiHidden/>
    <w:unhideWhenUsed/>
    <w:rsid w:val="00CC6352"/>
    <w:rPr>
      <w:sz w:val="16"/>
      <w:szCs w:val="16"/>
    </w:rPr>
  </w:style>
  <w:style w:type="paragraph" w:styleId="Kommentinteksti">
    <w:name w:val="annotation text"/>
    <w:basedOn w:val="Normaali"/>
    <w:link w:val="KommentintekstiChar"/>
    <w:uiPriority w:val="99"/>
    <w:semiHidden/>
    <w:unhideWhenUsed/>
    <w:rsid w:val="00CC6352"/>
    <w:rPr>
      <w:sz w:val="20"/>
      <w:szCs w:val="20"/>
    </w:rPr>
  </w:style>
  <w:style w:type="character" w:customStyle="1" w:styleId="KommentintekstiChar">
    <w:name w:val="Kommentin teksti Char"/>
    <w:basedOn w:val="Kappaleenoletusfontti"/>
    <w:link w:val="Kommentinteksti"/>
    <w:uiPriority w:val="99"/>
    <w:semiHidden/>
    <w:rsid w:val="00CC6352"/>
    <w:rPr>
      <w:sz w:val="20"/>
      <w:szCs w:val="20"/>
    </w:rPr>
  </w:style>
  <w:style w:type="paragraph" w:styleId="Luettelokappale">
    <w:name w:val="List Paragraph"/>
    <w:basedOn w:val="Normaali"/>
    <w:uiPriority w:val="34"/>
    <w:qFormat/>
    <w:rsid w:val="00B777C3"/>
    <w:pPr>
      <w:ind w:left="720"/>
      <w:contextualSpacing/>
    </w:pPr>
  </w:style>
  <w:style w:type="paragraph" w:styleId="Kommentinotsikko">
    <w:name w:val="annotation subject"/>
    <w:basedOn w:val="Kommentinteksti"/>
    <w:next w:val="Kommentinteksti"/>
    <w:link w:val="KommentinotsikkoChar"/>
    <w:uiPriority w:val="99"/>
    <w:semiHidden/>
    <w:unhideWhenUsed/>
    <w:rsid w:val="00B777C3"/>
    <w:rPr>
      <w:b/>
      <w:bCs/>
    </w:rPr>
  </w:style>
  <w:style w:type="character" w:customStyle="1" w:styleId="KommentinotsikkoChar">
    <w:name w:val="Kommentin otsikko Char"/>
    <w:basedOn w:val="KommentintekstiChar"/>
    <w:link w:val="Kommentinotsikko"/>
    <w:uiPriority w:val="99"/>
    <w:semiHidden/>
    <w:rsid w:val="00B777C3"/>
    <w:rPr>
      <w:b/>
      <w:bCs/>
      <w:sz w:val="20"/>
      <w:szCs w:val="20"/>
    </w:rPr>
  </w:style>
  <w:style w:type="paragraph" w:styleId="Muutos">
    <w:name w:val="Revision"/>
    <w:hidden/>
    <w:uiPriority w:val="99"/>
    <w:semiHidden/>
    <w:rsid w:val="00B777C3"/>
  </w:style>
  <w:style w:type="paragraph" w:styleId="NormaaliWWW">
    <w:name w:val="Normal (Web)"/>
    <w:basedOn w:val="Normaali"/>
    <w:uiPriority w:val="99"/>
    <w:unhideWhenUsed/>
    <w:rsid w:val="00833782"/>
    <w:pPr>
      <w:spacing w:before="100" w:beforeAutospacing="1" w:after="100" w:afterAutospacing="1"/>
    </w:pPr>
    <w:rPr>
      <w:rFonts w:ascii="Times New Roman" w:eastAsia="Times New Roman" w:hAnsi="Times New Roman" w:cs="Times New Roman"/>
      <w:sz w:val="24"/>
      <w:szCs w:val="24"/>
      <w:lang w:eastAsia="fi-FI"/>
    </w:rPr>
  </w:style>
  <w:style w:type="character" w:styleId="Ratkaisematonmaininta">
    <w:name w:val="Unresolved Mention"/>
    <w:basedOn w:val="Kappaleenoletusfontti"/>
    <w:uiPriority w:val="99"/>
    <w:semiHidden/>
    <w:unhideWhenUsed/>
    <w:rsid w:val="00D46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01206">
      <w:bodyDiv w:val="1"/>
      <w:marLeft w:val="0"/>
      <w:marRight w:val="0"/>
      <w:marTop w:val="0"/>
      <w:marBottom w:val="0"/>
      <w:divBdr>
        <w:top w:val="none" w:sz="0" w:space="0" w:color="auto"/>
        <w:left w:val="none" w:sz="0" w:space="0" w:color="auto"/>
        <w:bottom w:val="none" w:sz="0" w:space="0" w:color="auto"/>
        <w:right w:val="none" w:sz="0" w:space="0" w:color="auto"/>
      </w:divBdr>
    </w:div>
    <w:div w:id="184363631">
      <w:bodyDiv w:val="1"/>
      <w:marLeft w:val="0"/>
      <w:marRight w:val="0"/>
      <w:marTop w:val="0"/>
      <w:marBottom w:val="0"/>
      <w:divBdr>
        <w:top w:val="none" w:sz="0" w:space="0" w:color="auto"/>
        <w:left w:val="none" w:sz="0" w:space="0" w:color="auto"/>
        <w:bottom w:val="none" w:sz="0" w:space="0" w:color="auto"/>
        <w:right w:val="none" w:sz="0" w:space="0" w:color="auto"/>
      </w:divBdr>
    </w:div>
    <w:div w:id="292947495">
      <w:bodyDiv w:val="1"/>
      <w:marLeft w:val="0"/>
      <w:marRight w:val="0"/>
      <w:marTop w:val="0"/>
      <w:marBottom w:val="0"/>
      <w:divBdr>
        <w:top w:val="none" w:sz="0" w:space="0" w:color="auto"/>
        <w:left w:val="none" w:sz="0" w:space="0" w:color="auto"/>
        <w:bottom w:val="none" w:sz="0" w:space="0" w:color="auto"/>
        <w:right w:val="none" w:sz="0" w:space="0" w:color="auto"/>
      </w:divBdr>
      <w:divsChild>
        <w:div w:id="1413547977">
          <w:marLeft w:val="360"/>
          <w:marRight w:val="0"/>
          <w:marTop w:val="0"/>
          <w:marBottom w:val="0"/>
          <w:divBdr>
            <w:top w:val="none" w:sz="0" w:space="0" w:color="auto"/>
            <w:left w:val="none" w:sz="0" w:space="0" w:color="auto"/>
            <w:bottom w:val="none" w:sz="0" w:space="0" w:color="auto"/>
            <w:right w:val="none" w:sz="0" w:space="0" w:color="auto"/>
          </w:divBdr>
        </w:div>
        <w:div w:id="1959751873">
          <w:marLeft w:val="360"/>
          <w:marRight w:val="0"/>
          <w:marTop w:val="0"/>
          <w:marBottom w:val="0"/>
          <w:divBdr>
            <w:top w:val="none" w:sz="0" w:space="0" w:color="auto"/>
            <w:left w:val="none" w:sz="0" w:space="0" w:color="auto"/>
            <w:bottom w:val="none" w:sz="0" w:space="0" w:color="auto"/>
            <w:right w:val="none" w:sz="0" w:space="0" w:color="auto"/>
          </w:divBdr>
        </w:div>
      </w:divsChild>
    </w:div>
    <w:div w:id="318774523">
      <w:bodyDiv w:val="1"/>
      <w:marLeft w:val="0"/>
      <w:marRight w:val="0"/>
      <w:marTop w:val="0"/>
      <w:marBottom w:val="0"/>
      <w:divBdr>
        <w:top w:val="none" w:sz="0" w:space="0" w:color="auto"/>
        <w:left w:val="none" w:sz="0" w:space="0" w:color="auto"/>
        <w:bottom w:val="none" w:sz="0" w:space="0" w:color="auto"/>
        <w:right w:val="none" w:sz="0" w:space="0" w:color="auto"/>
      </w:divBdr>
    </w:div>
    <w:div w:id="386493669">
      <w:bodyDiv w:val="1"/>
      <w:marLeft w:val="0"/>
      <w:marRight w:val="0"/>
      <w:marTop w:val="0"/>
      <w:marBottom w:val="0"/>
      <w:divBdr>
        <w:top w:val="none" w:sz="0" w:space="0" w:color="auto"/>
        <w:left w:val="none" w:sz="0" w:space="0" w:color="auto"/>
        <w:bottom w:val="none" w:sz="0" w:space="0" w:color="auto"/>
        <w:right w:val="none" w:sz="0" w:space="0" w:color="auto"/>
      </w:divBdr>
    </w:div>
    <w:div w:id="394857524">
      <w:bodyDiv w:val="1"/>
      <w:marLeft w:val="0"/>
      <w:marRight w:val="0"/>
      <w:marTop w:val="0"/>
      <w:marBottom w:val="0"/>
      <w:divBdr>
        <w:top w:val="none" w:sz="0" w:space="0" w:color="auto"/>
        <w:left w:val="none" w:sz="0" w:space="0" w:color="auto"/>
        <w:bottom w:val="none" w:sz="0" w:space="0" w:color="auto"/>
        <w:right w:val="none" w:sz="0" w:space="0" w:color="auto"/>
      </w:divBdr>
    </w:div>
    <w:div w:id="501624892">
      <w:bodyDiv w:val="1"/>
      <w:marLeft w:val="0"/>
      <w:marRight w:val="0"/>
      <w:marTop w:val="0"/>
      <w:marBottom w:val="0"/>
      <w:divBdr>
        <w:top w:val="none" w:sz="0" w:space="0" w:color="auto"/>
        <w:left w:val="none" w:sz="0" w:space="0" w:color="auto"/>
        <w:bottom w:val="none" w:sz="0" w:space="0" w:color="auto"/>
        <w:right w:val="none" w:sz="0" w:space="0" w:color="auto"/>
      </w:divBdr>
    </w:div>
    <w:div w:id="551696014">
      <w:bodyDiv w:val="1"/>
      <w:marLeft w:val="0"/>
      <w:marRight w:val="0"/>
      <w:marTop w:val="0"/>
      <w:marBottom w:val="0"/>
      <w:divBdr>
        <w:top w:val="none" w:sz="0" w:space="0" w:color="auto"/>
        <w:left w:val="none" w:sz="0" w:space="0" w:color="auto"/>
        <w:bottom w:val="none" w:sz="0" w:space="0" w:color="auto"/>
        <w:right w:val="none" w:sz="0" w:space="0" w:color="auto"/>
      </w:divBdr>
      <w:divsChild>
        <w:div w:id="64575419">
          <w:marLeft w:val="360"/>
          <w:marRight w:val="0"/>
          <w:marTop w:val="0"/>
          <w:marBottom w:val="0"/>
          <w:divBdr>
            <w:top w:val="none" w:sz="0" w:space="0" w:color="auto"/>
            <w:left w:val="none" w:sz="0" w:space="0" w:color="auto"/>
            <w:bottom w:val="none" w:sz="0" w:space="0" w:color="auto"/>
            <w:right w:val="none" w:sz="0" w:space="0" w:color="auto"/>
          </w:divBdr>
        </w:div>
        <w:div w:id="622003686">
          <w:marLeft w:val="360"/>
          <w:marRight w:val="0"/>
          <w:marTop w:val="0"/>
          <w:marBottom w:val="0"/>
          <w:divBdr>
            <w:top w:val="none" w:sz="0" w:space="0" w:color="auto"/>
            <w:left w:val="none" w:sz="0" w:space="0" w:color="auto"/>
            <w:bottom w:val="none" w:sz="0" w:space="0" w:color="auto"/>
            <w:right w:val="none" w:sz="0" w:space="0" w:color="auto"/>
          </w:divBdr>
        </w:div>
      </w:divsChild>
    </w:div>
    <w:div w:id="607153967">
      <w:bodyDiv w:val="1"/>
      <w:marLeft w:val="0"/>
      <w:marRight w:val="0"/>
      <w:marTop w:val="0"/>
      <w:marBottom w:val="0"/>
      <w:divBdr>
        <w:top w:val="none" w:sz="0" w:space="0" w:color="auto"/>
        <w:left w:val="none" w:sz="0" w:space="0" w:color="auto"/>
        <w:bottom w:val="none" w:sz="0" w:space="0" w:color="auto"/>
        <w:right w:val="none" w:sz="0" w:space="0" w:color="auto"/>
      </w:divBdr>
    </w:div>
    <w:div w:id="791636745">
      <w:bodyDiv w:val="1"/>
      <w:marLeft w:val="0"/>
      <w:marRight w:val="0"/>
      <w:marTop w:val="0"/>
      <w:marBottom w:val="0"/>
      <w:divBdr>
        <w:top w:val="none" w:sz="0" w:space="0" w:color="auto"/>
        <w:left w:val="none" w:sz="0" w:space="0" w:color="auto"/>
        <w:bottom w:val="none" w:sz="0" w:space="0" w:color="auto"/>
        <w:right w:val="none" w:sz="0" w:space="0" w:color="auto"/>
      </w:divBdr>
    </w:div>
    <w:div w:id="800802396">
      <w:bodyDiv w:val="1"/>
      <w:marLeft w:val="0"/>
      <w:marRight w:val="0"/>
      <w:marTop w:val="0"/>
      <w:marBottom w:val="0"/>
      <w:divBdr>
        <w:top w:val="none" w:sz="0" w:space="0" w:color="auto"/>
        <w:left w:val="none" w:sz="0" w:space="0" w:color="auto"/>
        <w:bottom w:val="none" w:sz="0" w:space="0" w:color="auto"/>
        <w:right w:val="none" w:sz="0" w:space="0" w:color="auto"/>
      </w:divBdr>
    </w:div>
    <w:div w:id="859704395">
      <w:bodyDiv w:val="1"/>
      <w:marLeft w:val="0"/>
      <w:marRight w:val="0"/>
      <w:marTop w:val="0"/>
      <w:marBottom w:val="0"/>
      <w:divBdr>
        <w:top w:val="none" w:sz="0" w:space="0" w:color="auto"/>
        <w:left w:val="none" w:sz="0" w:space="0" w:color="auto"/>
        <w:bottom w:val="none" w:sz="0" w:space="0" w:color="auto"/>
        <w:right w:val="none" w:sz="0" w:space="0" w:color="auto"/>
      </w:divBdr>
      <w:divsChild>
        <w:div w:id="2111504551">
          <w:marLeft w:val="360"/>
          <w:marRight w:val="0"/>
          <w:marTop w:val="0"/>
          <w:marBottom w:val="0"/>
          <w:divBdr>
            <w:top w:val="none" w:sz="0" w:space="0" w:color="auto"/>
            <w:left w:val="none" w:sz="0" w:space="0" w:color="auto"/>
            <w:bottom w:val="none" w:sz="0" w:space="0" w:color="auto"/>
            <w:right w:val="none" w:sz="0" w:space="0" w:color="auto"/>
          </w:divBdr>
        </w:div>
        <w:div w:id="80833870">
          <w:marLeft w:val="360"/>
          <w:marRight w:val="0"/>
          <w:marTop w:val="0"/>
          <w:marBottom w:val="0"/>
          <w:divBdr>
            <w:top w:val="none" w:sz="0" w:space="0" w:color="auto"/>
            <w:left w:val="none" w:sz="0" w:space="0" w:color="auto"/>
            <w:bottom w:val="none" w:sz="0" w:space="0" w:color="auto"/>
            <w:right w:val="none" w:sz="0" w:space="0" w:color="auto"/>
          </w:divBdr>
        </w:div>
      </w:divsChild>
    </w:div>
    <w:div w:id="953513865">
      <w:bodyDiv w:val="1"/>
      <w:marLeft w:val="0"/>
      <w:marRight w:val="0"/>
      <w:marTop w:val="0"/>
      <w:marBottom w:val="0"/>
      <w:divBdr>
        <w:top w:val="none" w:sz="0" w:space="0" w:color="auto"/>
        <w:left w:val="none" w:sz="0" w:space="0" w:color="auto"/>
        <w:bottom w:val="none" w:sz="0" w:space="0" w:color="auto"/>
        <w:right w:val="none" w:sz="0" w:space="0" w:color="auto"/>
      </w:divBdr>
    </w:div>
    <w:div w:id="1056004088">
      <w:bodyDiv w:val="1"/>
      <w:marLeft w:val="0"/>
      <w:marRight w:val="0"/>
      <w:marTop w:val="0"/>
      <w:marBottom w:val="0"/>
      <w:divBdr>
        <w:top w:val="none" w:sz="0" w:space="0" w:color="auto"/>
        <w:left w:val="none" w:sz="0" w:space="0" w:color="auto"/>
        <w:bottom w:val="none" w:sz="0" w:space="0" w:color="auto"/>
        <w:right w:val="none" w:sz="0" w:space="0" w:color="auto"/>
      </w:divBdr>
    </w:div>
    <w:div w:id="1103571730">
      <w:bodyDiv w:val="1"/>
      <w:marLeft w:val="0"/>
      <w:marRight w:val="0"/>
      <w:marTop w:val="0"/>
      <w:marBottom w:val="0"/>
      <w:divBdr>
        <w:top w:val="none" w:sz="0" w:space="0" w:color="auto"/>
        <w:left w:val="none" w:sz="0" w:space="0" w:color="auto"/>
        <w:bottom w:val="none" w:sz="0" w:space="0" w:color="auto"/>
        <w:right w:val="none" w:sz="0" w:space="0" w:color="auto"/>
      </w:divBdr>
    </w:div>
    <w:div w:id="1229072454">
      <w:bodyDiv w:val="1"/>
      <w:marLeft w:val="0"/>
      <w:marRight w:val="0"/>
      <w:marTop w:val="0"/>
      <w:marBottom w:val="0"/>
      <w:divBdr>
        <w:top w:val="none" w:sz="0" w:space="0" w:color="auto"/>
        <w:left w:val="none" w:sz="0" w:space="0" w:color="auto"/>
        <w:bottom w:val="none" w:sz="0" w:space="0" w:color="auto"/>
        <w:right w:val="none" w:sz="0" w:space="0" w:color="auto"/>
      </w:divBdr>
    </w:div>
    <w:div w:id="1301030483">
      <w:bodyDiv w:val="1"/>
      <w:marLeft w:val="0"/>
      <w:marRight w:val="0"/>
      <w:marTop w:val="0"/>
      <w:marBottom w:val="0"/>
      <w:divBdr>
        <w:top w:val="none" w:sz="0" w:space="0" w:color="auto"/>
        <w:left w:val="none" w:sz="0" w:space="0" w:color="auto"/>
        <w:bottom w:val="none" w:sz="0" w:space="0" w:color="auto"/>
        <w:right w:val="none" w:sz="0" w:space="0" w:color="auto"/>
      </w:divBdr>
    </w:div>
    <w:div w:id="1419713370">
      <w:bodyDiv w:val="1"/>
      <w:marLeft w:val="0"/>
      <w:marRight w:val="0"/>
      <w:marTop w:val="0"/>
      <w:marBottom w:val="0"/>
      <w:divBdr>
        <w:top w:val="none" w:sz="0" w:space="0" w:color="auto"/>
        <w:left w:val="none" w:sz="0" w:space="0" w:color="auto"/>
        <w:bottom w:val="none" w:sz="0" w:space="0" w:color="auto"/>
        <w:right w:val="none" w:sz="0" w:space="0" w:color="auto"/>
      </w:divBdr>
    </w:div>
    <w:div w:id="1496454108">
      <w:bodyDiv w:val="1"/>
      <w:marLeft w:val="0"/>
      <w:marRight w:val="0"/>
      <w:marTop w:val="0"/>
      <w:marBottom w:val="0"/>
      <w:divBdr>
        <w:top w:val="none" w:sz="0" w:space="0" w:color="auto"/>
        <w:left w:val="none" w:sz="0" w:space="0" w:color="auto"/>
        <w:bottom w:val="none" w:sz="0" w:space="0" w:color="auto"/>
        <w:right w:val="none" w:sz="0" w:space="0" w:color="auto"/>
      </w:divBdr>
    </w:div>
    <w:div w:id="1552837379">
      <w:bodyDiv w:val="1"/>
      <w:marLeft w:val="0"/>
      <w:marRight w:val="0"/>
      <w:marTop w:val="0"/>
      <w:marBottom w:val="0"/>
      <w:divBdr>
        <w:top w:val="none" w:sz="0" w:space="0" w:color="auto"/>
        <w:left w:val="none" w:sz="0" w:space="0" w:color="auto"/>
        <w:bottom w:val="none" w:sz="0" w:space="0" w:color="auto"/>
        <w:right w:val="none" w:sz="0" w:space="0" w:color="auto"/>
      </w:divBdr>
    </w:div>
    <w:div w:id="1568684325">
      <w:bodyDiv w:val="1"/>
      <w:marLeft w:val="0"/>
      <w:marRight w:val="0"/>
      <w:marTop w:val="0"/>
      <w:marBottom w:val="0"/>
      <w:divBdr>
        <w:top w:val="none" w:sz="0" w:space="0" w:color="auto"/>
        <w:left w:val="none" w:sz="0" w:space="0" w:color="auto"/>
        <w:bottom w:val="none" w:sz="0" w:space="0" w:color="auto"/>
        <w:right w:val="none" w:sz="0" w:space="0" w:color="auto"/>
      </w:divBdr>
    </w:div>
    <w:div w:id="1658999718">
      <w:bodyDiv w:val="1"/>
      <w:marLeft w:val="0"/>
      <w:marRight w:val="0"/>
      <w:marTop w:val="0"/>
      <w:marBottom w:val="0"/>
      <w:divBdr>
        <w:top w:val="none" w:sz="0" w:space="0" w:color="auto"/>
        <w:left w:val="none" w:sz="0" w:space="0" w:color="auto"/>
        <w:bottom w:val="none" w:sz="0" w:space="0" w:color="auto"/>
        <w:right w:val="none" w:sz="0" w:space="0" w:color="auto"/>
      </w:divBdr>
    </w:div>
    <w:div w:id="1721324190">
      <w:bodyDiv w:val="1"/>
      <w:marLeft w:val="0"/>
      <w:marRight w:val="0"/>
      <w:marTop w:val="0"/>
      <w:marBottom w:val="0"/>
      <w:divBdr>
        <w:top w:val="none" w:sz="0" w:space="0" w:color="auto"/>
        <w:left w:val="none" w:sz="0" w:space="0" w:color="auto"/>
        <w:bottom w:val="none" w:sz="0" w:space="0" w:color="auto"/>
        <w:right w:val="none" w:sz="0" w:space="0" w:color="auto"/>
      </w:divBdr>
    </w:div>
    <w:div w:id="1825004172">
      <w:bodyDiv w:val="1"/>
      <w:marLeft w:val="0"/>
      <w:marRight w:val="0"/>
      <w:marTop w:val="0"/>
      <w:marBottom w:val="0"/>
      <w:divBdr>
        <w:top w:val="none" w:sz="0" w:space="0" w:color="auto"/>
        <w:left w:val="none" w:sz="0" w:space="0" w:color="auto"/>
        <w:bottom w:val="none" w:sz="0" w:space="0" w:color="auto"/>
        <w:right w:val="none" w:sz="0" w:space="0" w:color="auto"/>
      </w:divBdr>
    </w:div>
    <w:div w:id="1875457919">
      <w:bodyDiv w:val="1"/>
      <w:marLeft w:val="0"/>
      <w:marRight w:val="0"/>
      <w:marTop w:val="0"/>
      <w:marBottom w:val="0"/>
      <w:divBdr>
        <w:top w:val="none" w:sz="0" w:space="0" w:color="auto"/>
        <w:left w:val="none" w:sz="0" w:space="0" w:color="auto"/>
        <w:bottom w:val="none" w:sz="0" w:space="0" w:color="auto"/>
        <w:right w:val="none" w:sz="0" w:space="0" w:color="auto"/>
      </w:divBdr>
      <w:divsChild>
        <w:div w:id="403526137">
          <w:marLeft w:val="360"/>
          <w:marRight w:val="0"/>
          <w:marTop w:val="0"/>
          <w:marBottom w:val="0"/>
          <w:divBdr>
            <w:top w:val="none" w:sz="0" w:space="0" w:color="auto"/>
            <w:left w:val="none" w:sz="0" w:space="0" w:color="auto"/>
            <w:bottom w:val="none" w:sz="0" w:space="0" w:color="auto"/>
            <w:right w:val="none" w:sz="0" w:space="0" w:color="auto"/>
          </w:divBdr>
        </w:div>
        <w:div w:id="506791013">
          <w:marLeft w:val="360"/>
          <w:marRight w:val="0"/>
          <w:marTop w:val="0"/>
          <w:marBottom w:val="0"/>
          <w:divBdr>
            <w:top w:val="none" w:sz="0" w:space="0" w:color="auto"/>
            <w:left w:val="none" w:sz="0" w:space="0" w:color="auto"/>
            <w:bottom w:val="none" w:sz="0" w:space="0" w:color="auto"/>
            <w:right w:val="none" w:sz="0" w:space="0" w:color="auto"/>
          </w:divBdr>
        </w:div>
      </w:divsChild>
    </w:div>
    <w:div w:id="1920022231">
      <w:bodyDiv w:val="1"/>
      <w:marLeft w:val="0"/>
      <w:marRight w:val="0"/>
      <w:marTop w:val="0"/>
      <w:marBottom w:val="0"/>
      <w:divBdr>
        <w:top w:val="none" w:sz="0" w:space="0" w:color="auto"/>
        <w:left w:val="none" w:sz="0" w:space="0" w:color="auto"/>
        <w:bottom w:val="none" w:sz="0" w:space="0" w:color="auto"/>
        <w:right w:val="none" w:sz="0" w:space="0" w:color="auto"/>
      </w:divBdr>
    </w:div>
    <w:div w:id="2046053547">
      <w:bodyDiv w:val="1"/>
      <w:marLeft w:val="0"/>
      <w:marRight w:val="0"/>
      <w:marTop w:val="0"/>
      <w:marBottom w:val="0"/>
      <w:divBdr>
        <w:top w:val="none" w:sz="0" w:space="0" w:color="auto"/>
        <w:left w:val="none" w:sz="0" w:space="0" w:color="auto"/>
        <w:bottom w:val="none" w:sz="0" w:space="0" w:color="auto"/>
        <w:right w:val="none" w:sz="0" w:space="0" w:color="auto"/>
      </w:divBdr>
    </w:div>
    <w:div w:id="208352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rosessiohjaus@valtiokonttori.f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01360\AppData\Roaming\Microsoft\Templates\1%20Valtiokonttori%20suomi\Perusasiakirj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D1A5A6999B4EE39D4D6A60971D592E"/>
        <w:category>
          <w:name w:val="Yleiset"/>
          <w:gallery w:val="placeholder"/>
        </w:category>
        <w:types>
          <w:type w:val="bbPlcHdr"/>
        </w:types>
        <w:behaviors>
          <w:behavior w:val="content"/>
        </w:behaviors>
        <w:guid w:val="{36D3C2F3-6B56-4E35-A40C-1A8C3D9A15DC}"/>
      </w:docPartPr>
      <w:docPartBody>
        <w:p w:rsidR="00C905BD" w:rsidRDefault="00AC31AB">
          <w:pPr>
            <w:pStyle w:val="E1D1A5A6999B4EE39D4D6A60971D592E"/>
          </w:pPr>
          <w:r w:rsidRPr="0094245E">
            <w:rPr>
              <w:rStyle w:val="Paikkamerkkiteksti"/>
            </w:rPr>
            <w:t>[Otsikko]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1AB"/>
    <w:rsid w:val="000A01C0"/>
    <w:rsid w:val="0018194E"/>
    <w:rsid w:val="002C1BC7"/>
    <w:rsid w:val="0031664B"/>
    <w:rsid w:val="006C44AF"/>
    <w:rsid w:val="007951C8"/>
    <w:rsid w:val="00A322D3"/>
    <w:rsid w:val="00AC31AB"/>
    <w:rsid w:val="00BB1D48"/>
    <w:rsid w:val="00C905B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Pr>
      <w:color w:val="auto"/>
    </w:rPr>
  </w:style>
  <w:style w:type="paragraph" w:customStyle="1" w:styleId="E1D1A5A6999B4EE39D4D6A60971D592E">
    <w:name w:val="E1D1A5A6999B4EE39D4D6A60971D59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1 Valtiokonttori">
  <a:themeElements>
    <a:clrScheme name="Valtiokonttori">
      <a:dk1>
        <a:sysClr val="windowText" lastClr="000000"/>
      </a:dk1>
      <a:lt1>
        <a:sysClr val="window" lastClr="FFFFFF"/>
      </a:lt1>
      <a:dk2>
        <a:srgbClr val="10497F"/>
      </a:dk2>
      <a:lt2>
        <a:srgbClr val="A7B8B4"/>
      </a:lt2>
      <a:accent1>
        <a:srgbClr val="10497F"/>
      </a:accent1>
      <a:accent2>
        <a:srgbClr val="73C4C3"/>
      </a:accent2>
      <a:accent3>
        <a:srgbClr val="FD9E81"/>
      </a:accent3>
      <a:accent4>
        <a:srgbClr val="E1DE28"/>
      </a:accent4>
      <a:accent5>
        <a:srgbClr val="004E57"/>
      </a:accent5>
      <a:accent6>
        <a:srgbClr val="D6E342"/>
      </a:accent6>
      <a:hlink>
        <a:srgbClr val="004E57"/>
      </a:hlink>
      <a:folHlink>
        <a:srgbClr val="FD9E81"/>
      </a:folHlink>
    </a:clrScheme>
    <a:fontScheme name="Valtiokonttor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solidFill>
            <a:schemeClr val="tx2"/>
          </a:solidFill>
        </a:ln>
      </a:spPr>
      <a:bodyPr rtlCol="0" anchor="ctr"/>
      <a:lstStyle>
        <a:defPPr algn="ctr">
          <a:defRPr sz="2000"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2"/>
          </a:solidFill>
          <a:headEnd type="none" w="med" len="med"/>
          <a:tailEnd type="none" w="med" len="med"/>
        </a:ln>
      </a:spPr>
      <a:bodyPr/>
      <a:lstStyle/>
      <a:style>
        <a:lnRef idx="1">
          <a:schemeClr val="accent1"/>
        </a:lnRef>
        <a:fillRef idx="0">
          <a:schemeClr val="accent1"/>
        </a:fillRef>
        <a:effectRef idx="0">
          <a:schemeClr val="accent1"/>
        </a:effectRef>
        <a:fontRef idx="minor">
          <a:schemeClr val="tx1"/>
        </a:fontRef>
      </a:style>
    </a:lnDef>
    <a:txDef>
      <a:spPr>
        <a:noFill/>
      </a:spPr>
      <a:bodyPr wrap="none" rtlCol="0">
        <a:spAutoFit/>
      </a:bodyPr>
      <a:lstStyle>
        <a:defPPr algn="l">
          <a:defRPr sz="2000" dirty="0" err="1" smtClean="0"/>
        </a:defPPr>
      </a:lstStyle>
    </a:txDef>
  </a:objectDefaults>
  <a:extraClrSchemeLst/>
  <a:custClrLst>
    <a:custClr name="Punainen">
      <a:srgbClr val="ED1C24"/>
    </a:custClr>
    <a:custClr name="Keltainen">
      <a:srgbClr val="FCF065"/>
    </a:custClr>
    <a:custClr name="Kaavioväri 1">
      <a:srgbClr val="84E4D8"/>
    </a:custClr>
    <a:custClr name="Kaavioväri 2">
      <a:srgbClr val="006265"/>
    </a:custClr>
    <a:custClr name="Kaavioväri 3">
      <a:srgbClr val="A7B8B4"/>
    </a:custClr>
    <a:custClr name="Kaavioväri 4">
      <a:srgbClr val="C3E142"/>
    </a:custClr>
    <a:custClr name="Kaavioväri 5">
      <a:srgbClr val="000000"/>
    </a:custClr>
    <a:custClr name="Kaavioväri 6">
      <a:srgbClr val="F39F41"/>
    </a:custClr>
    <a:custClr name="Kaavioväri 7">
      <a:srgbClr val="AA0061"/>
    </a:custClr>
    <a:custClr name="Kaavioväri 8">
      <a:srgbClr val="0095C8"/>
    </a:custClr>
    <a:custClr name="Kaavioväri 9">
      <a:srgbClr val="DA291C"/>
    </a:custClr>
  </a:custClrLst>
  <a:extLst>
    <a:ext uri="{05A4C25C-085E-4340-85A3-A5531E510DB2}">
      <thm15:themeFamily xmlns:thm15="http://schemas.microsoft.com/office/thememl/2012/main" name="1 Valtiokonttori" id="{AE599611-54C0-40C2-B009-A6EE1E22DF35}" vid="{E1587F12-1104-4F08-A194-804DB9FB608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T</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653F0133F04EB14F91411BCFE5227C4A" ma:contentTypeVersion="1" ma:contentTypeDescription="Luo uusi asiakirja." ma:contentTypeScope="" ma:versionID="acb94d94f5d5636000cb419f0f862b6e">
  <xsd:schema xmlns:xsd="http://www.w3.org/2001/XMLSchema" xmlns:xs="http://www.w3.org/2001/XMLSchema" xmlns:p="http://schemas.microsoft.com/office/2006/metadata/properties" xmlns:ns2="59bb91ff-c142-45c2-b0e4-70638800d3e3" targetNamespace="http://schemas.microsoft.com/office/2006/metadata/properties" ma:root="true" ma:fieldsID="d67414fda4648e8d828a3085f123f710" ns2:_="">
    <xsd:import namespace="59bb91ff-c142-45c2-b0e4-70638800d3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b91ff-c142-45c2-b0e4-70638800d3e3"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7345F9-1094-4633-B54C-580973BC3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b91ff-c142-45c2-b0e4-70638800d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12CC9F-CB2C-4CD9-BB6B-CB59088A0F3C}">
  <ds:schemaRefs>
    <ds:schemaRef ds:uri="http://schemas.microsoft.com/sharepoint/v3/contenttype/forms"/>
  </ds:schemaRefs>
</ds:datastoreItem>
</file>

<file path=customXml/itemProps4.xml><?xml version="1.0" encoding="utf-8"?>
<ds:datastoreItem xmlns:ds="http://schemas.openxmlformats.org/officeDocument/2006/customXml" ds:itemID="{2A62FDE8-5E8B-46E6-ACF9-31294735BB1F}">
  <ds:schemaRefs>
    <ds:schemaRef ds:uri="http://schemas.openxmlformats.org/officeDocument/2006/bibliography"/>
  </ds:schemaRefs>
</ds:datastoreItem>
</file>

<file path=customXml/itemProps5.xml><?xml version="1.0" encoding="utf-8"?>
<ds:datastoreItem xmlns:ds="http://schemas.openxmlformats.org/officeDocument/2006/customXml" ds:itemID="{7B0B84D3-DD61-4F6A-8B94-3D7676252263}">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59bb91ff-c142-45c2-b0e4-70638800d3e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Perusasiakirja.dotx</Template>
  <TotalTime>0</TotalTime>
  <Pages>14</Pages>
  <Words>2254</Words>
  <Characters>18262</Characters>
  <Application>Microsoft Office Word</Application>
  <DocSecurity>0</DocSecurity>
  <Lines>152</Lines>
  <Paragraphs>40</Paragraphs>
  <ScaleCrop>false</ScaleCrop>
  <HeadingPairs>
    <vt:vector size="6" baseType="variant">
      <vt:variant>
        <vt:lpstr>Rubrik</vt:lpstr>
      </vt:variant>
      <vt:variant>
        <vt:i4>1</vt:i4>
      </vt:variant>
      <vt:variant>
        <vt:lpstr>Otsikko</vt:lpstr>
      </vt:variant>
      <vt:variant>
        <vt:i4>1</vt:i4>
      </vt:variant>
      <vt:variant>
        <vt:lpstr>Title</vt:lpstr>
      </vt:variant>
      <vt:variant>
        <vt:i4>1</vt:i4>
      </vt:variant>
    </vt:vector>
  </HeadingPairs>
  <TitlesOfParts>
    <vt:vector size="3" baseType="lpstr">
      <vt:lpstr>Valtion taloushallinnon mittaritietojen kerääminen ja julkaisu</vt:lpstr>
      <vt:lpstr>Valtion taloushallinnon mittaritietojen kerääminen ja julkaisu (Seijalle alla oleva intro)</vt:lpstr>
      <vt:lpstr>Otsikko</vt:lpstr>
    </vt:vector>
  </TitlesOfParts>
  <Company>Valtiokonttori</Company>
  <LinksUpToDate>false</LinksUpToDate>
  <CharactersWithSpaces>20476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Valtion taloushallinnon mittaritietojen kerääminen ja julkaisu</dc:title>
  <dc:creator>Wistbacka Tanja</dc:creator>
  <cp:lastModifiedBy>Wistbacka Tanja (VK)</cp:lastModifiedBy>
  <cp:revision>2</cp:revision>
  <dcterms:created xsi:type="dcterms:W3CDTF">2022-11-28T05:13:00Z</dcterms:created>
  <dcterms:modified xsi:type="dcterms:W3CDTF">2022-11-28T05:13:00Z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0x010100653F0133F04EB14F91411BCFE5227C4A</vt:lpwstr>
  </property>
  <property fmtid="{D5CDD505-2E9C-101B-9397-08002B2CF9AE}" pid="3" name="VKOrganization">
    <vt:lpwstr>Valtiokonttori</vt:lpwstr>
  </property>
</Properties>
</file>