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AC4F" w14:textId="77777777" w:rsidR="001857B7" w:rsidRPr="00222DF0" w:rsidRDefault="001857B7" w:rsidP="00CF22F9"/>
    <w:p w14:paraId="5A9F4484" w14:textId="77777777" w:rsidR="00CF22F9" w:rsidRPr="00222DF0" w:rsidRDefault="00CF22F9" w:rsidP="00CF22F9">
      <w:pPr>
        <w:rPr>
          <w:b/>
          <w:color w:val="000000" w:themeColor="text1"/>
        </w:rPr>
      </w:pPr>
      <w:r w:rsidRPr="00222DF0">
        <w:rPr>
          <w:b/>
          <w:color w:val="000000" w:themeColor="text1"/>
        </w:rPr>
        <w:t>Statsrådets förordning</w:t>
      </w:r>
    </w:p>
    <w:p w14:paraId="724F6C3C" w14:textId="0FC298E8" w:rsidR="00171BBA" w:rsidRPr="00222DF0" w:rsidRDefault="00171BBA" w:rsidP="00171BBA">
      <w:pPr>
        <w:rPr>
          <w:b/>
          <w:color w:val="000000" w:themeColor="text1"/>
        </w:rPr>
      </w:pPr>
      <w:r w:rsidRPr="00222DF0">
        <w:rPr>
          <w:b/>
          <w:color w:val="000000" w:themeColor="text1"/>
        </w:rPr>
        <w:t>om statsunderstöd som beviljas åren 2023–2035 för projekt som gäller säkerhet, driftssäkerhet och beredskap i fråga om vattentjänster och d</w:t>
      </w:r>
      <w:bookmarkStart w:id="0" w:name="_GoBack"/>
      <w:bookmarkEnd w:id="0"/>
      <w:r w:rsidRPr="00222DF0">
        <w:rPr>
          <w:b/>
          <w:color w:val="000000" w:themeColor="text1"/>
        </w:rPr>
        <w:t>ammar</w:t>
      </w:r>
    </w:p>
    <w:p w14:paraId="45AAC43D" w14:textId="77777777" w:rsidR="00CF22F9" w:rsidRPr="00222DF0" w:rsidRDefault="00CF22F9" w:rsidP="00CF22F9">
      <w:pPr>
        <w:rPr>
          <w:color w:val="000000" w:themeColor="text1"/>
        </w:rPr>
      </w:pPr>
      <w:r w:rsidRPr="00222DF0">
        <w:rPr>
          <w:color w:val="000000" w:themeColor="text1"/>
        </w:rPr>
        <w:t>I enlighet med statsrådets beslut föreskrivs med stöd av 8 § i statsunderstödslagen (688/2001):</w:t>
      </w:r>
    </w:p>
    <w:p w14:paraId="43372B2E" w14:textId="77777777" w:rsidR="00CF22F9" w:rsidRPr="00222DF0" w:rsidRDefault="00CF22F9" w:rsidP="00CF22F9"/>
    <w:p w14:paraId="36806771" w14:textId="77777777" w:rsidR="00CF22F9" w:rsidRPr="00222DF0" w:rsidRDefault="00CF22F9" w:rsidP="00CF22F9">
      <w:r w:rsidRPr="00222DF0">
        <w:t>1 §</w:t>
      </w:r>
    </w:p>
    <w:p w14:paraId="770D2AD2" w14:textId="77777777" w:rsidR="00CF22F9" w:rsidRPr="00222DF0" w:rsidRDefault="00CF22F9" w:rsidP="00CF22F9">
      <w:r w:rsidRPr="00222DF0">
        <w:t>Tillämpningsområde</w:t>
      </w:r>
    </w:p>
    <w:p w14:paraId="4F30B326" w14:textId="71E7E5FC" w:rsidR="00CF22F9" w:rsidRPr="00222DF0" w:rsidRDefault="00CF22F9" w:rsidP="00CF22F9">
      <w:r w:rsidRPr="00222DF0">
        <w:t>Denna förordning innehåller bestämmelser om sådant specialunderstöd enligt 5 § 3 mom. i statsunderstödslagen (688/2001) som beviljas av statens medel för projekt som gäller åtgärder för att främja säkerheten, driftssäkerheten och beredskapen i fråga om vattentjänster och dammar.</w:t>
      </w:r>
      <w:r w:rsidRPr="00222DF0">
        <w:rPr>
          <w:color w:val="000000" w:themeColor="text1"/>
        </w:rPr>
        <w:t xml:space="preserve"> </w:t>
      </w:r>
      <w:r w:rsidRPr="00222DF0">
        <w:t>Understöd beviljas och betalas inom ramen för de medel som anvisats i statsbudgeten.</w:t>
      </w:r>
    </w:p>
    <w:p w14:paraId="33358639" w14:textId="614A637A" w:rsidR="001B633C" w:rsidRPr="00222DF0" w:rsidRDefault="001B633C" w:rsidP="00CF22F9">
      <w:r w:rsidRPr="00222DF0">
        <w:t xml:space="preserve">På understöd som beviljas för ekonomisk verksamhet tillämpas dessutom de allmänna villkoren i kommissionens förordning (EU) nr 651/2014 genom vilken vissa kategorier av stöd förklaras förenliga med den inre marknaden enligt artiklarna 107 och 108 i fördraget, nedan </w:t>
      </w:r>
      <w:r w:rsidRPr="00222DF0">
        <w:rPr>
          <w:i/>
          <w:iCs/>
        </w:rPr>
        <w:t>den allmänna gruppundantagsförordningen</w:t>
      </w:r>
      <w:r w:rsidRPr="00222DF0">
        <w:t>, och villkoren för den berörda stödformen i artiklarna 18, 31 och 56 i den förordningen, eller kommissionens förordning (EU) nr 1407/2013 om tillämpningen av artiklarna 107 och 108 i fördraget om Europeiska unionens funktionssätt på stöd av mindre betydelse.</w:t>
      </w:r>
    </w:p>
    <w:p w14:paraId="0E90E96F" w14:textId="476046A4" w:rsidR="00CF22F9" w:rsidRPr="00222DF0" w:rsidRDefault="00CF22F9" w:rsidP="00CF22F9"/>
    <w:p w14:paraId="6858127A" w14:textId="4F087B90" w:rsidR="00CF22F9" w:rsidRPr="00222DF0" w:rsidRDefault="00415B7E" w:rsidP="00CF22F9">
      <w:r w:rsidRPr="00222DF0">
        <w:t>2 §</w:t>
      </w:r>
    </w:p>
    <w:p w14:paraId="15C9B348" w14:textId="77777777" w:rsidR="00CF22F9" w:rsidRPr="00222DF0" w:rsidRDefault="00CF22F9" w:rsidP="00CF22F9">
      <w:r w:rsidRPr="00222DF0">
        <w:t>Statsbidragsmyndighet</w:t>
      </w:r>
    </w:p>
    <w:p w14:paraId="75EF8647" w14:textId="62B53F5E" w:rsidR="00CF22F9" w:rsidRPr="00222DF0" w:rsidRDefault="00CF22F9" w:rsidP="00CF22F9">
      <w:r w:rsidRPr="00222DF0">
        <w:t>Närings-, trafik- och miljöcentralen i Södra Savolax är statsbidragsmyndighet i fråga om de understöd som beviljas med stöd av denna förordning.</w:t>
      </w:r>
    </w:p>
    <w:p w14:paraId="00FF49AF" w14:textId="77777777" w:rsidR="00CF22F9" w:rsidRPr="00222DF0" w:rsidRDefault="00CF22F9" w:rsidP="00CF22F9"/>
    <w:p w14:paraId="5CBA63AA" w14:textId="3A42A1D2" w:rsidR="00CF22F9" w:rsidRPr="00222DF0" w:rsidRDefault="00415B7E" w:rsidP="00CF22F9">
      <w:r w:rsidRPr="00222DF0">
        <w:t>3 §</w:t>
      </w:r>
    </w:p>
    <w:p w14:paraId="758E4739" w14:textId="77777777" w:rsidR="00CF22F9" w:rsidRPr="00222DF0" w:rsidRDefault="00CF22F9" w:rsidP="00CF22F9">
      <w:r w:rsidRPr="00222DF0">
        <w:t>Projekt som understöds</w:t>
      </w:r>
    </w:p>
    <w:p w14:paraId="741E4348" w14:textId="519EF52B" w:rsidR="00CF22F9" w:rsidRPr="00222DF0" w:rsidRDefault="00CF22F9" w:rsidP="00CF22F9">
      <w:pPr>
        <w:rPr>
          <w:color w:val="000000" w:themeColor="text1"/>
        </w:rPr>
      </w:pPr>
      <w:r w:rsidRPr="00222DF0">
        <w:rPr>
          <w:color w:val="000000" w:themeColor="text1"/>
        </w:rPr>
        <w:t>Statsunderstöd kan beviljas för projekt som</w:t>
      </w:r>
    </w:p>
    <w:p w14:paraId="4808288D" w14:textId="6A0532C8" w:rsidR="00CF22F9" w:rsidRPr="00222DF0" w:rsidRDefault="00CF22F9" w:rsidP="00CF22F9">
      <w:pPr>
        <w:rPr>
          <w:color w:val="000000" w:themeColor="text1"/>
        </w:rPr>
      </w:pPr>
      <w:r w:rsidRPr="00222DF0">
        <w:rPr>
          <w:color w:val="000000" w:themeColor="text1"/>
        </w:rPr>
        <w:t>1) främjar riskhanteringen, beredskapen för störningssituationer och säkerheten i fråga om vattentjänster och dammar,</w:t>
      </w:r>
    </w:p>
    <w:p w14:paraId="6EE63F7B" w14:textId="75EA9E7F" w:rsidR="00CF22F9" w:rsidRPr="00222DF0" w:rsidRDefault="00CC33D4" w:rsidP="00CF22F9">
      <w:pPr>
        <w:rPr>
          <w:color w:val="000000" w:themeColor="text1"/>
        </w:rPr>
      </w:pPr>
      <w:r w:rsidRPr="00222DF0">
        <w:rPr>
          <w:color w:val="000000" w:themeColor="text1"/>
        </w:rPr>
        <w:t>2) främjar det regionala samarbetet i fråga om vattentjänster eller främjar sammanslagningar av vattentjänstverk, eller</w:t>
      </w:r>
    </w:p>
    <w:p w14:paraId="2D866240" w14:textId="095CA345" w:rsidR="00CF22F9" w:rsidRPr="00222DF0" w:rsidRDefault="00CC33D4" w:rsidP="00CF22F9">
      <w:pPr>
        <w:rPr>
          <w:color w:val="000000" w:themeColor="text1"/>
        </w:rPr>
      </w:pPr>
      <w:r w:rsidRPr="00222DF0">
        <w:rPr>
          <w:color w:val="000000" w:themeColor="text1"/>
        </w:rPr>
        <w:t>3) förbättrar säkerheten, driftssäkerheten och beredskapen i fråga om vattentjänster och dammar på andra sätt än de som avses i 1 och 2 punkten.</w:t>
      </w:r>
    </w:p>
    <w:p w14:paraId="17740938" w14:textId="77777777" w:rsidR="00CF22F9" w:rsidRPr="00222DF0" w:rsidRDefault="00CF22F9" w:rsidP="00CF22F9">
      <w:r w:rsidRPr="00222DF0">
        <w:t>Understöd kan också beviljas för kombinationer av sådana projekt som avses i 1 mom.</w:t>
      </w:r>
    </w:p>
    <w:p w14:paraId="59926642" w14:textId="28BD939A" w:rsidR="00CF22F9" w:rsidRPr="00222DF0" w:rsidRDefault="00CF22F9" w:rsidP="00CF22F9"/>
    <w:p w14:paraId="0BD45563" w14:textId="77777777" w:rsidR="001E3316" w:rsidRPr="00222DF0" w:rsidRDefault="001E3316" w:rsidP="00CF22F9"/>
    <w:p w14:paraId="6069E5AA" w14:textId="286F154C" w:rsidR="00CF22F9" w:rsidRPr="00222DF0" w:rsidRDefault="00415B7E" w:rsidP="00CF22F9">
      <w:r w:rsidRPr="00222DF0">
        <w:lastRenderedPageBreak/>
        <w:t>4 §</w:t>
      </w:r>
    </w:p>
    <w:p w14:paraId="599C95FB" w14:textId="77777777" w:rsidR="00CF22F9" w:rsidRPr="00222DF0" w:rsidRDefault="00CF22F9" w:rsidP="00CF22F9">
      <w:r w:rsidRPr="00222DF0">
        <w:t>Ansökan om understöd</w:t>
      </w:r>
    </w:p>
    <w:p w14:paraId="67329540" w14:textId="5BB0D8F7" w:rsidR="00CF22F9" w:rsidRPr="00222DF0" w:rsidRDefault="00CF22F9" w:rsidP="00CF22F9">
      <w:r w:rsidRPr="00222DF0">
        <w:t xml:space="preserve">Understöd ska sökas innan projektet eller det arbete som hänför sig till projektverksamheten inleds. </w:t>
      </w:r>
    </w:p>
    <w:p w14:paraId="1A9494A4" w14:textId="77777777" w:rsidR="00CF22F9" w:rsidRPr="00222DF0" w:rsidRDefault="00CF22F9" w:rsidP="00CF22F9"/>
    <w:p w14:paraId="511709A1" w14:textId="09227BB0" w:rsidR="00CF22F9" w:rsidRPr="00222DF0" w:rsidRDefault="00415B7E" w:rsidP="00CF22F9">
      <w:r w:rsidRPr="00222DF0">
        <w:t>5 §</w:t>
      </w:r>
    </w:p>
    <w:p w14:paraId="7BD94C36" w14:textId="77777777" w:rsidR="00CF22F9" w:rsidRPr="00222DF0" w:rsidRDefault="00CF22F9" w:rsidP="00CF22F9">
      <w:r w:rsidRPr="00222DF0">
        <w:t>Prövning samt begränsningar för beviljande av understöd</w:t>
      </w:r>
    </w:p>
    <w:p w14:paraId="5A4DB4F1" w14:textId="53285BAA" w:rsidR="00CF22F9" w:rsidRPr="00222DF0" w:rsidRDefault="00CF22F9" w:rsidP="00CF22F9">
      <w:pPr>
        <w:rPr>
          <w:color w:val="000000" w:themeColor="text1"/>
        </w:rPr>
      </w:pPr>
      <w:r w:rsidRPr="00222DF0">
        <w:t>Beviljandet av understöd grundar sig på en helhetsprövning som ska innefatta en bedömning av projektets förväntade effekt på säkerheten, driftssäkerheten och beredskapen i fråga om vattentjänster och dammar samt av projektets kostnadseffektivitet, kvalitet och genomförbarhet.</w:t>
      </w:r>
    </w:p>
    <w:p w14:paraId="31240C87" w14:textId="58ABD992" w:rsidR="00CF22F9" w:rsidRPr="00222DF0" w:rsidRDefault="001B633C" w:rsidP="00CF22F9">
      <w:r w:rsidRPr="00222DF0">
        <w:rPr>
          <w:color w:val="000000" w:themeColor="text1"/>
        </w:rPr>
        <w:t xml:space="preserve">Om den allmänna gruppundantagsförordningen tillämpas på ett understöd </w:t>
      </w:r>
      <w:r w:rsidRPr="00222DF0">
        <w:rPr>
          <w:color w:val="000000" w:themeColor="text1"/>
        </w:rPr>
        <w:br/>
      </w:r>
      <w:r w:rsidRPr="00222DF0">
        <w:t>1) får understöd inte beviljas ett sådant företag i svårigheter som avses i artikel 2.18 i den förordningen,</w:t>
      </w:r>
      <w:r w:rsidRPr="00222DF0">
        <w:br/>
        <w:t>2) får understöd inte beviljas och beviljat understöd inte betalas ut, om sökanden inte har iakttagit ett sådant beslut om återkrav av stöd som avses i 1 § i lagen om tillämpning av vissa av Europeiska unionens bestämmelser om statligt stöd (300/2001), och</w:t>
      </w:r>
      <w:r w:rsidRPr="00222DF0">
        <w:br/>
        <w:t>3) ska understödet ha en sådan stimulanseffekt som avses i artikel 6 i den förordningen.</w:t>
      </w:r>
    </w:p>
    <w:p w14:paraId="4B2508EC" w14:textId="77777777" w:rsidR="001B633C" w:rsidRPr="00222DF0" w:rsidRDefault="001B633C" w:rsidP="00CF22F9"/>
    <w:p w14:paraId="4F01621F" w14:textId="334ABE99" w:rsidR="00CF22F9" w:rsidRPr="00222DF0" w:rsidRDefault="00415B7E" w:rsidP="00CF22F9">
      <w:r w:rsidRPr="00222DF0">
        <w:t>6 §</w:t>
      </w:r>
    </w:p>
    <w:p w14:paraId="031E1941" w14:textId="77777777" w:rsidR="00CF22F9" w:rsidRPr="00222DF0" w:rsidRDefault="00CF22F9" w:rsidP="00CF22F9">
      <w:r w:rsidRPr="00222DF0">
        <w:t>Mottagare av understöd</w:t>
      </w:r>
    </w:p>
    <w:p w14:paraId="34BB8BDC" w14:textId="24DDEAF5" w:rsidR="00CF22F9" w:rsidRPr="00222DF0" w:rsidRDefault="00CF22F9" w:rsidP="00CF22F9">
      <w:r w:rsidRPr="00222DF0">
        <w:t>Understöd kan beviljas kommuner, samkommuner och deras bolag, andra kommunägda aktörer, föreningar, företag som äger dammar eller producerar vattentjänster samt andra sammanslutningar, dock inte statliga ämbetsverk eller affärsverk eller statsägda bolag. Understöd kan också beviljas för gemensamma projekt som genomförs av sammanslutningar av aktörer, varvid understödet beviljas huvudsökanden.</w:t>
      </w:r>
    </w:p>
    <w:p w14:paraId="19F14813" w14:textId="77777777" w:rsidR="00CF22F9" w:rsidRPr="00222DF0" w:rsidRDefault="00CF22F9" w:rsidP="00CF22F9"/>
    <w:p w14:paraId="5866C084" w14:textId="77CBB21E" w:rsidR="00CF22F9" w:rsidRPr="00222DF0" w:rsidRDefault="00415B7E" w:rsidP="00CF22F9">
      <w:r w:rsidRPr="00222DF0">
        <w:t>7 §</w:t>
      </w:r>
    </w:p>
    <w:p w14:paraId="78F469F5" w14:textId="77777777" w:rsidR="00CF22F9" w:rsidRPr="00222DF0" w:rsidRDefault="00CF22F9" w:rsidP="00CF22F9">
      <w:pPr>
        <w:rPr>
          <w:color w:val="000000" w:themeColor="text1"/>
        </w:rPr>
      </w:pPr>
      <w:r w:rsidRPr="00222DF0">
        <w:t>Understödets maximibelopp</w:t>
      </w:r>
    </w:p>
    <w:p w14:paraId="567CCAA0" w14:textId="707F79DA" w:rsidR="00603871" w:rsidRPr="00222DF0" w:rsidRDefault="00CF22F9" w:rsidP="00603871">
      <w:pPr>
        <w:rPr>
          <w:color w:val="000000" w:themeColor="text1"/>
        </w:rPr>
      </w:pPr>
      <w:r w:rsidRPr="00222DF0">
        <w:rPr>
          <w:color w:val="000000" w:themeColor="text1"/>
        </w:rPr>
        <w:t>Understödet kan utgöra högst 50 procent av de godtagbara kostnaderna. Understödets andel kan emellertid vara större än detta, dock högst 75 procent, när projektet främjar det regionala samarbetet i fråga om vattentjänster eller främjar sammanslagningar av vattentjänstverk.</w:t>
      </w:r>
    </w:p>
    <w:p w14:paraId="252BC28A" w14:textId="0FC47C14" w:rsidR="00CF22F9" w:rsidRPr="00222DF0" w:rsidRDefault="00CF22F9" w:rsidP="00CF22F9">
      <w:pPr>
        <w:rPr>
          <w:color w:val="000000" w:themeColor="text1"/>
        </w:rPr>
      </w:pPr>
      <w:r w:rsidRPr="00222DF0">
        <w:rPr>
          <w:color w:val="000000" w:themeColor="text1"/>
        </w:rPr>
        <w:t>Om den allmänna gruppundantagsförordningen tillämpas på understödet, bestäms understödets maximibelopp med avvikelse från det som föreskrivs i 1 mom. enligt villkoren för den berörda stödformen i den förordningen men är alltid är högst 75 procent av de godtagbara kostnaderna.</w:t>
      </w:r>
    </w:p>
    <w:p w14:paraId="1AD2EF8B" w14:textId="77777777" w:rsidR="00CF22F9" w:rsidRPr="00222DF0" w:rsidRDefault="00CF22F9" w:rsidP="00CF22F9"/>
    <w:p w14:paraId="293C5EF2" w14:textId="41710026" w:rsidR="00CF22F9" w:rsidRPr="00222DF0" w:rsidRDefault="00415B7E" w:rsidP="00CF22F9">
      <w:r w:rsidRPr="00222DF0">
        <w:t>8 §</w:t>
      </w:r>
    </w:p>
    <w:p w14:paraId="0C132D47" w14:textId="77777777" w:rsidR="00CF22F9" w:rsidRPr="00222DF0" w:rsidRDefault="00CF22F9" w:rsidP="00CF22F9">
      <w:r w:rsidRPr="00222DF0">
        <w:t>Godtagbara kostnader</w:t>
      </w:r>
    </w:p>
    <w:p w14:paraId="21752536" w14:textId="5D842CEE" w:rsidR="00CF22F9" w:rsidRPr="00222DF0" w:rsidRDefault="00CF22F9" w:rsidP="00CF22F9">
      <w:r w:rsidRPr="00222DF0">
        <w:t>Understöd kan beviljas för följande nödvändiga och skäliga kostnader som föranleds av ett projekt:</w:t>
      </w:r>
    </w:p>
    <w:p w14:paraId="529145BB" w14:textId="3CA9F1E9" w:rsidR="008A4178" w:rsidRPr="00222DF0" w:rsidRDefault="00CF22F9" w:rsidP="00CF22F9">
      <w:r w:rsidRPr="00222DF0">
        <w:t xml:space="preserve">1) kostnader för beredning och planering av projektet, </w:t>
      </w:r>
    </w:p>
    <w:p w14:paraId="3829B718" w14:textId="4E51782D" w:rsidR="008A4178" w:rsidRPr="00222DF0" w:rsidRDefault="008A4178" w:rsidP="008A4178">
      <w:r w:rsidRPr="00222DF0">
        <w:t>2) kostnader som direkt hänför sig till genomförandet eller anskaffningskostnader,</w:t>
      </w:r>
    </w:p>
    <w:p w14:paraId="2621598B" w14:textId="41A9F567" w:rsidR="00CF22F9" w:rsidRPr="00222DF0" w:rsidRDefault="008A4178" w:rsidP="00CF22F9">
      <w:r w:rsidRPr="00222DF0">
        <w:t>3) personalkostnader,</w:t>
      </w:r>
    </w:p>
    <w:p w14:paraId="6874E390" w14:textId="267C3403" w:rsidR="00CF22F9" w:rsidRPr="00222DF0" w:rsidRDefault="008A4178" w:rsidP="00CF22F9">
      <w:r w:rsidRPr="00222DF0">
        <w:t>4) resekostnader,</w:t>
      </w:r>
    </w:p>
    <w:p w14:paraId="43B547C2" w14:textId="18C0EAFD" w:rsidR="00CF22F9" w:rsidRPr="00222DF0" w:rsidRDefault="008A4178" w:rsidP="00CF22F9">
      <w:r w:rsidRPr="00222DF0">
        <w:t>5) kostnader för uppföljning av effekterna,</w:t>
      </w:r>
    </w:p>
    <w:p w14:paraId="1C8EA64F" w14:textId="7325DDB4" w:rsidR="00CF22F9" w:rsidRPr="00222DF0" w:rsidRDefault="008A4178" w:rsidP="00CF22F9">
      <w:r w:rsidRPr="00222DF0">
        <w:t>6) andra kostnader för genomförandet av projektet än de som avses i 1–5 punkten.</w:t>
      </w:r>
    </w:p>
    <w:p w14:paraId="5B45FA27" w14:textId="61A75CF9" w:rsidR="00CF22F9" w:rsidRPr="00222DF0" w:rsidRDefault="001B633C" w:rsidP="00CF22F9">
      <w:r w:rsidRPr="00222DF0">
        <w:t>Om den allmänna gruppundantagsförordningen tillämpas på understödet, bestäms understödets godtagbara kostnader dock enligt villkoren för den berörda stödformen i den förordningen.</w:t>
      </w:r>
    </w:p>
    <w:p w14:paraId="055932BA" w14:textId="77777777" w:rsidR="001B633C" w:rsidRPr="00222DF0" w:rsidRDefault="001B633C" w:rsidP="00CF22F9"/>
    <w:p w14:paraId="36392027" w14:textId="2B994727" w:rsidR="00D347FE" w:rsidRPr="00222DF0" w:rsidRDefault="00415B7E" w:rsidP="00D347FE">
      <w:r w:rsidRPr="00222DF0">
        <w:t>9 §</w:t>
      </w:r>
    </w:p>
    <w:p w14:paraId="489351B5" w14:textId="77777777" w:rsidR="00D347FE" w:rsidRPr="00222DF0" w:rsidRDefault="00D347FE" w:rsidP="00D347FE">
      <w:r w:rsidRPr="00222DF0">
        <w:t>Arbete som utförs utan vederlag</w:t>
      </w:r>
    </w:p>
    <w:p w14:paraId="156FC2E2" w14:textId="12625396" w:rsidR="00D347FE" w:rsidRPr="00222DF0" w:rsidRDefault="00E93667" w:rsidP="00D347FE">
      <w:r w:rsidRPr="00222DF0">
        <w:t>I de totala kostnader som avses i 8 § 1 mom. kan det även ingå arbete som utförs utan vederlag och som behövs för att genomföra ett projekt.</w:t>
      </w:r>
    </w:p>
    <w:p w14:paraId="6BBAE67B" w14:textId="7B9424D3" w:rsidR="00D347FE" w:rsidRPr="00222DF0" w:rsidRDefault="00D347FE" w:rsidP="00D347FE">
      <w:r w:rsidRPr="00222DF0">
        <w:t>Värdet på arbete som utförs utan vederlag anses vara 15 euro i timmen per person som utför arbetet. Om det vid arbete som utförs utan vederlag används traktor eller motorredskap, ska till värdet på arbetet ytterligare räknas 30 euro per drifttimme som värde på användningen av fordonet. Värdet på arbete som utförs utan vederlag får vara högst den del av projektets totala kostnader som överskrider statsunderstödet. Det ska föras bok över antalet arbetstimmar.</w:t>
      </w:r>
    </w:p>
    <w:p w14:paraId="480DA9BB" w14:textId="77777777" w:rsidR="00D347FE" w:rsidRPr="00222DF0" w:rsidRDefault="00D347FE" w:rsidP="00CF22F9"/>
    <w:p w14:paraId="269A9611" w14:textId="6509C0AE" w:rsidR="00CF22F9" w:rsidRPr="00222DF0" w:rsidRDefault="00415B7E" w:rsidP="00CF22F9">
      <w:r w:rsidRPr="00222DF0">
        <w:t>10 §</w:t>
      </w:r>
    </w:p>
    <w:p w14:paraId="137BD33C" w14:textId="77777777" w:rsidR="00CF22F9" w:rsidRPr="00222DF0" w:rsidRDefault="00CF22F9" w:rsidP="00CF22F9">
      <w:r w:rsidRPr="00222DF0">
        <w:t>Ikraftträdande</w:t>
      </w:r>
    </w:p>
    <w:p w14:paraId="10635C19" w14:textId="0EB725AD" w:rsidR="00E846D7" w:rsidRPr="00222DF0" w:rsidRDefault="00CF22F9" w:rsidP="00CF22F9">
      <w:r w:rsidRPr="00222DF0">
        <w:t>Denna förordning träder i kraft den 1 maj 2023 och gäller till och med den 31 december 2035.</w:t>
      </w:r>
    </w:p>
    <w:sectPr w:rsidR="00E846D7" w:rsidRPr="00222DF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D4660"/>
    <w:multiLevelType w:val="hybridMultilevel"/>
    <w:tmpl w:val="9FC4B7B8"/>
    <w:lvl w:ilvl="0" w:tplc="07AA4A44">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936040"/>
    <w:multiLevelType w:val="hybridMultilevel"/>
    <w:tmpl w:val="A66623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F613683"/>
    <w:multiLevelType w:val="hybridMultilevel"/>
    <w:tmpl w:val="CBF62C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F9"/>
    <w:rsid w:val="00002568"/>
    <w:rsid w:val="00093128"/>
    <w:rsid w:val="000B513D"/>
    <w:rsid w:val="000F5A7F"/>
    <w:rsid w:val="000F7CB8"/>
    <w:rsid w:val="0010243F"/>
    <w:rsid w:val="00103385"/>
    <w:rsid w:val="00145017"/>
    <w:rsid w:val="00153D95"/>
    <w:rsid w:val="00170D64"/>
    <w:rsid w:val="00171BBA"/>
    <w:rsid w:val="001857B7"/>
    <w:rsid w:val="001B633C"/>
    <w:rsid w:val="001E1C86"/>
    <w:rsid w:val="001E3316"/>
    <w:rsid w:val="00212A5B"/>
    <w:rsid w:val="00215964"/>
    <w:rsid w:val="002162E8"/>
    <w:rsid w:val="00222DF0"/>
    <w:rsid w:val="00231EA9"/>
    <w:rsid w:val="00280951"/>
    <w:rsid w:val="002A5036"/>
    <w:rsid w:val="002D665C"/>
    <w:rsid w:val="002E24CF"/>
    <w:rsid w:val="00316C2F"/>
    <w:rsid w:val="00364E76"/>
    <w:rsid w:val="003709B3"/>
    <w:rsid w:val="00415B7E"/>
    <w:rsid w:val="00424361"/>
    <w:rsid w:val="00480C69"/>
    <w:rsid w:val="004B2A1E"/>
    <w:rsid w:val="004D462E"/>
    <w:rsid w:val="005408CB"/>
    <w:rsid w:val="005B12C3"/>
    <w:rsid w:val="005D1761"/>
    <w:rsid w:val="005D38C6"/>
    <w:rsid w:val="005E7E73"/>
    <w:rsid w:val="00602C0F"/>
    <w:rsid w:val="00603871"/>
    <w:rsid w:val="006126F4"/>
    <w:rsid w:val="00651321"/>
    <w:rsid w:val="006754BD"/>
    <w:rsid w:val="006B2193"/>
    <w:rsid w:val="0071131A"/>
    <w:rsid w:val="00736EFA"/>
    <w:rsid w:val="007642E4"/>
    <w:rsid w:val="00784CB0"/>
    <w:rsid w:val="007B78C4"/>
    <w:rsid w:val="0084638B"/>
    <w:rsid w:val="00863572"/>
    <w:rsid w:val="00865128"/>
    <w:rsid w:val="008A4178"/>
    <w:rsid w:val="008D559B"/>
    <w:rsid w:val="008E6448"/>
    <w:rsid w:val="00945C39"/>
    <w:rsid w:val="00954131"/>
    <w:rsid w:val="00966DB6"/>
    <w:rsid w:val="00A21096"/>
    <w:rsid w:val="00A27738"/>
    <w:rsid w:val="00A70FAA"/>
    <w:rsid w:val="00A84076"/>
    <w:rsid w:val="00AB0964"/>
    <w:rsid w:val="00AC5ADC"/>
    <w:rsid w:val="00B03822"/>
    <w:rsid w:val="00B34480"/>
    <w:rsid w:val="00B6522F"/>
    <w:rsid w:val="00BA7ECE"/>
    <w:rsid w:val="00BC5A3E"/>
    <w:rsid w:val="00C2289D"/>
    <w:rsid w:val="00CB5B20"/>
    <w:rsid w:val="00CC33D4"/>
    <w:rsid w:val="00CF22F9"/>
    <w:rsid w:val="00D347FE"/>
    <w:rsid w:val="00DC6ECB"/>
    <w:rsid w:val="00E20625"/>
    <w:rsid w:val="00E61A94"/>
    <w:rsid w:val="00E813F9"/>
    <w:rsid w:val="00E93667"/>
    <w:rsid w:val="00ED49CC"/>
    <w:rsid w:val="00EF3DCF"/>
    <w:rsid w:val="00EF62D7"/>
    <w:rsid w:val="00F07253"/>
    <w:rsid w:val="00F16E83"/>
    <w:rsid w:val="00F95C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9FFE"/>
  <w15:chartTrackingRefBased/>
  <w15:docId w15:val="{D7506F95-BECA-4627-8F39-E08174F7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857B7"/>
    <w:pPr>
      <w:ind w:left="720"/>
      <w:contextualSpacing/>
    </w:pPr>
  </w:style>
  <w:style w:type="character" w:styleId="Hyperlinkki">
    <w:name w:val="Hyperlink"/>
    <w:basedOn w:val="Kappaleenoletusfontti"/>
    <w:uiPriority w:val="99"/>
    <w:semiHidden/>
    <w:unhideWhenUsed/>
    <w:rsid w:val="002162E8"/>
    <w:rPr>
      <w:color w:val="0000FF"/>
      <w:u w:val="single"/>
    </w:rPr>
  </w:style>
  <w:style w:type="character" w:styleId="Kommentinviite">
    <w:name w:val="annotation reference"/>
    <w:basedOn w:val="Kappaleenoletusfontti"/>
    <w:uiPriority w:val="99"/>
    <w:semiHidden/>
    <w:unhideWhenUsed/>
    <w:rsid w:val="006126F4"/>
    <w:rPr>
      <w:sz w:val="16"/>
      <w:szCs w:val="16"/>
    </w:rPr>
  </w:style>
  <w:style w:type="paragraph" w:styleId="Kommentinteksti">
    <w:name w:val="annotation text"/>
    <w:basedOn w:val="Normaali"/>
    <w:link w:val="KommentintekstiChar"/>
    <w:uiPriority w:val="99"/>
    <w:semiHidden/>
    <w:unhideWhenUsed/>
    <w:rsid w:val="006126F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26F4"/>
    <w:rPr>
      <w:sz w:val="20"/>
      <w:szCs w:val="20"/>
    </w:rPr>
  </w:style>
  <w:style w:type="paragraph" w:styleId="Kommentinotsikko">
    <w:name w:val="annotation subject"/>
    <w:basedOn w:val="Kommentinteksti"/>
    <w:next w:val="Kommentinteksti"/>
    <w:link w:val="KommentinotsikkoChar"/>
    <w:uiPriority w:val="99"/>
    <w:semiHidden/>
    <w:unhideWhenUsed/>
    <w:rsid w:val="006126F4"/>
    <w:rPr>
      <w:b/>
      <w:bCs/>
    </w:rPr>
  </w:style>
  <w:style w:type="character" w:customStyle="1" w:styleId="KommentinotsikkoChar">
    <w:name w:val="Kommentin otsikko Char"/>
    <w:basedOn w:val="KommentintekstiChar"/>
    <w:link w:val="Kommentinotsikko"/>
    <w:uiPriority w:val="99"/>
    <w:semiHidden/>
    <w:rsid w:val="006126F4"/>
    <w:rPr>
      <w:b/>
      <w:bCs/>
      <w:sz w:val="20"/>
      <w:szCs w:val="20"/>
    </w:rPr>
  </w:style>
  <w:style w:type="paragraph" w:styleId="Seliteteksti">
    <w:name w:val="Balloon Text"/>
    <w:basedOn w:val="Normaali"/>
    <w:link w:val="SelitetekstiChar"/>
    <w:uiPriority w:val="99"/>
    <w:semiHidden/>
    <w:unhideWhenUsed/>
    <w:rsid w:val="006126F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26F4"/>
    <w:rPr>
      <w:rFonts w:ascii="Segoe UI" w:hAnsi="Segoe UI" w:cs="Segoe UI"/>
      <w:sz w:val="18"/>
      <w:szCs w:val="18"/>
    </w:rPr>
  </w:style>
  <w:style w:type="character" w:styleId="AvattuHyperlinkki">
    <w:name w:val="FollowedHyperlink"/>
    <w:basedOn w:val="Kappaleenoletusfontti"/>
    <w:uiPriority w:val="99"/>
    <w:semiHidden/>
    <w:unhideWhenUsed/>
    <w:rsid w:val="00711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1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4711</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 Johanna (MMM)</dc:creator>
  <cp:keywords/>
  <dc:description/>
  <cp:lastModifiedBy>Lundsten Ulla (VNK)</cp:lastModifiedBy>
  <cp:revision>2</cp:revision>
  <dcterms:created xsi:type="dcterms:W3CDTF">2023-02-27T11:48:00Z</dcterms:created>
  <dcterms:modified xsi:type="dcterms:W3CDTF">2023-02-27T11:48:00Z</dcterms:modified>
</cp:coreProperties>
</file>