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505180228"/>
        <w:placeholder>
          <w:docPart w:val="98F4E4C2FC4146FB9E7D44C2C31D75C0"/>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5B16E7" w:rsidP="001D5B51">
          <w:pPr>
            <w:pStyle w:val="LLSaadoksenNimi"/>
          </w:pPr>
          <w:r w:rsidRPr="005B16E7">
            <w:t>vaarallisten aineiden kuljetuksesta Puolustusvoimissa ja Rajavartiolaitoksessa</w:t>
          </w:r>
        </w:p>
        <w:p w:rsidR="001D5B51" w:rsidRDefault="008341AB" w:rsidP="005B16E7">
          <w:pPr>
            <w:pStyle w:val="LLJohtolauseKappaleet"/>
          </w:pPr>
          <w:r w:rsidRPr="008341AB">
            <w:t>Valtioneuvoston päätöksen</w:t>
          </w:r>
          <w:r w:rsidR="001D5B51" w:rsidRPr="009167E1">
            <w:t xml:space="preserve"> mukaisesti säädetään</w:t>
          </w:r>
          <w:r w:rsidR="005B16E7" w:rsidRPr="005B16E7">
            <w:t xml:space="preserve"> vaarallisten aineiden kuljetuksesta Puolustusvoimissa ja Rajavartiolaitoksessa annetun lain </w:t>
          </w:r>
          <w:proofErr w:type="gramStart"/>
          <w:r w:rsidR="005B16E7" w:rsidRPr="005B16E7">
            <w:t>( /</w:t>
          </w:r>
          <w:proofErr w:type="gramEnd"/>
          <w:r w:rsidR="005B16E7" w:rsidRPr="005B16E7">
            <w:t xml:space="preserve"> ) nojalla:</w:t>
          </w:r>
          <w:r w:rsidR="005B16E7">
            <w:t xml:space="preserve"> </w:t>
          </w:r>
        </w:p>
        <w:p w:rsidR="005B16E7" w:rsidRDefault="005B16E7" w:rsidP="005B16E7">
          <w:pPr>
            <w:pStyle w:val="LLJohtolauseKappaleet"/>
          </w:pPr>
        </w:p>
        <w:p w:rsidR="005B16E7" w:rsidRDefault="005B16E7" w:rsidP="005B16E7">
          <w:pPr>
            <w:pStyle w:val="LLJohtolauseKappaleet"/>
          </w:pPr>
        </w:p>
        <w:p w:rsidR="005B16E7" w:rsidRDefault="005B16E7" w:rsidP="00974E8C">
          <w:pPr>
            <w:pStyle w:val="LLLuku"/>
          </w:pPr>
          <w:r>
            <w:t>1 Luku</w:t>
          </w:r>
        </w:p>
        <w:p w:rsidR="005B16E7" w:rsidRPr="006B525A" w:rsidRDefault="005B16E7" w:rsidP="00974E8C">
          <w:pPr>
            <w:pStyle w:val="LLLuvunOtsikko"/>
          </w:pPr>
          <w:r>
            <w:t>Yleiset säännökset</w:t>
          </w:r>
        </w:p>
        <w:p w:rsidR="005B16E7" w:rsidRDefault="005B16E7" w:rsidP="005B16E7">
          <w:pPr>
            <w:pStyle w:val="LLJohtolauseKappaleet"/>
          </w:pPr>
        </w:p>
        <w:p w:rsidR="001D5B51" w:rsidRDefault="005B16E7" w:rsidP="001D5B51">
          <w:pPr>
            <w:pStyle w:val="LLPykala"/>
          </w:pPr>
          <w:r>
            <w:t>1</w:t>
          </w:r>
          <w:r w:rsidR="001D5B51" w:rsidRPr="009167E1">
            <w:t xml:space="preserve"> §</w:t>
          </w:r>
        </w:p>
        <w:p w:rsidR="005B16E7" w:rsidRDefault="005B16E7" w:rsidP="00057B14">
          <w:pPr>
            <w:pStyle w:val="LLPykalanOtsikko"/>
          </w:pPr>
          <w:r w:rsidRPr="005B16E7">
            <w:t>Määritelmät</w:t>
          </w:r>
        </w:p>
        <w:p w:rsidR="005B16E7" w:rsidRDefault="005B16E7" w:rsidP="0078170F">
          <w:pPr>
            <w:pStyle w:val="LLMomentinJohdantoKappale"/>
          </w:pPr>
          <w:r w:rsidRPr="005B16E7">
            <w:t>Tässä asetuksessa tarkoitetaan:</w:t>
          </w:r>
        </w:p>
        <w:p w:rsidR="005B16E7" w:rsidRDefault="005B16E7" w:rsidP="005B16E7">
          <w:pPr>
            <w:pStyle w:val="LLMomentinAlakohta"/>
            <w:numPr>
              <w:ilvl w:val="0"/>
              <w:numId w:val="26"/>
            </w:numPr>
          </w:pPr>
          <w:r w:rsidRPr="005B16E7">
            <w:t xml:space="preserve">PV-VAK-lailla vaarallisten aineiden kuljetuksesta Puolustusvoimissa ja Rajavartiolaitoksessa annettua lakia </w:t>
          </w:r>
          <w:proofErr w:type="gramStart"/>
          <w:r w:rsidRPr="005B16E7">
            <w:t>( /</w:t>
          </w:r>
          <w:proofErr w:type="gramEnd"/>
          <w:r w:rsidRPr="005B16E7">
            <w:t xml:space="preserve"> );</w:t>
          </w:r>
        </w:p>
        <w:p w:rsidR="005B16E7" w:rsidRPr="005B16E7" w:rsidRDefault="005B16E7" w:rsidP="005B16E7">
          <w:pPr>
            <w:pStyle w:val="Luettelokappale"/>
            <w:numPr>
              <w:ilvl w:val="0"/>
              <w:numId w:val="26"/>
            </w:numPr>
            <w:rPr>
              <w:rFonts w:eastAsia="Times New Roman"/>
              <w:szCs w:val="24"/>
              <w:lang w:eastAsia="fi-FI"/>
            </w:rPr>
          </w:pPr>
          <w:r w:rsidRPr="005B16E7">
            <w:rPr>
              <w:rFonts w:eastAsia="Times New Roman"/>
              <w:szCs w:val="24"/>
              <w:lang w:eastAsia="fi-FI"/>
            </w:rPr>
            <w:t>ajoneuvotarkastajalla sotilasajoneuvolaissa (332/2023) ja sen nojalla annetuissa säännöksissä tarkoitetun voimassa olevan pätevyyden omaavaa ajoneuvotarkastajaa</w:t>
          </w:r>
          <w:proofErr w:type="gramStart"/>
          <w:r w:rsidRPr="005B16E7">
            <w:rPr>
              <w:rFonts w:eastAsia="Times New Roman"/>
              <w:szCs w:val="24"/>
              <w:lang w:eastAsia="fi-FI"/>
            </w:rPr>
            <w:t>; .</w:t>
          </w:r>
          <w:proofErr w:type="gramEnd"/>
          <w:r w:rsidRPr="005B16E7">
            <w:rPr>
              <w:rFonts w:eastAsia="Times New Roman"/>
              <w:szCs w:val="24"/>
              <w:lang w:eastAsia="fi-FI"/>
            </w:rPr>
            <w:t>]</w:t>
          </w:r>
        </w:p>
        <w:p w:rsidR="005B16E7" w:rsidRPr="005B16E7" w:rsidRDefault="005B16E7" w:rsidP="005B16E7">
          <w:pPr>
            <w:pStyle w:val="Luettelokappale"/>
            <w:numPr>
              <w:ilvl w:val="0"/>
              <w:numId w:val="26"/>
            </w:numPr>
            <w:rPr>
              <w:rFonts w:eastAsia="Times New Roman"/>
              <w:szCs w:val="24"/>
              <w:lang w:eastAsia="fi-FI"/>
            </w:rPr>
          </w:pPr>
          <w:r w:rsidRPr="005B16E7">
            <w:rPr>
              <w:rFonts w:eastAsia="Times New Roman"/>
              <w:szCs w:val="24"/>
              <w:lang w:eastAsia="fi-FI"/>
            </w:rPr>
            <w:t>suuronnettomuudella huomattavaa päästöä, tulipaloa, räjähdystä tai muuta ilmiötä, joka seuraa vaarallisten aineiden tilapäisessä säilytyksessä esiintyneistä hallitsemattomista tapahtumista, jotka voivat aiheuttaa ihmisen terveyteen, ympäristöön tai omaisuuteen kohdistuvaa vakavaa välitöntä tai myöhemmin ilmenevää vaaraa tilapäisen säilytyksen paikassa ja sen ulkopuolella;</w:t>
          </w:r>
        </w:p>
        <w:p w:rsidR="005B16E7" w:rsidRDefault="005B16E7" w:rsidP="005B16E7">
          <w:pPr>
            <w:pStyle w:val="LLMomentinAlakohta"/>
            <w:ind w:left="530" w:firstLine="0"/>
          </w:pPr>
        </w:p>
        <w:p w:rsidR="005B16E7" w:rsidRDefault="005B16E7" w:rsidP="00974E8C">
          <w:pPr>
            <w:pStyle w:val="LLLuku"/>
          </w:pPr>
          <w:r>
            <w:t>2 Luku</w:t>
          </w:r>
        </w:p>
        <w:p w:rsidR="005B16E7" w:rsidRPr="006B525A" w:rsidRDefault="005B16E7" w:rsidP="00974E8C">
          <w:pPr>
            <w:pStyle w:val="LLLuvunOtsikko"/>
          </w:pPr>
          <w:r w:rsidRPr="005B16E7">
            <w:t>Tilapäinen säilytys</w:t>
          </w:r>
        </w:p>
        <w:p w:rsidR="005B16E7" w:rsidRPr="009167E1" w:rsidRDefault="005B16E7" w:rsidP="00BA71BD">
          <w:pPr>
            <w:pStyle w:val="LLPykala"/>
          </w:pPr>
          <w:r>
            <w:t>2</w:t>
          </w:r>
          <w:r w:rsidRPr="009167E1">
            <w:t xml:space="preserve"> §</w:t>
          </w:r>
        </w:p>
        <w:p w:rsidR="005B16E7" w:rsidRDefault="005B16E7" w:rsidP="00057B14">
          <w:pPr>
            <w:pStyle w:val="LLPykalanOtsikko"/>
          </w:pPr>
          <w:r w:rsidRPr="005B16E7">
            <w:t xml:space="preserve">Vaaralliset aineet ja lastinkuljetusyksiköt tilapäisen säilytyksen paikassa </w:t>
          </w:r>
        </w:p>
        <w:p w:rsidR="005B16E7" w:rsidRDefault="005B16E7" w:rsidP="0078170F">
          <w:pPr>
            <w:pStyle w:val="LLKappalejako"/>
          </w:pPr>
          <w:r w:rsidRPr="005B16E7">
            <w:t>Tilapäisen säilytyksen paikassa sotasatamassa ja sotasatama-alueella, sotilaslentopaikalla ja jatkuvassa, kiinteässä tilapäisen säilytyksen paikassa sekä muussa tilapäisen säilytyksen paikassa lastinkuljetusyksiköt on eroteltava toisistaan turvallisesti, ja pelastusviranomaisten esteetön pääsy vaarallisten aineiden ja niitä sisältävien lastinkuljetusyksiköiden luokse on varmistettava. Sijoittelussa on otettava huomioon muu liikenne tilapäisen säilytyksen paikassa ja pyrittävä siihen, että lastinkuljetusyksiköiden siirtely säilytyksen aikana on mahdollisimman vähäistä.</w:t>
          </w:r>
        </w:p>
        <w:p w:rsidR="005B16E7" w:rsidRDefault="005B16E7" w:rsidP="0078170F">
          <w:pPr>
            <w:pStyle w:val="LLKappalejako"/>
          </w:pPr>
          <w:r w:rsidRPr="005B16E7">
            <w:t>Vaarallisia aineita sisältäviä lastinkuljetusyksiköitä ei saa tilapäisen säilytyksen aikana pinota päällekkäin ilman pakottavaa tarvetta. Kuitenkin enintään kaksi lastinkuljetusyksikköä saa pinota päällekkäin, jos ne sisältävät ainoastaan luokan 9 ympäristövaarallisia aineita.</w:t>
          </w:r>
        </w:p>
        <w:p w:rsidR="005B16E7" w:rsidRDefault="005B16E7" w:rsidP="0078170F">
          <w:pPr>
            <w:pStyle w:val="LLKappalejako"/>
          </w:pPr>
          <w:r w:rsidRPr="005B16E7">
            <w:lastRenderedPageBreak/>
            <w:t xml:space="preserve">Kollit on tilapäisessä säilytyksessä lastinkuljetusyksikön tai kuormatilan ulkopuolella säilytettävä noudattaen vähintään samaa erottelua kuin </w:t>
          </w:r>
          <w:proofErr w:type="spellStart"/>
          <w:r w:rsidRPr="005B16E7">
            <w:t>yhteenkuormaamisessa</w:t>
          </w:r>
          <w:proofErr w:type="spellEnd"/>
          <w:r w:rsidRPr="005B16E7">
            <w:t xml:space="preserve"> lastinkuljetusyksikköön tai kuljetusvälineen kuormatilaan.</w:t>
          </w:r>
        </w:p>
        <w:p w:rsidR="000C5A1E" w:rsidRDefault="000C5A1E" w:rsidP="0078170F">
          <w:pPr>
            <w:pStyle w:val="LLKappalejako"/>
          </w:pPr>
        </w:p>
        <w:p w:rsidR="000C5A1E" w:rsidRPr="009167E1" w:rsidRDefault="000C5A1E" w:rsidP="00BA71BD">
          <w:pPr>
            <w:pStyle w:val="LLPykala"/>
          </w:pPr>
          <w:r>
            <w:t>3</w:t>
          </w:r>
          <w:r w:rsidRPr="009167E1">
            <w:t xml:space="preserve"> §</w:t>
          </w:r>
        </w:p>
        <w:p w:rsidR="000C5A1E" w:rsidRDefault="000C5A1E" w:rsidP="00057B14">
          <w:pPr>
            <w:pStyle w:val="LLPykalanOtsikko"/>
          </w:pPr>
          <w:r w:rsidRPr="000C5A1E">
            <w:t xml:space="preserve">Lastinkuljetusyksiköt sotasatamassa, sotasatama-alueella, sotilaslentopaikalla ja jatkuvan, kiinteän tilapäisen säilytyksen paikassa </w:t>
          </w:r>
        </w:p>
        <w:p w:rsidR="000C5A1E" w:rsidRDefault="000C5A1E" w:rsidP="0078170F">
          <w:pPr>
            <w:pStyle w:val="LLKappalejako"/>
          </w:pPr>
          <w:r w:rsidRPr="000C5A1E">
            <w:t>Sotasatamassa, sotasatama-alueella, sotilaslentopaikalla ja jatkuvan, kiinteän tilapäisen säilytyksen paikassa on noudatettava liitteessä esitettyjä erotteluetäisyyksiä. Pieniä määriä vaarallista ainetta sisältävien lastinkuljetusyksiköiden erottelussa ei kuitenkaan tarvitse soveltaa liitteen säännöksiä, jos turvallisuudesta muuten huolehditaan.</w:t>
          </w:r>
        </w:p>
        <w:p w:rsidR="000C5A1E" w:rsidRDefault="000C5A1E" w:rsidP="0078170F">
          <w:pPr>
            <w:pStyle w:val="LLKappalejako"/>
          </w:pPr>
          <w:r w:rsidRPr="000C5A1E">
            <w:t>Seuraavat aineet on viipymättä toimitettava pois sotasatamasta, sotasatama-alueelta, sotilaslentopaikalla ja jatkuvan, kiinteän tilapäisen säilytyksen paikassa:</w:t>
          </w:r>
        </w:p>
        <w:p w:rsidR="000C5A1E" w:rsidRDefault="000C5A1E" w:rsidP="000C5A1E">
          <w:pPr>
            <w:pStyle w:val="LLMomentinAlakohta"/>
            <w:numPr>
              <w:ilvl w:val="0"/>
              <w:numId w:val="27"/>
            </w:numPr>
          </w:pPr>
          <w:r w:rsidRPr="000C5A1E">
            <w:t>luokan 1 räjähteet, lukuun ottamatta 1.4 S räjähteitä;</w:t>
          </w:r>
        </w:p>
        <w:p w:rsidR="000C5A1E" w:rsidRPr="000C5A1E" w:rsidRDefault="000C5A1E" w:rsidP="000C5A1E">
          <w:pPr>
            <w:pStyle w:val="Luettelokappale"/>
            <w:numPr>
              <w:ilvl w:val="0"/>
              <w:numId w:val="27"/>
            </w:numPr>
            <w:rPr>
              <w:rFonts w:eastAsia="Times New Roman"/>
              <w:szCs w:val="24"/>
              <w:lang w:eastAsia="fi-FI"/>
            </w:rPr>
          </w:pPr>
          <w:r w:rsidRPr="000C5A1E">
            <w:rPr>
              <w:rFonts w:eastAsia="Times New Roman"/>
              <w:szCs w:val="24"/>
              <w:lang w:eastAsia="fi-FI"/>
            </w:rPr>
            <w:t>luokan 6.2 tartuntavaaralliset aineet;</w:t>
          </w:r>
        </w:p>
        <w:p w:rsidR="000C5A1E" w:rsidRDefault="000C5A1E" w:rsidP="000C5A1E">
          <w:pPr>
            <w:pStyle w:val="Luettelokappale"/>
            <w:numPr>
              <w:ilvl w:val="0"/>
              <w:numId w:val="27"/>
            </w:numPr>
            <w:rPr>
              <w:rFonts w:eastAsia="Times New Roman"/>
              <w:szCs w:val="24"/>
              <w:lang w:eastAsia="fi-FI"/>
            </w:rPr>
          </w:pPr>
          <w:r w:rsidRPr="000C5A1E">
            <w:rPr>
              <w:rFonts w:eastAsia="Times New Roman"/>
              <w:szCs w:val="24"/>
              <w:lang w:eastAsia="fi-FI"/>
            </w:rPr>
            <w:t>luokan 7 radioaktiiviset aineet, lukuun ottamatta vaarallisten ai</w:t>
          </w:r>
          <w:r>
            <w:rPr>
              <w:rFonts w:eastAsia="Times New Roman"/>
              <w:szCs w:val="24"/>
              <w:lang w:eastAsia="fi-FI"/>
            </w:rPr>
            <w:t xml:space="preserve">neiden luettelon YK-numeroihin </w:t>
          </w:r>
          <w:r w:rsidR="00866BBB">
            <w:rPr>
              <w:rFonts w:eastAsia="Times New Roman"/>
              <w:szCs w:val="24"/>
              <w:lang w:eastAsia="fi-FI"/>
            </w:rPr>
            <w:t>UN 2908–2911</w:t>
          </w:r>
          <w:r w:rsidRPr="000C5A1E">
            <w:rPr>
              <w:rFonts w:eastAsia="Times New Roman"/>
              <w:szCs w:val="24"/>
              <w:lang w:eastAsia="fi-FI"/>
            </w:rPr>
            <w:t xml:space="preserve"> kuuluvia aineita.</w:t>
          </w:r>
        </w:p>
        <w:p w:rsidR="00866BBB" w:rsidRDefault="00866BBB" w:rsidP="0078170F">
          <w:pPr>
            <w:pStyle w:val="LLKappalejako"/>
          </w:pPr>
          <w:r w:rsidRPr="00866BBB">
            <w:t>Edellä 2 momentissa tarkoitettuja aineita voidaan kuitenkin tilapäisesti säilyttää sotasatamassa, sotasatama-alueella, sotilaslentopaikalla ja jatkuvan, kiinteän tilapäisen säilytyksen paikassa, jos se on turvallista, siitä ei aiheudu vaaraa ja sotasatamanpitäjä, satamanpitäjä ja sotilaslentopaikanpitäjä sekä lentopaikanpitäjä ja jatkuvasta, kiinteästä tilapäisen säilytyksen paikasta vastaava on antanut siihen suostumuksen.</w:t>
          </w:r>
        </w:p>
        <w:p w:rsidR="0000134A" w:rsidRDefault="0000134A" w:rsidP="0078170F">
          <w:pPr>
            <w:pStyle w:val="LLKappalejako"/>
          </w:pPr>
        </w:p>
        <w:p w:rsidR="0000134A" w:rsidRPr="009167E1" w:rsidRDefault="0000134A" w:rsidP="00BA71BD">
          <w:pPr>
            <w:pStyle w:val="LLPykala"/>
          </w:pPr>
          <w:r>
            <w:t>4</w:t>
          </w:r>
          <w:r w:rsidRPr="009167E1">
            <w:t xml:space="preserve"> §</w:t>
          </w:r>
        </w:p>
        <w:p w:rsidR="0000134A" w:rsidRDefault="0000134A" w:rsidP="00057B14">
          <w:pPr>
            <w:pStyle w:val="LLPykalanOtsikko"/>
          </w:pPr>
          <w:r w:rsidRPr="0000134A">
            <w:t>Varautuminen onnettomuuksien torjuntaan tilapäisen säilytyksen paikassa</w:t>
          </w:r>
        </w:p>
        <w:p w:rsidR="0000134A" w:rsidRDefault="0000134A" w:rsidP="0078170F">
          <w:pPr>
            <w:pStyle w:val="LLKappalejako"/>
          </w:pPr>
          <w:r w:rsidRPr="0000134A">
            <w:t>Tilapäisen säilytyksen paikassa on onnettomuuksien torjuntaan oltava alkusammutuskalustoa ja vuotojen torjuntaa varten imeytys- ja neutralointiaineita tai muuta välineistöä säilytettävien aineiden, arvioitujen riskien ja onnettomuusvaikutusten edellyttämällä tavalla. Paikan suunnittelussa on otettava huomioon, että vaarallisten aineiden vuodot ja saastuneet vedet voidaan kerätä talteen.</w:t>
          </w:r>
        </w:p>
        <w:p w:rsidR="0000134A" w:rsidRDefault="0000134A" w:rsidP="0078170F">
          <w:pPr>
            <w:pStyle w:val="LLKappalejako"/>
          </w:pPr>
          <w:r w:rsidRPr="0000134A">
            <w:t>Vahingoittuneille kuormille ja lasteille sekä näiden sisältämistä vaarallisista aineista saastuneille jätteille on varattava paikka, jossa niitä voidaan säilyttää sekä uudelleen pakata tai kuormata ja jossa saastuneet jätteet voidaan kerätä talteen niiden hävittämistä varten. Näitä järjestelyjä suunniteltaessa on otettava huomioon säilytettävien vaarallisten aineiden määrä ja laatu.</w:t>
          </w:r>
        </w:p>
        <w:p w:rsidR="0000134A" w:rsidRDefault="0000134A" w:rsidP="0078170F">
          <w:pPr>
            <w:pStyle w:val="LLKappalejako"/>
          </w:pPr>
        </w:p>
        <w:p w:rsidR="0000134A" w:rsidRPr="009167E1" w:rsidRDefault="0000134A" w:rsidP="00BA71BD">
          <w:pPr>
            <w:pStyle w:val="LLPykala"/>
          </w:pPr>
          <w:r>
            <w:t>5</w:t>
          </w:r>
          <w:r w:rsidRPr="009167E1">
            <w:t xml:space="preserve"> §</w:t>
          </w:r>
        </w:p>
        <w:p w:rsidR="0000134A" w:rsidRDefault="0000134A" w:rsidP="00057B14">
          <w:pPr>
            <w:pStyle w:val="LLPykalanOtsikko"/>
          </w:pPr>
          <w:r w:rsidRPr="0000134A">
            <w:t>Sisäisen pelastussuunnitelman laatiminen</w:t>
          </w:r>
        </w:p>
        <w:p w:rsidR="0000134A" w:rsidRDefault="0000134A" w:rsidP="0078170F">
          <w:pPr>
            <w:pStyle w:val="LLMomentinJohdantoKappale"/>
          </w:pPr>
          <w:r w:rsidRPr="0000134A">
            <w:t>PV-VAK-lain 37 §:ssä tarkoitettu tilapäisen säilytyksen paikan sisäinen pelastussuunnitelma on laadittava ottaen huomioon seuraavat tavoitteet:</w:t>
          </w:r>
        </w:p>
        <w:p w:rsidR="0000134A" w:rsidRDefault="0000134A" w:rsidP="0000134A">
          <w:pPr>
            <w:pStyle w:val="LLMomentinKohta"/>
            <w:numPr>
              <w:ilvl w:val="0"/>
              <w:numId w:val="28"/>
            </w:numPr>
          </w:pPr>
          <w:r w:rsidRPr="0000134A">
            <w:t>onnettomuudet rajataan ja hallitaan niiden seurauksien minimoimiseksi sekä ihmisten terveydelle, ympäristölle ja omaisuudelle aiheutuvien vahinkojen rajoittamiseksi;</w:t>
          </w:r>
        </w:p>
        <w:p w:rsidR="0000134A" w:rsidRPr="0000134A" w:rsidRDefault="0000134A" w:rsidP="0000134A">
          <w:pPr>
            <w:pStyle w:val="Luettelokappale"/>
            <w:numPr>
              <w:ilvl w:val="0"/>
              <w:numId w:val="28"/>
            </w:numPr>
            <w:rPr>
              <w:rFonts w:eastAsia="Times New Roman"/>
              <w:szCs w:val="24"/>
              <w:lang w:eastAsia="fi-FI"/>
            </w:rPr>
          </w:pPr>
          <w:r w:rsidRPr="0000134A">
            <w:rPr>
              <w:rFonts w:eastAsia="Times New Roman"/>
              <w:szCs w:val="24"/>
              <w:lang w:eastAsia="fi-FI"/>
            </w:rPr>
            <w:t>toteutetaan tarvittavat toimenpiteet ihmisten terveyden ja ympäristön suojaamiseksi onnettomuuksien seurauksilta;</w:t>
          </w:r>
        </w:p>
        <w:p w:rsidR="0000134A" w:rsidRPr="0000134A" w:rsidRDefault="0000134A" w:rsidP="0000134A">
          <w:pPr>
            <w:pStyle w:val="Luettelokappale"/>
            <w:numPr>
              <w:ilvl w:val="0"/>
              <w:numId w:val="28"/>
            </w:numPr>
            <w:rPr>
              <w:rFonts w:eastAsia="Times New Roman"/>
              <w:szCs w:val="24"/>
              <w:lang w:eastAsia="fi-FI"/>
            </w:rPr>
          </w:pPr>
          <w:r w:rsidRPr="0000134A">
            <w:rPr>
              <w:rFonts w:eastAsia="Times New Roman"/>
              <w:szCs w:val="24"/>
              <w:lang w:eastAsia="fi-FI"/>
            </w:rPr>
            <w:t>annetaan tarpeelliset tiedot asiasta vastaaville alueen viranomaisille ja tarvittaessa väestölle ja muille alueen yrityksille ja laitoksille;</w:t>
          </w:r>
        </w:p>
        <w:p w:rsidR="0000134A" w:rsidRDefault="0000134A" w:rsidP="0000134A">
          <w:pPr>
            <w:pStyle w:val="Luettelokappale"/>
            <w:numPr>
              <w:ilvl w:val="0"/>
              <w:numId w:val="28"/>
            </w:numPr>
            <w:rPr>
              <w:rFonts w:eastAsia="Times New Roman"/>
              <w:szCs w:val="24"/>
              <w:lang w:eastAsia="fi-FI"/>
            </w:rPr>
          </w:pPr>
          <w:r w:rsidRPr="0000134A">
            <w:rPr>
              <w:rFonts w:eastAsia="Times New Roman"/>
              <w:szCs w:val="24"/>
              <w:lang w:eastAsia="fi-FI"/>
            </w:rPr>
            <w:t>varaudutaan onnettomuuden jälkien korjaamiseen ja ympäristön puhdistamiseen.</w:t>
          </w:r>
        </w:p>
        <w:p w:rsidR="0000134A" w:rsidRDefault="0000134A" w:rsidP="0078170F">
          <w:pPr>
            <w:pStyle w:val="LLKappalejako"/>
          </w:pPr>
          <w:r w:rsidRPr="0000134A">
            <w:lastRenderedPageBreak/>
            <w:t xml:space="preserve">Sisäinen pelastussuunnitelma on laadittava kuullen alueen toimijoita ja ottaen huomioon alueen pelastustoimen järjestelyt. </w:t>
          </w:r>
        </w:p>
        <w:p w:rsidR="0000134A" w:rsidRDefault="0000134A" w:rsidP="0078170F">
          <w:pPr>
            <w:pStyle w:val="LLKappalejako"/>
          </w:pPr>
          <w:r w:rsidRPr="0000134A">
            <w:t>Jos tilapäisen säilytyksen paikkaa varten on sovellettava muun lain kuin PV-VAK-lain nojalla laadittava sisäinen pelastussuunnitelma, turvallisuus- tai valmiussuunnitelma tai muu vastaava suunnitelma, erillistä sisäistä pelastussuunnitelmaa ei tarvitse laatia, vaan vastaavat asiat voidaan koota mainittuun muuhun suunnitelmaan. Tästä on mainittava suunnitelmassa.</w:t>
          </w:r>
        </w:p>
        <w:p w:rsidR="0047010F" w:rsidRDefault="0047010F" w:rsidP="0078170F">
          <w:pPr>
            <w:pStyle w:val="LLKappalejako"/>
          </w:pPr>
        </w:p>
        <w:p w:rsidR="0047010F" w:rsidRPr="009167E1" w:rsidRDefault="0047010F" w:rsidP="00BA71BD">
          <w:pPr>
            <w:pStyle w:val="LLPykala"/>
          </w:pPr>
          <w:r>
            <w:t>6</w:t>
          </w:r>
          <w:r w:rsidRPr="009167E1">
            <w:t xml:space="preserve"> §</w:t>
          </w:r>
        </w:p>
        <w:p w:rsidR="0047010F" w:rsidRDefault="0047010F" w:rsidP="00057B14">
          <w:pPr>
            <w:pStyle w:val="LLPykalanOtsikko"/>
          </w:pPr>
          <w:r w:rsidRPr="0047010F">
            <w:t xml:space="preserve">Sisäisen pelastussuunnitelman sisältö ja uusiminen </w:t>
          </w:r>
        </w:p>
        <w:p w:rsidR="0047010F" w:rsidRDefault="0047010F" w:rsidP="0078170F">
          <w:pPr>
            <w:pStyle w:val="LLKappalejako"/>
          </w:pPr>
          <w:r w:rsidRPr="0047010F">
            <w:t xml:space="preserve">  Sisäisessä pelastussuunnitelmassa on oltava kuvaus, selvitys tai rajaus alueesta, jota sisäinen pelastussuunnitelma koskee.</w:t>
          </w:r>
        </w:p>
        <w:p w:rsidR="0047010F" w:rsidRDefault="0047010F" w:rsidP="0078170F">
          <w:pPr>
            <w:pStyle w:val="LLKappalejako"/>
          </w:pPr>
          <w:r w:rsidRPr="0047010F">
            <w:t>Sisäisessä pelastussuunnitelmassa on oltava arvio onnettomuuksista alueen ulkopuolelle aiheutuvista vaikutuksista ja tiedot alueella säilytettävistä aineista, niiden määristä ja sijainnista sekä seuraavat tiedot:</w:t>
          </w:r>
        </w:p>
        <w:p w:rsidR="0047010F" w:rsidRPr="00BF43D1" w:rsidRDefault="0047010F" w:rsidP="0047010F">
          <w:pPr>
            <w:pStyle w:val="LLMomentinKohta"/>
            <w:numPr>
              <w:ilvl w:val="0"/>
              <w:numId w:val="29"/>
            </w:numPr>
          </w:pPr>
          <w:r w:rsidRPr="00BF43D1">
            <w:t>niiden henkilöiden nimet ja tehtävät, joilla on valtuudet käynnistää pelastustoimet ja jotka ovat vastuussa alueen sisäisistä pelastustoimista. Sen henkilön nimi ja tehtävät, joka vastaa yhteyksistä pelastusviranomaisiin;</w:t>
          </w:r>
        </w:p>
        <w:p w:rsidR="0047010F" w:rsidRPr="00BF43D1" w:rsidRDefault="0047010F" w:rsidP="0047010F">
          <w:pPr>
            <w:pStyle w:val="Luettelokappale"/>
            <w:numPr>
              <w:ilvl w:val="0"/>
              <w:numId w:val="29"/>
            </w:numPr>
            <w:rPr>
              <w:rFonts w:eastAsia="Times New Roman"/>
              <w:szCs w:val="24"/>
              <w:lang w:eastAsia="fi-FI"/>
            </w:rPr>
          </w:pPr>
          <w:r w:rsidRPr="00BF43D1">
            <w:rPr>
              <w:rFonts w:eastAsia="Times New Roman"/>
              <w:szCs w:val="24"/>
              <w:lang w:eastAsia="fi-FI"/>
            </w:rPr>
            <w:t>kuvaus toimista, joihin on ryhdyttävä tilanteen tai tapahtuman hallitsemiseksi ja sen seurauksien rajoittamiseksi, jokaisen ennakoitavissa olevan tilanteen tai tapahtuman osalta, joka voisi merkittävästi vaikuttaa suuronnettomuuden syntymiseen; kuvauksessa on selostettava myös turvallisuuslaitteet ja käytettävissä olevat voimavarat;</w:t>
          </w:r>
        </w:p>
        <w:p w:rsidR="0047010F" w:rsidRPr="00BF43D1" w:rsidRDefault="0047010F" w:rsidP="0047010F">
          <w:pPr>
            <w:pStyle w:val="Luettelokappale"/>
            <w:numPr>
              <w:ilvl w:val="0"/>
              <w:numId w:val="29"/>
            </w:numPr>
            <w:rPr>
              <w:rFonts w:eastAsia="Times New Roman"/>
              <w:szCs w:val="24"/>
              <w:lang w:eastAsia="fi-FI"/>
            </w:rPr>
          </w:pPr>
          <w:r w:rsidRPr="00BF43D1">
            <w:rPr>
              <w:rFonts w:eastAsia="Times New Roman"/>
              <w:szCs w:val="24"/>
              <w:lang w:eastAsia="fi-FI"/>
            </w:rPr>
            <w:t>alueella oleviin ihmisiin kohdistuvien vaarojen rajoittamiseen tähtäävät toimet, mukaan lukien hälytysjärjestelmä ja ohjeet käyttäytymisestä hälytyksen sattuessa;</w:t>
          </w:r>
        </w:p>
        <w:p w:rsidR="0047010F" w:rsidRPr="00BF43D1" w:rsidRDefault="0047010F" w:rsidP="0047010F">
          <w:pPr>
            <w:pStyle w:val="Luettelokappale"/>
            <w:numPr>
              <w:ilvl w:val="0"/>
              <w:numId w:val="29"/>
            </w:numPr>
            <w:rPr>
              <w:rFonts w:eastAsia="Times New Roman"/>
              <w:szCs w:val="24"/>
              <w:lang w:eastAsia="fi-FI"/>
            </w:rPr>
          </w:pPr>
          <w:r w:rsidRPr="00BF43D1">
            <w:rPr>
              <w:rFonts w:eastAsia="Times New Roman"/>
              <w:szCs w:val="24"/>
              <w:lang w:eastAsia="fi-FI"/>
            </w:rPr>
            <w:t>millä tavalla onnettomuuden sattuessa ilmoitetaan nopeasti pelastusviranomaisille, millaisia tietoja annetaan välittömästi ja miten yksityiskohtaisempia tietoja toimitetaan tarvittaville tahoille sitä mukaa kuin niitä saadaan;</w:t>
          </w:r>
        </w:p>
        <w:p w:rsidR="0047010F" w:rsidRPr="00BF43D1" w:rsidRDefault="0047010F" w:rsidP="0047010F">
          <w:pPr>
            <w:pStyle w:val="Luettelokappale"/>
            <w:numPr>
              <w:ilvl w:val="0"/>
              <w:numId w:val="29"/>
            </w:numPr>
            <w:rPr>
              <w:rFonts w:eastAsia="Times New Roman"/>
              <w:szCs w:val="24"/>
              <w:lang w:eastAsia="fi-FI"/>
            </w:rPr>
          </w:pPr>
          <w:r w:rsidRPr="00BF43D1">
            <w:rPr>
              <w:rFonts w:eastAsia="Times New Roman"/>
              <w:szCs w:val="24"/>
              <w:lang w:eastAsia="fi-FI"/>
            </w:rPr>
            <w:t>millä tavalla henkilökuntaa koulutetaan tehtäviin, jotka heidän edellytetään suorittavan, ja tarpeen vaatiessa tämän toiminnan yhteensovittaminen pelastusviranomaisen suorittamien toimien kanssa sekä;</w:t>
          </w:r>
        </w:p>
        <w:p w:rsidR="0047010F" w:rsidRPr="00BF43D1" w:rsidRDefault="0047010F" w:rsidP="0047010F">
          <w:pPr>
            <w:pStyle w:val="Luettelokappale"/>
            <w:numPr>
              <w:ilvl w:val="0"/>
              <w:numId w:val="29"/>
            </w:numPr>
            <w:rPr>
              <w:rFonts w:eastAsia="Times New Roman"/>
              <w:szCs w:val="24"/>
              <w:lang w:eastAsia="fi-FI"/>
            </w:rPr>
          </w:pPr>
          <w:r w:rsidRPr="00BF43D1">
            <w:rPr>
              <w:rFonts w:eastAsia="Times New Roman"/>
              <w:szCs w:val="24"/>
              <w:lang w:eastAsia="fi-FI"/>
            </w:rPr>
            <w:t>millä tavalla alueen ulkopuolella tehtäviä pelastustoimia tuetaan.</w:t>
          </w:r>
        </w:p>
        <w:p w:rsidR="0047010F" w:rsidRDefault="0047010F" w:rsidP="0078170F">
          <w:pPr>
            <w:pStyle w:val="LLKappalejako"/>
          </w:pPr>
          <w:r w:rsidRPr="00BF43D1">
            <w:t>Sellaisen tilapäisen säilytyksen paikan, jossa on suuronnettomuu</w:t>
          </w:r>
          <w:r w:rsidR="000B5ED1" w:rsidRPr="00BF43D1">
            <w:t>den riski, sisäisessä pelastuss</w:t>
          </w:r>
          <w:r w:rsidRPr="00BF43D1">
            <w:t>uunnitelmassa on</w:t>
          </w:r>
          <w:r w:rsidRPr="0047010F">
            <w:t xml:space="preserve"> esitettävä yksityiskohtaiset onnettomuuskuvaukset sekä arvio kuvattujen suuronnettomuuksien seurausten laajuudesta ja vakavuudesta sekä sanallisesti että karttakuvin. </w:t>
          </w:r>
        </w:p>
        <w:p w:rsidR="0047010F" w:rsidRDefault="0047010F" w:rsidP="000B5ED1">
          <w:pPr>
            <w:pStyle w:val="LLKappalejako"/>
          </w:pPr>
          <w:r>
            <w:t>Sisäisen pelastussuunnitelman laatijan on uusittava laatimansa sisäinen pelastussuunnitelma aina tarpeen vaatiessa, kuitenkin vähintään joka viides vuosi. Uusimisessa suunnitelma on ajan- mukaistettava ja siihen on tehtävä korjaukset siten, että otetaan huomioon tilapäisen säilytyksen paikassa ja sen ympäristössä sekä pelastustoimen järjestelyissä tapahtuneet muutokset, teknisen tietämyksen lisääntyminen ja tiedon lisääntyminen toimenpitei</w:t>
          </w:r>
          <w:r w:rsidR="000B5ED1">
            <w:t>stä, jotka onnettomuuksien tor</w:t>
          </w:r>
          <w:r>
            <w:t>jumisessa on toteutettava.</w:t>
          </w:r>
        </w:p>
        <w:p w:rsidR="003B650A" w:rsidRDefault="003B650A" w:rsidP="000B5ED1">
          <w:pPr>
            <w:pStyle w:val="LLKappalejako"/>
          </w:pPr>
        </w:p>
        <w:p w:rsidR="003B650A" w:rsidRPr="009167E1" w:rsidRDefault="003B650A" w:rsidP="00BA71BD">
          <w:pPr>
            <w:pStyle w:val="LLPykala"/>
          </w:pPr>
          <w:r>
            <w:t>7</w:t>
          </w:r>
          <w:r w:rsidRPr="009167E1">
            <w:t xml:space="preserve"> §</w:t>
          </w:r>
        </w:p>
        <w:p w:rsidR="003B650A" w:rsidRDefault="003B650A" w:rsidP="00057B14">
          <w:pPr>
            <w:pStyle w:val="LLPykalanOtsikko"/>
          </w:pPr>
          <w:r w:rsidRPr="003B650A">
            <w:t>Sotasataman ja sotasatama-alueen sekä sotilaslentopaikan turvallisuusselvitys</w:t>
          </w:r>
        </w:p>
        <w:p w:rsidR="003B650A" w:rsidRDefault="003B650A" w:rsidP="0078170F">
          <w:pPr>
            <w:pStyle w:val="LLMomentinJohdantoKappale"/>
          </w:pPr>
          <w:r w:rsidRPr="003B650A">
            <w:t>PV-VAK-lain 38 §:ssä tarkoitetussa sotasataman ja sotasatama-alueen ja 39 §:n tarkoitetussa sotilaslentopaikan turvallisuusselvityksessä on osoitettava:</w:t>
          </w:r>
        </w:p>
        <w:p w:rsidR="003B650A" w:rsidRDefault="003B650A" w:rsidP="003B650A">
          <w:pPr>
            <w:pStyle w:val="LLMomentinKohta"/>
            <w:numPr>
              <w:ilvl w:val="0"/>
              <w:numId w:val="30"/>
            </w:numPr>
          </w:pPr>
          <w:r w:rsidRPr="003B650A">
            <w:t>tarpeelliset tiedot toimintaperiaatteiden toteuttamiseksi satamanpitäjän ja lastinkäsittely- palveluja sotasatamassa ja sotasatama-alueella sekä sotilaslentopaikalla suorittavan organisaatiosta ja turvallisuusjohtamisjärjestelmästä;</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lastRenderedPageBreak/>
            <w:t>että sotasatamassa ja sotasatama-alueella sekä sotilaslentopaikalla on tunnistettu kuljetuksesta aiheutuvat vaarat sekä ryhdytty tarpeellisiin toimenpiteisiin onnettomuuksien ehkäisemiseksi ja onnettomuuksien ihmisille, ympäristölle ja omaisuudelle aiheuttamien seurauksien rajoittamiseksi;</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t>että PV-VAK-laissa ja sen nojalla säädetyt ja määrätyt turvallisuusvaatimukset on otettu huomioon;</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t>että sotasatamassa ja sotasatama-alueella sekä sotilaslentopaikalla ja niiden ulkopuolella esiintyvät muut vaarat ja mahdolliset haavoittuvat kohteet, kuten koulut, sairaalat ja pohjavesialueet, on otettu huomioon;</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t>että sisäinen pelastussuunnitelma on laadittu;</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t>miten vaarallisten aineiden kuljetusyksikköjen valvonta on järjestetty sotasatamassa ja sotasatama-alueella sekä sotilaslentopaikalla;</w:t>
          </w:r>
        </w:p>
        <w:p w:rsidR="003B650A" w:rsidRPr="003B650A" w:rsidRDefault="003B650A" w:rsidP="003B650A">
          <w:pPr>
            <w:pStyle w:val="Luettelokappale"/>
            <w:numPr>
              <w:ilvl w:val="0"/>
              <w:numId w:val="30"/>
            </w:numPr>
            <w:rPr>
              <w:rFonts w:eastAsia="Times New Roman"/>
              <w:szCs w:val="24"/>
              <w:lang w:eastAsia="fi-FI"/>
            </w:rPr>
          </w:pPr>
          <w:r w:rsidRPr="003B650A">
            <w:rPr>
              <w:rFonts w:eastAsia="Times New Roman"/>
              <w:szCs w:val="24"/>
              <w:lang w:eastAsia="fi-FI"/>
            </w:rPr>
            <w:t>turvallisuusjohtamisjärjestelmän toimintaperiaatteet.</w:t>
          </w:r>
        </w:p>
        <w:p w:rsidR="003B650A" w:rsidRDefault="003B650A" w:rsidP="0078170F">
          <w:pPr>
            <w:pStyle w:val="LLKappalejako"/>
          </w:pPr>
          <w:r w:rsidRPr="003B650A">
            <w:t>PV-VAK-lain 38 §:ssä ja 39 §:ssä tarkoitetuissa turvallisuusjohtamisjärjestelmissä on kuvattava satamanpitäjän ja sotasatamanpitäjän, lentopaikanpitäjän ja sotilaslentopaikanpitäjän sekä toiminnanharjoittajien ja joukko-osastojen organisaatio, johto ja henkilöstö, joka osallistuu onnettomuusvaarojen hallintaan, henkilöstön tehtävät ja vastuualueet sekä satamassa tapahtuva toiminnanohjaus. Lisäksi on varmistettava riittävä tiedonsiirto eri organisaatioiden välillä ja niiden sisällä.</w:t>
          </w:r>
        </w:p>
        <w:p w:rsidR="00847D5D" w:rsidRDefault="00847D5D" w:rsidP="0078170F">
          <w:pPr>
            <w:pStyle w:val="LLKappalejako"/>
          </w:pPr>
        </w:p>
        <w:p w:rsidR="00847D5D" w:rsidRDefault="00847D5D" w:rsidP="00974E8C">
          <w:pPr>
            <w:pStyle w:val="LLLuku"/>
          </w:pPr>
          <w:r>
            <w:t>3 Luku</w:t>
          </w:r>
        </w:p>
        <w:p w:rsidR="00847D5D" w:rsidRPr="006B525A" w:rsidRDefault="00847D5D" w:rsidP="00974E8C">
          <w:pPr>
            <w:pStyle w:val="LLLuvunOtsikko"/>
          </w:pPr>
          <w:r w:rsidRPr="00847D5D">
            <w:t xml:space="preserve">PV-turvallisuusneuvoantajatoiminnan yhteensovittaminen siviilitoimijoiden kanssa </w:t>
          </w:r>
        </w:p>
        <w:p w:rsidR="00847D5D" w:rsidRPr="009167E1" w:rsidRDefault="00847D5D" w:rsidP="00BA71BD">
          <w:pPr>
            <w:pStyle w:val="LLPykala"/>
          </w:pPr>
          <w:r>
            <w:t>8</w:t>
          </w:r>
          <w:r w:rsidRPr="009167E1">
            <w:t xml:space="preserve"> §</w:t>
          </w:r>
        </w:p>
        <w:p w:rsidR="00847D5D" w:rsidRDefault="00847D5D" w:rsidP="00057B14">
          <w:pPr>
            <w:pStyle w:val="LLPykalanOtsikko"/>
          </w:pPr>
          <w:r w:rsidRPr="00847D5D">
            <w:t>Puolustusvoimien turvallisuusneuvonantajajärjestelmän yhteensovittaminen ja yhteistyö siviiliviranomaisten kanssa</w:t>
          </w:r>
        </w:p>
        <w:p w:rsidR="00847D5D" w:rsidRDefault="00847D5D" w:rsidP="0078170F">
          <w:pPr>
            <w:pStyle w:val="LLKappalejako"/>
          </w:pPr>
          <w:r w:rsidRPr="00847D5D">
            <w:t xml:space="preserve">Pääesikunnan teknillisen tarkastusosaston on yhteen sovitettava </w:t>
          </w:r>
          <w:r w:rsidRPr="00BF43D1">
            <w:t>yhdessä VAK-lain valvontaviranomaisten</w:t>
          </w:r>
          <w:r w:rsidRPr="00847D5D">
            <w:t xml:space="preserve"> turvallisuusneuvonantajatoiminta, joka sisältää käytänteiden ja lain perusteella annettujen määräysten yhteen toimivuuden.</w:t>
          </w:r>
        </w:p>
        <w:p w:rsidR="00847D5D" w:rsidRDefault="00847D5D" w:rsidP="00847D5D">
          <w:pPr>
            <w:rPr>
              <w:lang w:eastAsia="fi-FI"/>
            </w:rPr>
          </w:pPr>
        </w:p>
        <w:p w:rsidR="00652DD2" w:rsidRDefault="00652DD2" w:rsidP="00974E8C">
          <w:pPr>
            <w:pStyle w:val="LLLuku"/>
          </w:pPr>
          <w:r>
            <w:t>4 Luku</w:t>
          </w:r>
        </w:p>
        <w:p w:rsidR="00652DD2" w:rsidRPr="006B525A" w:rsidRDefault="00652DD2" w:rsidP="00974E8C">
          <w:pPr>
            <w:pStyle w:val="LLLuvunOtsikko"/>
          </w:pPr>
          <w:r w:rsidRPr="00652DD2">
            <w:t>PV-VAK-ajoluvan myöntävien ajoneuvotarkastajien pätevyys ja ajoneuvojen PV-VAK-hyväksyntöjä myöntävien ja PV-VAK-katsastuksia suorittavien erikoiskoulutus</w:t>
          </w:r>
        </w:p>
        <w:p w:rsidR="00652DD2" w:rsidRPr="009167E1" w:rsidRDefault="00652DD2" w:rsidP="00BA71BD">
          <w:pPr>
            <w:pStyle w:val="LLPykala"/>
          </w:pPr>
          <w:r>
            <w:t>9</w:t>
          </w:r>
          <w:r w:rsidRPr="009167E1">
            <w:t xml:space="preserve"> §</w:t>
          </w:r>
        </w:p>
        <w:p w:rsidR="00652DD2" w:rsidRDefault="00652DD2" w:rsidP="00057B14">
          <w:pPr>
            <w:pStyle w:val="LLPykalanOtsikko"/>
          </w:pPr>
          <w:r w:rsidRPr="00652DD2">
            <w:t>PV-VAK-ajoluvan myöntävän ajoneuvotarkastajan pätevyys</w:t>
          </w:r>
        </w:p>
        <w:p w:rsidR="00652DD2" w:rsidRDefault="00652DD2" w:rsidP="0078170F">
          <w:pPr>
            <w:pStyle w:val="LLKappalejako"/>
          </w:pPr>
          <w:r w:rsidRPr="00652DD2">
            <w:t>Ajoneuvotarkastajan tehtävänä on myöntää puolustusvoimien vaarallisten aineiden kuljettajan ajolupa (PV-VAK-ajolupa) sekä vastaanottaa niihin liittyvät ajokokeet ja suulliset teoriakokeet.</w:t>
          </w:r>
        </w:p>
        <w:p w:rsidR="00652DD2" w:rsidRDefault="00652DD2" w:rsidP="0078170F">
          <w:pPr>
            <w:pStyle w:val="LLKappalejako"/>
          </w:pPr>
          <w:r w:rsidRPr="00652DD2">
            <w:t>PV-VAK-ajoluvan myöntäjällä tulee olla voimassa oleva ajoneuvotarkastajan pätevyys ja vähintään sama pät</w:t>
          </w:r>
          <w:r w:rsidR="00704743">
            <w:t xml:space="preserve">evyys kuin PV-VAK-lain (xx/xx) </w:t>
          </w:r>
          <w:r w:rsidRPr="00652DD2">
            <w:t>55 §:n 3 momentin kohdan 3 mukaisella PV-VAK-ajolupakou</w:t>
          </w:r>
          <w:r>
            <w:t xml:space="preserve">lutusta antavalla henkilöllä. </w:t>
          </w:r>
        </w:p>
        <w:p w:rsidR="000B6C77" w:rsidRDefault="000B6C77" w:rsidP="0078170F">
          <w:pPr>
            <w:pStyle w:val="LLKappalejako"/>
          </w:pPr>
        </w:p>
        <w:p w:rsidR="000B6C77" w:rsidRPr="009167E1" w:rsidRDefault="000B6C77" w:rsidP="00BA71BD">
          <w:pPr>
            <w:pStyle w:val="LLPykala"/>
          </w:pPr>
          <w:r>
            <w:t>10</w:t>
          </w:r>
          <w:r w:rsidRPr="009167E1">
            <w:t xml:space="preserve"> §</w:t>
          </w:r>
        </w:p>
        <w:p w:rsidR="000B6C77" w:rsidRDefault="000B6C77" w:rsidP="00057B14">
          <w:pPr>
            <w:pStyle w:val="LLPykalanOtsikko"/>
          </w:pPr>
          <w:r w:rsidRPr="000B6C77">
            <w:lastRenderedPageBreak/>
            <w:t>Ajoneuvojen PV-VAK-hyväksyntöjä myöntävien ja PV-VAK-katsastuksia suorittavien erikoiskoulutus</w:t>
          </w:r>
        </w:p>
        <w:p w:rsidR="000B6C77" w:rsidRDefault="000B6C77" w:rsidP="0078170F">
          <w:pPr>
            <w:pStyle w:val="LLKappalejako"/>
          </w:pPr>
          <w:r w:rsidRPr="000B6C77">
            <w:t>Koulutusta PV-VAK-hyväksyntää ja PV-VAK-katsastusta varten annetaan puolustusvoimien ajoneuvotarkastuskurssilla tarkastusoikeuden myöntäjän hyväksymän opetussuunnitelman mukaisesti. Koulutuksen vähimmäiskestoaika on PV-VAK-hyväksynnän ja PV- VAK-katsastuksen osalta 16 tuntia.</w:t>
          </w:r>
        </w:p>
        <w:p w:rsidR="000B6C77" w:rsidRDefault="000B6C77" w:rsidP="0078170F">
          <w:pPr>
            <w:pStyle w:val="LLKappalejako"/>
          </w:pPr>
          <w:r w:rsidRPr="000B6C77">
            <w:t xml:space="preserve">Edellä 1 momentissa tarkoitettu jakso on järjestettävä erikseen </w:t>
          </w:r>
          <w:proofErr w:type="gramStart"/>
          <w:r w:rsidRPr="000B6C77">
            <w:t>tela-alustaiselle</w:t>
          </w:r>
          <w:proofErr w:type="gramEnd"/>
          <w:r w:rsidRPr="000B6C77">
            <w:t xml:space="preserve"> ajoneuvoille.</w:t>
          </w:r>
        </w:p>
        <w:p w:rsidR="00BE7121" w:rsidRDefault="00BE7121" w:rsidP="0078170F">
          <w:pPr>
            <w:pStyle w:val="LLKappalejako"/>
          </w:pPr>
        </w:p>
        <w:p w:rsidR="00BE7121" w:rsidRPr="009167E1" w:rsidRDefault="00BE7121" w:rsidP="00BA71BD">
          <w:pPr>
            <w:pStyle w:val="LLPykala"/>
          </w:pPr>
          <w:r>
            <w:t>11</w:t>
          </w:r>
          <w:r w:rsidRPr="009167E1">
            <w:t xml:space="preserve"> §</w:t>
          </w:r>
        </w:p>
        <w:p w:rsidR="00BE7121" w:rsidRDefault="00BE7121" w:rsidP="00057B14">
          <w:pPr>
            <w:pStyle w:val="LLPykalanOtsikko"/>
          </w:pPr>
          <w:r w:rsidRPr="00BE7121">
            <w:t>PV-VAK-hyväksyntä- ja PV-VAK-katsastusoikeuden voimassaolo</w:t>
          </w:r>
        </w:p>
        <w:p w:rsidR="004353EC" w:rsidRDefault="004353EC" w:rsidP="0078170F">
          <w:pPr>
            <w:pStyle w:val="LLMomentinJohdantoKappale"/>
          </w:pPr>
          <w:r w:rsidRPr="004353EC">
            <w:t>PV-VAK-hyväksyntä- ja PV-VAK-katsastusoikeus on peruutettava, jos:</w:t>
          </w:r>
        </w:p>
        <w:p w:rsidR="004353EC" w:rsidRDefault="004353EC" w:rsidP="004353EC">
          <w:pPr>
            <w:pStyle w:val="LLMomentinKohta"/>
            <w:numPr>
              <w:ilvl w:val="0"/>
              <w:numId w:val="31"/>
            </w:numPr>
          </w:pPr>
          <w:r w:rsidRPr="004353EC">
            <w:t>ajoneuvotarkastaja ei ole osallistunut tämän asetuksen mukaiseen täydennyskoulutukseen; tai</w:t>
          </w:r>
        </w:p>
        <w:p w:rsidR="004353EC" w:rsidRPr="004353EC" w:rsidRDefault="004353EC" w:rsidP="004353EC">
          <w:pPr>
            <w:pStyle w:val="Luettelokappale"/>
            <w:numPr>
              <w:ilvl w:val="0"/>
              <w:numId w:val="31"/>
            </w:numPr>
            <w:rPr>
              <w:rFonts w:eastAsia="Times New Roman"/>
              <w:szCs w:val="24"/>
              <w:lang w:eastAsia="fi-FI"/>
            </w:rPr>
          </w:pPr>
          <w:r w:rsidRPr="004353EC">
            <w:rPr>
              <w:rFonts w:eastAsia="Times New Roman"/>
              <w:szCs w:val="24"/>
              <w:lang w:eastAsia="fi-FI"/>
            </w:rPr>
            <w:t>ajoneuvotarkastaja ei ole suorittanut PV-VAK-hyväksyntöjä tai PV-VAK-katsastuksia viimeisen kahden vuoden aikana.</w:t>
          </w:r>
        </w:p>
        <w:p w:rsidR="004353EC" w:rsidRDefault="004353EC" w:rsidP="0078170F">
          <w:pPr>
            <w:pStyle w:val="LLKappalejako"/>
          </w:pPr>
          <w:r w:rsidRPr="004353EC">
            <w:t>PV-VAK-hyväksyntä- ja PV-VAK-katsastusoikeus voidaan palauttaa, jos henkilö ennen seuraavaa mahdollista täydennyskoulutusta osoittaa hallitsevansa 1 momentissa tarkoitetussa täydennyskoulutuksessa käsitellyt tiedot ja taidot.</w:t>
          </w:r>
        </w:p>
        <w:p w:rsidR="00D04275" w:rsidRDefault="00D04275" w:rsidP="0078170F">
          <w:pPr>
            <w:pStyle w:val="LLKappalejako"/>
          </w:pPr>
        </w:p>
        <w:p w:rsidR="00D04275" w:rsidRPr="009167E1" w:rsidRDefault="00D04275" w:rsidP="00BA71BD">
          <w:pPr>
            <w:pStyle w:val="LLPykala"/>
          </w:pPr>
          <w:r>
            <w:t>12</w:t>
          </w:r>
          <w:r w:rsidRPr="009167E1">
            <w:t xml:space="preserve"> §</w:t>
          </w:r>
        </w:p>
        <w:p w:rsidR="00D04275" w:rsidRDefault="00D04275" w:rsidP="00057B14">
          <w:pPr>
            <w:pStyle w:val="LLPykalanOtsikko"/>
          </w:pPr>
          <w:r w:rsidRPr="00D04275">
            <w:t xml:space="preserve">Ajoneuvotarkastajan PV-VAK-hyväksyntä- ja PV-VAK-katsastuserikoiskoulutukseen hyväksymisen edellytykset  </w:t>
          </w:r>
        </w:p>
        <w:p w:rsidR="00D04275" w:rsidRDefault="00D04275" w:rsidP="0078170F">
          <w:pPr>
            <w:pStyle w:val="LLKappalejako"/>
          </w:pPr>
          <w:r w:rsidRPr="00D04275">
            <w:t>PV-VAK-hyväksyntä- ja PV-VAK-katsastuserikoiskoulutukseen hyväksymisen edellytyksenä on vähintään vuoden kokemus Puolustusvoimien määräaikaiskatsastuksista ja voimassa oleva ajoneuvotarkastajan pätevyys.</w:t>
          </w:r>
        </w:p>
        <w:p w:rsidR="00D04275" w:rsidRDefault="00D04275" w:rsidP="0078170F">
          <w:pPr>
            <w:pStyle w:val="LLKappalejako"/>
          </w:pPr>
        </w:p>
        <w:p w:rsidR="00D04275" w:rsidRPr="009167E1" w:rsidRDefault="00D04275" w:rsidP="00BA71BD">
          <w:pPr>
            <w:pStyle w:val="LLPykala"/>
          </w:pPr>
          <w:r>
            <w:t>13</w:t>
          </w:r>
          <w:r w:rsidRPr="009167E1">
            <w:t xml:space="preserve"> §</w:t>
          </w:r>
        </w:p>
        <w:p w:rsidR="00D04275" w:rsidRDefault="00D04275" w:rsidP="00057B14">
          <w:pPr>
            <w:pStyle w:val="LLPykalanOtsikko"/>
          </w:pPr>
          <w:r w:rsidRPr="00D04275">
            <w:t>Täydennyskoulutus</w:t>
          </w:r>
        </w:p>
        <w:p w:rsidR="00D04275" w:rsidRDefault="00D04275" w:rsidP="0078170F">
          <w:pPr>
            <w:pStyle w:val="LLKappalejako"/>
          </w:pPr>
          <w:r w:rsidRPr="00D04275">
            <w:t>Ajoneuvotarkastajien PV-VAK-hyväksyntä</w:t>
          </w:r>
          <w:r>
            <w:t xml:space="preserve">- ja PV-VAK-katsastustoiminnan </w:t>
          </w:r>
          <w:r w:rsidRPr="00D04275">
            <w:t>ammattitaidon ylläpitämiseksi PV-VAK-hyväksyntä- ja PV-VAK-katsastusoikeuksien myöntäjän on järjestettävä vuosittain täydennyskoulutusta. Täydennyskoulutuksessa on käsiteltävä ajoneuvoja koskevaa ajantasaista lainsäädäntöä, määräyksiä ja ohjeita, uutta tekniikkaa ja työmenetelmiä sekä muita katsastukseen liittyviä ajankohtaisia aiheita.</w:t>
          </w:r>
        </w:p>
        <w:p w:rsidR="00ED67DB" w:rsidRDefault="00ED67DB" w:rsidP="0078170F">
          <w:pPr>
            <w:pStyle w:val="LLKappalejako"/>
          </w:pPr>
        </w:p>
        <w:p w:rsidR="00ED67DB" w:rsidRPr="009167E1" w:rsidRDefault="00ED67DB" w:rsidP="00BA71BD">
          <w:pPr>
            <w:pStyle w:val="LLPykala"/>
          </w:pPr>
          <w:r>
            <w:t>14</w:t>
          </w:r>
          <w:r w:rsidRPr="009167E1">
            <w:t xml:space="preserve"> §</w:t>
          </w:r>
        </w:p>
        <w:p w:rsidR="00ED67DB" w:rsidRDefault="00ED67DB" w:rsidP="00057B14">
          <w:pPr>
            <w:pStyle w:val="LLPykalanOtsikko"/>
          </w:pPr>
          <w:r w:rsidRPr="00ED67DB">
            <w:t>Yleisen koulutuksen korvaavuus</w:t>
          </w:r>
        </w:p>
        <w:p w:rsidR="00ED67DB" w:rsidRDefault="00ED67DB" w:rsidP="0078170F">
          <w:pPr>
            <w:pStyle w:val="LLKappalejako"/>
          </w:pPr>
          <w:r w:rsidRPr="00ED67DB">
            <w:t xml:space="preserve">Vaarallisten aineiden kuljetuksesta annetun </w:t>
          </w:r>
          <w:r w:rsidRPr="00BF43D1">
            <w:t>lain (xx/2023</w:t>
          </w:r>
          <w:proofErr w:type="gramStart"/>
          <w:r w:rsidRPr="00BF43D1">
            <w:t>)  xx</w:t>
          </w:r>
          <w:proofErr w:type="gramEnd"/>
          <w:r w:rsidRPr="00BF43D1">
            <w:t xml:space="preserve"> §:n/ 7 c §:n 2 momentissa</w:t>
          </w:r>
          <w:r w:rsidRPr="00ED67DB">
            <w:t xml:space="preserve"> tarkoitettu VAK- hyväksyntöjä myöntävän ja VAK-katsastuksia suorittavan henkilön erikoiskoulutus korvaa 10 tuntia tämän asetuksen 10 §:n 1 momentissa  tarkoitetusta koulutuksesta.</w:t>
          </w:r>
        </w:p>
        <w:p w:rsidR="00ED67DB" w:rsidRDefault="00ED67DB" w:rsidP="0078170F">
          <w:pPr>
            <w:pStyle w:val="LLKappalejako"/>
          </w:pPr>
        </w:p>
        <w:p w:rsidR="00ED67DB" w:rsidRDefault="00ED67DB" w:rsidP="00974E8C">
          <w:pPr>
            <w:pStyle w:val="LLLuku"/>
          </w:pPr>
          <w:r>
            <w:t>5 Luku</w:t>
          </w:r>
        </w:p>
        <w:p w:rsidR="00ED67DB" w:rsidRPr="006B525A" w:rsidRDefault="00ED67DB" w:rsidP="00974E8C">
          <w:pPr>
            <w:pStyle w:val="LLLuvunOtsikko"/>
          </w:pPr>
          <w:r w:rsidRPr="00ED67DB">
            <w:t xml:space="preserve">Viranomaistehtävät valvonnan ja tarkastusten toteuttamisessa </w:t>
          </w:r>
        </w:p>
        <w:p w:rsidR="00ED67DB" w:rsidRPr="009167E1" w:rsidRDefault="00ED67DB" w:rsidP="00BA71BD">
          <w:pPr>
            <w:pStyle w:val="LLPykala"/>
          </w:pPr>
          <w:r>
            <w:lastRenderedPageBreak/>
            <w:t>15</w:t>
          </w:r>
          <w:r w:rsidRPr="009167E1">
            <w:t xml:space="preserve"> §</w:t>
          </w:r>
        </w:p>
        <w:p w:rsidR="00ED67DB" w:rsidRDefault="00ED67DB" w:rsidP="00057B14">
          <w:pPr>
            <w:pStyle w:val="LLPykalanOtsikko"/>
          </w:pPr>
          <w:r w:rsidRPr="00ED67DB">
            <w:t>Viranomaisten yhteistyö valvonnan ja tarkastusten toteuttamisessa</w:t>
          </w:r>
        </w:p>
        <w:p w:rsidR="00ED67DB" w:rsidRDefault="00ED67DB" w:rsidP="0078170F">
          <w:pPr>
            <w:pStyle w:val="LLMomentinJohdantoKappale"/>
          </w:pPr>
          <w:r w:rsidRPr="00ED67DB">
            <w:t xml:space="preserve">Pääesikunnan teknillinen tarkastusosasto järjestää vuosittaisin viranomaisyhteistyökokouksen VAK-lain valvontaviranomaisten kanssa. Kokouksessa käsitellään seuraavat asiakokonaisuudet; </w:t>
          </w:r>
        </w:p>
        <w:p w:rsidR="00ED67DB" w:rsidRDefault="00ED67DB" w:rsidP="009732F5">
          <w:pPr>
            <w:pStyle w:val="LLMomentinAlakohta"/>
          </w:pPr>
          <w:r>
            <w:t xml:space="preserve">1) </w:t>
          </w:r>
          <w:r w:rsidRPr="00ED67DB">
            <w:t>mitä tarkastuksissa on havaittu</w:t>
          </w:r>
          <w:r>
            <w:t>;</w:t>
          </w:r>
        </w:p>
        <w:p w:rsidR="00ED67DB" w:rsidRDefault="00ED67DB" w:rsidP="009732F5">
          <w:pPr>
            <w:pStyle w:val="LLMomentinAlakohta"/>
          </w:pPr>
          <w:r w:rsidRPr="00ED67DB">
            <w:t>2) millaisia onnettomuuksia ja v</w:t>
          </w:r>
          <w:r>
            <w:t>aaratilanteita on tapahtunut; sekä</w:t>
          </w:r>
        </w:p>
        <w:p w:rsidR="00ED67DB" w:rsidRDefault="00ED67DB" w:rsidP="009732F5">
          <w:pPr>
            <w:pStyle w:val="LLMomentinAlakohta"/>
          </w:pPr>
          <w:r w:rsidRPr="00ED67DB">
            <w:t>3) miten yhteistoimintaa voidaan kehittää.</w:t>
          </w:r>
        </w:p>
        <w:p w:rsidR="008A4BC5" w:rsidRDefault="008A4BC5" w:rsidP="0078170F">
          <w:pPr>
            <w:pStyle w:val="LLKappalejako"/>
          </w:pPr>
          <w:r w:rsidRPr="008A4BC5">
            <w:t>Pääesikunnan teknillinen tarkastusosasto toimittaa viranomaisyhteistyökokouksen pöytäkirjan puolustusministeriölle.</w:t>
          </w:r>
        </w:p>
        <w:p w:rsidR="008A4BC5" w:rsidRDefault="008A4BC5" w:rsidP="0078170F">
          <w:pPr>
            <w:pStyle w:val="LLKappalejako"/>
          </w:pPr>
        </w:p>
        <w:p w:rsidR="008A4BC5" w:rsidRDefault="005E0268" w:rsidP="00974E8C">
          <w:pPr>
            <w:pStyle w:val="LLLuku"/>
          </w:pPr>
          <w:r>
            <w:t>6</w:t>
          </w:r>
          <w:r w:rsidR="008A4BC5">
            <w:t xml:space="preserve"> Luku</w:t>
          </w:r>
        </w:p>
        <w:p w:rsidR="008A4BC5" w:rsidRPr="006B525A" w:rsidRDefault="005E0268" w:rsidP="00974E8C">
          <w:pPr>
            <w:pStyle w:val="LLLuvunOtsikko"/>
          </w:pPr>
          <w:r w:rsidRPr="005E0268">
            <w:t>Toimenpiteen ja asiakirjan tunnustaminen</w:t>
          </w:r>
        </w:p>
        <w:p w:rsidR="008A4BC5" w:rsidRPr="009167E1" w:rsidRDefault="005E0268" w:rsidP="00BA71BD">
          <w:pPr>
            <w:pStyle w:val="LLPykala"/>
          </w:pPr>
          <w:r>
            <w:t>16</w:t>
          </w:r>
          <w:r w:rsidR="008A4BC5" w:rsidRPr="009167E1">
            <w:t xml:space="preserve"> §</w:t>
          </w:r>
        </w:p>
        <w:p w:rsidR="008A4BC5" w:rsidRDefault="005E0268" w:rsidP="00057B14">
          <w:pPr>
            <w:pStyle w:val="LLPykalanOtsikko"/>
          </w:pPr>
          <w:r w:rsidRPr="005E0268">
            <w:t>Vaarallisen aineen luokituksen tunnustaminen</w:t>
          </w:r>
        </w:p>
        <w:p w:rsidR="005E0268" w:rsidRDefault="005E0268" w:rsidP="0078170F">
          <w:pPr>
            <w:pStyle w:val="LLMomentinJohdantoKappale"/>
          </w:pPr>
          <w:r>
            <w:t>[</w:t>
          </w:r>
          <w:r w:rsidRPr="005E0268">
            <w:t>Toimivaltainen viranomainen tunnustaa toimivaltaisen viranomaisen tai sen valtuuttaman yhteisön asianmukaisesti myöntämät aineen luokitusta tai luokituksen vahvistamista koskevat asiakirjat edellyttäen, että asiakirjan on myöntänyt seuraavissa määräyksissä tarkoitettu toimi- valtainen viranomainen tai sen valtuuttama yhteisö:</w:t>
          </w:r>
        </w:p>
        <w:p w:rsidR="005E0268" w:rsidRDefault="005E0268" w:rsidP="005E0268">
          <w:pPr>
            <w:pStyle w:val="LLMomentinKohta"/>
            <w:numPr>
              <w:ilvl w:val="0"/>
              <w:numId w:val="32"/>
            </w:numPr>
          </w:pPr>
          <w:r w:rsidRPr="005E0268">
            <w:t>ADR-sopimuksen määräykset;</w:t>
          </w:r>
        </w:p>
        <w:p w:rsidR="005E0268" w:rsidRPr="005E0268" w:rsidRDefault="005E0268" w:rsidP="005E0268">
          <w:pPr>
            <w:pStyle w:val="Luettelokappale"/>
            <w:numPr>
              <w:ilvl w:val="0"/>
              <w:numId w:val="32"/>
            </w:numPr>
            <w:rPr>
              <w:rFonts w:eastAsia="Times New Roman"/>
              <w:szCs w:val="24"/>
              <w:lang w:eastAsia="fi-FI"/>
            </w:rPr>
          </w:pPr>
          <w:r w:rsidRPr="005E0268">
            <w:rPr>
              <w:rFonts w:eastAsia="Times New Roman"/>
              <w:szCs w:val="24"/>
              <w:lang w:eastAsia="fi-FI"/>
            </w:rPr>
            <w:t>ICAO-TI-määräykset;</w:t>
          </w:r>
        </w:p>
        <w:p w:rsidR="005E0268" w:rsidRPr="005E0268" w:rsidRDefault="005E0268" w:rsidP="005E0268">
          <w:pPr>
            <w:pStyle w:val="Luettelokappale"/>
            <w:numPr>
              <w:ilvl w:val="0"/>
              <w:numId w:val="32"/>
            </w:numPr>
            <w:rPr>
              <w:rFonts w:eastAsia="Times New Roman"/>
              <w:szCs w:val="24"/>
              <w:lang w:eastAsia="fi-FI"/>
            </w:rPr>
          </w:pPr>
          <w:r w:rsidRPr="005E0268">
            <w:rPr>
              <w:rFonts w:eastAsia="Times New Roman"/>
              <w:szCs w:val="24"/>
              <w:lang w:eastAsia="fi-FI"/>
            </w:rPr>
            <w:t>IMDG-säännöstön määräykset;</w:t>
          </w:r>
        </w:p>
        <w:p w:rsidR="005E0268" w:rsidRPr="005E0268" w:rsidRDefault="005E0268" w:rsidP="005E0268">
          <w:pPr>
            <w:pStyle w:val="Luettelokappale"/>
            <w:numPr>
              <w:ilvl w:val="0"/>
              <w:numId w:val="32"/>
            </w:numPr>
            <w:rPr>
              <w:rFonts w:eastAsia="Times New Roman"/>
              <w:szCs w:val="24"/>
              <w:lang w:eastAsia="fi-FI"/>
            </w:rPr>
          </w:pPr>
          <w:r w:rsidRPr="005E0268">
            <w:rPr>
              <w:rFonts w:eastAsia="Times New Roman"/>
              <w:szCs w:val="24"/>
              <w:lang w:eastAsia="fi-FI"/>
            </w:rPr>
            <w:t xml:space="preserve">PV-VAK-lain 5 §:ssä mukaiset kansainväliset sotilasstandardit. </w:t>
          </w:r>
        </w:p>
        <w:p w:rsidR="005E0268" w:rsidRDefault="005E0268" w:rsidP="005E0268">
          <w:pPr>
            <w:pStyle w:val="LLMomentinKohta"/>
            <w:ind w:left="530" w:firstLine="0"/>
          </w:pPr>
        </w:p>
        <w:p w:rsidR="00535215" w:rsidRPr="009167E1" w:rsidRDefault="00535215" w:rsidP="00BA71BD">
          <w:pPr>
            <w:pStyle w:val="LLPykala"/>
          </w:pPr>
          <w:r>
            <w:t>17</w:t>
          </w:r>
          <w:r w:rsidRPr="009167E1">
            <w:t xml:space="preserve"> §</w:t>
          </w:r>
        </w:p>
        <w:p w:rsidR="00535215" w:rsidRPr="00A4663A" w:rsidRDefault="00535215" w:rsidP="00057B14">
          <w:pPr>
            <w:pStyle w:val="LLPykalanOtsikko"/>
          </w:pPr>
          <w:r w:rsidRPr="00535215">
            <w:t>Voimaantulo</w:t>
          </w:r>
        </w:p>
        <w:p w:rsidR="005B16E7" w:rsidRPr="005B16E7" w:rsidRDefault="00535215" w:rsidP="00313E4A">
          <w:pPr>
            <w:pStyle w:val="LLKappalejako"/>
          </w:pPr>
          <w:r w:rsidRPr="00535215">
            <w:t>Tämä asetus tulee voimaan    päivänä     kuuta 202 .</w:t>
          </w:r>
        </w:p>
        <w:p w:rsidR="001D5B51" w:rsidRDefault="001D5B51" w:rsidP="001D5B51">
          <w:pPr>
            <w:pStyle w:val="LLNormaali"/>
          </w:pPr>
        </w:p>
        <w:p w:rsidR="001D5B51" w:rsidRDefault="001D5B51" w:rsidP="00313E4A">
          <w:pPr>
            <w:pStyle w:val="LLNormaali"/>
            <w:jc w:val="center"/>
          </w:pPr>
          <w:r>
            <w:t>———</w:t>
          </w:r>
        </w:p>
        <w:p w:rsidR="001D5B51" w:rsidRDefault="000E7796" w:rsidP="001D5B51">
          <w:pPr>
            <w:pStyle w:val="LLNormaali"/>
          </w:pPr>
        </w:p>
      </w:sdtContent>
    </w:sdt>
    <w:p w:rsidR="001D5B51" w:rsidRDefault="001D5B51" w:rsidP="004F334C"/>
    <w:sdt>
      <w:sdtPr>
        <w:alias w:val="Päiväys"/>
        <w:tag w:val="CCPaivays"/>
        <w:id w:val="1988824703"/>
        <w:placeholder>
          <w:docPart w:val="6D122ACF3FE542D8B19C735141BFF821"/>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ACE2E3C967F04C55AAB206C2C6DB6871"/>
        </w:placeholder>
        <w15:color w:val="00FFFF"/>
      </w:sdtPr>
      <w:sdtEndPr/>
      <w:sdtContent>
        <w:p w:rsidR="001D5B51" w:rsidRDefault="001D5B51" w:rsidP="001D5B51">
          <w:pPr>
            <w:pStyle w:val="LLAllekirjoitus"/>
            <w:rPr>
              <w:rFonts w:eastAsia="Calibri"/>
              <w:b w:val="0"/>
              <w:sz w:val="22"/>
              <w:szCs w:val="22"/>
              <w:lang w:eastAsia="en-US"/>
            </w:rPr>
          </w:pPr>
          <w:r>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lastRenderedPageBreak/>
        <w:t>Nimike</w:t>
      </w:r>
      <w:r w:rsidR="001D5B51">
        <w:t xml:space="preserve"> Etunimi Sukunimi</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75" w:rsidRDefault="004F7E75">
      <w:r>
        <w:separator/>
      </w:r>
    </w:p>
  </w:endnote>
  <w:endnote w:type="continuationSeparator" w:id="0">
    <w:p w:rsidR="004F7E75" w:rsidRDefault="004F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E7796">
            <w:rPr>
              <w:rStyle w:val="Sivunumero"/>
              <w:noProof/>
              <w:sz w:val="22"/>
            </w:rPr>
            <w:t>7</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75" w:rsidRDefault="004F7E75">
      <w:r>
        <w:separator/>
      </w:r>
    </w:p>
  </w:footnote>
  <w:footnote w:type="continuationSeparator" w:id="0">
    <w:p w:rsidR="004F7E75" w:rsidRDefault="004F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E914F4"/>
    <w:multiLevelType w:val="hybridMultilevel"/>
    <w:tmpl w:val="67F829B0"/>
    <w:lvl w:ilvl="0" w:tplc="278A303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1846133"/>
    <w:multiLevelType w:val="hybridMultilevel"/>
    <w:tmpl w:val="5D981976"/>
    <w:lvl w:ilvl="0" w:tplc="E3ACBB8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FA7021"/>
    <w:multiLevelType w:val="hybridMultilevel"/>
    <w:tmpl w:val="338C04F6"/>
    <w:lvl w:ilvl="0" w:tplc="12326A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541366F"/>
    <w:multiLevelType w:val="hybridMultilevel"/>
    <w:tmpl w:val="87509D56"/>
    <w:lvl w:ilvl="0" w:tplc="7C625FE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4B757B5D"/>
    <w:multiLevelType w:val="hybridMultilevel"/>
    <w:tmpl w:val="B55AE456"/>
    <w:lvl w:ilvl="0" w:tplc="1F24F1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50730C1D"/>
    <w:multiLevelType w:val="hybridMultilevel"/>
    <w:tmpl w:val="FC643150"/>
    <w:lvl w:ilvl="0" w:tplc="A5369E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665176E4"/>
    <w:multiLevelType w:val="hybridMultilevel"/>
    <w:tmpl w:val="9BE29514"/>
    <w:lvl w:ilvl="0" w:tplc="85C41AF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4"/>
  </w:num>
  <w:num w:numId="13">
    <w:abstractNumId w:val="10"/>
    <w:lvlOverride w:ilvl="0">
      <w:startOverride w:val="1"/>
    </w:lvlOverride>
  </w:num>
  <w:num w:numId="14">
    <w:abstractNumId w:val="10"/>
    <w:lvlOverride w:ilvl="0">
      <w:startOverride w:val="1"/>
    </w:lvlOverride>
  </w:num>
  <w:num w:numId="15">
    <w:abstractNumId w:val="7"/>
  </w:num>
  <w:num w:numId="16">
    <w:abstractNumId w:val="7"/>
    <w:lvlOverride w:ilvl="0">
      <w:startOverride w:val="1"/>
    </w:lvlOverride>
  </w:num>
  <w:num w:numId="17">
    <w:abstractNumId w:val="10"/>
    <w:lvlOverride w:ilvl="0">
      <w:startOverride w:val="1"/>
    </w:lvlOverride>
  </w:num>
  <w:num w:numId="18">
    <w:abstractNumId w:val="8"/>
  </w:num>
  <w:num w:numId="19">
    <w:abstractNumId w:val="11"/>
  </w:num>
  <w:num w:numId="20">
    <w:abstractNumId w:val="19"/>
  </w:num>
  <w:num w:numId="21">
    <w:abstractNumId w:val="5"/>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7"/>
  </w:num>
  <w:num w:numId="23">
    <w:abstractNumId w:val="3"/>
  </w:num>
  <w:num w:numId="24">
    <w:abstractNumId w:val="20"/>
  </w:num>
  <w:num w:numId="25">
    <w:abstractNumId w:val="9"/>
  </w:num>
  <w:num w:numId="26">
    <w:abstractNumId w:val="13"/>
  </w:num>
  <w:num w:numId="27">
    <w:abstractNumId w:val="12"/>
  </w:num>
  <w:num w:numId="28">
    <w:abstractNumId w:val="4"/>
  </w:num>
  <w:num w:numId="29">
    <w:abstractNumId w:val="2"/>
  </w:num>
  <w:num w:numId="30">
    <w:abstractNumId w:val="6"/>
  </w:num>
  <w:num w:numId="31">
    <w:abstractNumId w:val="1"/>
  </w:num>
  <w:num w:numId="3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25"/>
    <w:rsid w:val="00000B13"/>
    <w:rsid w:val="00000D79"/>
    <w:rsid w:val="0000134A"/>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5ED1"/>
    <w:rsid w:val="000B6C77"/>
    <w:rsid w:val="000B6D79"/>
    <w:rsid w:val="000C13BA"/>
    <w:rsid w:val="000C15D4"/>
    <w:rsid w:val="000C1725"/>
    <w:rsid w:val="000C1BEB"/>
    <w:rsid w:val="000C2FDB"/>
    <w:rsid w:val="000C3A8E"/>
    <w:rsid w:val="000C4809"/>
    <w:rsid w:val="000C5020"/>
    <w:rsid w:val="000C5A1E"/>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E7796"/>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3E4A"/>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50A"/>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3EC"/>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010F"/>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4F7E75"/>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215"/>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16E7"/>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268"/>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2DD2"/>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743"/>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43A"/>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2425"/>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47D5D"/>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6BBB"/>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4BC5"/>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3D5A"/>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E7121"/>
    <w:rsid w:val="00BF1E83"/>
    <w:rsid w:val="00BF28A9"/>
    <w:rsid w:val="00BF29D9"/>
    <w:rsid w:val="00BF42DA"/>
    <w:rsid w:val="00BF43D1"/>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287"/>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275"/>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7DB"/>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95D26F"/>
  <w15:docId w15:val="{7BDC0F7A-5AA8-4C9F-8D42-3EF2A418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6679\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4E4C2FC4146FB9E7D44C2C31D75C0"/>
        <w:category>
          <w:name w:val="Yleiset"/>
          <w:gallery w:val="placeholder"/>
        </w:category>
        <w:types>
          <w:type w:val="bbPlcHdr"/>
        </w:types>
        <w:behaviors>
          <w:behavior w:val="content"/>
        </w:behaviors>
        <w:guid w:val="{31B9BD43-904D-4151-9767-759389B4EA70}"/>
      </w:docPartPr>
      <w:docPartBody>
        <w:p w:rsidR="00817C3C" w:rsidRDefault="003D24A8">
          <w:pPr>
            <w:pStyle w:val="98F4E4C2FC4146FB9E7D44C2C31D75C0"/>
          </w:pPr>
          <w:r w:rsidRPr="005D3E42">
            <w:rPr>
              <w:rStyle w:val="Paikkamerkkiteksti"/>
            </w:rPr>
            <w:t>Click or tap here to enter text.</w:t>
          </w:r>
        </w:p>
      </w:docPartBody>
    </w:docPart>
    <w:docPart>
      <w:docPartPr>
        <w:name w:val="6D122ACF3FE542D8B19C735141BFF821"/>
        <w:category>
          <w:name w:val="Yleiset"/>
          <w:gallery w:val="placeholder"/>
        </w:category>
        <w:types>
          <w:type w:val="bbPlcHdr"/>
        </w:types>
        <w:behaviors>
          <w:behavior w:val="content"/>
        </w:behaviors>
        <w:guid w:val="{60709F74-6965-4A8F-BD57-12EAF5F25DB6}"/>
      </w:docPartPr>
      <w:docPartBody>
        <w:p w:rsidR="00817C3C" w:rsidRDefault="003D24A8">
          <w:pPr>
            <w:pStyle w:val="6D122ACF3FE542D8B19C735141BFF821"/>
          </w:pPr>
          <w:r w:rsidRPr="005D3E42">
            <w:rPr>
              <w:rStyle w:val="Paikkamerkkiteksti"/>
            </w:rPr>
            <w:t>Click or tap here to enter text.</w:t>
          </w:r>
        </w:p>
      </w:docPartBody>
    </w:docPart>
    <w:docPart>
      <w:docPartPr>
        <w:name w:val="ACE2E3C967F04C55AAB206C2C6DB6871"/>
        <w:category>
          <w:name w:val="Yleiset"/>
          <w:gallery w:val="placeholder"/>
        </w:category>
        <w:types>
          <w:type w:val="bbPlcHdr"/>
        </w:types>
        <w:behaviors>
          <w:behavior w:val="content"/>
        </w:behaviors>
        <w:guid w:val="{60FBB605-4295-4439-866D-EC2404A2A465}"/>
      </w:docPartPr>
      <w:docPartBody>
        <w:p w:rsidR="00817C3C" w:rsidRDefault="003D24A8">
          <w:pPr>
            <w:pStyle w:val="ACE2E3C967F04C55AAB206C2C6DB687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A8"/>
    <w:rsid w:val="001C6D4B"/>
    <w:rsid w:val="003D24A8"/>
    <w:rsid w:val="00817C3C"/>
    <w:rsid w:val="00970A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8F4E4C2FC4146FB9E7D44C2C31D75C0">
    <w:name w:val="98F4E4C2FC4146FB9E7D44C2C31D75C0"/>
  </w:style>
  <w:style w:type="paragraph" w:customStyle="1" w:styleId="6D122ACF3FE542D8B19C735141BFF821">
    <w:name w:val="6D122ACF3FE542D8B19C735141BFF821"/>
  </w:style>
  <w:style w:type="paragraph" w:customStyle="1" w:styleId="ACE2E3C967F04C55AAB206C2C6DB6871">
    <w:name w:val="ACE2E3C967F04C55AAB206C2C6DB6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2870-D233-40AE-B5BA-CB7A8FC8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34</TotalTime>
  <Pages>7</Pages>
  <Words>1426</Words>
  <Characters>12745</Characters>
  <Application>Microsoft Office Word</Application>
  <DocSecurity>0</DocSecurity>
  <Lines>106</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Ylikorpi Satu (PLM)</dc:creator>
  <cp:keywords/>
  <dc:description/>
  <cp:lastModifiedBy>Ylikorpi Satu (PLM)</cp:lastModifiedBy>
  <cp:revision>21</cp:revision>
  <cp:lastPrinted>2017-12-04T10:02:00Z</cp:lastPrinted>
  <dcterms:created xsi:type="dcterms:W3CDTF">2023-03-29T08:43:00Z</dcterms:created>
  <dcterms:modified xsi:type="dcterms:W3CDTF">2023-04-04T07:49:00Z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_MarkAsFinal">
    <vt:bool>true</vt:bool>
  </property>
</Properties>
</file>