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79E85" w14:textId="77777777" w:rsidR="008E77AE" w:rsidRPr="008E77AE" w:rsidRDefault="008E77AE" w:rsidP="008E77AE">
      <w:pPr>
        <w:spacing w:before="150" w:after="150" w:line="300" w:lineRule="atLeast"/>
        <w:outlineLvl w:val="4"/>
        <w:rPr>
          <w:rFonts w:ascii="inherit" w:hAnsi="inherit"/>
          <w:b/>
          <w:bCs/>
          <w:color w:val="333333"/>
          <w:szCs w:val="24"/>
        </w:rPr>
      </w:pPr>
      <w:r>
        <w:rPr>
          <w:rFonts w:ascii="inherit" w:hAnsi="inherit"/>
          <w:b/>
          <w:color w:val="333333"/>
        </w:rPr>
        <w:t>Inledning</w:t>
      </w:r>
    </w:p>
    <w:p w14:paraId="75492982" w14:textId="0F3E52CF" w:rsidR="008E77AE" w:rsidRPr="008E77AE" w:rsidRDefault="008E77AE" w:rsidP="008E77AE">
      <w:pPr>
        <w:rPr>
          <w:rFonts w:ascii="Trebuchet MS" w:hAnsi="Trebuchet MS"/>
          <w:color w:val="333333"/>
          <w:szCs w:val="24"/>
        </w:rPr>
      </w:pPr>
      <w:r>
        <w:rPr>
          <w:rFonts w:ascii="Calibri" w:hAnsi="Calibri"/>
          <w:color w:val="333333"/>
        </w:rPr>
        <w:t xml:space="preserve">Arbets- och näringsministeriet begär utlåtanden om en promemoria </w:t>
      </w:r>
      <w:r w:rsidR="002C6AF7">
        <w:rPr>
          <w:rFonts w:ascii="Calibri" w:hAnsi="Calibri"/>
          <w:color w:val="333333"/>
        </w:rPr>
        <w:t>som klarlägger</w:t>
      </w:r>
      <w:r>
        <w:rPr>
          <w:rFonts w:ascii="Calibri" w:hAnsi="Calibri"/>
          <w:color w:val="333333"/>
        </w:rPr>
        <w:t xml:space="preserve"> de ändringsbehov i lagstiftningen som följer av </w:t>
      </w:r>
      <w:r w:rsidR="00601293">
        <w:rPr>
          <w:rFonts w:ascii="Calibri" w:hAnsi="Calibri"/>
          <w:color w:val="333333"/>
        </w:rPr>
        <w:t>en ökning av</w:t>
      </w:r>
      <w:r>
        <w:rPr>
          <w:rFonts w:ascii="Calibri" w:hAnsi="Calibri"/>
          <w:color w:val="333333"/>
        </w:rPr>
        <w:t xml:space="preserve"> offentligheten för allmänheten i fråga om företagsuppgifter.  </w:t>
      </w:r>
      <w:r>
        <w:rPr>
          <w:rFonts w:ascii="Trebuchet MS" w:hAnsi="Trebuchet MS"/>
          <w:color w:val="333333"/>
        </w:rPr>
        <w:br/>
        <w:t> </w:t>
      </w:r>
    </w:p>
    <w:p w14:paraId="12CA4E39" w14:textId="77777777" w:rsidR="008E77AE" w:rsidRPr="008E77AE" w:rsidRDefault="008E77AE" w:rsidP="008E77AE">
      <w:pPr>
        <w:spacing w:before="150" w:after="150" w:line="300" w:lineRule="atLeast"/>
        <w:outlineLvl w:val="4"/>
        <w:rPr>
          <w:rFonts w:ascii="inherit" w:hAnsi="inherit"/>
          <w:b/>
          <w:bCs/>
          <w:color w:val="333333"/>
          <w:szCs w:val="24"/>
        </w:rPr>
      </w:pPr>
      <w:r>
        <w:rPr>
          <w:rFonts w:ascii="inherit" w:hAnsi="inherit"/>
          <w:b/>
          <w:color w:val="333333"/>
        </w:rPr>
        <w:t>Bakgrund</w:t>
      </w:r>
    </w:p>
    <w:p w14:paraId="7627AD0E" w14:textId="6D7AA073" w:rsidR="008E77AE" w:rsidRPr="008E77AE" w:rsidRDefault="008E77AE" w:rsidP="008E77AE">
      <w:pPr>
        <w:rPr>
          <w:rFonts w:ascii="Trebuchet MS" w:hAnsi="Trebuchet MS"/>
          <w:color w:val="333333"/>
          <w:szCs w:val="24"/>
        </w:rPr>
      </w:pPr>
      <w:r>
        <w:rPr>
          <w:rFonts w:ascii="Calibri" w:hAnsi="Calibri"/>
          <w:color w:val="333333"/>
        </w:rPr>
        <w:t>Arbets- och näringsministeriet har låtit utföra en undersökning om ökad offentlighet för allmänheten i fråga om företagsuppgifter som en metod för bekämpning av grå ekonomi. Undersökningen färdigställdes i augusti 2022.</w:t>
      </w:r>
      <w:r>
        <w:rPr>
          <w:rFonts w:ascii="Trebuchet MS" w:hAnsi="Trebuchet MS"/>
          <w:color w:val="333333"/>
        </w:rPr>
        <w:br/>
      </w:r>
      <w:r>
        <w:rPr>
          <w:rFonts w:ascii="Trebuchet MS" w:hAnsi="Trebuchet MS"/>
          <w:color w:val="333333"/>
        </w:rPr>
        <w:br/>
      </w:r>
      <w:r>
        <w:rPr>
          <w:rFonts w:ascii="Calibri" w:hAnsi="Calibri"/>
          <w:color w:val="333333"/>
        </w:rPr>
        <w:t xml:space="preserve">I undersökningen föreslår utredaren Niklas Elomaa att man i företags- och organisationsdatasystemet FODS ska publicera uppgifter om arbetsgivarens skyldigheter i anslutning till arbetspensionsförsäkringar, arbetslöshetsförsäkringar, arbetsolycksfalls- och yrkessjukdomsförsäkringar, uppgifter om företags medellöshet vid utsökning, uppgifter om affärsverksamhetsförbud samt uppgifter om tullskuld. Enligt Elomaas förslag ska endast de </w:t>
      </w:r>
      <w:r w:rsidR="004C0B66">
        <w:rPr>
          <w:rFonts w:ascii="Calibri" w:hAnsi="Calibri"/>
          <w:color w:val="333333"/>
        </w:rPr>
        <w:t>klaraste</w:t>
      </w:r>
      <w:r>
        <w:rPr>
          <w:rFonts w:ascii="Calibri" w:hAnsi="Calibri"/>
          <w:color w:val="333333"/>
        </w:rPr>
        <w:t xml:space="preserve"> och mest obestridliga uppgifterna bli offentliga för allmänheten på ett kostnadseffektivt sätt.</w:t>
      </w:r>
      <w:r>
        <w:rPr>
          <w:rFonts w:ascii="Trebuchet MS" w:hAnsi="Trebuchet MS"/>
          <w:color w:val="333333"/>
        </w:rPr>
        <w:br/>
      </w:r>
      <w:r>
        <w:rPr>
          <w:rFonts w:ascii="Trebuchet MS" w:hAnsi="Trebuchet MS"/>
          <w:color w:val="333333"/>
        </w:rPr>
        <w:br/>
      </w:r>
      <w:r>
        <w:rPr>
          <w:rFonts w:ascii="Calibri" w:hAnsi="Calibri"/>
          <w:color w:val="333333"/>
        </w:rPr>
        <w:t>För att genomföra förslagen har en promemoria om ändringsbehoven i lagstiftningen utarbetats. Genomförandet av offentligheten för allmänheten kräver lagstiftningsändringar i synnerhet i lagarna om dem som producerar information. Promemorian har utarbetats under ledning av arbets- och näringsministeriet, och social- och hälsovårdsministeriet, justitieministeriet och finansministeriet har deltagit i beredningen.</w:t>
      </w:r>
      <w:r>
        <w:rPr>
          <w:rFonts w:ascii="Trebuchet MS" w:hAnsi="Trebuchet MS"/>
          <w:color w:val="333333"/>
        </w:rPr>
        <w:br/>
      </w:r>
      <w:r>
        <w:rPr>
          <w:rFonts w:ascii="Trebuchet MS" w:hAnsi="Trebuchet MS"/>
          <w:color w:val="333333"/>
        </w:rPr>
        <w:br/>
      </w:r>
      <w:r>
        <w:rPr>
          <w:rFonts w:ascii="Calibri" w:hAnsi="Calibri"/>
          <w:color w:val="333333"/>
        </w:rPr>
        <w:t>Undersökningen och bedömningen av ändringsbehoven i lagstiftningen ingår i de åtgärder som förutsätts inom ramen för strategin och åtgärdsprogrammet för bekämpning av grå ekonomi och ekonomisk brottslighet (2020–2023).</w:t>
      </w:r>
      <w:r>
        <w:rPr>
          <w:rFonts w:ascii="Trebuchet MS" w:hAnsi="Trebuchet MS"/>
          <w:color w:val="333333"/>
        </w:rPr>
        <w:br/>
        <w:t> </w:t>
      </w:r>
    </w:p>
    <w:p w14:paraId="6B26F5CF" w14:textId="77777777" w:rsidR="008E77AE" w:rsidRPr="008E77AE" w:rsidRDefault="008E77AE" w:rsidP="008E77AE">
      <w:pPr>
        <w:spacing w:before="150" w:after="150" w:line="300" w:lineRule="atLeast"/>
        <w:outlineLvl w:val="4"/>
        <w:rPr>
          <w:rFonts w:ascii="inherit" w:hAnsi="inherit"/>
          <w:b/>
          <w:bCs/>
          <w:color w:val="333333"/>
          <w:szCs w:val="24"/>
        </w:rPr>
      </w:pPr>
      <w:r>
        <w:rPr>
          <w:rFonts w:ascii="inherit" w:hAnsi="inherit"/>
          <w:b/>
          <w:color w:val="333333"/>
        </w:rPr>
        <w:t>Mål</w:t>
      </w:r>
    </w:p>
    <w:p w14:paraId="50B0ECA0" w14:textId="77777777" w:rsidR="008E77AE" w:rsidRPr="008E77AE" w:rsidRDefault="008E77AE" w:rsidP="008E77AE">
      <w:pPr>
        <w:rPr>
          <w:rFonts w:ascii="Trebuchet MS" w:hAnsi="Trebuchet MS"/>
          <w:color w:val="333333"/>
          <w:szCs w:val="24"/>
        </w:rPr>
      </w:pPr>
      <w:r>
        <w:rPr>
          <w:rFonts w:ascii="Calibri" w:hAnsi="Calibri"/>
          <w:color w:val="333333"/>
        </w:rPr>
        <w:t>Målet med en ökad offentlighet för allmänheten i fråga om företagsuppgifter är att stödja bekämpningen av grå ekonomi och främja en öppnare tillgång till information om företagens lagstadgade skyldigheter.</w:t>
      </w:r>
    </w:p>
    <w:p w14:paraId="2E729BA7" w14:textId="23A202B7" w:rsidR="008E77AE" w:rsidRPr="008E77AE" w:rsidRDefault="008E77AE" w:rsidP="008E77AE">
      <w:pPr>
        <w:pStyle w:val="VMOtsikko1"/>
        <w:rPr>
          <w:rFonts w:asciiTheme="minorHAnsi" w:hAnsiTheme="minorHAnsi" w:cstheme="minorHAnsi"/>
        </w:rPr>
      </w:pPr>
      <w:r>
        <w:rPr>
          <w:rFonts w:asciiTheme="minorHAnsi" w:hAnsiTheme="minorHAnsi"/>
        </w:rPr>
        <w:t>Slut</w:t>
      </w:r>
      <w:r w:rsidR="00D50D58">
        <w:rPr>
          <w:rFonts w:asciiTheme="minorHAnsi" w:hAnsiTheme="minorHAnsi"/>
        </w:rPr>
        <w:t>satser</w:t>
      </w:r>
      <w:bookmarkStart w:id="0" w:name="_GoBack"/>
      <w:bookmarkEnd w:id="0"/>
    </w:p>
    <w:p w14:paraId="7DCA3439" w14:textId="77777777" w:rsidR="008E77AE" w:rsidRPr="008E77AE" w:rsidRDefault="008E77AE" w:rsidP="008E77AE">
      <w:pPr>
        <w:rPr>
          <w:rFonts w:asciiTheme="minorHAnsi" w:hAnsiTheme="minorHAnsi" w:cstheme="minorHAnsi"/>
          <w:i/>
        </w:rPr>
      </w:pPr>
    </w:p>
    <w:p w14:paraId="514277C0" w14:textId="77777777" w:rsidR="008E77AE" w:rsidRPr="008E77AE" w:rsidRDefault="008E77AE" w:rsidP="008E77AE">
      <w:pPr>
        <w:rPr>
          <w:rFonts w:asciiTheme="minorHAnsi" w:hAnsiTheme="minorHAnsi" w:cstheme="minorHAnsi"/>
          <w:i/>
        </w:rPr>
      </w:pPr>
      <w:r>
        <w:rPr>
          <w:rFonts w:asciiTheme="minorHAnsi" w:hAnsiTheme="minorHAnsi"/>
          <w:i/>
        </w:rPr>
        <w:t>Förslagens utgångspunkter och konsekvenser</w:t>
      </w:r>
    </w:p>
    <w:p w14:paraId="7DF8E321" w14:textId="77777777" w:rsidR="008E77AE" w:rsidRPr="008E77AE" w:rsidRDefault="008E77AE" w:rsidP="008E77AE">
      <w:pPr>
        <w:rPr>
          <w:rFonts w:asciiTheme="minorHAnsi" w:hAnsiTheme="minorHAnsi" w:cstheme="minorHAnsi"/>
        </w:rPr>
      </w:pPr>
    </w:p>
    <w:p w14:paraId="502E55C9" w14:textId="77777777" w:rsidR="008E77AE" w:rsidRPr="008E77AE" w:rsidRDefault="008E77AE" w:rsidP="008E77AE">
      <w:pPr>
        <w:pStyle w:val="Luettelokappale"/>
        <w:numPr>
          <w:ilvl w:val="0"/>
          <w:numId w:val="9"/>
        </w:numPr>
        <w:jc w:val="both"/>
        <w:rPr>
          <w:rFonts w:asciiTheme="minorHAnsi" w:hAnsiTheme="minorHAnsi" w:cstheme="minorHAnsi"/>
        </w:rPr>
      </w:pPr>
      <w:r>
        <w:rPr>
          <w:rFonts w:asciiTheme="minorHAnsi" w:hAnsiTheme="minorHAnsi"/>
        </w:rPr>
        <w:t>Utgångspunkten för arbetet har varit att bedöma de lagändringar som behövs för att främja offentligheten för allmänheten i fråga om företagsuppgifter i enlighet med riktlinjerna för arbets- och näringsministeriets styrgrupp för bekämpning av grå ekonomi. Strävan är att offentligheten för allmänheten ska gälla uppgifterna om arbetsgivarens socialförsäkringsskyldigheter i anslutning till arbetspensions-, arbetsolycksfalls-, yrkessjukdoms- och arbetslöshetsförsäkringar (</w:t>
      </w:r>
      <w:r>
        <w:rPr>
          <w:rFonts w:asciiTheme="minorHAnsi" w:hAnsiTheme="minorHAnsi"/>
          <w:i/>
          <w:iCs/>
        </w:rPr>
        <w:t>uppgift om försäkringens giltighet/anteckning i myndighetens register</w:t>
      </w:r>
      <w:r>
        <w:rPr>
          <w:rFonts w:asciiTheme="minorHAnsi" w:hAnsiTheme="minorHAnsi"/>
        </w:rPr>
        <w:t xml:space="preserve">), uppgifter om företags medellöshet vid utsökning samt uppgifter om affärsverksamhetsförbud. </w:t>
      </w:r>
    </w:p>
    <w:p w14:paraId="1C9DCFF8" w14:textId="77777777" w:rsidR="008E77AE" w:rsidRPr="008E77AE" w:rsidRDefault="008E77AE" w:rsidP="008E77AE">
      <w:pPr>
        <w:pStyle w:val="Luettelokappale"/>
        <w:numPr>
          <w:ilvl w:val="0"/>
          <w:numId w:val="9"/>
        </w:numPr>
        <w:jc w:val="both"/>
        <w:rPr>
          <w:rFonts w:asciiTheme="minorHAnsi" w:hAnsiTheme="minorHAnsi" w:cstheme="minorHAnsi"/>
        </w:rPr>
      </w:pPr>
      <w:r>
        <w:rPr>
          <w:rFonts w:asciiTheme="minorHAnsi" w:hAnsiTheme="minorHAnsi"/>
        </w:rPr>
        <w:lastRenderedPageBreak/>
        <w:t xml:space="preserve">Utgångspunkten för de föreslagna ändringarna ska vara att inga uppgifter om fysiska personer som bedriver verksamhet som näringsidkare ska publiceras via FODS.  Man har stannat för denna lösning med anledning av de aspekter som gäller skyddet av fysiska personers privatliv och personuppgifter. De företagsuppgifter som föreslås bli offentliga för allmänheten och de lagstiftningsändringar som behövs för dessa ska vara oproblematiska med tanke på 10 § 1 mom. i grundlagen som gäller skyddet för personuppgifter och privatlivet. </w:t>
      </w:r>
    </w:p>
    <w:p w14:paraId="6D402FAA" w14:textId="77777777" w:rsidR="008E77AE" w:rsidRPr="008E77AE" w:rsidRDefault="008E77AE" w:rsidP="008E77AE">
      <w:pPr>
        <w:pStyle w:val="Luettelokappale"/>
        <w:numPr>
          <w:ilvl w:val="0"/>
          <w:numId w:val="9"/>
        </w:numPr>
        <w:jc w:val="both"/>
        <w:rPr>
          <w:rFonts w:asciiTheme="minorHAnsi" w:hAnsiTheme="minorHAnsi" w:cstheme="minorHAnsi"/>
        </w:rPr>
      </w:pPr>
      <w:r>
        <w:rPr>
          <w:rFonts w:asciiTheme="minorHAnsi" w:hAnsiTheme="minorHAnsi"/>
        </w:rPr>
        <w:t xml:space="preserve">En ökad offentlighet för allmänheten i fråga om företagsuppgifter stöder bekämpningen av grå ekonomi. De uppgifter som nu ska göras offentliga för allmänheten beskriver inte i sig om företaget har fullgjort alla sina skyldigheter korrekt. Offentligheten för allmänheten stöder dock en öppnare tillgång till information om företagens lagstadgade skyldigheter och ekonomiska situation. Bättre transparens för myndigheternas registeruppgifter förväntas gynna företagens intressentgrupper när det gäller deras tillgång till information. Som en följd av offentligheten för allmänheten kan ett företags avtalspartner och konsumentkunder smidigare göra en bedömning av företagets ekonomiska tillförlitlighet och risker. </w:t>
      </w:r>
    </w:p>
    <w:p w14:paraId="52716D0A" w14:textId="77777777" w:rsidR="008E77AE" w:rsidRPr="008E77AE" w:rsidRDefault="008E77AE" w:rsidP="008E77AE">
      <w:pPr>
        <w:pStyle w:val="Luettelokappale"/>
        <w:numPr>
          <w:ilvl w:val="0"/>
          <w:numId w:val="9"/>
        </w:numPr>
        <w:jc w:val="both"/>
        <w:rPr>
          <w:rFonts w:asciiTheme="minorHAnsi" w:hAnsiTheme="minorHAnsi" w:cstheme="minorHAnsi"/>
        </w:rPr>
      </w:pPr>
      <w:r>
        <w:rPr>
          <w:rFonts w:asciiTheme="minorHAnsi" w:hAnsiTheme="minorHAnsi"/>
        </w:rPr>
        <w:t>Uppdaterade och tillförlitliga registeruppgifter om företag är viktiga principer när det gäller genomförandet av offentligheten för allmänheten, och även det tekniska utförandet ska vara kostnadseffektivt.</w:t>
      </w:r>
    </w:p>
    <w:p w14:paraId="64710234" w14:textId="77777777" w:rsidR="008E77AE" w:rsidRPr="008E77AE" w:rsidRDefault="008E77AE" w:rsidP="008E77AE">
      <w:pPr>
        <w:pStyle w:val="Luettelokappale"/>
        <w:numPr>
          <w:ilvl w:val="0"/>
          <w:numId w:val="9"/>
        </w:numPr>
        <w:jc w:val="both"/>
        <w:rPr>
          <w:rFonts w:asciiTheme="minorHAnsi" w:hAnsiTheme="minorHAnsi" w:cstheme="minorHAnsi"/>
        </w:rPr>
      </w:pPr>
      <w:r>
        <w:rPr>
          <w:rFonts w:asciiTheme="minorHAnsi" w:hAnsiTheme="minorHAnsi"/>
        </w:rPr>
        <w:t xml:space="preserve">Företags- och organisationsdatalagen och den tekniska lösningen för att främja offentligheten för allmänheten för företagsuppgifter: </w:t>
      </w:r>
    </w:p>
    <w:p w14:paraId="5E6E8278" w14:textId="77777777" w:rsidR="008E77AE" w:rsidRPr="008E77AE" w:rsidRDefault="008E77AE" w:rsidP="008E77AE">
      <w:pPr>
        <w:pStyle w:val="Luettelokappale"/>
        <w:jc w:val="both"/>
        <w:rPr>
          <w:rFonts w:asciiTheme="minorHAnsi" w:hAnsiTheme="minorHAnsi" w:cstheme="minorHAnsi"/>
        </w:rPr>
      </w:pPr>
      <w:r>
        <w:rPr>
          <w:rFonts w:asciiTheme="minorHAnsi" w:hAnsiTheme="minorHAnsi"/>
        </w:rPr>
        <w:t xml:space="preserve">Utgångspunkten för genomförandet av lagstiftningsändringarna är att de företagsuppgifter som ingår i olika register ska publiceras i FODS via länkar till e-tjänsterna och/eller öppna gränssnitt så att de publicerade uppgifterna inte sparas i FODS.  Via FODS ska det vara möjligt för den som söker information att om ett specificerat företag få uppgifter om </w:t>
      </w:r>
      <w:r w:rsidRPr="006F520F">
        <w:rPr>
          <w:rFonts w:asciiTheme="minorHAnsi" w:hAnsiTheme="minorHAnsi"/>
        </w:rPr>
        <w:t>arbetsgivarens</w:t>
      </w:r>
      <w:r>
        <w:rPr>
          <w:rFonts w:asciiTheme="minorHAnsi" w:hAnsiTheme="minorHAnsi"/>
        </w:rPr>
        <w:t xml:space="preserve"> skyldigheter i anslutning till arbetspensions-, arbetsolycksfalls-, yrkessjukdoms- och arbetslöshetsförsäkringar (uppgift om försäkringens giltighet/anteckning i myndighetens register), uppgifter om företags medellöshet vid utsökning samt uppgifter om affärsverksamhetsförbud. Företags- och organisationsdatalagen ska kompletteras med en informativ hänvisning till lagarna om registren. I lagen om ändamålsenlig information och register ska finnas bestämmelser om rätten att få företagsuppgifterna i fråga via FODS.</w:t>
      </w:r>
    </w:p>
    <w:p w14:paraId="50901FEB" w14:textId="77777777" w:rsidR="008E77AE" w:rsidRPr="008E77AE" w:rsidRDefault="008E77AE" w:rsidP="008E77AE">
      <w:pPr>
        <w:jc w:val="both"/>
        <w:rPr>
          <w:rFonts w:asciiTheme="minorHAnsi" w:hAnsiTheme="minorHAnsi" w:cstheme="minorHAnsi"/>
        </w:rPr>
      </w:pPr>
    </w:p>
    <w:p w14:paraId="44254A8B" w14:textId="77777777" w:rsidR="008E77AE" w:rsidRPr="008E77AE" w:rsidRDefault="008E77AE" w:rsidP="008E77AE">
      <w:pPr>
        <w:jc w:val="both"/>
        <w:rPr>
          <w:rFonts w:asciiTheme="minorHAnsi" w:hAnsiTheme="minorHAnsi" w:cstheme="minorHAnsi"/>
          <w:i/>
        </w:rPr>
      </w:pPr>
      <w:r>
        <w:rPr>
          <w:rFonts w:asciiTheme="minorHAnsi" w:hAnsiTheme="minorHAnsi"/>
          <w:i/>
        </w:rPr>
        <w:t xml:space="preserve">Uppgifter om företagets socialförsäkringsskyldigheter </w:t>
      </w:r>
    </w:p>
    <w:p w14:paraId="65A99DF8" w14:textId="77777777" w:rsidR="008E77AE" w:rsidRPr="008E77AE" w:rsidRDefault="008E77AE" w:rsidP="008E77AE">
      <w:pPr>
        <w:jc w:val="both"/>
        <w:rPr>
          <w:rFonts w:asciiTheme="minorHAnsi" w:hAnsiTheme="minorHAnsi" w:cstheme="minorHAnsi"/>
        </w:rPr>
      </w:pPr>
    </w:p>
    <w:p w14:paraId="371E2D61" w14:textId="77777777" w:rsidR="008E77AE" w:rsidRPr="008E77AE" w:rsidRDefault="008E77AE" w:rsidP="008E77AE">
      <w:pPr>
        <w:pStyle w:val="Luettelokappale"/>
        <w:numPr>
          <w:ilvl w:val="0"/>
          <w:numId w:val="9"/>
        </w:numPr>
        <w:jc w:val="both"/>
        <w:rPr>
          <w:rFonts w:asciiTheme="minorHAnsi" w:hAnsiTheme="minorHAnsi" w:cstheme="minorHAnsi"/>
        </w:rPr>
      </w:pPr>
      <w:r>
        <w:rPr>
          <w:rFonts w:asciiTheme="minorHAnsi" w:hAnsiTheme="minorHAnsi"/>
        </w:rPr>
        <w:t xml:space="preserve">I fråga om uppgifterna om socialförsäkringar bör det noteras att de uppgifter som ska bli offentliga för allmänheten endast ger en allmän bild av företagets lagstadgade skyldigheter. Uppgiften beskriver inte om arbetsgivaren i praktiken har sett till att arbetstagarens arbetspensionsförsäkringsavgift, olycksfalls- och yrkessjukdomsförsäkring eller arbetslöshetsförsäkringsavgift har betalats korrekt. </w:t>
      </w:r>
    </w:p>
    <w:p w14:paraId="1BBFA680" w14:textId="77777777" w:rsidR="008E77AE" w:rsidRPr="008E77AE" w:rsidRDefault="008E77AE" w:rsidP="008E77AE">
      <w:pPr>
        <w:pStyle w:val="Luettelokappale"/>
        <w:numPr>
          <w:ilvl w:val="0"/>
          <w:numId w:val="9"/>
        </w:numPr>
        <w:jc w:val="both"/>
        <w:rPr>
          <w:rFonts w:asciiTheme="minorHAnsi" w:hAnsiTheme="minorHAnsi" w:cstheme="minorHAnsi"/>
        </w:rPr>
      </w:pPr>
      <w:r>
        <w:rPr>
          <w:rFonts w:asciiTheme="minorHAnsi" w:hAnsiTheme="minorHAnsi"/>
        </w:rPr>
        <w:t>Med tanke på bekämpningen av grå ekonomi är det viktigt att i synnerhet försummelser av skyldigheterna i anslutning till socialförsäkring är offentliga för allmänheten. Utredningarna ger dock vid handen att man förhåller sig mycket negativt till att uppgifter om försummade betalningar görs offentliga för allmänheten, framför allt med hänvisning till skyddet för affärshemligheter. Att få uppdaterade betalningsuppgifter via FODS vore svårt att genomföra även i datatekniskt avseende och skulle leda till rätt stora kostnader. Det finns till exempel inte något centraliserat register med uppgifter om arbetspensionsavgifter utan uppgifterna om betalningar finns i försäkringsbolagens egna register.</w:t>
      </w:r>
      <w:r w:rsidRPr="008E77AE">
        <w:rPr>
          <w:rStyle w:val="Alaviitteenviite"/>
          <w:rFonts w:asciiTheme="minorHAnsi" w:hAnsiTheme="minorHAnsi" w:cstheme="minorHAnsi"/>
        </w:rPr>
        <w:footnoteReference w:id="1"/>
      </w:r>
      <w:r>
        <w:rPr>
          <w:rFonts w:asciiTheme="minorHAnsi" w:hAnsiTheme="minorHAnsi"/>
        </w:rPr>
        <w:t xml:space="preserve"> Om man i ett senare skede fattar beslut om att föra ärendet vidare kan man först i den egentliga beredningen av regeringspropositionen slutgiltigt ta ställning till informationsinnehållet och behovet av ändring av bestämmelserna.</w:t>
      </w:r>
    </w:p>
    <w:p w14:paraId="2263422F" w14:textId="5A8BB6CD" w:rsidR="008E77AE" w:rsidRPr="008E77AE" w:rsidRDefault="008E77AE" w:rsidP="008E77AE">
      <w:pPr>
        <w:pStyle w:val="Luettelokappale"/>
        <w:numPr>
          <w:ilvl w:val="0"/>
          <w:numId w:val="9"/>
        </w:numPr>
        <w:jc w:val="both"/>
        <w:rPr>
          <w:rFonts w:asciiTheme="minorHAnsi" w:hAnsiTheme="minorHAnsi" w:cstheme="minorHAnsi"/>
        </w:rPr>
      </w:pPr>
      <w:r>
        <w:rPr>
          <w:rFonts w:asciiTheme="minorHAnsi" w:hAnsiTheme="minorHAnsi"/>
        </w:rPr>
        <w:t xml:space="preserve">Ökad offentlighet för allmänheten när det gäller uppgifter om socialförsäkring stöder dock en öppnare tillgång till företagsuppgifter även om mervärdet </w:t>
      </w:r>
      <w:r w:rsidR="002B3644">
        <w:rPr>
          <w:rFonts w:asciiTheme="minorHAnsi" w:hAnsiTheme="minorHAnsi"/>
        </w:rPr>
        <w:t xml:space="preserve">är mindre </w:t>
      </w:r>
      <w:r>
        <w:rPr>
          <w:rFonts w:asciiTheme="minorHAnsi" w:hAnsiTheme="minorHAnsi"/>
        </w:rPr>
        <w:t xml:space="preserve">med tanke på bekämpningen av grå ekonomi.  </w:t>
      </w:r>
    </w:p>
    <w:p w14:paraId="54EEDC11" w14:textId="77777777" w:rsidR="008E77AE" w:rsidRPr="008E77AE" w:rsidRDefault="008E77AE" w:rsidP="008E77AE">
      <w:pPr>
        <w:ind w:left="360"/>
        <w:jc w:val="both"/>
        <w:rPr>
          <w:rFonts w:asciiTheme="minorHAnsi" w:hAnsiTheme="minorHAnsi" w:cstheme="minorHAnsi"/>
          <w:i/>
        </w:rPr>
      </w:pPr>
    </w:p>
    <w:p w14:paraId="6A7D4D97" w14:textId="77777777" w:rsidR="008E77AE" w:rsidRPr="008E77AE" w:rsidRDefault="008E77AE" w:rsidP="008E77AE">
      <w:pPr>
        <w:jc w:val="both"/>
        <w:rPr>
          <w:rFonts w:asciiTheme="minorHAnsi" w:hAnsiTheme="minorHAnsi" w:cstheme="minorHAnsi"/>
          <w:i/>
        </w:rPr>
      </w:pPr>
      <w:r>
        <w:rPr>
          <w:rFonts w:asciiTheme="minorHAnsi" w:hAnsiTheme="minorHAnsi"/>
          <w:i/>
        </w:rPr>
        <w:t>Uppgifter om medellöshetshinder, affärsverksamhetsförbud och tullskuld</w:t>
      </w:r>
    </w:p>
    <w:p w14:paraId="64169CC1" w14:textId="77777777" w:rsidR="008E77AE" w:rsidRPr="008E77AE" w:rsidRDefault="008E77AE" w:rsidP="008E77AE">
      <w:pPr>
        <w:ind w:left="360"/>
        <w:jc w:val="both"/>
        <w:rPr>
          <w:rFonts w:asciiTheme="minorHAnsi" w:hAnsiTheme="minorHAnsi" w:cstheme="minorHAnsi"/>
        </w:rPr>
      </w:pPr>
    </w:p>
    <w:p w14:paraId="52887E77" w14:textId="77777777" w:rsidR="008E77AE" w:rsidRPr="008E77AE" w:rsidRDefault="008E77AE" w:rsidP="008E77AE">
      <w:pPr>
        <w:pStyle w:val="Luettelokappale"/>
        <w:numPr>
          <w:ilvl w:val="0"/>
          <w:numId w:val="9"/>
        </w:numPr>
        <w:jc w:val="both"/>
        <w:rPr>
          <w:rFonts w:asciiTheme="minorHAnsi" w:hAnsiTheme="minorHAnsi" w:cstheme="minorHAnsi"/>
        </w:rPr>
      </w:pPr>
      <w:r>
        <w:rPr>
          <w:rFonts w:asciiTheme="minorHAnsi" w:hAnsiTheme="minorHAnsi"/>
        </w:rPr>
        <w:t>Ett medellöshetshinder som konstaterats vid utsökning har i utredningarna tolkats som en rätt kraftig indikation på att företagets affärsverksamhet inte är lönsam och att den kommer att upphöra inom snar framtid. Det är meningen att via FODS förmedla uppgiften ja/nej när det gäller medellöshetshinder som konstaterats för företag under de senaste två åren, och för att få ytterligare uppgifter ska den som frågar efter uppgifter hänvisas till att via utsökningens e-tjänst beställa ett intyg från utsökningsregistret.</w:t>
      </w:r>
    </w:p>
    <w:p w14:paraId="596879B7" w14:textId="74FF00AC" w:rsidR="008E77AE" w:rsidRPr="008E77AE" w:rsidRDefault="008E77AE" w:rsidP="008E77AE">
      <w:pPr>
        <w:pStyle w:val="Luettelokappale"/>
        <w:numPr>
          <w:ilvl w:val="0"/>
          <w:numId w:val="9"/>
        </w:numPr>
        <w:jc w:val="both"/>
        <w:rPr>
          <w:rFonts w:asciiTheme="minorHAnsi" w:hAnsiTheme="minorHAnsi" w:cstheme="minorHAnsi"/>
        </w:rPr>
      </w:pPr>
      <w:r>
        <w:rPr>
          <w:rFonts w:asciiTheme="minorHAnsi" w:hAnsiTheme="minorHAnsi"/>
        </w:rPr>
        <w:t xml:space="preserve">Offentligheten för allmänheten när det gäller ett affärsverksamhetsförbud som utfärdats för företagets ansvarsperson ska förbättras genom att i företagsuppgiftsvyn i FODS publicera en länk till handelsregisterutdraget som visar de affärsverksamhetsförbud som utfärdats för företagets ansvarspersoner. Detta kräver inte ändringar i lagstiftningen. De affärsverksamhetsförbud som har betydelse för bekämpningen av grå ekonomi ska vara lättare tillgängliga för de personer som söker företagsuppgifter via FODS. </w:t>
      </w:r>
    </w:p>
    <w:p w14:paraId="18123D32" w14:textId="6DAB26F6" w:rsidR="008E77AE" w:rsidRPr="008E77AE" w:rsidRDefault="008E77AE" w:rsidP="008E77AE">
      <w:pPr>
        <w:pStyle w:val="Luettelokappale"/>
        <w:numPr>
          <w:ilvl w:val="0"/>
          <w:numId w:val="9"/>
        </w:numPr>
        <w:jc w:val="both"/>
        <w:rPr>
          <w:rFonts w:asciiTheme="minorHAnsi" w:hAnsiTheme="minorHAnsi" w:cstheme="minorHAnsi"/>
        </w:rPr>
      </w:pPr>
      <w:r>
        <w:rPr>
          <w:rFonts w:asciiTheme="minorHAnsi" w:hAnsiTheme="minorHAnsi"/>
        </w:rPr>
        <w:t>I samband med utarbetandet av promemorian har man utrett antalet företag med tullskuld och tullskuldens belopp samt hur många av företagen med tullskuld som har uppgifter även i skatteskuldsregistret. På grund av de få förfaranden</w:t>
      </w:r>
      <w:r w:rsidR="00556ABD">
        <w:rPr>
          <w:rFonts w:asciiTheme="minorHAnsi" w:hAnsiTheme="minorHAnsi"/>
        </w:rPr>
        <w:t>a</w:t>
      </w:r>
      <w:r>
        <w:rPr>
          <w:rFonts w:asciiTheme="minorHAnsi" w:hAnsiTheme="minorHAnsi"/>
        </w:rPr>
        <w:t xml:space="preserve"> i anslutning till tullbeskattning och det låga antalet företag med tullskuld anses det inte ändamålsenligt med tanke på informationssystemskostnaderna att inkludera tullskulder i offentligheten för allmänheten.</w:t>
      </w:r>
    </w:p>
    <w:p w14:paraId="0EC2673B" w14:textId="77777777" w:rsidR="008E77AE" w:rsidRPr="008E77AE" w:rsidRDefault="008E77AE" w:rsidP="008E77AE">
      <w:pPr>
        <w:rPr>
          <w:rFonts w:asciiTheme="minorHAnsi" w:hAnsiTheme="minorHAnsi" w:cstheme="minorHAnsi"/>
        </w:rPr>
      </w:pPr>
    </w:p>
    <w:p w14:paraId="52FF0186" w14:textId="77777777" w:rsidR="008E77AE" w:rsidRPr="008E77AE" w:rsidRDefault="008E77AE" w:rsidP="008E77AE">
      <w:pPr>
        <w:rPr>
          <w:rFonts w:asciiTheme="minorHAnsi" w:hAnsiTheme="minorHAnsi" w:cstheme="minorHAnsi"/>
        </w:rPr>
      </w:pPr>
    </w:p>
    <w:p w14:paraId="1BEA4946" w14:textId="77777777" w:rsidR="009B230C" w:rsidRPr="008E77AE" w:rsidRDefault="009B230C" w:rsidP="00446E3A">
      <w:pPr>
        <w:rPr>
          <w:rFonts w:asciiTheme="minorHAnsi" w:hAnsiTheme="minorHAnsi" w:cstheme="minorHAnsi"/>
        </w:rPr>
      </w:pPr>
    </w:p>
    <w:sectPr w:rsidR="009B230C" w:rsidRPr="008E77AE" w:rsidSect="00562E6B">
      <w:headerReference w:type="default" r:id="rId7"/>
      <w:footerReference w:type="default" r:id="rId8"/>
      <w:headerReference w:type="first" r:id="rId9"/>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32430" w14:textId="77777777" w:rsidR="001925D8" w:rsidRDefault="001925D8" w:rsidP="008E0F4A">
      <w:r>
        <w:separator/>
      </w:r>
    </w:p>
  </w:endnote>
  <w:endnote w:type="continuationSeparator" w:id="0">
    <w:p w14:paraId="3E2B2E86" w14:textId="77777777" w:rsidR="001925D8" w:rsidRDefault="001925D8"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BDE6D" w14:textId="77777777"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3E5D2" w14:textId="77777777" w:rsidR="001925D8" w:rsidRDefault="001925D8" w:rsidP="008E0F4A">
      <w:r>
        <w:separator/>
      </w:r>
    </w:p>
  </w:footnote>
  <w:footnote w:type="continuationSeparator" w:id="0">
    <w:p w14:paraId="39C962E2" w14:textId="77777777" w:rsidR="001925D8" w:rsidRDefault="001925D8" w:rsidP="008E0F4A">
      <w:r>
        <w:continuationSeparator/>
      </w:r>
    </w:p>
  </w:footnote>
  <w:footnote w:id="1">
    <w:p w14:paraId="25E2FC86" w14:textId="77777777" w:rsidR="008E77AE" w:rsidRDefault="008E77AE" w:rsidP="008E77AE">
      <w:pPr>
        <w:pStyle w:val="Alaviitteenteksti"/>
      </w:pPr>
      <w:r>
        <w:rPr>
          <w:rStyle w:val="Alaviitteenviite"/>
        </w:rPr>
        <w:footnoteRef/>
      </w:r>
      <w:r>
        <w:t xml:space="preserve"> Se även Elomaa 2023 s. 19.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3811365B" w14:textId="63F79E67" w:rsidR="008E0F4A" w:rsidRDefault="00D32540" w:rsidP="00562E6B">
        <w:pPr>
          <w:ind w:right="-143" w:firstLine="8789"/>
          <w:jc w:val="center"/>
        </w:pPr>
        <w:r>
          <w:fldChar w:fldCharType="begin"/>
        </w:r>
        <w:r>
          <w:instrText xml:space="preserve"> PAGE   \* MERGEFORMAT </w:instrText>
        </w:r>
        <w:r>
          <w:fldChar w:fldCharType="separate"/>
        </w:r>
        <w:r w:rsidR="00D50D58">
          <w:rPr>
            <w:noProof/>
          </w:rPr>
          <w:t>2</w:t>
        </w:r>
        <w:r>
          <w:fldChar w:fldCharType="end"/>
        </w:r>
        <w:r>
          <w:t>(</w:t>
        </w:r>
        <w:fldSimple w:instr=" NUMPAGES   \* MERGEFORMAT ">
          <w:r w:rsidR="00D50D58">
            <w:rPr>
              <w:noProof/>
            </w:rPr>
            <w:t>3</w:t>
          </w:r>
        </w:fldSimple>
        <w:r>
          <w:t>)</w:t>
        </w:r>
      </w:p>
      <w:p w14:paraId="075F1535" w14:textId="77777777" w:rsidR="008E0F4A" w:rsidRDefault="008E0F4A" w:rsidP="00562E6B">
        <w:pPr>
          <w:tabs>
            <w:tab w:val="left" w:pos="5245"/>
          </w:tabs>
        </w:pPr>
        <w:r>
          <w:tab/>
        </w:r>
      </w:p>
      <w:p w14:paraId="65BD450E" w14:textId="77777777" w:rsidR="00FA6ACE" w:rsidRDefault="00FA6ACE" w:rsidP="00562E6B"/>
      <w:p w14:paraId="290F09C5" w14:textId="77777777" w:rsidR="008E0F4A" w:rsidRDefault="001925D8"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614C7CF7" w14:textId="6DE9DFF5" w:rsidR="00FA6ACE" w:rsidRDefault="00D32540" w:rsidP="00562E6B">
        <w:pPr>
          <w:ind w:right="-143" w:firstLine="8789"/>
          <w:jc w:val="right"/>
        </w:pPr>
        <w:r>
          <w:fldChar w:fldCharType="begin"/>
        </w:r>
        <w:r>
          <w:instrText xml:space="preserve"> PAGE   \* MERGEFORMAT </w:instrText>
        </w:r>
        <w:r>
          <w:fldChar w:fldCharType="separate"/>
        </w:r>
        <w:r w:rsidR="001925D8">
          <w:rPr>
            <w:noProof/>
          </w:rPr>
          <w:t>1</w:t>
        </w:r>
        <w:r>
          <w:fldChar w:fldCharType="end"/>
        </w:r>
        <w:r>
          <w:t>(</w:t>
        </w:r>
        <w:fldSimple w:instr=" NUMPAGES   \* MERGEFORMAT ">
          <w:r w:rsidR="001925D8">
            <w:rPr>
              <w:noProof/>
            </w:rPr>
            <w:t>1</w:t>
          </w:r>
        </w:fldSimple>
        <w:r>
          <w:t>)</w:t>
        </w:r>
      </w:p>
      <w:p w14:paraId="4E63061E" w14:textId="77777777" w:rsidR="00FA6ACE" w:rsidRDefault="001925D8" w:rsidP="00CB4C78">
        <w:pPr>
          <w:ind w:left="5245"/>
        </w:pPr>
      </w:p>
    </w:sdtContent>
  </w:sdt>
  <w:p w14:paraId="47EE8670" w14:textId="77777777" w:rsidR="00FA6ACE" w:rsidRDefault="00FA6ACE" w:rsidP="00CB4C78"/>
  <w:p w14:paraId="24A852DA"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B035C61"/>
    <w:multiLevelType w:val="hybridMultilevel"/>
    <w:tmpl w:val="86725F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4"/>
  </w:num>
  <w:num w:numId="2">
    <w:abstractNumId w:val="7"/>
  </w:num>
  <w:num w:numId="3">
    <w:abstractNumId w:val="0"/>
  </w:num>
  <w:num w:numId="4">
    <w:abstractNumId w:val="1"/>
  </w:num>
  <w:num w:numId="5">
    <w:abstractNumId w:val="6"/>
  </w:num>
  <w:num w:numId="6">
    <w:abstractNumId w:val="3"/>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1304"/>
  <w:autoHyphenation/>
  <w:hyphenationZone w:val="425"/>
  <w:drawingGridHorizontalSpacing w:val="12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7AE"/>
    <w:rsid w:val="00016E55"/>
    <w:rsid w:val="00020721"/>
    <w:rsid w:val="0003182E"/>
    <w:rsid w:val="00050C38"/>
    <w:rsid w:val="00053D44"/>
    <w:rsid w:val="00063ECB"/>
    <w:rsid w:val="00075991"/>
    <w:rsid w:val="000B3024"/>
    <w:rsid w:val="000C272A"/>
    <w:rsid w:val="000D3235"/>
    <w:rsid w:val="001431B7"/>
    <w:rsid w:val="00144D34"/>
    <w:rsid w:val="00147111"/>
    <w:rsid w:val="00155F3B"/>
    <w:rsid w:val="001776E9"/>
    <w:rsid w:val="001925D8"/>
    <w:rsid w:val="001B078B"/>
    <w:rsid w:val="001E5F86"/>
    <w:rsid w:val="001E7F53"/>
    <w:rsid w:val="001F70AF"/>
    <w:rsid w:val="00210152"/>
    <w:rsid w:val="002373F4"/>
    <w:rsid w:val="00292DED"/>
    <w:rsid w:val="002979F5"/>
    <w:rsid w:val="002A13C4"/>
    <w:rsid w:val="002B3644"/>
    <w:rsid w:val="002C6AF7"/>
    <w:rsid w:val="002D31CC"/>
    <w:rsid w:val="002D72CF"/>
    <w:rsid w:val="00307C47"/>
    <w:rsid w:val="003268C9"/>
    <w:rsid w:val="00344504"/>
    <w:rsid w:val="00346B03"/>
    <w:rsid w:val="00367C90"/>
    <w:rsid w:val="00393411"/>
    <w:rsid w:val="003A2869"/>
    <w:rsid w:val="00446E3A"/>
    <w:rsid w:val="0047233E"/>
    <w:rsid w:val="00486BE8"/>
    <w:rsid w:val="004A196F"/>
    <w:rsid w:val="004C0B66"/>
    <w:rsid w:val="004C5212"/>
    <w:rsid w:val="004C6B33"/>
    <w:rsid w:val="005146D4"/>
    <w:rsid w:val="0051596E"/>
    <w:rsid w:val="005512A4"/>
    <w:rsid w:val="00556ABD"/>
    <w:rsid w:val="00562E6B"/>
    <w:rsid w:val="005834E9"/>
    <w:rsid w:val="0059671F"/>
    <w:rsid w:val="00601293"/>
    <w:rsid w:val="006131C2"/>
    <w:rsid w:val="006A4A91"/>
    <w:rsid w:val="006D40F8"/>
    <w:rsid w:val="006D6C2D"/>
    <w:rsid w:val="006F520F"/>
    <w:rsid w:val="00722420"/>
    <w:rsid w:val="0076257D"/>
    <w:rsid w:val="007729CF"/>
    <w:rsid w:val="00783B52"/>
    <w:rsid w:val="00785D97"/>
    <w:rsid w:val="007A74D4"/>
    <w:rsid w:val="007B4560"/>
    <w:rsid w:val="007B4E42"/>
    <w:rsid w:val="007C2B22"/>
    <w:rsid w:val="00811D8D"/>
    <w:rsid w:val="008200A9"/>
    <w:rsid w:val="008559F2"/>
    <w:rsid w:val="00885EDF"/>
    <w:rsid w:val="008A0773"/>
    <w:rsid w:val="008A4280"/>
    <w:rsid w:val="008E0F4A"/>
    <w:rsid w:val="008E77AE"/>
    <w:rsid w:val="00906E49"/>
    <w:rsid w:val="009B230C"/>
    <w:rsid w:val="009B6311"/>
    <w:rsid w:val="009D222E"/>
    <w:rsid w:val="00A135F7"/>
    <w:rsid w:val="00A24604"/>
    <w:rsid w:val="00A612FC"/>
    <w:rsid w:val="00A638C8"/>
    <w:rsid w:val="00A64BD2"/>
    <w:rsid w:val="00A75231"/>
    <w:rsid w:val="00A90735"/>
    <w:rsid w:val="00AA5350"/>
    <w:rsid w:val="00AF2EBD"/>
    <w:rsid w:val="00AF3346"/>
    <w:rsid w:val="00B42986"/>
    <w:rsid w:val="00BE4CA3"/>
    <w:rsid w:val="00BF06A8"/>
    <w:rsid w:val="00C21181"/>
    <w:rsid w:val="00CB4C78"/>
    <w:rsid w:val="00CD3F64"/>
    <w:rsid w:val="00CD4A95"/>
    <w:rsid w:val="00D05785"/>
    <w:rsid w:val="00D25AD2"/>
    <w:rsid w:val="00D32540"/>
    <w:rsid w:val="00D35E49"/>
    <w:rsid w:val="00D44B33"/>
    <w:rsid w:val="00D50D58"/>
    <w:rsid w:val="00D60C53"/>
    <w:rsid w:val="00D76D7A"/>
    <w:rsid w:val="00D87C57"/>
    <w:rsid w:val="00DE107F"/>
    <w:rsid w:val="00DE217C"/>
    <w:rsid w:val="00E07440"/>
    <w:rsid w:val="00E2160A"/>
    <w:rsid w:val="00E330A7"/>
    <w:rsid w:val="00E44094"/>
    <w:rsid w:val="00F63379"/>
    <w:rsid w:val="00F7177D"/>
    <w:rsid w:val="00F734F9"/>
    <w:rsid w:val="00F73B15"/>
    <w:rsid w:val="00FA356E"/>
    <w:rsid w:val="00FA6ACE"/>
    <w:rsid w:val="00FB6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D441C"/>
  <w15:chartTrackingRefBased/>
  <w15:docId w15:val="{0961446B-87FB-40D4-BB7D-79327DE4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paragraph" w:styleId="Alaviitteenteksti">
    <w:name w:val="footnote text"/>
    <w:basedOn w:val="Normaali"/>
    <w:link w:val="AlaviitteentekstiChar"/>
    <w:uiPriority w:val="99"/>
    <w:semiHidden/>
    <w:unhideWhenUsed/>
    <w:rsid w:val="008E77AE"/>
    <w:rPr>
      <w:sz w:val="20"/>
    </w:rPr>
  </w:style>
  <w:style w:type="character" w:customStyle="1" w:styleId="AlaviitteentekstiChar">
    <w:name w:val="Alaviitteen teksti Char"/>
    <w:basedOn w:val="Kappaleenoletusfontti"/>
    <w:link w:val="Alaviitteenteksti"/>
    <w:uiPriority w:val="99"/>
    <w:semiHidden/>
    <w:rsid w:val="008E77AE"/>
    <w:rPr>
      <w:lang w:eastAsia="en-US"/>
    </w:rPr>
  </w:style>
  <w:style w:type="paragraph" w:styleId="Luettelokappale">
    <w:name w:val="List Paragraph"/>
    <w:basedOn w:val="Normaali"/>
    <w:uiPriority w:val="34"/>
    <w:qFormat/>
    <w:rsid w:val="008E77AE"/>
    <w:pPr>
      <w:ind w:left="720"/>
      <w:contextualSpacing/>
    </w:pPr>
  </w:style>
  <w:style w:type="character" w:styleId="Alaviitteenviite">
    <w:name w:val="footnote reference"/>
    <w:basedOn w:val="Kappaleenoletusfontti"/>
    <w:uiPriority w:val="99"/>
    <w:semiHidden/>
    <w:unhideWhenUsed/>
    <w:rsid w:val="008E7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218812">
      <w:bodyDiv w:val="1"/>
      <w:marLeft w:val="0"/>
      <w:marRight w:val="0"/>
      <w:marTop w:val="0"/>
      <w:marBottom w:val="0"/>
      <w:divBdr>
        <w:top w:val="none" w:sz="0" w:space="0" w:color="auto"/>
        <w:left w:val="none" w:sz="0" w:space="0" w:color="auto"/>
        <w:bottom w:val="none" w:sz="0" w:space="0" w:color="auto"/>
        <w:right w:val="none" w:sz="0" w:space="0" w:color="auto"/>
      </w:divBdr>
      <w:divsChild>
        <w:div w:id="423959247">
          <w:marLeft w:val="0"/>
          <w:marRight w:val="0"/>
          <w:marTop w:val="0"/>
          <w:marBottom w:val="0"/>
          <w:divBdr>
            <w:top w:val="none" w:sz="0" w:space="0" w:color="auto"/>
            <w:left w:val="none" w:sz="0" w:space="0" w:color="auto"/>
            <w:bottom w:val="none" w:sz="0" w:space="0" w:color="auto"/>
            <w:right w:val="none" w:sz="0" w:space="0" w:color="auto"/>
          </w:divBdr>
          <w:divsChild>
            <w:div w:id="1694182100">
              <w:marLeft w:val="0"/>
              <w:marRight w:val="0"/>
              <w:marTop w:val="0"/>
              <w:marBottom w:val="0"/>
              <w:divBdr>
                <w:top w:val="none" w:sz="0" w:space="0" w:color="auto"/>
                <w:left w:val="none" w:sz="0" w:space="0" w:color="auto"/>
                <w:bottom w:val="none" w:sz="0" w:space="0" w:color="auto"/>
                <w:right w:val="none" w:sz="0" w:space="0" w:color="auto"/>
              </w:divBdr>
            </w:div>
          </w:divsChild>
        </w:div>
        <w:div w:id="1203784583">
          <w:marLeft w:val="0"/>
          <w:marRight w:val="0"/>
          <w:marTop w:val="0"/>
          <w:marBottom w:val="0"/>
          <w:divBdr>
            <w:top w:val="none" w:sz="0" w:space="0" w:color="auto"/>
            <w:left w:val="none" w:sz="0" w:space="0" w:color="auto"/>
            <w:bottom w:val="none" w:sz="0" w:space="0" w:color="auto"/>
            <w:right w:val="none" w:sz="0" w:space="0" w:color="auto"/>
          </w:divBdr>
          <w:divsChild>
            <w:div w:id="173227905">
              <w:marLeft w:val="0"/>
              <w:marRight w:val="0"/>
              <w:marTop w:val="0"/>
              <w:marBottom w:val="0"/>
              <w:divBdr>
                <w:top w:val="none" w:sz="0" w:space="0" w:color="auto"/>
                <w:left w:val="none" w:sz="0" w:space="0" w:color="auto"/>
                <w:bottom w:val="none" w:sz="0" w:space="0" w:color="auto"/>
                <w:right w:val="none" w:sz="0" w:space="0" w:color="auto"/>
              </w:divBdr>
            </w:div>
          </w:divsChild>
        </w:div>
        <w:div w:id="1742173690">
          <w:marLeft w:val="0"/>
          <w:marRight w:val="0"/>
          <w:marTop w:val="0"/>
          <w:marBottom w:val="0"/>
          <w:divBdr>
            <w:top w:val="none" w:sz="0" w:space="0" w:color="auto"/>
            <w:left w:val="none" w:sz="0" w:space="0" w:color="auto"/>
            <w:bottom w:val="none" w:sz="0" w:space="0" w:color="auto"/>
            <w:right w:val="none" w:sz="0" w:space="0" w:color="auto"/>
          </w:divBdr>
          <w:divsChild>
            <w:div w:id="1641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3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7248</Characters>
  <Application>Microsoft Office Word</Application>
  <DocSecurity>0</DocSecurity>
  <Lines>60</Lines>
  <Paragraphs>16</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Jämsén Katariina (TEM)</dc:creator>
  <cp:keywords/>
  <dc:description/>
  <cp:lastModifiedBy>Jämsén Katariina (TEM)</cp:lastModifiedBy>
  <cp:revision>2</cp:revision>
  <dcterms:created xsi:type="dcterms:W3CDTF">2023-06-29T06:15:00Z</dcterms:created>
  <dcterms:modified xsi:type="dcterms:W3CDTF">2023-06-29T06:15:00Z</dcterms:modified>
</cp:coreProperties>
</file>