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D3B" w:rsidRPr="00C47C28" w:rsidRDefault="00D21D3B" w:rsidP="00DD7854">
      <w:pPr>
        <w:rPr>
          <w:b/>
        </w:rPr>
      </w:pPr>
      <w:bookmarkStart w:id="0" w:name="_GoBack"/>
      <w:bookmarkEnd w:id="0"/>
      <w:r w:rsidRPr="00C47C28">
        <w:rPr>
          <w:b/>
        </w:rPr>
        <w:t xml:space="preserve">Ulkoministeriö </w:t>
      </w:r>
    </w:p>
    <w:p w:rsidR="00DD7854" w:rsidRPr="00C47C28" w:rsidRDefault="00DD7854" w:rsidP="00DD7854">
      <w:pPr>
        <w:rPr>
          <w:b/>
        </w:rPr>
      </w:pPr>
      <w:r w:rsidRPr="00C47C28">
        <w:rPr>
          <w:b/>
        </w:rPr>
        <w:t xml:space="preserve">Muistio </w:t>
      </w:r>
      <w:r w:rsidR="000D3C0A" w:rsidRPr="00C47C28">
        <w:rPr>
          <w:b/>
        </w:rPr>
        <w:t xml:space="preserve"> </w:t>
      </w:r>
    </w:p>
    <w:p w:rsidR="00DA013E" w:rsidRDefault="00D21D3B" w:rsidP="00DD7854">
      <w:r>
        <w:t xml:space="preserve">Lainsäädäntöneuvos </w:t>
      </w:r>
      <w:r w:rsidR="000D3C0A" w:rsidRPr="000D3C0A">
        <w:t xml:space="preserve">Minna-Kaisa Liukko </w:t>
      </w:r>
    </w:p>
    <w:p w:rsidR="000D3C0A" w:rsidRPr="000D3C0A" w:rsidRDefault="00D21D3B" w:rsidP="00DD7854">
      <w:r>
        <w:t xml:space="preserve">Taloussuunnittelija </w:t>
      </w:r>
      <w:r w:rsidR="00DA013E">
        <w:t xml:space="preserve">Juha Toivola </w:t>
      </w:r>
      <w:r w:rsidR="00DA013E">
        <w:tab/>
      </w:r>
      <w:r w:rsidR="000D3C0A" w:rsidRPr="000D3C0A">
        <w:tab/>
      </w:r>
      <w:r w:rsidR="000D3C0A" w:rsidRPr="000D3C0A">
        <w:tab/>
      </w:r>
      <w:r w:rsidR="00F22B5E">
        <w:t>6.11.</w:t>
      </w:r>
      <w:r w:rsidR="000D3C0A" w:rsidRPr="000D3C0A">
        <w:t>2023</w:t>
      </w:r>
    </w:p>
    <w:p w:rsidR="000D3C0A" w:rsidRDefault="000D3C0A" w:rsidP="00DD7854">
      <w:pPr>
        <w:rPr>
          <w:b/>
          <w:u w:val="single"/>
        </w:rPr>
      </w:pPr>
    </w:p>
    <w:p w:rsidR="00DD7854" w:rsidRPr="001701F5" w:rsidRDefault="00DD7854" w:rsidP="00DD7854">
      <w:pPr>
        <w:rPr>
          <w:b/>
          <w:u w:val="single"/>
        </w:rPr>
      </w:pPr>
      <w:r w:rsidRPr="001701F5">
        <w:rPr>
          <w:b/>
          <w:u w:val="single"/>
        </w:rPr>
        <w:t>Ulkoministeriön asetus ulkoasiainhallinnon suoritteiden maksullisuudesta</w:t>
      </w:r>
      <w:r w:rsidR="007E797E">
        <w:rPr>
          <w:b/>
          <w:u w:val="single"/>
        </w:rPr>
        <w:t xml:space="preserve"> vuo</w:t>
      </w:r>
      <w:r w:rsidR="000D3C0A">
        <w:rPr>
          <w:b/>
          <w:u w:val="single"/>
        </w:rPr>
        <w:t xml:space="preserve">nna </w:t>
      </w:r>
      <w:r w:rsidR="007E797E">
        <w:rPr>
          <w:b/>
          <w:u w:val="single"/>
        </w:rPr>
        <w:t>202</w:t>
      </w:r>
      <w:r w:rsidR="00CE7991">
        <w:rPr>
          <w:b/>
          <w:u w:val="single"/>
        </w:rPr>
        <w:t>4</w:t>
      </w:r>
    </w:p>
    <w:p w:rsidR="00DD7854" w:rsidRDefault="00DD7854" w:rsidP="00DD7854">
      <w:pPr>
        <w:rPr>
          <w:u w:val="single"/>
        </w:rPr>
      </w:pPr>
    </w:p>
    <w:p w:rsidR="00DD7854" w:rsidRPr="007E797E" w:rsidRDefault="00E60691" w:rsidP="00DD7854">
      <w:pPr>
        <w:rPr>
          <w:b/>
        </w:rPr>
      </w:pPr>
      <w:r w:rsidRPr="007E797E">
        <w:rPr>
          <w:b/>
        </w:rPr>
        <w:t xml:space="preserve">1. </w:t>
      </w:r>
      <w:r w:rsidR="00DD7854" w:rsidRPr="007E797E">
        <w:rPr>
          <w:b/>
        </w:rPr>
        <w:t>Tausta</w:t>
      </w:r>
    </w:p>
    <w:p w:rsidR="002A795F" w:rsidRDefault="00DD7854" w:rsidP="00DD7854">
      <w:r>
        <w:t>Ulkoministeriön asetus ulkoasiainhallinnon suoritteiden maksullisuudesta annetaan pääsääntöisesti kalenterivuosittain. Asetuksessa on säädetty ulkoasiainhallinnon eli ulkoministeriön ja Suomen edustustojen suoritteiden maksullisuudesta. Voimassa oleva ulkoministeriön asetus (11</w:t>
      </w:r>
      <w:r w:rsidR="007C7107">
        <w:t>63</w:t>
      </w:r>
      <w:r>
        <w:t>/202</w:t>
      </w:r>
      <w:r w:rsidR="007C7107">
        <w:t>2</w:t>
      </w:r>
      <w:r>
        <w:t xml:space="preserve">) on tullut voimaan 1. </w:t>
      </w:r>
      <w:r w:rsidR="00D0051A">
        <w:t>syyskuuta</w:t>
      </w:r>
      <w:r>
        <w:t xml:space="preserve"> 2023 ja on voimassa </w:t>
      </w:r>
      <w:r w:rsidR="00D0051A">
        <w:t xml:space="preserve">vuoden 2023 loppuun saakka.  </w:t>
      </w:r>
    </w:p>
    <w:p w:rsidR="00DD7854" w:rsidRDefault="00D0051A" w:rsidP="00DD7854">
      <w:r>
        <w:t xml:space="preserve"> </w:t>
      </w:r>
    </w:p>
    <w:p w:rsidR="00DD7854" w:rsidRDefault="00DD7854" w:rsidP="00DD7854">
      <w:r>
        <w:t>Valtion maksuperustelain (150/1992) 6 §:n 1 momentin mukaan julkisoikeudellisesta suoritteesta perittävän maksun tulee vastata suoritteen tuottamisesta aiheutuvien kokonaiskustannusten määrää (omakustannusarvo). Pykälän 2 momentin mukaan yhden tai useamman viranomaisen saman laatuisista suoritteista voidaan määrätä saman suuruinen maksu silloinkin, kun suoritteen tuottamisesta aiheutuvat kustannukset poikkeavat toisistaan. Tällaisen kiinteän maksun suuruutta määrättäessä on otettava huomioon suoritteiden keskimääräinen kokonaiskustannus.</w:t>
      </w:r>
    </w:p>
    <w:p w:rsidR="00DD7854" w:rsidRDefault="00DD7854" w:rsidP="00DD7854">
      <w:r>
        <w:t>Valtion maksuperustelain 6 §:n 3 momentin mukaan maksu voidaan määrätä perittäväksi yleisesti suoritteen omakustannusarvoa alempana tai jättää kokonaan perimättä, jos siihen terveyden- ja sairaanhoitoon, muihin sosiaalisiin tarkoituksiin, oikeudenhoitoon, ympäristönsuojeluun, koulutustoimintaan tai yleiseen kulttuuritoimintaan liittyvistä tai näihin verrattavista syistä on perusteltua syytä. Erityisestä syystä maksu voidaan määrätä tietyltä ryhmältä perittäväksi suoritteen omakustannusarvoa alempana tai jättää kokonaan perimättä. Erityisestä syystä maksu, joka muuten määrättäisiin suoritteen omakustannusarvoa vastaavaksi, saadaan määrätä tätä korkeammaksi.</w:t>
      </w:r>
    </w:p>
    <w:p w:rsidR="00DD7854" w:rsidRDefault="00DD7854" w:rsidP="00DD7854">
      <w:r>
        <w:t>Valtion maksuperustelain 7 §:n 1 momentin nojalla muiden kuin 6 §:ssä tarkoitettujen suoritteiden hinnoista päätetään liiketaloudellisin perustein.</w:t>
      </w:r>
    </w:p>
    <w:p w:rsidR="00E60691" w:rsidRPr="00E60691" w:rsidRDefault="00E60691" w:rsidP="00E60691">
      <w:pPr>
        <w:rPr>
          <w:b/>
        </w:rPr>
      </w:pPr>
      <w:r>
        <w:rPr>
          <w:b/>
        </w:rPr>
        <w:t>2.</w:t>
      </w:r>
      <w:r w:rsidR="009E200F">
        <w:rPr>
          <w:b/>
        </w:rPr>
        <w:t xml:space="preserve">1 </w:t>
      </w:r>
      <w:r w:rsidRPr="00E60691">
        <w:rPr>
          <w:b/>
        </w:rPr>
        <w:t>Asian valmistelu</w:t>
      </w:r>
    </w:p>
    <w:p w:rsidR="00E60691" w:rsidRDefault="00E60691" w:rsidP="00E60691">
      <w:r>
        <w:t xml:space="preserve">Asetusehdotus on valmisteltu ulkoministeriössä. Ulkoministeriö on pyytänyt lausunnot </w:t>
      </w:r>
      <w:r w:rsidR="00433F80">
        <w:t xml:space="preserve">kohdennetusti </w:t>
      </w:r>
      <w:r>
        <w:t>valtiovarainministeriöltä, sisäministeriöltä, Maahanmuuttovirastolta</w:t>
      </w:r>
      <w:r w:rsidR="00433F80">
        <w:t xml:space="preserve"> ja </w:t>
      </w:r>
      <w:r>
        <w:t xml:space="preserve">Suomi-Seuralta. Lisäksi esitys on ollut lausuntopalvelut.fi </w:t>
      </w:r>
      <w:r w:rsidR="000D3C0A">
        <w:t xml:space="preserve">-sivustolla esityksen lausuntoajan. </w:t>
      </w:r>
      <w:r w:rsidR="00D0051A">
        <w:t xml:space="preserve"> </w:t>
      </w:r>
      <w:r>
        <w:t xml:space="preserve"> </w:t>
      </w:r>
      <w:r w:rsidR="00D4109B">
        <w:t xml:space="preserve">  </w:t>
      </w:r>
      <w:r>
        <w:t xml:space="preserve"> </w:t>
      </w:r>
    </w:p>
    <w:p w:rsidR="009E200F" w:rsidRDefault="00E60691" w:rsidP="00E60691">
      <w:r>
        <w:t>Kyseessä on valtion maksujen vahvistaminen, joiden maksutulot ovat vuositasolla vähintään 5</w:t>
      </w:r>
      <w:r w:rsidR="00433F80">
        <w:t xml:space="preserve"> </w:t>
      </w:r>
      <w:r>
        <w:t>miljoonan euron määräiset. Tällaiset asiat tulee asioiden käsittelystä raha-asiainvaliokunnassa</w:t>
      </w:r>
      <w:r w:rsidR="00F259BE">
        <w:t xml:space="preserve"> </w:t>
      </w:r>
      <w:r>
        <w:t>annetun valtioneuvoston määräyksen (TM0201; 3.1.2002, muut. 15.11.2012) kohdan 2.2.8 mukaan käsitellä valtioneuvoston raha-asiainvaliokunnassa.</w:t>
      </w:r>
      <w:r w:rsidR="00D0051A">
        <w:t xml:space="preserve"> </w:t>
      </w:r>
    </w:p>
    <w:p w:rsidR="009E200F" w:rsidRDefault="009E200F" w:rsidP="00E60691">
      <w:pPr>
        <w:rPr>
          <w:b/>
        </w:rPr>
      </w:pPr>
      <w:r w:rsidRPr="009E200F">
        <w:rPr>
          <w:b/>
        </w:rPr>
        <w:t>2.2 Lausunnot ja niiden huomioon ottaminen</w:t>
      </w:r>
      <w:r w:rsidR="00F259BE" w:rsidRPr="009E200F">
        <w:rPr>
          <w:b/>
        </w:rPr>
        <w:t xml:space="preserve"> </w:t>
      </w:r>
    </w:p>
    <w:p w:rsidR="009E200F" w:rsidRPr="003A029F" w:rsidRDefault="00D0051A" w:rsidP="00E60691">
      <w:r>
        <w:t xml:space="preserve"> </w:t>
      </w:r>
    </w:p>
    <w:p w:rsidR="00F10431" w:rsidRPr="00F10431" w:rsidRDefault="00F10431" w:rsidP="00F10431">
      <w:pPr>
        <w:rPr>
          <w:b/>
        </w:rPr>
      </w:pPr>
      <w:r w:rsidRPr="00F10431">
        <w:rPr>
          <w:b/>
        </w:rPr>
        <w:lastRenderedPageBreak/>
        <w:t>3</w:t>
      </w:r>
      <w:r w:rsidR="00563F5D">
        <w:rPr>
          <w:b/>
        </w:rPr>
        <w:t>.</w:t>
      </w:r>
      <w:r w:rsidRPr="00F10431">
        <w:rPr>
          <w:b/>
        </w:rPr>
        <w:t xml:space="preserve"> Asetuksenantovaltuus</w:t>
      </w:r>
    </w:p>
    <w:p w:rsidR="00F10431" w:rsidRDefault="00F10431" w:rsidP="00F10431">
      <w:r>
        <w:t>Asetuksenantovaltuus perustuu valtion maksuperustelain (150/1992) 8 §:ään.</w:t>
      </w:r>
    </w:p>
    <w:p w:rsidR="00E60691" w:rsidRPr="00E60691" w:rsidRDefault="009E200F" w:rsidP="00E60691">
      <w:pPr>
        <w:rPr>
          <w:b/>
        </w:rPr>
      </w:pPr>
      <w:r>
        <w:rPr>
          <w:b/>
        </w:rPr>
        <w:t>4</w:t>
      </w:r>
      <w:r w:rsidR="00E60691">
        <w:rPr>
          <w:b/>
        </w:rPr>
        <w:t xml:space="preserve">. </w:t>
      </w:r>
      <w:r w:rsidR="00E60691" w:rsidRPr="00E60691">
        <w:rPr>
          <w:b/>
        </w:rPr>
        <w:t>Voimaantulo</w:t>
      </w:r>
    </w:p>
    <w:p w:rsidR="00E60691" w:rsidRDefault="00E60691" w:rsidP="00E60691">
      <w:r>
        <w:t xml:space="preserve">Asetus ehdotetaan tulemaan voimaan 1. päivänä </w:t>
      </w:r>
      <w:r w:rsidR="00D0051A">
        <w:t xml:space="preserve">tammikuuta </w:t>
      </w:r>
      <w:r w:rsidR="00F259BE">
        <w:t>202</w:t>
      </w:r>
      <w:r w:rsidR="00D0051A">
        <w:t>4</w:t>
      </w:r>
      <w:r w:rsidR="00C5141E">
        <w:t xml:space="preserve"> </w:t>
      </w:r>
      <w:r>
        <w:t>ja se olisi voimassa vuoden 202</w:t>
      </w:r>
      <w:r w:rsidR="00D0051A">
        <w:t>4</w:t>
      </w:r>
      <w:r>
        <w:t xml:space="preserve"> loppuun.</w:t>
      </w:r>
    </w:p>
    <w:p w:rsidR="00E60691" w:rsidRDefault="00E60691" w:rsidP="00E60691">
      <w:r>
        <w:t>Suoritteesta, jota koskeva asia on vireillä tämän asetuksen voimaan tullessa, perittäisiin maksu</w:t>
      </w:r>
      <w:r w:rsidR="00433F80">
        <w:t xml:space="preserve"> </w:t>
      </w:r>
      <w:r>
        <w:t>tämän asetuksen voimaan tullessa voimassa olleiden säännösten mukaan.</w:t>
      </w:r>
    </w:p>
    <w:p w:rsidR="00DD7854" w:rsidRPr="00E60691" w:rsidRDefault="009E200F" w:rsidP="00DD7854">
      <w:pPr>
        <w:rPr>
          <w:b/>
        </w:rPr>
      </w:pPr>
      <w:r>
        <w:rPr>
          <w:b/>
        </w:rPr>
        <w:t>5</w:t>
      </w:r>
      <w:r w:rsidR="00E60691" w:rsidRPr="00E60691">
        <w:rPr>
          <w:b/>
        </w:rPr>
        <w:t xml:space="preserve">. </w:t>
      </w:r>
      <w:r w:rsidR="00DD7854" w:rsidRPr="00E60691">
        <w:rPr>
          <w:b/>
        </w:rPr>
        <w:t>Keskeinen sisältö</w:t>
      </w:r>
    </w:p>
    <w:p w:rsidR="00F22B5E" w:rsidRPr="00A87289" w:rsidRDefault="00370890" w:rsidP="00370890">
      <w:pPr>
        <w:shd w:val="clear" w:color="auto" w:fill="FFFFFF"/>
      </w:pPr>
      <w:r w:rsidRPr="00A87289">
        <w:t xml:space="preserve">Asetusteksti vastaisi voimassaolevaa asetusta. Voimassa oleva asetus tuli voimaan 1.9.2023 (930/2023). </w:t>
      </w:r>
    </w:p>
    <w:p w:rsidR="00F22B5E" w:rsidRPr="00A87289" w:rsidRDefault="00370890" w:rsidP="00370890">
      <w:pPr>
        <w:shd w:val="clear" w:color="auto" w:fill="FFFFFF"/>
      </w:pPr>
      <w:r w:rsidRPr="00A87289">
        <w:t xml:space="preserve">1.1.2024 voimaantulevan asetuksen yhteydessä päivitetään kustannusvastaavuus vuodelle 2024.  </w:t>
      </w:r>
    </w:p>
    <w:p w:rsidR="00E205F9" w:rsidRPr="00F22B5E" w:rsidRDefault="00370890" w:rsidP="00370890">
      <w:pPr>
        <w:shd w:val="clear" w:color="auto" w:fill="FFFFFF"/>
        <w:rPr>
          <w:rFonts w:asciiTheme="majorHAnsi" w:hAnsiTheme="majorHAnsi" w:cstheme="majorHAnsi"/>
        </w:rPr>
      </w:pPr>
      <w:r w:rsidRPr="00370890">
        <w:t xml:space="preserve">Omana hankkeenaan </w:t>
      </w:r>
      <w:r w:rsidR="00183D8F" w:rsidRPr="00183D8F">
        <w:t>tarkastel</w:t>
      </w:r>
      <w:r w:rsidR="00183D8F">
        <w:t>laan s</w:t>
      </w:r>
      <w:r w:rsidR="00183D8F" w:rsidRPr="00183D8F">
        <w:t>uoritteista perittävien maksujen perusteita</w:t>
      </w:r>
      <w:r w:rsidR="00183D8F">
        <w:t>.</w:t>
      </w:r>
      <w:r w:rsidR="00183D8F" w:rsidRPr="00183D8F">
        <w:t xml:space="preserve"> Myös mahdolliset uudet suoritteet ja niistä perittävät maksut käsitellään </w:t>
      </w:r>
      <w:r w:rsidR="00183D8F">
        <w:t>hankkeessa. Hankkeessa a</w:t>
      </w:r>
      <w:r w:rsidR="00183D8F" w:rsidRPr="00183D8F">
        <w:t>rvioi</w:t>
      </w:r>
      <w:r w:rsidR="00183D8F">
        <w:t>daan</w:t>
      </w:r>
      <w:r w:rsidR="00183D8F" w:rsidRPr="00183D8F">
        <w:t xml:space="preserve"> asetukseen tehtävien muutosten taloudelliset ja muut vaikutukset</w:t>
      </w:r>
      <w:r w:rsidR="00183D8F">
        <w:t xml:space="preserve">. Tavoitteena on, että tarvittavat muutokset asetukseen toteutetaan vuoden 2024 aikana </w:t>
      </w:r>
      <w:r w:rsidRPr="00F22B5E">
        <w:rPr>
          <w:rFonts w:asciiTheme="majorHAnsi" w:hAnsiTheme="majorHAnsi" w:cstheme="majorHAnsi"/>
        </w:rPr>
        <w:t>(</w:t>
      </w:r>
      <w:r w:rsidRPr="00F22B5E">
        <w:rPr>
          <w:rFonts w:asciiTheme="majorHAnsi" w:eastAsia="Times New Roman" w:hAnsiTheme="majorHAnsi" w:cstheme="majorHAnsi"/>
          <w:color w:val="424242"/>
          <w:lang w:eastAsia="fi-FI"/>
        </w:rPr>
        <w:t>UM020:00/2023).</w:t>
      </w:r>
      <w:r w:rsidRPr="00F22B5E">
        <w:rPr>
          <w:rFonts w:asciiTheme="majorHAnsi" w:hAnsiTheme="majorHAnsi" w:cstheme="majorHAnsi"/>
        </w:rPr>
        <w:t xml:space="preserve"> </w:t>
      </w:r>
      <w:r w:rsidR="001E7AD1" w:rsidRPr="00F22B5E">
        <w:rPr>
          <w:rFonts w:asciiTheme="majorHAnsi" w:hAnsiTheme="majorHAnsi" w:cstheme="majorHAnsi"/>
        </w:rPr>
        <w:t xml:space="preserve"> </w:t>
      </w:r>
    </w:p>
    <w:p w:rsidR="006D1BEF" w:rsidRPr="002A6699" w:rsidRDefault="009E200F" w:rsidP="006D1BEF">
      <w:pPr>
        <w:rPr>
          <w:b/>
        </w:rPr>
      </w:pPr>
      <w:r w:rsidRPr="00563F5D">
        <w:rPr>
          <w:b/>
        </w:rPr>
        <w:t>6</w:t>
      </w:r>
      <w:r w:rsidR="008171BC" w:rsidRPr="00563F5D">
        <w:rPr>
          <w:b/>
        </w:rPr>
        <w:t>.</w:t>
      </w:r>
      <w:r w:rsidR="00E205F9">
        <w:rPr>
          <w:b/>
        </w:rPr>
        <w:t>2</w:t>
      </w:r>
      <w:r w:rsidR="006D1BEF">
        <w:rPr>
          <w:b/>
        </w:rPr>
        <w:t xml:space="preserve"> </w:t>
      </w:r>
      <w:r w:rsidR="006D1BEF" w:rsidRPr="006D1BEF">
        <w:rPr>
          <w:b/>
        </w:rPr>
        <w:t xml:space="preserve">Muutostarpeet asetuksen liitteeseen </w:t>
      </w:r>
      <w:r w:rsidR="00C5141E">
        <w:rPr>
          <w:b/>
        </w:rPr>
        <w:t xml:space="preserve"> </w:t>
      </w:r>
    </w:p>
    <w:p w:rsidR="00847A41" w:rsidRPr="00A87289" w:rsidRDefault="00847A41" w:rsidP="007D0CF6">
      <w:pPr>
        <w:rPr>
          <w:b/>
        </w:rPr>
      </w:pPr>
      <w:r w:rsidRPr="00A87289">
        <w:rPr>
          <w:b/>
        </w:rPr>
        <w:t xml:space="preserve">Liitteeseen tehtävät </w:t>
      </w:r>
      <w:r w:rsidR="00405D2E" w:rsidRPr="00A87289">
        <w:rPr>
          <w:b/>
        </w:rPr>
        <w:t xml:space="preserve">tekniset muutokset </w:t>
      </w:r>
      <w:r w:rsidRPr="00A87289">
        <w:rPr>
          <w:b/>
        </w:rPr>
        <w:t xml:space="preserve"> </w:t>
      </w:r>
    </w:p>
    <w:p w:rsidR="00E205F9" w:rsidRDefault="00405D2E" w:rsidP="007D0CF6">
      <w:pPr>
        <w:rPr>
          <w:color w:val="FF0000"/>
        </w:rPr>
      </w:pPr>
      <w:r w:rsidRPr="00A87289">
        <w:t>Hallituksen esitys eduskunnalle laiksi Euroopan unionin tilapäisestä matkustusasiakirjasta sekä siihen liittyviksi laeiksi (</w:t>
      </w:r>
      <w:r w:rsidR="00F22B5E" w:rsidRPr="00A87289">
        <w:t xml:space="preserve">HE </w:t>
      </w:r>
      <w:r w:rsidRPr="00A87289">
        <w:t>29/2023</w:t>
      </w:r>
      <w:r w:rsidR="00F22B5E" w:rsidRPr="00A87289">
        <w:t xml:space="preserve"> vp</w:t>
      </w:r>
      <w:r w:rsidRPr="00A87289">
        <w:t>) on tällä hetkellä eduskunnassa käsittelyssä. Ehdotetulla uudella lailla matkustusasiakirjan aikaisempi nimike hätämatkustusasiakirja ehdotetaan muutettavaksi EU:n tilapäi</w:t>
      </w:r>
      <w:r w:rsidR="00F22B5E" w:rsidRPr="00A87289">
        <w:t xml:space="preserve">seksi </w:t>
      </w:r>
      <w:r w:rsidRPr="00A87289">
        <w:t>matkustusasiakirja</w:t>
      </w:r>
      <w:r w:rsidR="00F22B5E" w:rsidRPr="00A87289">
        <w:t>ksi</w:t>
      </w:r>
      <w:r w:rsidRPr="00A87289">
        <w:t xml:space="preserve">, joka vastaa direktiivin virallista käännöstä. Lakien on tarkoitus tulla voimaan 8.12.2024. Vastaavasti vuodelle 2024 esitettävässä maksuasetusta koskevassa esityksessä ehdotetaan kyseisen matkustusasiakirjan nimike muutettavaksi vastaavasti.  </w:t>
      </w:r>
      <w:r w:rsidR="00E205F9" w:rsidRPr="00A87289">
        <w:t>Kyse on teknisestä muutoksesta</w:t>
      </w:r>
      <w:r w:rsidR="00F22B5E" w:rsidRPr="00A87289">
        <w:t xml:space="preserve"> asetuksen liitteeseen</w:t>
      </w:r>
      <w:r w:rsidR="00E205F9" w:rsidRPr="00A87289">
        <w:t>.</w:t>
      </w:r>
    </w:p>
    <w:p w:rsidR="007D0CF6" w:rsidRPr="00C5141E" w:rsidRDefault="00C5141E" w:rsidP="007D0CF6">
      <w:pPr>
        <w:rPr>
          <w:b/>
        </w:rPr>
      </w:pPr>
      <w:r>
        <w:rPr>
          <w:b/>
        </w:rPr>
        <w:t>6.</w:t>
      </w:r>
      <w:r w:rsidR="00E205F9">
        <w:rPr>
          <w:b/>
        </w:rPr>
        <w:t xml:space="preserve">3 </w:t>
      </w:r>
      <w:r w:rsidR="007D0CF6" w:rsidRPr="00C5141E">
        <w:rPr>
          <w:b/>
        </w:rPr>
        <w:t>Maksujen tarkistukset liitteeseen</w:t>
      </w:r>
    </w:p>
    <w:p w:rsidR="007D0CF6" w:rsidRDefault="007D0CF6" w:rsidP="007D0CF6">
      <w:r>
        <w:t>Vuoden 2024 alussa voimaan tulevaksi ehdotetussa asetuksessa ei esitetä maksujen tarkistuksia.</w:t>
      </w:r>
    </w:p>
    <w:p w:rsidR="007D0CF6" w:rsidRDefault="007D0CF6" w:rsidP="007D0CF6">
      <w:r>
        <w:t>Nykyisten suoritteiden maksut säilyvät ennallaan.</w:t>
      </w:r>
    </w:p>
    <w:p w:rsidR="007A7D2E" w:rsidRDefault="00C5141E" w:rsidP="007D0CF6">
      <w:r>
        <w:rPr>
          <w:b/>
        </w:rPr>
        <w:t>7.</w:t>
      </w:r>
      <w:r w:rsidR="007D0CF6">
        <w:rPr>
          <w:b/>
        </w:rPr>
        <w:t xml:space="preserve"> </w:t>
      </w:r>
      <w:r w:rsidR="007D0CF6" w:rsidRPr="007D0CF6">
        <w:rPr>
          <w:b/>
        </w:rPr>
        <w:t>Vaikutukset ja kustannusvastaavuudet</w:t>
      </w:r>
    </w:p>
    <w:p w:rsidR="00FD60F6" w:rsidRPr="00DA013E" w:rsidRDefault="00FD60F6" w:rsidP="00FD60F6">
      <w:pPr>
        <w:rPr>
          <w:i/>
        </w:rPr>
      </w:pPr>
      <w:r w:rsidRPr="00DA013E">
        <w:rPr>
          <w:i/>
        </w:rPr>
        <w:t>Matkustusasiakirjat</w:t>
      </w:r>
      <w:r w:rsidR="00F079C8" w:rsidRPr="00DA013E">
        <w:rPr>
          <w:i/>
        </w:rPr>
        <w:t xml:space="preserve"> </w:t>
      </w:r>
    </w:p>
    <w:p w:rsidR="00823793" w:rsidRPr="00C523DD" w:rsidRDefault="003E5E1F" w:rsidP="00A45B71">
      <w:r w:rsidRPr="00C523DD">
        <w:t>Tarkasteltaessa matkustusasiakirjojen myöntömääriä</w:t>
      </w:r>
      <w:r w:rsidR="0039614B" w:rsidRPr="00C523DD">
        <w:t>,</w:t>
      </w:r>
      <w:r w:rsidR="00801D90" w:rsidRPr="00C523DD">
        <w:t xml:space="preserve"> </w:t>
      </w:r>
      <w:r w:rsidR="001F7BD0" w:rsidRPr="00C523DD">
        <w:t xml:space="preserve">on </w:t>
      </w:r>
      <w:r w:rsidR="00801D90" w:rsidRPr="00C523DD">
        <w:t xml:space="preserve">Suomen edustustoissa </w:t>
      </w:r>
      <w:r w:rsidR="001F7BD0" w:rsidRPr="00C523DD">
        <w:t>myönnetty y</w:t>
      </w:r>
      <w:r w:rsidRPr="00C523DD">
        <w:t>hteensä</w:t>
      </w:r>
      <w:r w:rsidR="00DF6C32" w:rsidRPr="00C523DD">
        <w:t xml:space="preserve"> 14 839 kappaletta passeja</w:t>
      </w:r>
      <w:r w:rsidR="00DF6C32" w:rsidRPr="00C523DD">
        <w:rPr>
          <w:color w:val="1F497D"/>
        </w:rPr>
        <w:t xml:space="preserve"> syys</w:t>
      </w:r>
      <w:r w:rsidR="00DF6C32" w:rsidRPr="00C523DD">
        <w:t>kuun 2023 loppuun mennessä.</w:t>
      </w:r>
      <w:r w:rsidR="00801D90" w:rsidRPr="00C523DD">
        <w:t xml:space="preserve"> Lisäksi edustustoissa on annettu passiasioihin liittyvää neuvontaa yhteensä </w:t>
      </w:r>
      <w:r w:rsidR="00F00B03" w:rsidRPr="00C523DD">
        <w:t xml:space="preserve">30 200 </w:t>
      </w:r>
      <w:r w:rsidR="00801D90" w:rsidRPr="00C523DD">
        <w:t>kertaa</w:t>
      </w:r>
      <w:r w:rsidR="00973BC6" w:rsidRPr="00C523DD">
        <w:t>.  Ulkoministeriössä myönnettiin lisäksi virkapasseja ja diplomaattipasseja lokakuuhun 2023 mennessä</w:t>
      </w:r>
      <w:r w:rsidR="00532651" w:rsidRPr="00C523DD">
        <w:t xml:space="preserve"> </w:t>
      </w:r>
      <w:r w:rsidR="00DF6C32" w:rsidRPr="00C523DD">
        <w:t>yhteensä 1823 kappaletta</w:t>
      </w:r>
      <w:r w:rsidR="00CC0172" w:rsidRPr="00C523DD">
        <w:t>.</w:t>
      </w:r>
      <w:r w:rsidR="00973BC6" w:rsidRPr="00C523DD">
        <w:t xml:space="preserve"> </w:t>
      </w:r>
      <w:r w:rsidR="00A45B71" w:rsidRPr="00C523DD">
        <w:t xml:space="preserve">Tarkasteltaessa passien myöntömääriä, </w:t>
      </w:r>
      <w:r w:rsidR="004031FD" w:rsidRPr="00C523DD">
        <w:t>ovat</w:t>
      </w:r>
      <w:r w:rsidR="00A45B71" w:rsidRPr="00C523DD">
        <w:t xml:space="preserve"> niiden myöntömäärät alentuneet. Esimerkiksi vuonna 2022 Suomen edustustoissa myönnettiin yhteensä 21 578 kappaletta uusia passeja. Vuoden 2023 passivolyymiksi arvioitiin jonkin verra</w:t>
      </w:r>
      <w:r w:rsidR="004031FD" w:rsidRPr="00C523DD">
        <w:t>n alhaisempaa määrää kuin vuodelle</w:t>
      </w:r>
      <w:r w:rsidR="00A45B71" w:rsidRPr="00C523DD">
        <w:t xml:space="preserve"> 2022. </w:t>
      </w:r>
      <w:r w:rsidR="004031FD" w:rsidRPr="00C523DD">
        <w:t>N</w:t>
      </w:r>
      <w:r w:rsidR="00A45B71" w:rsidRPr="00C523DD">
        <w:t xml:space="preserve">äyttäisi siltä, ettei vuodelle 2023 arvioitua passivolyymia tulla saavuttamaan. Ottaen huomioon 1.9.2023 voimaantulleet hinnan korotukset passeihin voidaan arvioida, että passien kysyntä </w:t>
      </w:r>
      <w:r w:rsidR="00532651" w:rsidRPr="00C523DD">
        <w:t xml:space="preserve">saattaa vähentyä </w:t>
      </w:r>
      <w:r w:rsidR="00A45B71" w:rsidRPr="00C523DD">
        <w:lastRenderedPageBreak/>
        <w:t xml:space="preserve">Suomen edustustoissa. </w:t>
      </w:r>
      <w:r w:rsidR="00FD60F6" w:rsidRPr="00C523DD">
        <w:t>Vuoden 202</w:t>
      </w:r>
      <w:r w:rsidR="00C5141E" w:rsidRPr="00C523DD">
        <w:t>4</w:t>
      </w:r>
      <w:r w:rsidR="00FD60F6" w:rsidRPr="00C523DD">
        <w:t xml:space="preserve"> passivolyymiksi </w:t>
      </w:r>
      <w:r w:rsidR="00532651" w:rsidRPr="00C523DD">
        <w:t xml:space="preserve">on toukokuussa 2023 arvioitu 24 000 kappaletta. Arviossa ei ole huomioitu vielä passin hintoihin tehtyjä 1.9.2023 voimaantulleita korotuksia. Hintojen korotuksista johtuen arvioidaan vuoden passivolyymiksi siten jonkin verran alhaisempaa volyymia eli noin 20 000 </w:t>
      </w:r>
      <w:r w:rsidR="00A45B71" w:rsidRPr="00C523DD">
        <w:t xml:space="preserve">kappaletta. </w:t>
      </w:r>
      <w:r w:rsidR="00FA67AD" w:rsidRPr="00C523DD">
        <w:t xml:space="preserve"> </w:t>
      </w:r>
    </w:p>
    <w:p w:rsidR="001F7BD0" w:rsidRPr="00C523DD" w:rsidRDefault="001F7BD0" w:rsidP="00FD60F6">
      <w:pPr>
        <w:rPr>
          <w:i/>
        </w:rPr>
      </w:pPr>
      <w:r w:rsidRPr="00C523DD">
        <w:rPr>
          <w:i/>
        </w:rPr>
        <w:t>Henkilökortit</w:t>
      </w:r>
    </w:p>
    <w:p w:rsidR="00AC254F" w:rsidRPr="00DC5BBF" w:rsidRDefault="004B054B" w:rsidP="00FD60F6">
      <w:r w:rsidRPr="00C523DD">
        <w:t xml:space="preserve">Suomen edustustot </w:t>
      </w:r>
      <w:r w:rsidR="00973BC6" w:rsidRPr="00C523DD">
        <w:t xml:space="preserve">ovat myöntäneet </w:t>
      </w:r>
      <w:r w:rsidR="00801D90" w:rsidRPr="00C523DD">
        <w:t xml:space="preserve">yhteensä </w:t>
      </w:r>
      <w:r w:rsidR="00DF6C32" w:rsidRPr="00C523DD">
        <w:t xml:space="preserve">3378 kpl henkilökorttia syyskuun 2023 loppuun </w:t>
      </w:r>
      <w:r w:rsidR="00973BC6" w:rsidRPr="00C523DD">
        <w:t>mennessä</w:t>
      </w:r>
      <w:r w:rsidR="00FA67AD" w:rsidRPr="00C523DD">
        <w:t>.</w:t>
      </w:r>
      <w:r w:rsidRPr="00C523DD">
        <w:t xml:space="preserve"> </w:t>
      </w:r>
      <w:r w:rsidR="00DF6C32" w:rsidRPr="00C523DD">
        <w:t xml:space="preserve">Vuoden 2023 helmikuussa, maaliskuussa ja kesäkuussa myönnettiin keskimäärin 70 kpl vähemmän henkilökortteja kuin vastaavana aikana vuonna 2022. Muina kuukausina vuonna 2023 on keskimäärin myönnetty enemmän henkilökortteja kuin vuoden 2022 vastaavana aikana. </w:t>
      </w:r>
      <w:r w:rsidR="001958A2" w:rsidRPr="00C523DD">
        <w:t>Vuoden 2023 henkilökorttivolyymiksi arvioitiin jonkin verran alhaisempaa määrää kuin vuoden 2022 määrää eli  4 373 henkilökorttia. Jos edustustoista kuitenkin haetaan loka-joulukuun aikana noin 350 kappaletta kuukaudessa, niin tälle vuodelle arvioitu henkilökorttivolyymin määrä saavutetaan.</w:t>
      </w:r>
      <w:r w:rsidR="00A45B71" w:rsidRPr="00C523DD">
        <w:t xml:space="preserve"> </w:t>
      </w:r>
      <w:r w:rsidR="00CA262D" w:rsidRPr="00C523DD">
        <w:t>Ottaen huomioon 1.9.2023 voimaantulleet uudet alhaisemmat hinnat henkilökorteille arvioidaan v</w:t>
      </w:r>
      <w:r w:rsidR="00FD60F6" w:rsidRPr="00C523DD">
        <w:t>uoden 202</w:t>
      </w:r>
      <w:r w:rsidR="00C5141E" w:rsidRPr="00C523DD">
        <w:t>4</w:t>
      </w:r>
      <w:r w:rsidR="00FD60F6" w:rsidRPr="00C523DD">
        <w:t xml:space="preserve"> henkilökort</w:t>
      </w:r>
      <w:r w:rsidR="003E5E1F" w:rsidRPr="00C523DD">
        <w:t>tivolyymi</w:t>
      </w:r>
      <w:r w:rsidR="00532651" w:rsidRPr="00C523DD">
        <w:t xml:space="preserve">ksi 4 500 kappaletta. </w:t>
      </w:r>
      <w:r w:rsidR="00532651">
        <w:t xml:space="preserve"> </w:t>
      </w:r>
    </w:p>
    <w:p w:rsidR="00AC254F" w:rsidRPr="00F22B5E" w:rsidRDefault="00AC254F" w:rsidP="00FD60F6">
      <w:r w:rsidRPr="00F22B5E">
        <w:t xml:space="preserve">Konsulipalvelut </w:t>
      </w:r>
    </w:p>
    <w:p w:rsidR="00F00B03" w:rsidRPr="00C523DD" w:rsidRDefault="00F00B03" w:rsidP="00F00B03">
      <w:pPr>
        <w:rPr>
          <w:iCs/>
        </w:rPr>
      </w:pPr>
      <w:r w:rsidRPr="00C523DD">
        <w:rPr>
          <w:iCs/>
        </w:rPr>
        <w:t>Palveluita hädänalaisessa asemassa oleville henkilöille annettiin lokakuun 2023 loppuun mennessä noin 1700</w:t>
      </w:r>
      <w:r w:rsidR="00214931" w:rsidRPr="00C523DD">
        <w:rPr>
          <w:iCs/>
        </w:rPr>
        <w:t xml:space="preserve"> kappaletta</w:t>
      </w:r>
      <w:r w:rsidRPr="00C523DD">
        <w:rPr>
          <w:iCs/>
        </w:rPr>
        <w:t>. Taloudellista avustamista annettiin noin 190 k</w:t>
      </w:r>
      <w:r w:rsidR="00214931" w:rsidRPr="00C523DD">
        <w:rPr>
          <w:iCs/>
        </w:rPr>
        <w:t>appaletta.</w:t>
      </w:r>
    </w:p>
    <w:p w:rsidR="00973BC6" w:rsidRDefault="001701F5" w:rsidP="00156917">
      <w:pPr>
        <w:rPr>
          <w:i/>
        </w:rPr>
      </w:pPr>
      <w:r w:rsidRPr="00F22B5E">
        <w:rPr>
          <w:i/>
        </w:rPr>
        <w:t>Notaaripalvelut</w:t>
      </w:r>
      <w:r w:rsidRPr="00DA013E">
        <w:rPr>
          <w:i/>
        </w:rPr>
        <w:t xml:space="preserve"> </w:t>
      </w:r>
    </w:p>
    <w:p w:rsidR="007D5162" w:rsidRDefault="0039614B" w:rsidP="00156917">
      <w:r>
        <w:t xml:space="preserve">Notaaripalveluita annettiin Suomen edustustoissa vuonna </w:t>
      </w:r>
      <w:r w:rsidR="009913FF">
        <w:t>202</w:t>
      </w:r>
      <w:r w:rsidR="00F22B5E">
        <w:t xml:space="preserve">2 yhteensä </w:t>
      </w:r>
      <w:r w:rsidR="00AC254F">
        <w:t>3</w:t>
      </w:r>
      <w:r w:rsidR="00F22B5E" w:rsidRPr="00F22B5E">
        <w:t>15.344 k</w:t>
      </w:r>
      <w:r w:rsidR="00F22B5E">
        <w:t xml:space="preserve">appaletta. Vuoden 2023 tilastot eivät notaaripalveluiden osalta ole vielä valmistuneet. </w:t>
      </w:r>
      <w:r w:rsidR="00AC254F">
        <w:t xml:space="preserve"> </w:t>
      </w:r>
    </w:p>
    <w:p w:rsidR="00F10431" w:rsidRPr="003828C5" w:rsidRDefault="009E200F" w:rsidP="00A17805">
      <w:pPr>
        <w:rPr>
          <w:b/>
        </w:rPr>
      </w:pPr>
      <w:r w:rsidRPr="003828C5">
        <w:rPr>
          <w:b/>
        </w:rPr>
        <w:t>7</w:t>
      </w:r>
      <w:r w:rsidR="005429A0" w:rsidRPr="003828C5">
        <w:rPr>
          <w:b/>
        </w:rPr>
        <w:t xml:space="preserve">. </w:t>
      </w:r>
      <w:r w:rsidR="0035594E" w:rsidRPr="003828C5">
        <w:rPr>
          <w:b/>
        </w:rPr>
        <w:t>Taloudelliset v</w:t>
      </w:r>
      <w:r w:rsidR="00F10431" w:rsidRPr="003828C5">
        <w:rPr>
          <w:b/>
        </w:rPr>
        <w:t>aikutukset ja kustannusvastaavuudet</w:t>
      </w:r>
      <w:r w:rsidR="007D5162" w:rsidRPr="003828C5">
        <w:rPr>
          <w:b/>
        </w:rPr>
        <w:t xml:space="preserve"> </w:t>
      </w:r>
    </w:p>
    <w:p w:rsidR="00BA584F" w:rsidRPr="003828C5" w:rsidRDefault="00BA584F" w:rsidP="00FF0DF9">
      <w:r w:rsidRPr="003828C5">
        <w:t xml:space="preserve">Ulkoministeriön maksuasetukseen esittämät muutokset lähtevät Valtion maksuperustelaista (150/1992), jonka 6 §:n 1 momentin mukaan julkisoikeudellisesta suoritteesta perittävän maksun tulee vastata suoritteen tuottamisesta aiheutuvien kokonaiskustannusten määrää (omakustannusarvo, OKA). </w:t>
      </w:r>
      <w:r w:rsidR="003828C5" w:rsidRPr="003828C5">
        <w:t xml:space="preserve"> </w:t>
      </w:r>
    </w:p>
    <w:p w:rsidR="00675BDD" w:rsidRPr="003828C5" w:rsidRDefault="00F10431" w:rsidP="0086601A">
      <w:r w:rsidRPr="003828C5">
        <w:t xml:space="preserve">Ulkoministeriön maksullisten julkisoikeudellisten suoritteiden tuottojen arvioidaan vuonna 2023 olevan </w:t>
      </w:r>
      <w:r w:rsidR="0019521C" w:rsidRPr="003828C5">
        <w:t xml:space="preserve">18 110 000 </w:t>
      </w:r>
      <w:r w:rsidRPr="003828C5">
        <w:t xml:space="preserve">euroa, kustannusten </w:t>
      </w:r>
      <w:r w:rsidR="00A67E19" w:rsidRPr="003828C5">
        <w:t>34 589</w:t>
      </w:r>
      <w:r w:rsidR="000D6865" w:rsidRPr="003828C5">
        <w:t xml:space="preserve"> 000 </w:t>
      </w:r>
      <w:r w:rsidRPr="003828C5">
        <w:t xml:space="preserve">euroa ja kokonaiskustannusvastaavuuden </w:t>
      </w:r>
      <w:r w:rsidR="00A67E19" w:rsidRPr="003828C5">
        <w:t>5</w:t>
      </w:r>
      <w:r w:rsidR="0028372A" w:rsidRPr="003828C5">
        <w:t>2</w:t>
      </w:r>
      <w:r w:rsidRPr="003828C5">
        <w:t xml:space="preserve"> prosenttia. </w:t>
      </w:r>
      <w:r w:rsidR="003828C5" w:rsidRPr="003828C5">
        <w:t xml:space="preserve"> </w:t>
      </w:r>
      <w:r w:rsidR="00AC0789" w:rsidRPr="003828C5">
        <w:t xml:space="preserve"> </w:t>
      </w:r>
    </w:p>
    <w:p w:rsidR="00F9365E" w:rsidRPr="003828C5" w:rsidRDefault="0035594E" w:rsidP="00F9365E">
      <w:r w:rsidRPr="003828C5">
        <w:rPr>
          <w:bCs/>
        </w:rPr>
        <w:t>Vuonna 202</w:t>
      </w:r>
      <w:r w:rsidR="00034836">
        <w:rPr>
          <w:bCs/>
        </w:rPr>
        <w:t xml:space="preserve">4 tuottojen arvioidaan nousevan 1.9.2023 voimaantulleiden </w:t>
      </w:r>
      <w:r w:rsidRPr="003828C5">
        <w:rPr>
          <w:bCs/>
        </w:rPr>
        <w:t>hinnanmuutosten myötä </w:t>
      </w:r>
      <w:r w:rsidR="00675BDD" w:rsidRPr="003828C5">
        <w:rPr>
          <w:bCs/>
        </w:rPr>
        <w:t>1 878 570</w:t>
      </w:r>
      <w:r w:rsidRPr="003828C5">
        <w:rPr>
          <w:bCs/>
        </w:rPr>
        <w:t xml:space="preserve"> euroa</w:t>
      </w:r>
      <w:r w:rsidR="00675BDD" w:rsidRPr="003828C5">
        <w:rPr>
          <w:bCs/>
        </w:rPr>
        <w:t>.</w:t>
      </w:r>
      <w:r w:rsidR="00675BDD" w:rsidRPr="003828C5">
        <w:t xml:space="preserve"> Ulkoministeriön maksullisten julkisoikeudellisten suoritteiden tuottojen arvioidaan vuonna 2024 olevan </w:t>
      </w:r>
      <w:r w:rsidR="00216223" w:rsidRPr="003828C5">
        <w:t xml:space="preserve">20 785 000 </w:t>
      </w:r>
      <w:r w:rsidR="00675BDD" w:rsidRPr="003828C5">
        <w:t xml:space="preserve">euroa, kustannusten 43 076 000 euroa ja kokonaiskustannusvastaavuuden </w:t>
      </w:r>
      <w:r w:rsidR="00216223" w:rsidRPr="003828C5">
        <w:t>48</w:t>
      </w:r>
      <w:r w:rsidR="00675BDD" w:rsidRPr="003828C5">
        <w:t xml:space="preserve"> prosenttia.</w:t>
      </w:r>
      <w:r w:rsidR="00DE3545" w:rsidRPr="003828C5">
        <w:t xml:space="preserve"> </w:t>
      </w:r>
      <w:r w:rsidR="00A75D68" w:rsidRPr="003828C5">
        <w:t xml:space="preserve">Hallinnonalan </w:t>
      </w:r>
      <w:r w:rsidR="00A02035" w:rsidRPr="003828C5">
        <w:t xml:space="preserve">maksullisten julkisoikeudellisten suoritteiden </w:t>
      </w:r>
      <w:r w:rsidR="00A75D68" w:rsidRPr="003828C5">
        <w:t xml:space="preserve">kokonaiskustannusvastaavuuden arvioidaan maksujen korotusten </w:t>
      </w:r>
      <w:r w:rsidR="00232D9A" w:rsidRPr="003828C5">
        <w:t>myötä nousevan hieman vuoden 2023 arviosta. OKA-perusteisten suoritteiden osalta ei kuitenkaan päästä kokonaisuudessaan täyteen kustannusvastaavuuteen, koska</w:t>
      </w:r>
      <w:r w:rsidR="00A75D68" w:rsidRPr="003828C5">
        <w:t xml:space="preserve"> viisumien käsittelymaksu määräytyy EU:n viisumisäännösten pohjalta eikä se </w:t>
      </w:r>
      <w:r w:rsidR="00916098" w:rsidRPr="003828C5">
        <w:t xml:space="preserve">nykyisillä viisumien </w:t>
      </w:r>
      <w:r w:rsidR="00CA159A" w:rsidRPr="003828C5">
        <w:t xml:space="preserve">alhaisilla </w:t>
      </w:r>
      <w:r w:rsidR="00916098" w:rsidRPr="003828C5">
        <w:t>hakumäärillä</w:t>
      </w:r>
      <w:r w:rsidR="00A75D68" w:rsidRPr="003828C5">
        <w:t xml:space="preserve"> vastaa</w:t>
      </w:r>
      <w:r w:rsidR="00D702A6" w:rsidRPr="003828C5">
        <w:t xml:space="preserve"> ulkoasiainhallinnon</w:t>
      </w:r>
      <w:r w:rsidR="00A75D68" w:rsidRPr="003828C5">
        <w:t xml:space="preserve"> omakustannusarvoa</w:t>
      </w:r>
      <w:r w:rsidR="002C76A7" w:rsidRPr="003828C5">
        <w:t>. Samalla erityisesti EU:n vaatimat IT-järjestelmien kehitys- ja ylläpitotyöt</w:t>
      </w:r>
      <w:r w:rsidR="00232D9A" w:rsidRPr="003828C5">
        <w:t xml:space="preserve">, henkilöstön palkantarkistukset ja inflaatio </w:t>
      </w:r>
      <w:r w:rsidR="002C76A7" w:rsidRPr="003828C5">
        <w:t>kasvattavat viisumikäsittelyn kustannuksia.</w:t>
      </w:r>
      <w:r w:rsidR="00F9365E" w:rsidRPr="003828C5">
        <w:t xml:space="preserve"> Viisumien käsittelymaksu</w:t>
      </w:r>
      <w:r w:rsidR="00232D9A" w:rsidRPr="003828C5">
        <w:t>tulojen</w:t>
      </w:r>
      <w:r w:rsidR="00F9365E" w:rsidRPr="003828C5">
        <w:t xml:space="preserve"> arvioidaan vuonna 2024 olevan noin 44 prosenttia vuoden 2024 julkisoikeudellisten suoritteiden tuotoista.</w:t>
      </w:r>
    </w:p>
    <w:p w:rsidR="00F9365E" w:rsidRPr="003828C5" w:rsidRDefault="00F9365E" w:rsidP="00F9365E">
      <w:r w:rsidRPr="003828C5">
        <w:lastRenderedPageBreak/>
        <w:t>Liiketaloudellisten suoritteiden tuottojen ja kustannusten arvioidaan pysyttelevän vuoden 2022 tasolla myös vuosina 2023 ja 2024.</w:t>
      </w:r>
      <w:r w:rsidR="00034836">
        <w:t>L</w:t>
      </w:r>
      <w:r w:rsidR="00034836" w:rsidRPr="00034836">
        <w:t xml:space="preserve">iiketaloudellisten suoritteiden tuotot vuonna 2022 olivat 2 102 638 euroa, kustannukset 2 370 828 euroa ja kustannusvastaavuus 89 prosenttia. </w:t>
      </w:r>
      <w:r w:rsidR="00034836">
        <w:t xml:space="preserve"> </w:t>
      </w:r>
    </w:p>
    <w:p w:rsidR="0035594E" w:rsidRPr="003828C5" w:rsidRDefault="004327A6" w:rsidP="0035594E">
      <w:pPr>
        <w:autoSpaceDE w:val="0"/>
        <w:autoSpaceDN w:val="0"/>
      </w:pPr>
      <w:r w:rsidRPr="003828C5">
        <w:rPr>
          <w:bCs/>
        </w:rPr>
        <w:t>U</w:t>
      </w:r>
      <w:r w:rsidR="0035594E" w:rsidRPr="003828C5">
        <w:t>lkoministeriö tarkastelee aktiivisesti mahdollisuuksia maksullisen toiminnan kiinteiden kulujen alentamiseksi</w:t>
      </w:r>
      <w:r w:rsidR="00776996" w:rsidRPr="003828C5">
        <w:t xml:space="preserve"> ottaen huomioon ulkoasiainhallinnon poikkeuksellinen kustannusrakenne, erityisesti edustustoverkko ja sen kustannukset, sekä EU:n vaatimat IT-järjestelmien kehitys- ja ylläpitotyöt ja komission määrittämä Schengen alueen viisumin käsittelymaksu.</w:t>
      </w:r>
    </w:p>
    <w:p w:rsidR="00205508" w:rsidRPr="003828C5" w:rsidRDefault="00973BC6" w:rsidP="008648BC">
      <w:r w:rsidRPr="003828C5">
        <w:rPr>
          <w:b/>
        </w:rPr>
        <w:t xml:space="preserve"> </w:t>
      </w:r>
    </w:p>
    <w:p w:rsidR="00DE5CD3" w:rsidRPr="003828C5" w:rsidRDefault="00DE5CD3" w:rsidP="00DE5CD3"/>
    <w:p w:rsidR="00857509" w:rsidRPr="00F00B03" w:rsidRDefault="00857509" w:rsidP="00857509">
      <w:pPr>
        <w:spacing w:after="0"/>
        <w:ind w:left="1304" w:hanging="1304"/>
      </w:pPr>
      <w:r w:rsidRPr="00F00B03">
        <w:t>Liitteet:</w:t>
      </w:r>
      <w:r w:rsidRPr="00F00B03">
        <w:tab/>
        <w:t>Passien OKA vuonna 2023 inflaatiokorotuksin</w:t>
      </w:r>
    </w:p>
    <w:p w:rsidR="00857509" w:rsidRPr="00F00B03" w:rsidRDefault="00857509" w:rsidP="00857509">
      <w:pPr>
        <w:spacing w:after="0"/>
        <w:ind w:left="1304"/>
      </w:pPr>
      <w:r w:rsidRPr="00F00B03">
        <w:t xml:space="preserve">Henkilökorttien omakustannushinnat 2023 </w:t>
      </w:r>
      <w:r w:rsidRPr="00F00B03">
        <w:tab/>
      </w:r>
      <w:r w:rsidRPr="00F00B03">
        <w:tab/>
      </w:r>
      <w:r w:rsidRPr="00F00B03">
        <w:tab/>
      </w:r>
    </w:p>
    <w:p w:rsidR="00857509" w:rsidRPr="00F00B03" w:rsidRDefault="00857509" w:rsidP="00857509">
      <w:pPr>
        <w:spacing w:after="0"/>
        <w:ind w:left="1304"/>
      </w:pPr>
      <w:r w:rsidRPr="00F00B03">
        <w:t xml:space="preserve">VTJ-ilmoitusten omakustannushinta 2023 </w:t>
      </w:r>
      <w:r w:rsidRPr="00F00B03">
        <w:tab/>
      </w:r>
    </w:p>
    <w:p w:rsidR="00857509" w:rsidRPr="00F00B03" w:rsidRDefault="00857509" w:rsidP="00857509">
      <w:pPr>
        <w:spacing w:after="0"/>
        <w:ind w:left="1304"/>
      </w:pPr>
      <w:r w:rsidRPr="00F00B03">
        <w:t xml:space="preserve">Viisumipäätöksen oikaisuvaatimuksen käsittelystä perittävä maksu oka-hinta 2023 Todistukset omakustannushinta 2023 </w:t>
      </w:r>
    </w:p>
    <w:p w:rsidR="00857509" w:rsidRPr="00F00B03" w:rsidRDefault="00857509" w:rsidP="00857509">
      <w:pPr>
        <w:spacing w:after="0"/>
        <w:ind w:left="1304"/>
      </w:pPr>
      <w:r w:rsidRPr="00F00B03">
        <w:t xml:space="preserve">Muut konsulipalvelusuoritteet omakustannushinta 2023 </w:t>
      </w:r>
    </w:p>
    <w:p w:rsidR="00857509" w:rsidRPr="00F00B03" w:rsidRDefault="00857509" w:rsidP="00857509">
      <w:pPr>
        <w:spacing w:after="0"/>
        <w:ind w:left="1304"/>
      </w:pPr>
      <w:r w:rsidRPr="00F00B03">
        <w:t xml:space="preserve">Asiantuntijatyön tuntikustannus ministeriössä 2022 tiedoin </w:t>
      </w:r>
    </w:p>
    <w:p w:rsidR="00857509" w:rsidRPr="00F00B03" w:rsidRDefault="00857509" w:rsidP="00857509">
      <w:pPr>
        <w:spacing w:after="0"/>
        <w:ind w:left="1304"/>
      </w:pPr>
      <w:r w:rsidRPr="00F00B03">
        <w:t xml:space="preserve">Asiantuntijatyön tuntikustannus edustustossa vuoden 2022 tiedoin </w:t>
      </w:r>
    </w:p>
    <w:p w:rsidR="00857509" w:rsidRPr="00F00B03" w:rsidRDefault="00857509" w:rsidP="00857509">
      <w:pPr>
        <w:spacing w:after="0"/>
        <w:ind w:left="1304"/>
      </w:pPr>
      <w:r w:rsidRPr="00F00B03">
        <w:t>TAE2023 kustannusvastaavuuslaskelma</w:t>
      </w:r>
      <w:r w:rsidR="0028372A" w:rsidRPr="00F00B03">
        <w:t xml:space="preserve"> korjattuna viisumien käsittelymaksutuloilla</w:t>
      </w:r>
    </w:p>
    <w:p w:rsidR="00857509" w:rsidRDefault="00A77594" w:rsidP="00A17805">
      <w:r w:rsidRPr="00F00B03">
        <w:tab/>
        <w:t>TAE2024 kustannusvastaavuuslaskelma suoritteiden hinnankorotusvaikutuksin</w:t>
      </w:r>
    </w:p>
    <w:p w:rsidR="001701F5" w:rsidRDefault="008811EF" w:rsidP="00A17805">
      <w:r>
        <w:t xml:space="preserve"> </w:t>
      </w:r>
    </w:p>
    <w:p w:rsidR="00C7233B" w:rsidRDefault="00C7233B" w:rsidP="00A17805"/>
    <w:p w:rsidR="0025259E" w:rsidRDefault="00A17805" w:rsidP="00FD60F6">
      <w:r>
        <w:t xml:space="preserve"> </w:t>
      </w:r>
    </w:p>
    <w:sectPr w:rsidR="0025259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5A6" w:rsidRDefault="00CA45A6" w:rsidP="00525F8D">
      <w:pPr>
        <w:spacing w:after="0" w:line="240" w:lineRule="auto"/>
      </w:pPr>
      <w:r>
        <w:separator/>
      </w:r>
    </w:p>
  </w:endnote>
  <w:endnote w:type="continuationSeparator" w:id="0">
    <w:p w:rsidR="00CA45A6" w:rsidRDefault="00CA45A6" w:rsidP="00525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9E3" w:rsidRDefault="00D379E3">
    <w:pPr>
      <w:pStyle w:val="Footer"/>
      <w:jc w:val="right"/>
    </w:pPr>
  </w:p>
  <w:p w:rsidR="00525F8D" w:rsidRDefault="00525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5A6" w:rsidRDefault="00CA45A6" w:rsidP="00525F8D">
      <w:pPr>
        <w:spacing w:after="0" w:line="240" w:lineRule="auto"/>
      </w:pPr>
      <w:r>
        <w:separator/>
      </w:r>
    </w:p>
  </w:footnote>
  <w:footnote w:type="continuationSeparator" w:id="0">
    <w:p w:rsidR="00CA45A6" w:rsidRDefault="00CA45A6" w:rsidP="00525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069752"/>
      <w:docPartObj>
        <w:docPartGallery w:val="Page Numbers (Top of Page)"/>
        <w:docPartUnique/>
      </w:docPartObj>
    </w:sdtPr>
    <w:sdtEndPr>
      <w:rPr>
        <w:noProof/>
      </w:rPr>
    </w:sdtEndPr>
    <w:sdtContent>
      <w:p w:rsidR="00D379E3" w:rsidRDefault="00D379E3">
        <w:pPr>
          <w:pStyle w:val="Header"/>
          <w:jc w:val="right"/>
        </w:pPr>
        <w:r>
          <w:fldChar w:fldCharType="begin"/>
        </w:r>
        <w:r>
          <w:instrText xml:space="preserve"> PAGE   \* MERGEFORMAT </w:instrText>
        </w:r>
        <w:r>
          <w:fldChar w:fldCharType="separate"/>
        </w:r>
        <w:r w:rsidR="00C27B51">
          <w:rPr>
            <w:noProof/>
          </w:rPr>
          <w:t>1</w:t>
        </w:r>
        <w:r>
          <w:rPr>
            <w:noProof/>
          </w:rPr>
          <w:fldChar w:fldCharType="end"/>
        </w:r>
      </w:p>
    </w:sdtContent>
  </w:sdt>
  <w:p w:rsidR="00D379E3" w:rsidRDefault="00D379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i-FI" w:vendorID="64" w:dllVersion="131078" w:nlCheck="1" w:checkStyle="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54"/>
    <w:rsid w:val="00020E27"/>
    <w:rsid w:val="00024460"/>
    <w:rsid w:val="00034836"/>
    <w:rsid w:val="000579CE"/>
    <w:rsid w:val="00082076"/>
    <w:rsid w:val="00083AE8"/>
    <w:rsid w:val="00084892"/>
    <w:rsid w:val="0008753A"/>
    <w:rsid w:val="000931F3"/>
    <w:rsid w:val="000A08C7"/>
    <w:rsid w:val="000D3C0A"/>
    <w:rsid w:val="000D6865"/>
    <w:rsid w:val="00105B40"/>
    <w:rsid w:val="00156917"/>
    <w:rsid w:val="001701F5"/>
    <w:rsid w:val="0017025F"/>
    <w:rsid w:val="00180813"/>
    <w:rsid w:val="00183D8F"/>
    <w:rsid w:val="0019521C"/>
    <w:rsid w:val="001958A2"/>
    <w:rsid w:val="001B5DE2"/>
    <w:rsid w:val="001E7AD1"/>
    <w:rsid w:val="001F7BD0"/>
    <w:rsid w:val="00205508"/>
    <w:rsid w:val="0021358A"/>
    <w:rsid w:val="00214931"/>
    <w:rsid w:val="00215340"/>
    <w:rsid w:val="00215BB3"/>
    <w:rsid w:val="00216223"/>
    <w:rsid w:val="00223893"/>
    <w:rsid w:val="00232D9A"/>
    <w:rsid w:val="0025259E"/>
    <w:rsid w:val="002735A8"/>
    <w:rsid w:val="00280D0E"/>
    <w:rsid w:val="0028372A"/>
    <w:rsid w:val="002A6699"/>
    <w:rsid w:val="002A795F"/>
    <w:rsid w:val="002B5A33"/>
    <w:rsid w:val="002C76A7"/>
    <w:rsid w:val="00311103"/>
    <w:rsid w:val="003170D3"/>
    <w:rsid w:val="00340D70"/>
    <w:rsid w:val="0035594E"/>
    <w:rsid w:val="00370890"/>
    <w:rsid w:val="003710F4"/>
    <w:rsid w:val="003828C5"/>
    <w:rsid w:val="0039614B"/>
    <w:rsid w:val="003A029F"/>
    <w:rsid w:val="003B42DC"/>
    <w:rsid w:val="003C40CD"/>
    <w:rsid w:val="003E5E1F"/>
    <w:rsid w:val="004031FD"/>
    <w:rsid w:val="00403771"/>
    <w:rsid w:val="00405D2E"/>
    <w:rsid w:val="004076AC"/>
    <w:rsid w:val="004153C1"/>
    <w:rsid w:val="004327A6"/>
    <w:rsid w:val="00433F80"/>
    <w:rsid w:val="004527A8"/>
    <w:rsid w:val="004910EF"/>
    <w:rsid w:val="004B054B"/>
    <w:rsid w:val="004B43F6"/>
    <w:rsid w:val="004C5761"/>
    <w:rsid w:val="004C667D"/>
    <w:rsid w:val="004F3B03"/>
    <w:rsid w:val="005159A9"/>
    <w:rsid w:val="00516B76"/>
    <w:rsid w:val="00523AE1"/>
    <w:rsid w:val="00525F8D"/>
    <w:rsid w:val="00532651"/>
    <w:rsid w:val="005429A0"/>
    <w:rsid w:val="00556672"/>
    <w:rsid w:val="00563F5D"/>
    <w:rsid w:val="00575E3A"/>
    <w:rsid w:val="005770F5"/>
    <w:rsid w:val="005808AF"/>
    <w:rsid w:val="00580F44"/>
    <w:rsid w:val="005B304F"/>
    <w:rsid w:val="005C2E8A"/>
    <w:rsid w:val="005D3988"/>
    <w:rsid w:val="00623F12"/>
    <w:rsid w:val="00637EDE"/>
    <w:rsid w:val="00660909"/>
    <w:rsid w:val="00661D5F"/>
    <w:rsid w:val="00675BDD"/>
    <w:rsid w:val="0069168E"/>
    <w:rsid w:val="00697354"/>
    <w:rsid w:val="006B4F1F"/>
    <w:rsid w:val="006D1AE6"/>
    <w:rsid w:val="006D1BEF"/>
    <w:rsid w:val="006E180A"/>
    <w:rsid w:val="00705FDF"/>
    <w:rsid w:val="00742C7E"/>
    <w:rsid w:val="00753898"/>
    <w:rsid w:val="00776996"/>
    <w:rsid w:val="00791927"/>
    <w:rsid w:val="007A7D2E"/>
    <w:rsid w:val="007B308D"/>
    <w:rsid w:val="007C7107"/>
    <w:rsid w:val="007D0CF6"/>
    <w:rsid w:val="007D5162"/>
    <w:rsid w:val="007E766E"/>
    <w:rsid w:val="007E76E3"/>
    <w:rsid w:val="007E797E"/>
    <w:rsid w:val="007F3EFD"/>
    <w:rsid w:val="00800BDB"/>
    <w:rsid w:val="00801D90"/>
    <w:rsid w:val="008028B7"/>
    <w:rsid w:val="008171BC"/>
    <w:rsid w:val="00823793"/>
    <w:rsid w:val="00825E97"/>
    <w:rsid w:val="00843780"/>
    <w:rsid w:val="00847A41"/>
    <w:rsid w:val="0085181C"/>
    <w:rsid w:val="00857509"/>
    <w:rsid w:val="008648BC"/>
    <w:rsid w:val="0086601A"/>
    <w:rsid w:val="0086716B"/>
    <w:rsid w:val="00872DA2"/>
    <w:rsid w:val="008811EF"/>
    <w:rsid w:val="00886A41"/>
    <w:rsid w:val="008A2776"/>
    <w:rsid w:val="008B2535"/>
    <w:rsid w:val="008B7FF5"/>
    <w:rsid w:val="008E5324"/>
    <w:rsid w:val="0090057D"/>
    <w:rsid w:val="00915576"/>
    <w:rsid w:val="00916098"/>
    <w:rsid w:val="009175B9"/>
    <w:rsid w:val="00945883"/>
    <w:rsid w:val="00946561"/>
    <w:rsid w:val="009663C2"/>
    <w:rsid w:val="00973BC6"/>
    <w:rsid w:val="009828DA"/>
    <w:rsid w:val="009913FF"/>
    <w:rsid w:val="009976D0"/>
    <w:rsid w:val="009C4C82"/>
    <w:rsid w:val="009D1BB6"/>
    <w:rsid w:val="009D6F4E"/>
    <w:rsid w:val="009E200F"/>
    <w:rsid w:val="009E64D3"/>
    <w:rsid w:val="00A02035"/>
    <w:rsid w:val="00A17805"/>
    <w:rsid w:val="00A24881"/>
    <w:rsid w:val="00A40E4E"/>
    <w:rsid w:val="00A45B71"/>
    <w:rsid w:val="00A55F34"/>
    <w:rsid w:val="00A67E19"/>
    <w:rsid w:val="00A725C0"/>
    <w:rsid w:val="00A75D68"/>
    <w:rsid w:val="00A77594"/>
    <w:rsid w:val="00A87289"/>
    <w:rsid w:val="00AA726C"/>
    <w:rsid w:val="00AB7728"/>
    <w:rsid w:val="00AC0789"/>
    <w:rsid w:val="00AC254F"/>
    <w:rsid w:val="00AD1034"/>
    <w:rsid w:val="00AD686C"/>
    <w:rsid w:val="00AF48C4"/>
    <w:rsid w:val="00AF58C5"/>
    <w:rsid w:val="00B11F72"/>
    <w:rsid w:val="00B24F50"/>
    <w:rsid w:val="00B30A7F"/>
    <w:rsid w:val="00B31217"/>
    <w:rsid w:val="00B36FED"/>
    <w:rsid w:val="00B57941"/>
    <w:rsid w:val="00BA584F"/>
    <w:rsid w:val="00BB3E79"/>
    <w:rsid w:val="00BC1687"/>
    <w:rsid w:val="00BF12A7"/>
    <w:rsid w:val="00C27B51"/>
    <w:rsid w:val="00C34EBA"/>
    <w:rsid w:val="00C408AD"/>
    <w:rsid w:val="00C47C28"/>
    <w:rsid w:val="00C5141E"/>
    <w:rsid w:val="00C523DD"/>
    <w:rsid w:val="00C57BC2"/>
    <w:rsid w:val="00C604BD"/>
    <w:rsid w:val="00C672B4"/>
    <w:rsid w:val="00C7233B"/>
    <w:rsid w:val="00C82D8F"/>
    <w:rsid w:val="00C9204C"/>
    <w:rsid w:val="00C964EA"/>
    <w:rsid w:val="00CA159A"/>
    <w:rsid w:val="00CA262D"/>
    <w:rsid w:val="00CA45A6"/>
    <w:rsid w:val="00CB4599"/>
    <w:rsid w:val="00CB7D07"/>
    <w:rsid w:val="00CC0172"/>
    <w:rsid w:val="00CC682B"/>
    <w:rsid w:val="00CC7388"/>
    <w:rsid w:val="00CE0236"/>
    <w:rsid w:val="00CE364E"/>
    <w:rsid w:val="00CE7991"/>
    <w:rsid w:val="00D0051A"/>
    <w:rsid w:val="00D10FE3"/>
    <w:rsid w:val="00D11369"/>
    <w:rsid w:val="00D21D3B"/>
    <w:rsid w:val="00D379E3"/>
    <w:rsid w:val="00D4109B"/>
    <w:rsid w:val="00D43B7E"/>
    <w:rsid w:val="00D56479"/>
    <w:rsid w:val="00D702A6"/>
    <w:rsid w:val="00D82773"/>
    <w:rsid w:val="00DA013E"/>
    <w:rsid w:val="00DA1625"/>
    <w:rsid w:val="00DA26D9"/>
    <w:rsid w:val="00DA2B69"/>
    <w:rsid w:val="00DC0933"/>
    <w:rsid w:val="00DC5BBF"/>
    <w:rsid w:val="00DD7854"/>
    <w:rsid w:val="00DE3545"/>
    <w:rsid w:val="00DE5CD3"/>
    <w:rsid w:val="00DF6C32"/>
    <w:rsid w:val="00E178E2"/>
    <w:rsid w:val="00E205F9"/>
    <w:rsid w:val="00E35F4C"/>
    <w:rsid w:val="00E420DF"/>
    <w:rsid w:val="00E60691"/>
    <w:rsid w:val="00E7218D"/>
    <w:rsid w:val="00E76B59"/>
    <w:rsid w:val="00E85FB0"/>
    <w:rsid w:val="00EB2E36"/>
    <w:rsid w:val="00EB47D9"/>
    <w:rsid w:val="00ED4976"/>
    <w:rsid w:val="00EE6443"/>
    <w:rsid w:val="00F00B03"/>
    <w:rsid w:val="00F079C8"/>
    <w:rsid w:val="00F10431"/>
    <w:rsid w:val="00F22B5E"/>
    <w:rsid w:val="00F24E49"/>
    <w:rsid w:val="00F259BE"/>
    <w:rsid w:val="00F30C1D"/>
    <w:rsid w:val="00F317B4"/>
    <w:rsid w:val="00F46201"/>
    <w:rsid w:val="00F5566E"/>
    <w:rsid w:val="00F64783"/>
    <w:rsid w:val="00F6588A"/>
    <w:rsid w:val="00F743CD"/>
    <w:rsid w:val="00F814CB"/>
    <w:rsid w:val="00F9365E"/>
    <w:rsid w:val="00FA0E3F"/>
    <w:rsid w:val="00FA67AD"/>
    <w:rsid w:val="00FA6B2C"/>
    <w:rsid w:val="00FC5B10"/>
    <w:rsid w:val="00FD60F6"/>
    <w:rsid w:val="00FD6502"/>
    <w:rsid w:val="00FE5979"/>
    <w:rsid w:val="00FF0DF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912F0-33DE-4DCD-9B0A-CFAAB6A2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60F6"/>
    <w:rPr>
      <w:sz w:val="16"/>
      <w:szCs w:val="16"/>
    </w:rPr>
  </w:style>
  <w:style w:type="paragraph" w:styleId="CommentText">
    <w:name w:val="annotation text"/>
    <w:basedOn w:val="Normal"/>
    <w:link w:val="CommentTextChar"/>
    <w:uiPriority w:val="99"/>
    <w:semiHidden/>
    <w:unhideWhenUsed/>
    <w:rsid w:val="00FD60F6"/>
    <w:pPr>
      <w:spacing w:line="240" w:lineRule="auto"/>
    </w:pPr>
    <w:rPr>
      <w:sz w:val="20"/>
      <w:szCs w:val="20"/>
    </w:rPr>
  </w:style>
  <w:style w:type="character" w:customStyle="1" w:styleId="CommentTextChar">
    <w:name w:val="Comment Text Char"/>
    <w:basedOn w:val="DefaultParagraphFont"/>
    <w:link w:val="CommentText"/>
    <w:uiPriority w:val="99"/>
    <w:semiHidden/>
    <w:rsid w:val="00FD60F6"/>
    <w:rPr>
      <w:sz w:val="20"/>
      <w:szCs w:val="20"/>
    </w:rPr>
  </w:style>
  <w:style w:type="paragraph" w:styleId="CommentSubject">
    <w:name w:val="annotation subject"/>
    <w:basedOn w:val="CommentText"/>
    <w:next w:val="CommentText"/>
    <w:link w:val="CommentSubjectChar"/>
    <w:uiPriority w:val="99"/>
    <w:semiHidden/>
    <w:unhideWhenUsed/>
    <w:rsid w:val="00FD60F6"/>
    <w:rPr>
      <w:b/>
      <w:bCs/>
    </w:rPr>
  </w:style>
  <w:style w:type="character" w:customStyle="1" w:styleId="CommentSubjectChar">
    <w:name w:val="Comment Subject Char"/>
    <w:basedOn w:val="CommentTextChar"/>
    <w:link w:val="CommentSubject"/>
    <w:uiPriority w:val="99"/>
    <w:semiHidden/>
    <w:rsid w:val="00FD60F6"/>
    <w:rPr>
      <w:b/>
      <w:bCs/>
      <w:sz w:val="20"/>
      <w:szCs w:val="20"/>
    </w:rPr>
  </w:style>
  <w:style w:type="paragraph" w:styleId="BalloonText">
    <w:name w:val="Balloon Text"/>
    <w:basedOn w:val="Normal"/>
    <w:link w:val="BalloonTextChar"/>
    <w:uiPriority w:val="99"/>
    <w:semiHidden/>
    <w:unhideWhenUsed/>
    <w:rsid w:val="00FD60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0F6"/>
    <w:rPr>
      <w:rFonts w:ascii="Segoe UI" w:hAnsi="Segoe UI" w:cs="Segoe UI"/>
      <w:sz w:val="18"/>
      <w:szCs w:val="18"/>
    </w:rPr>
  </w:style>
  <w:style w:type="table" w:styleId="TableGrid">
    <w:name w:val="Table Grid"/>
    <w:basedOn w:val="TableNormal"/>
    <w:uiPriority w:val="39"/>
    <w:rsid w:val="00E85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5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F8D"/>
  </w:style>
  <w:style w:type="paragraph" w:styleId="Footer">
    <w:name w:val="footer"/>
    <w:basedOn w:val="Normal"/>
    <w:link w:val="FooterChar"/>
    <w:uiPriority w:val="99"/>
    <w:unhideWhenUsed/>
    <w:rsid w:val="00525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F8D"/>
  </w:style>
  <w:style w:type="character" w:styleId="Emphasis">
    <w:name w:val="Emphasis"/>
    <w:basedOn w:val="DefaultParagraphFont"/>
    <w:uiPriority w:val="20"/>
    <w:qFormat/>
    <w:rsid w:val="00CE36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20456">
      <w:bodyDiv w:val="1"/>
      <w:marLeft w:val="0"/>
      <w:marRight w:val="0"/>
      <w:marTop w:val="0"/>
      <w:marBottom w:val="0"/>
      <w:divBdr>
        <w:top w:val="none" w:sz="0" w:space="0" w:color="auto"/>
        <w:left w:val="none" w:sz="0" w:space="0" w:color="auto"/>
        <w:bottom w:val="none" w:sz="0" w:space="0" w:color="auto"/>
        <w:right w:val="none" w:sz="0" w:space="0" w:color="auto"/>
      </w:divBdr>
    </w:div>
    <w:div w:id="146017411">
      <w:bodyDiv w:val="1"/>
      <w:marLeft w:val="0"/>
      <w:marRight w:val="0"/>
      <w:marTop w:val="0"/>
      <w:marBottom w:val="0"/>
      <w:divBdr>
        <w:top w:val="none" w:sz="0" w:space="0" w:color="auto"/>
        <w:left w:val="none" w:sz="0" w:space="0" w:color="auto"/>
        <w:bottom w:val="none" w:sz="0" w:space="0" w:color="auto"/>
        <w:right w:val="none" w:sz="0" w:space="0" w:color="auto"/>
      </w:divBdr>
    </w:div>
    <w:div w:id="894855737">
      <w:bodyDiv w:val="1"/>
      <w:marLeft w:val="0"/>
      <w:marRight w:val="0"/>
      <w:marTop w:val="0"/>
      <w:marBottom w:val="0"/>
      <w:divBdr>
        <w:top w:val="none" w:sz="0" w:space="0" w:color="auto"/>
        <w:left w:val="none" w:sz="0" w:space="0" w:color="auto"/>
        <w:bottom w:val="none" w:sz="0" w:space="0" w:color="auto"/>
        <w:right w:val="none" w:sz="0" w:space="0" w:color="auto"/>
      </w:divBdr>
    </w:div>
    <w:div w:id="926887885">
      <w:bodyDiv w:val="1"/>
      <w:marLeft w:val="0"/>
      <w:marRight w:val="0"/>
      <w:marTop w:val="0"/>
      <w:marBottom w:val="0"/>
      <w:divBdr>
        <w:top w:val="none" w:sz="0" w:space="0" w:color="auto"/>
        <w:left w:val="none" w:sz="0" w:space="0" w:color="auto"/>
        <w:bottom w:val="none" w:sz="0" w:space="0" w:color="auto"/>
        <w:right w:val="none" w:sz="0" w:space="0" w:color="auto"/>
      </w:divBdr>
    </w:div>
    <w:div w:id="1240168435">
      <w:bodyDiv w:val="1"/>
      <w:marLeft w:val="0"/>
      <w:marRight w:val="0"/>
      <w:marTop w:val="0"/>
      <w:marBottom w:val="0"/>
      <w:divBdr>
        <w:top w:val="none" w:sz="0" w:space="0" w:color="auto"/>
        <w:left w:val="none" w:sz="0" w:space="0" w:color="auto"/>
        <w:bottom w:val="none" w:sz="0" w:space="0" w:color="auto"/>
        <w:right w:val="none" w:sz="0" w:space="0" w:color="auto"/>
      </w:divBdr>
    </w:div>
    <w:div w:id="1400590083">
      <w:bodyDiv w:val="1"/>
      <w:marLeft w:val="0"/>
      <w:marRight w:val="0"/>
      <w:marTop w:val="0"/>
      <w:marBottom w:val="0"/>
      <w:divBdr>
        <w:top w:val="none" w:sz="0" w:space="0" w:color="auto"/>
        <w:left w:val="none" w:sz="0" w:space="0" w:color="auto"/>
        <w:bottom w:val="none" w:sz="0" w:space="0" w:color="auto"/>
        <w:right w:val="none" w:sz="0" w:space="0" w:color="auto"/>
      </w:divBdr>
      <w:divsChild>
        <w:div w:id="1111323194">
          <w:marLeft w:val="0"/>
          <w:marRight w:val="0"/>
          <w:marTop w:val="0"/>
          <w:marBottom w:val="0"/>
          <w:divBdr>
            <w:top w:val="none" w:sz="0" w:space="0" w:color="auto"/>
            <w:left w:val="none" w:sz="0" w:space="0" w:color="auto"/>
            <w:bottom w:val="none" w:sz="0" w:space="0" w:color="auto"/>
            <w:right w:val="none" w:sz="0" w:space="0" w:color="auto"/>
          </w:divBdr>
        </w:div>
      </w:divsChild>
    </w:div>
    <w:div w:id="1426225991">
      <w:bodyDiv w:val="1"/>
      <w:marLeft w:val="0"/>
      <w:marRight w:val="0"/>
      <w:marTop w:val="0"/>
      <w:marBottom w:val="0"/>
      <w:divBdr>
        <w:top w:val="none" w:sz="0" w:space="0" w:color="auto"/>
        <w:left w:val="none" w:sz="0" w:space="0" w:color="auto"/>
        <w:bottom w:val="none" w:sz="0" w:space="0" w:color="auto"/>
        <w:right w:val="none" w:sz="0" w:space="0" w:color="auto"/>
      </w:divBdr>
    </w:div>
    <w:div w:id="1649749151">
      <w:bodyDiv w:val="1"/>
      <w:marLeft w:val="0"/>
      <w:marRight w:val="0"/>
      <w:marTop w:val="0"/>
      <w:marBottom w:val="0"/>
      <w:divBdr>
        <w:top w:val="none" w:sz="0" w:space="0" w:color="auto"/>
        <w:left w:val="none" w:sz="0" w:space="0" w:color="auto"/>
        <w:bottom w:val="none" w:sz="0" w:space="0" w:color="auto"/>
        <w:right w:val="none" w:sz="0" w:space="0" w:color="auto"/>
      </w:divBdr>
    </w:div>
    <w:div w:id="1664813608">
      <w:bodyDiv w:val="1"/>
      <w:marLeft w:val="0"/>
      <w:marRight w:val="0"/>
      <w:marTop w:val="0"/>
      <w:marBottom w:val="0"/>
      <w:divBdr>
        <w:top w:val="none" w:sz="0" w:space="0" w:color="auto"/>
        <w:left w:val="none" w:sz="0" w:space="0" w:color="auto"/>
        <w:bottom w:val="none" w:sz="0" w:space="0" w:color="auto"/>
        <w:right w:val="none" w:sz="0" w:space="0" w:color="auto"/>
      </w:divBdr>
    </w:div>
    <w:div w:id="1721587543">
      <w:bodyDiv w:val="1"/>
      <w:marLeft w:val="0"/>
      <w:marRight w:val="0"/>
      <w:marTop w:val="0"/>
      <w:marBottom w:val="0"/>
      <w:divBdr>
        <w:top w:val="none" w:sz="0" w:space="0" w:color="auto"/>
        <w:left w:val="none" w:sz="0" w:space="0" w:color="auto"/>
        <w:bottom w:val="none" w:sz="0" w:space="0" w:color="auto"/>
        <w:right w:val="none" w:sz="0" w:space="0" w:color="auto"/>
      </w:divBdr>
    </w:div>
    <w:div w:id="1761757725">
      <w:bodyDiv w:val="1"/>
      <w:marLeft w:val="0"/>
      <w:marRight w:val="0"/>
      <w:marTop w:val="0"/>
      <w:marBottom w:val="0"/>
      <w:divBdr>
        <w:top w:val="none" w:sz="0" w:space="0" w:color="auto"/>
        <w:left w:val="none" w:sz="0" w:space="0" w:color="auto"/>
        <w:bottom w:val="none" w:sz="0" w:space="0" w:color="auto"/>
        <w:right w:val="none" w:sz="0" w:space="0" w:color="auto"/>
      </w:divBdr>
    </w:div>
    <w:div w:id="1765420745">
      <w:bodyDiv w:val="1"/>
      <w:marLeft w:val="0"/>
      <w:marRight w:val="0"/>
      <w:marTop w:val="0"/>
      <w:marBottom w:val="0"/>
      <w:divBdr>
        <w:top w:val="none" w:sz="0" w:space="0" w:color="auto"/>
        <w:left w:val="none" w:sz="0" w:space="0" w:color="auto"/>
        <w:bottom w:val="none" w:sz="0" w:space="0" w:color="auto"/>
        <w:right w:val="none" w:sz="0" w:space="0" w:color="auto"/>
      </w:divBdr>
    </w:div>
    <w:div w:id="1779181380">
      <w:bodyDiv w:val="1"/>
      <w:marLeft w:val="0"/>
      <w:marRight w:val="0"/>
      <w:marTop w:val="0"/>
      <w:marBottom w:val="0"/>
      <w:divBdr>
        <w:top w:val="none" w:sz="0" w:space="0" w:color="auto"/>
        <w:left w:val="none" w:sz="0" w:space="0" w:color="auto"/>
        <w:bottom w:val="none" w:sz="0" w:space="0" w:color="auto"/>
        <w:right w:val="none" w:sz="0" w:space="0" w:color="auto"/>
      </w:divBdr>
    </w:div>
    <w:div w:id="21310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1068</Words>
  <Characters>8651</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Liukko Minna-Kaisa</dc:creator>
  <cp:keywords/>
  <dc:description/>
  <cp:lastModifiedBy>Liukko Minna-Kaisa</cp:lastModifiedBy>
  <cp:revision>2</cp:revision>
  <cp:lastPrinted>2023-05-04T06:55:00Z</cp:lastPrinted>
  <dcterms:created xsi:type="dcterms:W3CDTF">2023-11-16T08:36:00Z</dcterms:created>
  <dcterms:modified xsi:type="dcterms:W3CDTF">2023-11-16T08:36:00Z</dcterms:modified>
</cp:coreProperties>
</file>