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6F8A" w14:textId="3E33305F" w:rsidR="003564A3" w:rsidRDefault="005B57F6" w:rsidP="00A105EE">
      <w:pPr>
        <w:pStyle w:val="Heading1"/>
        <w:rPr>
          <w:lang w:val="sv-SE"/>
        </w:rPr>
      </w:pPr>
      <w:r w:rsidRPr="006D6EF3">
        <w:rPr>
          <w:lang w:val="sv-SE"/>
        </w:rPr>
        <w:t>Användningen av frekvenser avsedda för televisions- och radioverksamhet</w:t>
      </w:r>
    </w:p>
    <w:p w14:paraId="09977258" w14:textId="77777777" w:rsidR="003D1951" w:rsidRDefault="005B57F6" w:rsidP="00F522EB">
      <w:pPr>
        <w:pStyle w:val="Heading2"/>
        <w:rPr>
          <w:lang w:val="sv-FI"/>
        </w:rPr>
      </w:pPr>
      <w:r>
        <w:rPr>
          <w:lang w:val="sv-FI"/>
        </w:rPr>
        <w:t>Föreskriftens b</w:t>
      </w:r>
      <w:r w:rsidRPr="003F7DD0">
        <w:rPr>
          <w:lang w:val="sv-FI"/>
        </w:rPr>
        <w:t xml:space="preserve">akgrund och </w:t>
      </w:r>
      <w:r>
        <w:rPr>
          <w:lang w:val="sv-FI"/>
        </w:rPr>
        <w:t>r</w:t>
      </w:r>
      <w:r w:rsidR="00490579">
        <w:rPr>
          <w:lang w:val="sv-FI"/>
        </w:rPr>
        <w:t>ättsgrund</w:t>
      </w:r>
    </w:p>
    <w:p w14:paraId="7041A2AC" w14:textId="77777777" w:rsidR="00A105EE" w:rsidRPr="006D6EF3" w:rsidRDefault="005B57F6" w:rsidP="00A105EE">
      <w:pPr>
        <w:autoSpaceDE w:val="0"/>
        <w:autoSpaceDN w:val="0"/>
        <w:adjustRightInd w:val="0"/>
        <w:spacing w:after="0" w:line="240" w:lineRule="auto"/>
        <w:rPr>
          <w:rFonts w:cs="CIDFont+F2"/>
          <w:szCs w:val="20"/>
          <w:lang w:val="sv-SE"/>
        </w:rPr>
      </w:pPr>
      <w:r w:rsidRPr="006D6EF3">
        <w:rPr>
          <w:rFonts w:cs="CIDFont+F2"/>
          <w:szCs w:val="20"/>
          <w:lang w:val="sv-SE"/>
        </w:rPr>
        <w:t>Enligt 96 § 1 mom. i lagen om tjänster inom elektronisk kommunikation (917/2014) meddelar</w:t>
      </w:r>
    </w:p>
    <w:p w14:paraId="210A99CC" w14:textId="77777777" w:rsidR="00A105EE" w:rsidRPr="006D6EF3" w:rsidRDefault="005B57F6" w:rsidP="00A105EE">
      <w:pPr>
        <w:autoSpaceDE w:val="0"/>
        <w:autoSpaceDN w:val="0"/>
        <w:adjustRightInd w:val="0"/>
        <w:spacing w:after="0" w:line="240" w:lineRule="auto"/>
        <w:rPr>
          <w:rFonts w:cs="CIDFont+F2"/>
          <w:szCs w:val="20"/>
          <w:lang w:val="sv-SE"/>
        </w:rPr>
      </w:pPr>
      <w:r w:rsidRPr="006D6EF3">
        <w:rPr>
          <w:rFonts w:cs="CIDFont+F2"/>
          <w:szCs w:val="20"/>
          <w:lang w:val="sv-SE"/>
        </w:rPr>
        <w:t xml:space="preserve">Transport- och kommunikationsverket </w:t>
      </w:r>
      <w:r w:rsidRPr="006D6EF3">
        <w:rPr>
          <w:rFonts w:cs="CIDFont+F2"/>
          <w:szCs w:val="20"/>
          <w:lang w:val="sv-SE"/>
        </w:rPr>
        <w:t>föreskrifter om användningen av radiofrekvenser för olika</w:t>
      </w:r>
    </w:p>
    <w:p w14:paraId="2EBADD95" w14:textId="77777777" w:rsidR="00A105EE" w:rsidRPr="006D6EF3" w:rsidRDefault="005B57F6" w:rsidP="00A105EE">
      <w:pPr>
        <w:autoSpaceDE w:val="0"/>
        <w:autoSpaceDN w:val="0"/>
        <w:adjustRightInd w:val="0"/>
        <w:spacing w:after="0" w:line="240" w:lineRule="auto"/>
        <w:rPr>
          <w:rFonts w:cs="CIDFont+F2"/>
          <w:szCs w:val="20"/>
          <w:lang w:val="sv-SE"/>
        </w:rPr>
      </w:pPr>
      <w:r w:rsidRPr="006D6EF3">
        <w:rPr>
          <w:rFonts w:cs="CIDFont+F2"/>
          <w:szCs w:val="20"/>
          <w:lang w:val="sv-SE"/>
        </w:rPr>
        <w:t>ändamål, med beaktande av internationella bestämmelser och rekommendationer om anvä</w:t>
      </w:r>
      <w:r>
        <w:rPr>
          <w:rFonts w:cs="CIDFont+F2"/>
          <w:szCs w:val="20"/>
          <w:lang w:val="sv-SE"/>
        </w:rPr>
        <w:t xml:space="preserve">ndning </w:t>
      </w:r>
      <w:r w:rsidRPr="006D6EF3">
        <w:rPr>
          <w:rFonts w:cs="CIDFont+F2"/>
          <w:szCs w:val="20"/>
          <w:lang w:val="sv-SE"/>
        </w:rPr>
        <w:t>av radiofrekvenser samt den statsrådsförordning som utfärdats med stöd av 95 § 1 mom.</w:t>
      </w:r>
    </w:p>
    <w:p w14:paraId="120A3FE3" w14:textId="29CB2F6A" w:rsidR="003D1951" w:rsidRPr="00A105EE" w:rsidRDefault="005B57F6" w:rsidP="00A105EE">
      <w:pPr>
        <w:autoSpaceDE w:val="0"/>
        <w:autoSpaceDN w:val="0"/>
        <w:adjustRightInd w:val="0"/>
        <w:spacing w:after="0" w:line="240" w:lineRule="auto"/>
        <w:rPr>
          <w:rFonts w:cs="CIDFont+F2"/>
          <w:szCs w:val="20"/>
          <w:lang w:val="sv-SE"/>
        </w:rPr>
      </w:pPr>
      <w:r w:rsidRPr="006D6EF3">
        <w:rPr>
          <w:rFonts w:cs="CIDFont+F2"/>
          <w:szCs w:val="20"/>
          <w:lang w:val="sv-SE"/>
        </w:rPr>
        <w:t>Föreskrifterna ska ang</w:t>
      </w:r>
      <w:r w:rsidRPr="006D6EF3">
        <w:rPr>
          <w:rFonts w:cs="CIDFont+F2"/>
          <w:szCs w:val="20"/>
          <w:lang w:val="sv-SE"/>
        </w:rPr>
        <w:t>e frekvensområdenas användningsändamål och de viktigaste radioegenskap</w:t>
      </w:r>
      <w:r w:rsidRPr="00AE045D">
        <w:rPr>
          <w:rFonts w:cs="CIDFont+F2"/>
          <w:szCs w:val="20"/>
          <w:lang w:val="sv-SE"/>
        </w:rPr>
        <w:t>er</w:t>
      </w:r>
      <w:r>
        <w:rPr>
          <w:rFonts w:cs="CIDFont+F2"/>
          <w:szCs w:val="20"/>
          <w:lang w:val="sv-SE"/>
        </w:rPr>
        <w:t xml:space="preserve"> </w:t>
      </w:r>
      <w:r w:rsidRPr="006D6EF3">
        <w:rPr>
          <w:rFonts w:cs="CIDFont+F2"/>
          <w:szCs w:val="20"/>
          <w:lang w:val="sv-SE"/>
        </w:rPr>
        <w:t>som en radioutrustning som använder ett visst frekvensområde ska uppfylla.</w:t>
      </w:r>
    </w:p>
    <w:p w14:paraId="255DA72C" w14:textId="1DDE057A" w:rsidR="003D1951" w:rsidRPr="00A105EE" w:rsidRDefault="005B57F6" w:rsidP="00A105EE">
      <w:pPr>
        <w:pStyle w:val="BodyText"/>
        <w:ind w:left="0"/>
        <w:rPr>
          <w:lang w:val="sv-SE"/>
        </w:rPr>
      </w:pPr>
      <w:r w:rsidRPr="00A105EE">
        <w:rPr>
          <w:lang w:val="sv-SE"/>
        </w:rPr>
        <w:t xml:space="preserve">Genom denna föreskrift upphävs Transport- och kommunikationsverkets föreskrift 70 </w:t>
      </w:r>
      <w:r>
        <w:rPr>
          <w:lang w:val="sv-SE"/>
        </w:rPr>
        <w:t>K</w:t>
      </w:r>
      <w:r w:rsidRPr="00A105EE">
        <w:rPr>
          <w:lang w:val="sv-SE"/>
        </w:rPr>
        <w:t>/202</w:t>
      </w:r>
      <w:r>
        <w:rPr>
          <w:lang w:val="sv-SE"/>
        </w:rPr>
        <w:t>2</w:t>
      </w:r>
      <w:r w:rsidRPr="00A105EE">
        <w:rPr>
          <w:lang w:val="sv-SE"/>
        </w:rPr>
        <w:t xml:space="preserve"> M av den </w:t>
      </w:r>
      <w:r>
        <w:rPr>
          <w:lang w:val="sv-SE"/>
        </w:rPr>
        <w:t>30 juni</w:t>
      </w:r>
      <w:r w:rsidRPr="00A105EE">
        <w:rPr>
          <w:lang w:val="sv-SE"/>
        </w:rPr>
        <w:t xml:space="preserve"> 20</w:t>
      </w:r>
      <w:r w:rsidRPr="00A105EE">
        <w:rPr>
          <w:lang w:val="sv-SE"/>
        </w:rPr>
        <w:t>2</w:t>
      </w:r>
      <w:r>
        <w:rPr>
          <w:lang w:val="sv-SE"/>
        </w:rPr>
        <w:t>2</w:t>
      </w:r>
      <w:r w:rsidRPr="00A105EE">
        <w:rPr>
          <w:lang w:val="sv-SE"/>
        </w:rPr>
        <w:t>. På grund av ändringar i frekvenser uppdateras även innehållet till nödvändiga delar.</w:t>
      </w:r>
    </w:p>
    <w:p w14:paraId="14E31A21" w14:textId="77777777" w:rsidR="00577AD3" w:rsidRPr="00823721" w:rsidRDefault="005B57F6" w:rsidP="00F522EB">
      <w:pPr>
        <w:pStyle w:val="Heading2"/>
        <w:rPr>
          <w:lang w:val="sv-FI"/>
        </w:rPr>
      </w:pPr>
      <w:r w:rsidRPr="00823721">
        <w:rPr>
          <w:lang w:val="sv-FI"/>
        </w:rPr>
        <w:t>Föreskriftens målsättning</w:t>
      </w:r>
    </w:p>
    <w:p w14:paraId="676E20FA" w14:textId="62416467" w:rsidR="003D1951" w:rsidRPr="00D81314" w:rsidRDefault="005B57F6" w:rsidP="00A105EE">
      <w:pPr>
        <w:pStyle w:val="BodyText"/>
        <w:ind w:left="0"/>
        <w:rPr>
          <w:lang w:val="sv-SE"/>
        </w:rPr>
      </w:pPr>
      <w:r w:rsidRPr="006D6EF3">
        <w:rPr>
          <w:lang w:val="sv-SE"/>
        </w:rPr>
        <w:t>I denna föreskrift preciseras statsrådets förordning om använd</w:t>
      </w:r>
      <w:r>
        <w:rPr>
          <w:lang w:val="sv-SE"/>
        </w:rPr>
        <w:t>n</w:t>
      </w:r>
      <w:r w:rsidRPr="006D6EF3">
        <w:rPr>
          <w:lang w:val="sv-SE"/>
        </w:rPr>
        <w:t xml:space="preserve">ingen av radiofrekvenser och om en frekvensplan </w:t>
      </w:r>
      <w:r>
        <w:rPr>
          <w:lang w:val="sv-SE"/>
        </w:rPr>
        <w:t xml:space="preserve">(1246/2014) som utfärdats med </w:t>
      </w:r>
      <w:r>
        <w:rPr>
          <w:lang w:val="sv-SE"/>
        </w:rPr>
        <w:t>stöd av 95 § 1 mom. i lagen om tjänster inom elektronisk kommunikation (917/2014).</w:t>
      </w:r>
    </w:p>
    <w:p w14:paraId="6B9972AC" w14:textId="77777777" w:rsidR="0069158A" w:rsidRDefault="005B57F6" w:rsidP="00F522EB">
      <w:pPr>
        <w:pStyle w:val="Heading2"/>
        <w:rPr>
          <w:lang w:val="sv-FI"/>
        </w:rPr>
      </w:pPr>
      <w:r w:rsidRPr="003D1951">
        <w:rPr>
          <w:lang w:val="sv-FI"/>
        </w:rPr>
        <w:t>Be</w:t>
      </w:r>
      <w:r w:rsidR="00CD254D" w:rsidRPr="003D1951">
        <w:rPr>
          <w:lang w:val="sv-FI"/>
        </w:rPr>
        <w:t>redning</w:t>
      </w:r>
      <w:r w:rsidRPr="003D1951">
        <w:rPr>
          <w:lang w:val="sv-FI"/>
        </w:rPr>
        <w:t xml:space="preserve"> av föreskriften</w:t>
      </w:r>
    </w:p>
    <w:p w14:paraId="76215FA8" w14:textId="77777777" w:rsidR="00A105EE" w:rsidRPr="006D6EF3" w:rsidRDefault="005B57F6" w:rsidP="00A105EE">
      <w:pPr>
        <w:pStyle w:val="BodyText"/>
        <w:spacing w:after="0"/>
        <w:ind w:left="0"/>
        <w:rPr>
          <w:lang w:val="sv-SE"/>
        </w:rPr>
      </w:pPr>
      <w:r w:rsidRPr="006D6EF3">
        <w:rPr>
          <w:lang w:val="sv-SE"/>
        </w:rPr>
        <w:t xml:space="preserve">Föreskriften har beretts vid </w:t>
      </w:r>
      <w:r>
        <w:rPr>
          <w:lang w:val="sv-SE"/>
        </w:rPr>
        <w:t>Transport- och kommunikationsverket.</w:t>
      </w:r>
    </w:p>
    <w:p w14:paraId="795FA956" w14:textId="77777777" w:rsidR="00A105EE" w:rsidRPr="006D6EF3" w:rsidRDefault="00A105EE" w:rsidP="00A105EE">
      <w:pPr>
        <w:pStyle w:val="BodyText"/>
        <w:spacing w:before="0" w:after="0"/>
        <w:ind w:left="0"/>
        <w:rPr>
          <w:lang w:val="sv-SE"/>
        </w:rPr>
      </w:pPr>
    </w:p>
    <w:p w14:paraId="0D8911D7" w14:textId="20612C28" w:rsidR="00A105EE" w:rsidRPr="00A105EE" w:rsidRDefault="005B57F6" w:rsidP="00A105EE">
      <w:pPr>
        <w:pStyle w:val="BodyText"/>
        <w:spacing w:before="0" w:after="0"/>
        <w:ind w:left="0"/>
        <w:rPr>
          <w:lang w:val="sv-SE"/>
        </w:rPr>
      </w:pPr>
      <w:r w:rsidRPr="006D6EF3">
        <w:rPr>
          <w:lang w:val="sv-SE"/>
        </w:rPr>
        <w:t xml:space="preserve">Av intressentgrupperna har ämbetsverket begärt utlåtanden om föreskriftsutkastet. </w:t>
      </w:r>
      <w:r>
        <w:rPr>
          <w:highlight w:val="yellow"/>
          <w:lang w:val="sv-SE"/>
        </w:rPr>
        <w:t>Remisstiden var</w:t>
      </w:r>
      <w:r w:rsidRPr="006D6EF3">
        <w:rPr>
          <w:highlight w:val="yellow"/>
          <w:lang w:val="sv-SE"/>
        </w:rPr>
        <w:t xml:space="preserve"> xx.xx.202</w:t>
      </w:r>
      <w:r>
        <w:rPr>
          <w:highlight w:val="yellow"/>
          <w:lang w:val="sv-SE"/>
        </w:rPr>
        <w:t>3</w:t>
      </w:r>
      <w:r w:rsidRPr="006D6EF3">
        <w:rPr>
          <w:highlight w:val="yellow"/>
          <w:lang w:val="sv-SE"/>
        </w:rPr>
        <w:t xml:space="preserve"> - xx.xx.202</w:t>
      </w:r>
      <w:r w:rsidR="00182298">
        <w:rPr>
          <w:highlight w:val="yellow"/>
          <w:lang w:val="sv-SE"/>
        </w:rPr>
        <w:t>4</w:t>
      </w:r>
      <w:r w:rsidRPr="006D6EF3">
        <w:rPr>
          <w:highlight w:val="yellow"/>
          <w:lang w:val="sv-SE"/>
        </w:rPr>
        <w:t>. Följande remissinstanser yttrade sig:</w:t>
      </w:r>
    </w:p>
    <w:p w14:paraId="0C204372" w14:textId="77777777" w:rsidR="003D1951" w:rsidRPr="00BA32B5" w:rsidRDefault="005B57F6" w:rsidP="00F522EB">
      <w:pPr>
        <w:pStyle w:val="Heading2"/>
        <w:rPr>
          <w:lang w:val="sv-FI"/>
        </w:rPr>
      </w:pPr>
      <w:r w:rsidRPr="003D1951">
        <w:rPr>
          <w:lang w:val="sv-FI"/>
        </w:rPr>
        <w:t>Utlåtanden</w:t>
      </w:r>
    </w:p>
    <w:p w14:paraId="4CC8164C" w14:textId="67EBAD04" w:rsidR="003D1951" w:rsidRPr="003D1951" w:rsidRDefault="005B57F6" w:rsidP="00A105EE">
      <w:pPr>
        <w:pStyle w:val="BodyText"/>
        <w:ind w:left="0"/>
        <w:rPr>
          <w:lang w:val="sv-FI"/>
        </w:rPr>
      </w:pPr>
      <w:r w:rsidRPr="00A105EE">
        <w:rPr>
          <w:highlight w:val="yellow"/>
          <w:lang w:val="sv-FI"/>
        </w:rPr>
        <w:t>XXX</w:t>
      </w:r>
    </w:p>
    <w:p w14:paraId="330C500E" w14:textId="77777777" w:rsidR="0069158A" w:rsidRDefault="005B57F6" w:rsidP="00F522EB">
      <w:pPr>
        <w:pStyle w:val="Heading2"/>
        <w:rPr>
          <w:lang w:val="sv-FI"/>
        </w:rPr>
      </w:pPr>
      <w:r w:rsidRPr="00CD254D">
        <w:rPr>
          <w:lang w:val="sv-FI"/>
        </w:rPr>
        <w:t xml:space="preserve">Ändringar och </w:t>
      </w:r>
      <w:r>
        <w:rPr>
          <w:lang w:val="sv-FI"/>
        </w:rPr>
        <w:t>bedömning av föreskriftens konsekvenser</w:t>
      </w:r>
    </w:p>
    <w:p w14:paraId="42F6B419" w14:textId="77777777" w:rsidR="00A105EE" w:rsidRDefault="005B57F6" w:rsidP="00A105EE">
      <w:pPr>
        <w:pStyle w:val="List"/>
        <w:numPr>
          <w:ilvl w:val="0"/>
          <w:numId w:val="0"/>
        </w:numPr>
        <w:rPr>
          <w:lang w:val="sv-SE"/>
        </w:rPr>
      </w:pPr>
      <w:r w:rsidRPr="006D6EF3">
        <w:rPr>
          <w:lang w:val="sv-SE"/>
        </w:rPr>
        <w:t>I föreskriften har uppdate</w:t>
      </w:r>
      <w:r w:rsidRPr="006D6EF3">
        <w:rPr>
          <w:lang w:val="sv-SE"/>
        </w:rPr>
        <w:t>rats de nya frekvenshelheter (</w:t>
      </w:r>
      <w:r>
        <w:rPr>
          <w:lang w:val="sv-SE"/>
        </w:rPr>
        <w:t xml:space="preserve">FH 23, FH 24, FH 25, Lahtis 3, </w:t>
      </w:r>
      <w:proofErr w:type="spellStart"/>
      <w:r>
        <w:rPr>
          <w:lang w:val="sv-SE"/>
        </w:rPr>
        <w:t>Kaakkois</w:t>
      </w:r>
      <w:proofErr w:type="spellEnd"/>
      <w:r>
        <w:rPr>
          <w:lang w:val="sv-SE"/>
        </w:rPr>
        <w:t xml:space="preserve">-Suomi 1 och </w:t>
      </w:r>
      <w:proofErr w:type="spellStart"/>
      <w:r>
        <w:rPr>
          <w:lang w:val="sv-SE"/>
        </w:rPr>
        <w:t>Oulu</w:t>
      </w:r>
      <w:proofErr w:type="spellEnd"/>
      <w:r>
        <w:rPr>
          <w:lang w:val="sv-SE"/>
        </w:rPr>
        <w:t xml:space="preserve"> 1</w:t>
      </w:r>
      <w:r w:rsidRPr="006D6EF3">
        <w:rPr>
          <w:lang w:val="sv-SE"/>
        </w:rPr>
        <w:t>) som kommit till efter en kompletteringsomgång för den tidigare versionen av föreskriftensamt lediga frekvenser för koncessionspl</w:t>
      </w:r>
      <w:r w:rsidRPr="003939D0">
        <w:rPr>
          <w:lang w:val="sv-SE"/>
        </w:rPr>
        <w:t>iktig radioverksamhet.</w:t>
      </w:r>
    </w:p>
    <w:p w14:paraId="675C328E" w14:textId="3DFED04A" w:rsidR="00A105EE" w:rsidRDefault="00A105EE" w:rsidP="00A105EE">
      <w:pPr>
        <w:pStyle w:val="List"/>
        <w:numPr>
          <w:ilvl w:val="0"/>
          <w:numId w:val="0"/>
        </w:numPr>
        <w:rPr>
          <w:lang w:val="sv-SE"/>
        </w:rPr>
      </w:pPr>
    </w:p>
    <w:p w14:paraId="7E697BE0" w14:textId="77777777" w:rsidR="00910129" w:rsidRPr="00910129" w:rsidRDefault="005B57F6" w:rsidP="00910129">
      <w:pPr>
        <w:spacing w:after="0" w:line="240" w:lineRule="auto"/>
        <w:rPr>
          <w:rFonts w:eastAsia="Times New Roman" w:cs="Times New Roman"/>
          <w:szCs w:val="24"/>
          <w:lang w:val="sv-SE"/>
        </w:rPr>
      </w:pPr>
      <w:r w:rsidRPr="00910129">
        <w:rPr>
          <w:rFonts w:eastAsia="Times New Roman" w:cs="Times New Roman"/>
          <w:szCs w:val="24"/>
          <w:lang w:val="sv-SE"/>
        </w:rPr>
        <w:t>I föreskriften</w:t>
      </w:r>
      <w:r w:rsidRPr="00910129">
        <w:rPr>
          <w:rFonts w:eastAsia="Times New Roman" w:cs="Times New Roman"/>
          <w:szCs w:val="24"/>
          <w:lang w:val="sv-SE"/>
        </w:rPr>
        <w:t xml:space="preserve"> anvisas också de frekvenser som Rundradion använder i sin radioverksamhet. Rundradions förvaltningsråd har genom sitt beslut av den 7 februari 2023 beslutat avstå från de FM-frekvenser som för närvarande används av </w:t>
      </w:r>
      <w:proofErr w:type="spellStart"/>
      <w:r w:rsidRPr="00910129">
        <w:rPr>
          <w:rFonts w:eastAsia="Times New Roman" w:cs="Times New Roman"/>
          <w:szCs w:val="24"/>
          <w:lang w:val="sv-SE"/>
        </w:rPr>
        <w:t>Yle</w:t>
      </w:r>
      <w:proofErr w:type="spellEnd"/>
      <w:r w:rsidRPr="00910129">
        <w:rPr>
          <w:rFonts w:eastAsia="Times New Roman" w:cs="Times New Roman"/>
          <w:szCs w:val="24"/>
          <w:lang w:val="sv-SE"/>
        </w:rPr>
        <w:t xml:space="preserve"> </w:t>
      </w:r>
      <w:proofErr w:type="spellStart"/>
      <w:r w:rsidRPr="00910129">
        <w:rPr>
          <w:rFonts w:eastAsia="Times New Roman" w:cs="Times New Roman"/>
          <w:szCs w:val="24"/>
          <w:lang w:val="sv-SE"/>
        </w:rPr>
        <w:t>Puhe</w:t>
      </w:r>
      <w:proofErr w:type="spellEnd"/>
      <w:r w:rsidRPr="00910129">
        <w:rPr>
          <w:rFonts w:eastAsia="Times New Roman" w:cs="Times New Roman"/>
          <w:szCs w:val="24"/>
          <w:lang w:val="sv-SE"/>
        </w:rPr>
        <w:t>. I föreskriften har frekvensern</w:t>
      </w:r>
      <w:r w:rsidRPr="00910129">
        <w:rPr>
          <w:rFonts w:eastAsia="Times New Roman" w:cs="Times New Roman"/>
          <w:szCs w:val="24"/>
          <w:lang w:val="sv-SE"/>
        </w:rPr>
        <w:t>a i fråga strukits för de frekvenser som anvisats för Rundradion med undantag för frekvenser som överförts till att användas av Rundradions övriga radionät.</w:t>
      </w:r>
    </w:p>
    <w:p w14:paraId="2FC22E99" w14:textId="77777777" w:rsidR="00910129" w:rsidRPr="00910129" w:rsidRDefault="00910129" w:rsidP="00910129">
      <w:pPr>
        <w:spacing w:after="0" w:line="240" w:lineRule="auto"/>
        <w:rPr>
          <w:rFonts w:eastAsia="Times New Roman" w:cs="Times New Roman"/>
          <w:szCs w:val="24"/>
          <w:lang w:val="sv-SE"/>
        </w:rPr>
      </w:pPr>
    </w:p>
    <w:p w14:paraId="47825E8D" w14:textId="77777777" w:rsidR="00910129" w:rsidRPr="00910129" w:rsidRDefault="005B57F6" w:rsidP="00910129">
      <w:pPr>
        <w:spacing w:after="0" w:line="240" w:lineRule="auto"/>
        <w:rPr>
          <w:rFonts w:eastAsia="Times New Roman" w:cs="Times New Roman"/>
          <w:szCs w:val="24"/>
          <w:lang w:val="sv-SE"/>
        </w:rPr>
      </w:pPr>
      <w:r w:rsidRPr="00910129">
        <w:rPr>
          <w:rFonts w:eastAsia="Times New Roman" w:cs="Times New Roman"/>
          <w:szCs w:val="24"/>
          <w:lang w:val="sv-SE"/>
        </w:rPr>
        <w:t xml:space="preserve">Till följd av avståendet anvisas de lediga frekvenserna för koncessionspliktig </w:t>
      </w:r>
      <w:r w:rsidRPr="00910129">
        <w:rPr>
          <w:rFonts w:eastAsia="Times New Roman" w:cs="Times New Roman"/>
          <w:szCs w:val="24"/>
          <w:lang w:val="sv-SE"/>
        </w:rPr>
        <w:t xml:space="preserve">användning. En del av </w:t>
      </w:r>
      <w:proofErr w:type="spellStart"/>
      <w:r w:rsidRPr="00910129">
        <w:rPr>
          <w:rFonts w:eastAsia="Times New Roman" w:cs="Times New Roman"/>
          <w:szCs w:val="24"/>
          <w:lang w:val="sv-SE"/>
        </w:rPr>
        <w:t>Yle</w:t>
      </w:r>
      <w:proofErr w:type="spellEnd"/>
      <w:r w:rsidRPr="00910129">
        <w:rPr>
          <w:rFonts w:eastAsia="Times New Roman" w:cs="Times New Roman"/>
          <w:szCs w:val="24"/>
          <w:lang w:val="sv-SE"/>
        </w:rPr>
        <w:t xml:space="preserve"> </w:t>
      </w:r>
      <w:proofErr w:type="spellStart"/>
      <w:r w:rsidRPr="00910129">
        <w:rPr>
          <w:rFonts w:eastAsia="Times New Roman" w:cs="Times New Roman"/>
          <w:szCs w:val="24"/>
          <w:lang w:val="sv-SE"/>
        </w:rPr>
        <w:t>Puhes</w:t>
      </w:r>
      <w:proofErr w:type="spellEnd"/>
      <w:r w:rsidRPr="00910129">
        <w:rPr>
          <w:rFonts w:eastAsia="Times New Roman" w:cs="Times New Roman"/>
          <w:szCs w:val="24"/>
          <w:lang w:val="sv-SE"/>
        </w:rPr>
        <w:t xml:space="preserve"> frekvenser som blivit lediga bildar nu </w:t>
      </w:r>
      <w:proofErr w:type="gramStart"/>
      <w:r w:rsidRPr="00910129">
        <w:rPr>
          <w:rFonts w:eastAsia="Times New Roman" w:cs="Times New Roman"/>
          <w:szCs w:val="24"/>
          <w:lang w:val="sv-SE"/>
        </w:rPr>
        <w:t>en ny riksomfattande</w:t>
      </w:r>
      <w:proofErr w:type="gramEnd"/>
      <w:r w:rsidRPr="00910129">
        <w:rPr>
          <w:rFonts w:eastAsia="Times New Roman" w:cs="Times New Roman"/>
          <w:szCs w:val="24"/>
          <w:lang w:val="sv-SE"/>
        </w:rPr>
        <w:t xml:space="preserve"> frekvenshelhet 26. De övriga </w:t>
      </w:r>
      <w:proofErr w:type="spellStart"/>
      <w:r w:rsidRPr="00910129">
        <w:rPr>
          <w:rFonts w:eastAsia="Times New Roman" w:cs="Times New Roman"/>
          <w:szCs w:val="24"/>
          <w:lang w:val="sv-SE"/>
        </w:rPr>
        <w:t>Yle</w:t>
      </w:r>
      <w:proofErr w:type="spellEnd"/>
      <w:r w:rsidRPr="00910129">
        <w:rPr>
          <w:rFonts w:eastAsia="Times New Roman" w:cs="Times New Roman"/>
          <w:szCs w:val="24"/>
          <w:lang w:val="sv-SE"/>
        </w:rPr>
        <w:t xml:space="preserve"> </w:t>
      </w:r>
      <w:proofErr w:type="spellStart"/>
      <w:r w:rsidRPr="00910129">
        <w:rPr>
          <w:rFonts w:eastAsia="Times New Roman" w:cs="Times New Roman"/>
          <w:szCs w:val="24"/>
          <w:lang w:val="sv-SE"/>
        </w:rPr>
        <w:t>Puhes</w:t>
      </w:r>
      <w:proofErr w:type="spellEnd"/>
      <w:r w:rsidRPr="00910129">
        <w:rPr>
          <w:rFonts w:eastAsia="Times New Roman" w:cs="Times New Roman"/>
          <w:szCs w:val="24"/>
          <w:lang w:val="sv-SE"/>
        </w:rPr>
        <w:t xml:space="preserve"> frekvenser anvisas för koncessionspliktig användning som enstaka frekvenser.</w:t>
      </w:r>
    </w:p>
    <w:p w14:paraId="6F721F30" w14:textId="77777777" w:rsidR="00910129" w:rsidRPr="00910129" w:rsidRDefault="005B57F6" w:rsidP="00910129">
      <w:pPr>
        <w:pStyle w:val="List"/>
        <w:numPr>
          <w:ilvl w:val="0"/>
          <w:numId w:val="0"/>
        </w:numPr>
        <w:rPr>
          <w:lang w:val="sv-SE"/>
        </w:rPr>
      </w:pPr>
      <w:r w:rsidRPr="00910129">
        <w:rPr>
          <w:lang w:val="sv-SE"/>
        </w:rPr>
        <w:t>Även andra lediga frekvenser som kan användas fö</w:t>
      </w:r>
      <w:r w:rsidRPr="00910129">
        <w:rPr>
          <w:lang w:val="sv-SE"/>
        </w:rPr>
        <w:t>r koncessionspliktig radioverksamhet har uppdaterats i föreskriften i enlighet med det aktuella läget. Frekvenserna har antingen blivit lediga efter tidigare ansökningsomgångar för programkoncessioner för radio eller de har frigjorts när innehavare av prog</w:t>
      </w:r>
      <w:r w:rsidRPr="00910129">
        <w:rPr>
          <w:lang w:val="sv-SE"/>
        </w:rPr>
        <w:t>ramkoncessioner har avstått från dem efter den senaste koncessionsomgången och anmält detta till Transport- och kommunikationsverket.</w:t>
      </w:r>
    </w:p>
    <w:p w14:paraId="082357B9" w14:textId="77777777" w:rsidR="00910129" w:rsidRPr="00910129" w:rsidRDefault="00910129" w:rsidP="00910129">
      <w:pPr>
        <w:pStyle w:val="List"/>
        <w:numPr>
          <w:ilvl w:val="0"/>
          <w:numId w:val="0"/>
        </w:numPr>
        <w:rPr>
          <w:lang w:val="sv-SE"/>
        </w:rPr>
      </w:pPr>
    </w:p>
    <w:p w14:paraId="4EE8FB3E" w14:textId="77777777" w:rsidR="00910129" w:rsidRPr="00063837" w:rsidRDefault="005B57F6" w:rsidP="00910129">
      <w:pPr>
        <w:pStyle w:val="List"/>
        <w:numPr>
          <w:ilvl w:val="0"/>
          <w:numId w:val="0"/>
        </w:numPr>
        <w:rPr>
          <w:lang w:val="sv-SE"/>
        </w:rPr>
      </w:pPr>
      <w:r w:rsidRPr="00910129">
        <w:rPr>
          <w:lang w:val="sv-SE"/>
        </w:rPr>
        <w:t xml:space="preserve">Koordineringen pågår för tre enstaka frekvenser som ska anvisas för koncessionspliktig användning och därför är </w:t>
      </w:r>
      <w:r w:rsidRPr="00910129">
        <w:rPr>
          <w:lang w:val="sv-SE"/>
        </w:rPr>
        <w:t>frekvenserna i fråga villkorliga till dess att koordineringen blir färdig.</w:t>
      </w:r>
    </w:p>
    <w:p w14:paraId="5AFB6BB6" w14:textId="77777777" w:rsidR="00910129" w:rsidRPr="00063837" w:rsidRDefault="00910129" w:rsidP="00910129">
      <w:pPr>
        <w:pStyle w:val="List"/>
        <w:numPr>
          <w:ilvl w:val="0"/>
          <w:numId w:val="0"/>
        </w:numPr>
        <w:rPr>
          <w:lang w:val="sv-SE"/>
        </w:rPr>
      </w:pPr>
    </w:p>
    <w:p w14:paraId="73898969" w14:textId="755B4EEE" w:rsidR="00910129" w:rsidRDefault="005B57F6" w:rsidP="00A105EE">
      <w:pPr>
        <w:pStyle w:val="List"/>
        <w:numPr>
          <w:ilvl w:val="0"/>
          <w:numId w:val="0"/>
        </w:numPr>
        <w:rPr>
          <w:lang w:val="sv-SE"/>
        </w:rPr>
      </w:pPr>
      <w:r w:rsidRPr="002E312F">
        <w:rPr>
          <w:lang w:val="sv-SE"/>
        </w:rPr>
        <w:lastRenderedPageBreak/>
        <w:t xml:space="preserve">Föreskrift 70 </w:t>
      </w:r>
      <w:r>
        <w:rPr>
          <w:lang w:val="sv-SE"/>
        </w:rPr>
        <w:t>L</w:t>
      </w:r>
      <w:r w:rsidRPr="002E312F">
        <w:rPr>
          <w:lang w:val="sv-SE"/>
        </w:rPr>
        <w:t xml:space="preserve">, som nu träder i kraft, är föreskriftens </w:t>
      </w:r>
      <w:r>
        <w:rPr>
          <w:lang w:val="sv-SE"/>
        </w:rPr>
        <w:t>trettonde</w:t>
      </w:r>
      <w:r w:rsidRPr="002E312F">
        <w:rPr>
          <w:lang w:val="sv-SE"/>
        </w:rPr>
        <w:t xml:space="preserve"> version.</w:t>
      </w:r>
    </w:p>
    <w:p w14:paraId="6B6FFCB5" w14:textId="77777777" w:rsidR="005329EC" w:rsidRPr="00910129" w:rsidRDefault="005329EC" w:rsidP="005329EC">
      <w:pPr>
        <w:spacing w:after="0" w:line="240" w:lineRule="auto"/>
        <w:rPr>
          <w:rFonts w:eastAsia="Times New Roman" w:cs="Times New Roman"/>
          <w:szCs w:val="24"/>
          <w:lang w:val="sv-SE"/>
        </w:rPr>
      </w:pPr>
    </w:p>
    <w:p w14:paraId="7AA81FD2" w14:textId="77777777" w:rsidR="005329EC" w:rsidRDefault="005B57F6" w:rsidP="005329EC">
      <w:pPr>
        <w:pStyle w:val="List"/>
        <w:numPr>
          <w:ilvl w:val="0"/>
          <w:numId w:val="0"/>
        </w:numPr>
        <w:rPr>
          <w:lang w:val="sv-SE"/>
        </w:rPr>
      </w:pPr>
      <w:r w:rsidRPr="00910129">
        <w:rPr>
          <w:lang w:val="sv-SE"/>
        </w:rPr>
        <w:t>Föreskriften innehåller också vissa nödvändiga uppdateringar med anledning av ändringarna i befolknings</w:t>
      </w:r>
      <w:r w:rsidRPr="00910129">
        <w:rPr>
          <w:lang w:val="sv-SE"/>
        </w:rPr>
        <w:t>täckningen för frekvenshelheter för radio.</w:t>
      </w:r>
    </w:p>
    <w:p w14:paraId="224385B5" w14:textId="77777777" w:rsidR="005329EC" w:rsidRPr="005329EC" w:rsidRDefault="005329EC" w:rsidP="00A105EE">
      <w:pPr>
        <w:pStyle w:val="List"/>
        <w:numPr>
          <w:ilvl w:val="0"/>
          <w:numId w:val="0"/>
        </w:numPr>
        <w:rPr>
          <w:lang w:val="sv-SE"/>
        </w:rPr>
      </w:pPr>
    </w:p>
    <w:p w14:paraId="5945A33C" w14:textId="002F8750" w:rsidR="00A105EE" w:rsidRDefault="005B57F6" w:rsidP="00A105EE">
      <w:pPr>
        <w:pStyle w:val="List"/>
        <w:numPr>
          <w:ilvl w:val="0"/>
          <w:numId w:val="0"/>
        </w:numPr>
        <w:rPr>
          <w:lang w:val="sv-SE"/>
        </w:rPr>
      </w:pPr>
      <w:r w:rsidRPr="002E312F">
        <w:rPr>
          <w:lang w:val="sv-SE"/>
        </w:rPr>
        <w:t xml:space="preserve">Föreskrift 70 </w:t>
      </w:r>
      <w:r>
        <w:rPr>
          <w:lang w:val="sv-SE"/>
        </w:rPr>
        <w:t>L</w:t>
      </w:r>
      <w:r w:rsidRPr="002E312F">
        <w:rPr>
          <w:lang w:val="sv-SE"/>
        </w:rPr>
        <w:t xml:space="preserve">, som nu träder i kraft, är föreskriftens </w:t>
      </w:r>
      <w:r>
        <w:rPr>
          <w:lang w:val="sv-SE"/>
        </w:rPr>
        <w:t>trettonde</w:t>
      </w:r>
      <w:r w:rsidRPr="002E312F">
        <w:rPr>
          <w:lang w:val="sv-SE"/>
        </w:rPr>
        <w:t xml:space="preserve"> version.</w:t>
      </w:r>
    </w:p>
    <w:p w14:paraId="7559E773" w14:textId="77777777" w:rsidR="002E312F" w:rsidRDefault="002E312F" w:rsidP="002E312F">
      <w:pPr>
        <w:pStyle w:val="List"/>
        <w:numPr>
          <w:ilvl w:val="0"/>
          <w:numId w:val="0"/>
        </w:numPr>
        <w:rPr>
          <w:lang w:val="sv-SE"/>
        </w:rPr>
      </w:pPr>
    </w:p>
    <w:p w14:paraId="71F91B66" w14:textId="77777777" w:rsidR="002E312F" w:rsidRPr="002E312F" w:rsidRDefault="005B57F6" w:rsidP="002E312F">
      <w:pPr>
        <w:pStyle w:val="BodyText"/>
        <w:spacing w:after="0" w:line="276" w:lineRule="auto"/>
        <w:ind w:left="0"/>
        <w:rPr>
          <w:i/>
          <w:iCs/>
          <w:lang w:val="sv-SE"/>
        </w:rPr>
      </w:pPr>
      <w:r w:rsidRPr="002E312F">
        <w:rPr>
          <w:i/>
          <w:iCs/>
          <w:lang w:val="sv-SE"/>
        </w:rPr>
        <w:t>Konsekvenser för informationssamhället</w:t>
      </w:r>
    </w:p>
    <w:p w14:paraId="42ADBB80" w14:textId="1DFEE2BC" w:rsidR="002E312F" w:rsidRDefault="005B57F6" w:rsidP="002E312F">
      <w:pPr>
        <w:pStyle w:val="BodyText"/>
        <w:spacing w:after="0"/>
        <w:ind w:left="0"/>
        <w:rPr>
          <w:lang w:val="sv-SE"/>
        </w:rPr>
      </w:pPr>
      <w:r w:rsidRPr="002E312F">
        <w:rPr>
          <w:lang w:val="sv-SE"/>
        </w:rPr>
        <w:t>Ändringarna stöder förmedling av aktuell information till branschen om programkoncessioner för r</w:t>
      </w:r>
      <w:r w:rsidRPr="002E312F">
        <w:rPr>
          <w:lang w:val="sv-SE"/>
        </w:rPr>
        <w:t>adio, lediga frekvenser för radioverksamhet och kanaler som är avsedda för televisionsnät.</w:t>
      </w:r>
    </w:p>
    <w:p w14:paraId="11BB28C6" w14:textId="77777777" w:rsidR="002E312F" w:rsidRPr="002E312F" w:rsidRDefault="002E312F" w:rsidP="002E312F">
      <w:pPr>
        <w:pStyle w:val="BodyText"/>
        <w:spacing w:before="0" w:after="0"/>
        <w:ind w:left="0"/>
        <w:rPr>
          <w:lang w:val="sv-SE"/>
        </w:rPr>
      </w:pPr>
    </w:p>
    <w:p w14:paraId="65BDE824" w14:textId="77777777" w:rsidR="002E312F" w:rsidRPr="002E312F" w:rsidRDefault="005B57F6" w:rsidP="002E312F">
      <w:pPr>
        <w:pStyle w:val="BodyText"/>
        <w:spacing w:after="0"/>
        <w:ind w:left="0"/>
        <w:rPr>
          <w:i/>
          <w:iCs/>
          <w:lang w:val="sv-SE"/>
        </w:rPr>
      </w:pPr>
      <w:r w:rsidRPr="002E312F">
        <w:rPr>
          <w:i/>
          <w:iCs/>
          <w:lang w:val="sv-SE"/>
        </w:rPr>
        <w:t>Konsekvenser för myndighetens verksamhet</w:t>
      </w:r>
    </w:p>
    <w:p w14:paraId="587B2819" w14:textId="4574B3D6" w:rsidR="002E312F" w:rsidRDefault="005B57F6" w:rsidP="00910129">
      <w:pPr>
        <w:spacing w:after="0" w:line="240" w:lineRule="auto"/>
        <w:rPr>
          <w:rFonts w:eastAsia="Times New Roman" w:cs="Times New Roman"/>
          <w:szCs w:val="24"/>
          <w:lang w:val="sv-SE"/>
        </w:rPr>
      </w:pPr>
      <w:r w:rsidRPr="002E312F">
        <w:rPr>
          <w:lang w:val="sv-SE"/>
        </w:rPr>
        <w:t>Föreskriften stöder Transport- och kommunikationsverkets koncessionsprocess.</w:t>
      </w:r>
      <w:r w:rsidRPr="00910129">
        <w:rPr>
          <w:rFonts w:eastAsia="Times New Roman" w:cs="Times New Roman"/>
          <w:szCs w:val="24"/>
          <w:lang w:val="sv-SE"/>
        </w:rPr>
        <w:t xml:space="preserve"> I föreskriften beskrivs på ett transparent sät</w:t>
      </w:r>
      <w:r w:rsidRPr="00910129">
        <w:rPr>
          <w:rFonts w:eastAsia="Times New Roman" w:cs="Times New Roman"/>
          <w:szCs w:val="24"/>
          <w:lang w:val="sv-SE"/>
        </w:rPr>
        <w:t>t hur täckningsområdena beräknas, vilket också främjar en mer omfattande öppenhet i myndighetsverksamheten.</w:t>
      </w:r>
    </w:p>
    <w:p w14:paraId="2923E64B" w14:textId="77777777" w:rsidR="00910129" w:rsidRPr="00910129" w:rsidRDefault="00910129" w:rsidP="00910129">
      <w:pPr>
        <w:spacing w:after="0" w:line="240" w:lineRule="auto"/>
        <w:rPr>
          <w:rFonts w:eastAsia="Times New Roman" w:cs="Times New Roman"/>
          <w:szCs w:val="24"/>
          <w:lang w:val="sv-SE"/>
        </w:rPr>
      </w:pPr>
    </w:p>
    <w:p w14:paraId="07BE20B3" w14:textId="77777777" w:rsidR="002E312F" w:rsidRPr="002E312F" w:rsidRDefault="005B57F6" w:rsidP="002E312F">
      <w:pPr>
        <w:pStyle w:val="BodyText"/>
        <w:spacing w:after="0"/>
        <w:ind w:left="0"/>
        <w:rPr>
          <w:i/>
          <w:iCs/>
          <w:lang w:val="sv-SE"/>
        </w:rPr>
      </w:pPr>
      <w:r w:rsidRPr="002E312F">
        <w:rPr>
          <w:i/>
          <w:iCs/>
          <w:lang w:val="sv-SE"/>
        </w:rPr>
        <w:t>Konsekvenser för kundernas, intressentgruppernas och medborgarnas verksamhet</w:t>
      </w:r>
    </w:p>
    <w:p w14:paraId="157C40AE" w14:textId="679DD549" w:rsidR="001C2547" w:rsidRPr="00380B9E" w:rsidRDefault="005B57F6" w:rsidP="00380B9E">
      <w:pPr>
        <w:pStyle w:val="BodyText"/>
        <w:spacing w:after="0"/>
        <w:ind w:left="0"/>
        <w:rPr>
          <w:lang w:val="sv-SE"/>
        </w:rPr>
      </w:pPr>
      <w:r w:rsidRPr="002E312F">
        <w:rPr>
          <w:lang w:val="sv-SE"/>
        </w:rPr>
        <w:t xml:space="preserve">Föreskriften är inte förpliktande för aktörer och medför inte några direkta ekonomiska konsekvenser. </w:t>
      </w:r>
      <w:r w:rsidRPr="00905FE6">
        <w:rPr>
          <w:lang w:val="sv-SE"/>
        </w:rPr>
        <w:t>Föreskriften har dock indirekta konsekvenser för radiomarknaden och utvecklingen av konkurrensläget med tanke på att lediga radiofrekvenser anvisas och det</w:t>
      </w:r>
      <w:r w:rsidRPr="00905FE6">
        <w:rPr>
          <w:lang w:val="sv-SE"/>
        </w:rPr>
        <w:t xml:space="preserve"> aktuella läget med programkoncessioner anges</w:t>
      </w:r>
      <w:r w:rsidRPr="002E312F">
        <w:rPr>
          <w:lang w:val="sv-SE"/>
        </w:rPr>
        <w:t>.</w:t>
      </w:r>
      <w:r w:rsidRPr="007864E5">
        <w:rPr>
          <w:lang w:val="sv-SE"/>
        </w:rPr>
        <w:t xml:space="preserve"> </w:t>
      </w:r>
      <w:r w:rsidRPr="00910129">
        <w:rPr>
          <w:lang w:val="sv-SE"/>
        </w:rPr>
        <w:t>Att anvisa nya lediga frekvenser möjliggör utvecklingen av radiomarknaden också på ett sätt som kommer medborgarna till nytta.</w:t>
      </w:r>
      <w:r>
        <w:rPr>
          <w:lang w:val="sv-SE"/>
        </w:rPr>
        <w:t xml:space="preserve"> </w:t>
      </w:r>
      <w:r w:rsidRPr="00063837">
        <w:rPr>
          <w:lang w:val="sv-SE"/>
        </w:rPr>
        <w:t>Föreskriften stöder ett jämlikt förfarande för aktörerna.</w:t>
      </w:r>
    </w:p>
    <w:p w14:paraId="47E3770F" w14:textId="4D3D276C" w:rsidR="003D1951" w:rsidRDefault="005B57F6" w:rsidP="00F522EB">
      <w:pPr>
        <w:pStyle w:val="Heading2"/>
        <w:rPr>
          <w:lang w:val="sv-FI"/>
        </w:rPr>
      </w:pPr>
      <w:r w:rsidRPr="003D1951">
        <w:rPr>
          <w:lang w:val="sv-FI"/>
        </w:rPr>
        <w:t>Föreskriftens tidsplan/i</w:t>
      </w:r>
      <w:r w:rsidRPr="003D1951">
        <w:rPr>
          <w:lang w:val="sv-FI"/>
        </w:rPr>
        <w:t>kraftträdande</w:t>
      </w:r>
    </w:p>
    <w:p w14:paraId="03D9FABE" w14:textId="0AD92520" w:rsidR="0069158A" w:rsidRDefault="005B57F6" w:rsidP="00295392">
      <w:pPr>
        <w:pStyle w:val="BodyText"/>
        <w:ind w:left="0"/>
        <w:rPr>
          <w:rFonts w:cs="Verdana"/>
          <w:szCs w:val="20"/>
          <w:lang w:val="sv-SE"/>
        </w:rPr>
      </w:pPr>
      <w:r w:rsidRPr="00380B9E">
        <w:rPr>
          <w:rFonts w:cs="Verdana"/>
          <w:szCs w:val="20"/>
          <w:lang w:val="sv-SE"/>
        </w:rPr>
        <w:t>Föreskriften avses träda i kraft</w:t>
      </w:r>
      <w:r>
        <w:rPr>
          <w:rFonts w:cs="Verdana"/>
          <w:szCs w:val="20"/>
          <w:lang w:val="sv-SE"/>
        </w:rPr>
        <w:t xml:space="preserve"> i</w:t>
      </w:r>
      <w:r w:rsidRPr="00380B9E">
        <w:rPr>
          <w:rFonts w:cs="Verdana"/>
          <w:szCs w:val="20"/>
          <w:lang w:val="sv-SE"/>
        </w:rPr>
        <w:t xml:space="preserve"> </w:t>
      </w:r>
      <w:r>
        <w:rPr>
          <w:rFonts w:cs="Verdana"/>
          <w:szCs w:val="20"/>
          <w:lang w:val="sv-SE"/>
        </w:rPr>
        <w:t>januari eller februari</w:t>
      </w:r>
      <w:r w:rsidRPr="00380B9E">
        <w:rPr>
          <w:rFonts w:cs="Verdana"/>
          <w:szCs w:val="20"/>
          <w:lang w:val="sv-SE"/>
        </w:rPr>
        <w:t xml:space="preserve"> 202</w:t>
      </w:r>
      <w:r>
        <w:rPr>
          <w:rFonts w:cs="Verdana"/>
          <w:szCs w:val="20"/>
          <w:lang w:val="sv-SE"/>
        </w:rPr>
        <w:t>4.</w:t>
      </w:r>
    </w:p>
    <w:p w14:paraId="16AB9550" w14:textId="77777777" w:rsidR="00380B9E" w:rsidRPr="00380B9E" w:rsidRDefault="005B57F6" w:rsidP="005329EC">
      <w:pPr>
        <w:pStyle w:val="Heading2"/>
        <w:rPr>
          <w:lang w:val="sv-SE"/>
        </w:rPr>
      </w:pPr>
      <w:r w:rsidRPr="00380B9E">
        <w:rPr>
          <w:lang w:val="sv-SE"/>
        </w:rPr>
        <w:t>Information om föreskriften</w:t>
      </w:r>
    </w:p>
    <w:p w14:paraId="6F486D35" w14:textId="4F8BDC41" w:rsidR="00380B9E" w:rsidRPr="00380B9E" w:rsidRDefault="005B57F6" w:rsidP="00380B9E">
      <w:pPr>
        <w:pStyle w:val="BodyText"/>
        <w:ind w:left="0"/>
        <w:rPr>
          <w:rFonts w:cs="Verdana"/>
          <w:szCs w:val="20"/>
          <w:lang w:val="sv-SE"/>
        </w:rPr>
      </w:pPr>
      <w:r w:rsidRPr="00380B9E">
        <w:rPr>
          <w:rFonts w:cs="Verdana"/>
          <w:szCs w:val="20"/>
          <w:lang w:val="sv-SE"/>
        </w:rPr>
        <w:t>Den färdiga föreskriften publiceras i Transport- och kommunikationsverkets föreskriftssamling på finlex.fi och på Transport- och kommunikationsverkets</w:t>
      </w:r>
      <w:r w:rsidRPr="00380B9E">
        <w:rPr>
          <w:rFonts w:cs="Verdana"/>
          <w:szCs w:val="20"/>
          <w:lang w:val="sv-SE"/>
        </w:rPr>
        <w:t xml:space="preserve"> webbsidor.</w:t>
      </w:r>
    </w:p>
    <w:sectPr w:rsidR="00380B9E" w:rsidRPr="00380B9E" w:rsidSect="00D62C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3271" w14:textId="77777777" w:rsidR="00000000" w:rsidRDefault="005B57F6">
      <w:pPr>
        <w:spacing w:after="0" w:line="240" w:lineRule="auto"/>
      </w:pPr>
      <w:r>
        <w:separator/>
      </w:r>
    </w:p>
  </w:endnote>
  <w:endnote w:type="continuationSeparator" w:id="0">
    <w:p w14:paraId="7DBC208A" w14:textId="77777777" w:rsidR="00000000" w:rsidRDefault="005B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860" w14:textId="77777777" w:rsidR="00D20384" w:rsidRPr="003F7DD0" w:rsidRDefault="005B57F6" w:rsidP="00D62C5A">
    <w:pPr>
      <w:pStyle w:val="Footer"/>
      <w:tabs>
        <w:tab w:val="clear" w:pos="4819"/>
        <w:tab w:val="clear" w:pos="9638"/>
        <w:tab w:val="right" w:pos="9781"/>
      </w:tabs>
      <w:ind w:right="-30"/>
      <w:rPr>
        <w:lang w:val="sv-FI"/>
      </w:rPr>
    </w:pPr>
    <w:r w:rsidRPr="003F7DD0">
      <w:rPr>
        <w:lang w:val="sv-FI"/>
      </w:rPr>
      <w:t>Transport- och kommunikationsverket Traf</w:t>
    </w:r>
    <w:r w:rsidR="00D62C5A">
      <w:rPr>
        <w:lang w:val="sv-FI"/>
      </w:rPr>
      <w:t>icom ▪ PB 320, 00059 TRAFICOM</w:t>
    </w:r>
    <w:r w:rsidR="00D62C5A">
      <w:rPr>
        <w:lang w:val="sv-FI"/>
      </w:rPr>
      <w:br/>
    </w:r>
    <w:r w:rsidRPr="003F7DD0">
      <w:rPr>
        <w:lang w:val="sv-FI"/>
      </w:rPr>
      <w:t xml:space="preserve">Tfn 029 </w:t>
    </w:r>
    <w:r w:rsidR="00D62C5A">
      <w:rPr>
        <w:lang w:val="sv-FI"/>
      </w:rPr>
      <w:t xml:space="preserve">534 5000 ▪ FO-nummer </w:t>
    </w:r>
    <w:proofErr w:type="gramStart"/>
    <w:r w:rsidR="00D62C5A">
      <w:rPr>
        <w:lang w:val="sv-FI"/>
      </w:rPr>
      <w:t>2924753-3</w:t>
    </w:r>
    <w:proofErr w:type="gramEnd"/>
    <w:r w:rsidR="00D62C5A">
      <w:rPr>
        <w:lang w:val="sv-FI"/>
      </w:rPr>
      <w:t xml:space="preserve"> </w:t>
    </w:r>
    <w:r w:rsidR="00D62C5A">
      <w:rPr>
        <w:lang w:val="sv-FI"/>
      </w:rPr>
      <w:tab/>
    </w:r>
    <w:r w:rsidRPr="003F7DD0">
      <w:rPr>
        <w:lang w:val="sv-FI"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8B14" w14:textId="77777777" w:rsidR="009C54D8" w:rsidRDefault="005B57F6" w:rsidP="009342B5">
    <w:pPr>
      <w:pStyle w:val="Footer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252559C1" w14:textId="77777777" w:rsidR="00E578A9" w:rsidRPr="009C54D8" w:rsidRDefault="005B57F6" w:rsidP="00700414">
    <w:pPr>
      <w:pStyle w:val="Footer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D990" w14:textId="77777777" w:rsidR="00000000" w:rsidRDefault="005B57F6">
      <w:pPr>
        <w:spacing w:after="0" w:line="240" w:lineRule="auto"/>
      </w:pPr>
      <w:r>
        <w:separator/>
      </w:r>
    </w:p>
  </w:footnote>
  <w:footnote w:type="continuationSeparator" w:id="0">
    <w:p w14:paraId="4A8799F6" w14:textId="77777777" w:rsidR="00000000" w:rsidRDefault="005B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5100" w14:textId="77777777" w:rsidR="00F522EB" w:rsidRPr="00A105EE" w:rsidRDefault="005B57F6" w:rsidP="00D62C5A">
    <w:pPr>
      <w:tabs>
        <w:tab w:val="right" w:pos="9781"/>
      </w:tabs>
      <w:spacing w:after="0" w:line="240" w:lineRule="auto"/>
      <w:ind w:left="851" w:firstLine="4252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724277</wp:posOffset>
          </wp:positionH>
          <wp:positionV relativeFrom="page">
            <wp:posOffset>398352</wp:posOffset>
          </wp:positionV>
          <wp:extent cx="2139938" cy="467999"/>
          <wp:effectExtent l="0" t="0" r="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38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05EE">
      <w:rPr>
        <w:rFonts w:eastAsia="Calibri" w:cs="Calibri"/>
        <w:b/>
        <w:sz w:val="22"/>
      </w:rPr>
      <w:t>P</w:t>
    </w:r>
    <w:r w:rsidR="00CB3404" w:rsidRPr="00A105EE">
      <w:rPr>
        <w:rFonts w:eastAsia="Calibri" w:cs="Calibri"/>
        <w:b/>
        <w:sz w:val="22"/>
      </w:rPr>
      <w:t>romemoria</w:t>
    </w:r>
    <w:r w:rsidRPr="00A105EE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A105EE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894A9F" w:rsidRPr="00A105EE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A105EE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A105EE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894A9F" w:rsidRPr="00A105EE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A105EE">
      <w:rPr>
        <w:rFonts w:eastAsia="Calibri" w:cs="Calibri"/>
      </w:rPr>
      <w:t>)</w:t>
    </w:r>
  </w:p>
  <w:p w14:paraId="5FE119BB" w14:textId="77777777" w:rsidR="00F522EB" w:rsidRPr="00A105EE" w:rsidRDefault="00F522EB" w:rsidP="00D62C5A">
    <w:pPr>
      <w:tabs>
        <w:tab w:val="right" w:pos="9781"/>
      </w:tabs>
      <w:spacing w:after="0" w:line="240" w:lineRule="auto"/>
      <w:ind w:left="851" w:firstLine="4252"/>
      <w:rPr>
        <w:rFonts w:eastAsia="Calibri" w:cs="Calibri"/>
      </w:rPr>
    </w:pPr>
  </w:p>
  <w:p w14:paraId="232D79BA" w14:textId="77777777" w:rsidR="00295392" w:rsidRDefault="005B57F6" w:rsidP="00295392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t>TRAFICOM/</w:t>
    </w:r>
    <w:r w:rsidRPr="00CC3E06">
      <w:rPr>
        <w:rFonts w:eastAsia="Times New Roman" w:cs="Times New Roman"/>
        <w:szCs w:val="24"/>
      </w:rPr>
      <w:t>574329/03.04.05.00/2023</w:t>
    </w:r>
  </w:p>
  <w:p w14:paraId="2AD5E481" w14:textId="39CEA3FC" w:rsidR="00F522EB" w:rsidRPr="00295392" w:rsidRDefault="005B57F6" w:rsidP="00295392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  <w:r>
      <w:rPr>
        <w:rFonts w:eastAsia="Calibri" w:cs="Calibri"/>
        <w:szCs w:val="20"/>
      </w:rPr>
      <w:t>70 L/2023 M</w:t>
    </w:r>
  </w:p>
  <w:p w14:paraId="6AABFBBB" w14:textId="77777777" w:rsidR="00DF26C4" w:rsidRPr="00A105EE" w:rsidRDefault="00DF26C4" w:rsidP="00DF26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2621B0" w14:paraId="18302053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13EAB256" w14:textId="77777777" w:rsidR="00E578A9" w:rsidRDefault="005B57F6" w:rsidP="00E578A9">
          <w:pPr>
            <w:pStyle w:val="Header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2DC85759" w14:textId="77777777" w:rsidR="00E578A9" w:rsidRDefault="005B57F6" w:rsidP="00E578A9">
          <w:pPr>
            <w:pStyle w:val="Header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79CBBD75" w14:textId="77777777" w:rsidR="00E578A9" w:rsidRDefault="005B57F6" w:rsidP="00E578A9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  <w:tr w:rsidR="002621B0" w14:paraId="5B4056FC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0954DC82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179C1E3A" w14:textId="77777777" w:rsidR="00E578A9" w:rsidRDefault="005B57F6" w:rsidP="009C5068">
          <w:pPr>
            <w:pStyle w:val="Header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2621B0" w14:paraId="7D8C11FE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4E55D910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4E751AA5" w14:textId="77777777" w:rsidR="00E578A9" w:rsidRDefault="00E578A9" w:rsidP="00B93472">
          <w:pPr>
            <w:pStyle w:val="Header"/>
          </w:pPr>
        </w:p>
      </w:tc>
    </w:tr>
    <w:tr w:rsidR="002621B0" w14:paraId="79A8157A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019B2641" w14:textId="77777777" w:rsidR="00E578A9" w:rsidRDefault="00E578A9" w:rsidP="00E578A9">
          <w:pPr>
            <w:pStyle w:val="Header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38172B29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6BDF896D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</w:tr>
  </w:tbl>
  <w:p w14:paraId="404CE554" w14:textId="77777777" w:rsidR="00E578A9" w:rsidRDefault="00E5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EFEC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EC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8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E2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1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84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6E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65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22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591"/>
    <w:multiLevelType w:val="hybridMultilevel"/>
    <w:tmpl w:val="9E641430"/>
    <w:lvl w:ilvl="0" w:tplc="57BA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0C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7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CC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68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5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A1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ED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95B"/>
    <w:multiLevelType w:val="hybridMultilevel"/>
    <w:tmpl w:val="601EFBAC"/>
    <w:lvl w:ilvl="0" w:tplc="57D4F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4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40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8E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4B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D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01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A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875"/>
    <w:multiLevelType w:val="hybridMultilevel"/>
    <w:tmpl w:val="063C9DF6"/>
    <w:lvl w:ilvl="0" w:tplc="798A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D3D4175C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2A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7196E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B42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4B8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C6A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3C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FC8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6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4173"/>
    <w:multiLevelType w:val="multilevel"/>
    <w:tmpl w:val="16C26C0E"/>
    <w:lvl w:ilvl="0">
      <w:start w:val="1"/>
      <w:numFmt w:val="bullet"/>
      <w:pStyle w:val="Lis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9" w15:restartNumberingAfterBreak="0">
    <w:nsid w:val="6D4D679C"/>
    <w:multiLevelType w:val="hybridMultilevel"/>
    <w:tmpl w:val="ACF4892C"/>
    <w:lvl w:ilvl="0" w:tplc="36DE645C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A9DA921A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61B61380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77185908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FE72E1D0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78946068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EEB8C728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BBC27396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B15A64F2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EE"/>
    <w:rsid w:val="000145B2"/>
    <w:rsid w:val="00063837"/>
    <w:rsid w:val="000973F0"/>
    <w:rsid w:val="000D279D"/>
    <w:rsid w:val="000D34DC"/>
    <w:rsid w:val="000D6B04"/>
    <w:rsid w:val="000E36FF"/>
    <w:rsid w:val="000E7EE4"/>
    <w:rsid w:val="000F59B8"/>
    <w:rsid w:val="00105222"/>
    <w:rsid w:val="00112884"/>
    <w:rsid w:val="001263AE"/>
    <w:rsid w:val="00135E93"/>
    <w:rsid w:val="0014493A"/>
    <w:rsid w:val="00151C1A"/>
    <w:rsid w:val="00180DD1"/>
    <w:rsid w:val="00182298"/>
    <w:rsid w:val="0018566F"/>
    <w:rsid w:val="001A75C8"/>
    <w:rsid w:val="001B3D26"/>
    <w:rsid w:val="001C2547"/>
    <w:rsid w:val="001D6FD0"/>
    <w:rsid w:val="001D7D72"/>
    <w:rsid w:val="001E5D5A"/>
    <w:rsid w:val="00200AF0"/>
    <w:rsid w:val="00240B2E"/>
    <w:rsid w:val="00246B7D"/>
    <w:rsid w:val="002519F0"/>
    <w:rsid w:val="002621B0"/>
    <w:rsid w:val="00292F4C"/>
    <w:rsid w:val="00295392"/>
    <w:rsid w:val="00295456"/>
    <w:rsid w:val="002959A9"/>
    <w:rsid w:val="002A1CE8"/>
    <w:rsid w:val="002A3FA9"/>
    <w:rsid w:val="002C3FBE"/>
    <w:rsid w:val="002E11E6"/>
    <w:rsid w:val="002E312F"/>
    <w:rsid w:val="002F2CBC"/>
    <w:rsid w:val="00327986"/>
    <w:rsid w:val="00342297"/>
    <w:rsid w:val="003564A3"/>
    <w:rsid w:val="00365E27"/>
    <w:rsid w:val="00376954"/>
    <w:rsid w:val="00380B9E"/>
    <w:rsid w:val="003939D0"/>
    <w:rsid w:val="003B424F"/>
    <w:rsid w:val="003C5F3C"/>
    <w:rsid w:val="003C769A"/>
    <w:rsid w:val="003D14A5"/>
    <w:rsid w:val="003D1951"/>
    <w:rsid w:val="003E7385"/>
    <w:rsid w:val="003F7DD0"/>
    <w:rsid w:val="0040546B"/>
    <w:rsid w:val="00432F6F"/>
    <w:rsid w:val="00444F96"/>
    <w:rsid w:val="00450029"/>
    <w:rsid w:val="00484ED6"/>
    <w:rsid w:val="00490579"/>
    <w:rsid w:val="004D41F2"/>
    <w:rsid w:val="004D5A73"/>
    <w:rsid w:val="004D6C19"/>
    <w:rsid w:val="004D6E61"/>
    <w:rsid w:val="004E5516"/>
    <w:rsid w:val="004E797F"/>
    <w:rsid w:val="004F6114"/>
    <w:rsid w:val="0050058D"/>
    <w:rsid w:val="005025B0"/>
    <w:rsid w:val="00514864"/>
    <w:rsid w:val="005329EC"/>
    <w:rsid w:val="00534817"/>
    <w:rsid w:val="005662BD"/>
    <w:rsid w:val="00577AD3"/>
    <w:rsid w:val="005805E5"/>
    <w:rsid w:val="005B57F6"/>
    <w:rsid w:val="005E4BD5"/>
    <w:rsid w:val="00610418"/>
    <w:rsid w:val="00612976"/>
    <w:rsid w:val="00650E61"/>
    <w:rsid w:val="006728BE"/>
    <w:rsid w:val="00675A61"/>
    <w:rsid w:val="006800DC"/>
    <w:rsid w:val="006869DC"/>
    <w:rsid w:val="0069158A"/>
    <w:rsid w:val="006919E4"/>
    <w:rsid w:val="006D4D03"/>
    <w:rsid w:val="006D6EF3"/>
    <w:rsid w:val="006D7017"/>
    <w:rsid w:val="006E041A"/>
    <w:rsid w:val="006E4AFF"/>
    <w:rsid w:val="006F1655"/>
    <w:rsid w:val="00700414"/>
    <w:rsid w:val="00707D96"/>
    <w:rsid w:val="007250E7"/>
    <w:rsid w:val="00733B72"/>
    <w:rsid w:val="00741608"/>
    <w:rsid w:val="00762C09"/>
    <w:rsid w:val="00765D0E"/>
    <w:rsid w:val="00785F7A"/>
    <w:rsid w:val="007864E5"/>
    <w:rsid w:val="00790A44"/>
    <w:rsid w:val="00797AD1"/>
    <w:rsid w:val="007C75EB"/>
    <w:rsid w:val="007D2BF7"/>
    <w:rsid w:val="00823721"/>
    <w:rsid w:val="00840AB5"/>
    <w:rsid w:val="00861827"/>
    <w:rsid w:val="00892F1A"/>
    <w:rsid w:val="00894A9F"/>
    <w:rsid w:val="008A1881"/>
    <w:rsid w:val="008A458E"/>
    <w:rsid w:val="008B49DA"/>
    <w:rsid w:val="008E5E56"/>
    <w:rsid w:val="008F09DC"/>
    <w:rsid w:val="008F1700"/>
    <w:rsid w:val="00900E21"/>
    <w:rsid w:val="00905FE6"/>
    <w:rsid w:val="00910129"/>
    <w:rsid w:val="00925201"/>
    <w:rsid w:val="009342B5"/>
    <w:rsid w:val="009829CC"/>
    <w:rsid w:val="009A0043"/>
    <w:rsid w:val="009C5068"/>
    <w:rsid w:val="009C51D5"/>
    <w:rsid w:val="009C54D8"/>
    <w:rsid w:val="009E3CD0"/>
    <w:rsid w:val="009E7AFC"/>
    <w:rsid w:val="009F1F89"/>
    <w:rsid w:val="00A02D94"/>
    <w:rsid w:val="00A105EE"/>
    <w:rsid w:val="00A258E2"/>
    <w:rsid w:val="00A55C33"/>
    <w:rsid w:val="00A720FE"/>
    <w:rsid w:val="00AB1593"/>
    <w:rsid w:val="00AC10BB"/>
    <w:rsid w:val="00AC1845"/>
    <w:rsid w:val="00AC21C3"/>
    <w:rsid w:val="00AC75FF"/>
    <w:rsid w:val="00AE045D"/>
    <w:rsid w:val="00B00F90"/>
    <w:rsid w:val="00B023B7"/>
    <w:rsid w:val="00B273C3"/>
    <w:rsid w:val="00B31ED1"/>
    <w:rsid w:val="00B37887"/>
    <w:rsid w:val="00B459AE"/>
    <w:rsid w:val="00B60BD7"/>
    <w:rsid w:val="00B66871"/>
    <w:rsid w:val="00B67FE4"/>
    <w:rsid w:val="00B93472"/>
    <w:rsid w:val="00BA32B5"/>
    <w:rsid w:val="00BC4E91"/>
    <w:rsid w:val="00BE77BB"/>
    <w:rsid w:val="00C2375D"/>
    <w:rsid w:val="00CA6E6F"/>
    <w:rsid w:val="00CB1407"/>
    <w:rsid w:val="00CB3404"/>
    <w:rsid w:val="00CC3E06"/>
    <w:rsid w:val="00CD254D"/>
    <w:rsid w:val="00CE4A02"/>
    <w:rsid w:val="00D20384"/>
    <w:rsid w:val="00D22A7B"/>
    <w:rsid w:val="00D27847"/>
    <w:rsid w:val="00D419E1"/>
    <w:rsid w:val="00D62C5A"/>
    <w:rsid w:val="00D64B6C"/>
    <w:rsid w:val="00D765C2"/>
    <w:rsid w:val="00D77243"/>
    <w:rsid w:val="00D81314"/>
    <w:rsid w:val="00D9712A"/>
    <w:rsid w:val="00DB1170"/>
    <w:rsid w:val="00DC3726"/>
    <w:rsid w:val="00DD1B38"/>
    <w:rsid w:val="00DD4257"/>
    <w:rsid w:val="00DE1F22"/>
    <w:rsid w:val="00DF26C4"/>
    <w:rsid w:val="00DF56FF"/>
    <w:rsid w:val="00E01C8C"/>
    <w:rsid w:val="00E03152"/>
    <w:rsid w:val="00E07EA1"/>
    <w:rsid w:val="00E12043"/>
    <w:rsid w:val="00E174A8"/>
    <w:rsid w:val="00E2066A"/>
    <w:rsid w:val="00E22580"/>
    <w:rsid w:val="00E23EE0"/>
    <w:rsid w:val="00E27588"/>
    <w:rsid w:val="00E30481"/>
    <w:rsid w:val="00E3177A"/>
    <w:rsid w:val="00E578A9"/>
    <w:rsid w:val="00E8762C"/>
    <w:rsid w:val="00E957FF"/>
    <w:rsid w:val="00EA3105"/>
    <w:rsid w:val="00F43F95"/>
    <w:rsid w:val="00F522EB"/>
    <w:rsid w:val="00F60C7D"/>
    <w:rsid w:val="00F75BC4"/>
    <w:rsid w:val="00FA160F"/>
    <w:rsid w:val="00FC602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CB4F5"/>
  <w15:chartTrackingRefBased/>
  <w15:docId w15:val="{81137CE2-993D-475C-8574-770CDC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E041A"/>
    <w:rPr>
      <w:rFonts w:ascii="Verdana" w:hAnsi="Verdana"/>
      <w:sz w:val="20"/>
    </w:rPr>
  </w:style>
  <w:style w:type="paragraph" w:styleId="Heading1">
    <w:name w:val="heading 1"/>
    <w:basedOn w:val="Title"/>
    <w:next w:val="BodyText"/>
    <w:link w:val="Heading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next w:val="BodyText"/>
    <w:link w:val="Heading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  <w:ind w:hanging="283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0AEB2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741608"/>
    <w:rPr>
      <w:color w:val="8200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ksen%20perustelumuistio%20SV.dotx" TargetMode="External"/></Relationships>
</file>

<file path=word/theme/theme1.xml><?xml version="1.0" encoding="utf-8"?>
<a:theme xmlns:a="http://schemas.openxmlformats.org/drawingml/2006/main" name="Office-teema">
  <a:themeElements>
    <a:clrScheme name="Traficom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75" ma:contentTypeDescription="" ma:contentTypeScope="" ma:versionID="269d83f01a882c297a20cb0eb7bb5bc1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fb7b8099aa62732443e36ae0b33ad19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 xmlns="49bfba61-6e83-40bd-a5fb-b45c77de2667">Asiakirjapohja</SaTyTosDocumentType>
    <SaTyDocumentStatus xmlns="49bfba61-6e83-40bd-a5fb-b45c77de2667">Luonnos</SaTyDocumentStatus>
    <SaTyTosDocumentTypeId xmlns="49bfba61-6e83-40bd-a5fb-b45c77de2667">Asiakirjapohja</SaTyTosDocumentTypeId>
    <SaTyTosIssueGroup xmlns="49bfba61-6e83-40bd-a5fb-b45c77de2667" xsi:nil="true"/>
    <SaTyDocumentYear xmlns="49bfba61-6e83-40bd-a5fb-b45c77de2667">2022</SaTyDocumentYear>
    <SaTyTosPreservation xmlns="49bfba61-6e83-40bd-a5fb-b45c77de2667">3 v</SaTyTosPreservation>
    <TaxCatchAll xmlns="986746b9-21ea-4a10-94d5-c7e2d54bbe5a">
      <Value>5</Value>
      <Value>3</Value>
    </TaxCatchAll>
    <SaTyDocumentArchive xmlns="49bfba61-6e83-40bd-a5fb-b45c77de2667">false</SaTyDocumentArchive>
    <SaTyTosPublicity xmlns="49bfba61-6e83-40bd-a5fb-b45c77de2667">Julkinen</SaTyTosPublicity>
    <SaTyTosTaskGroup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TaskGroup xmlns="49bfba61-6e83-40bd-a5fb-b45c77de2667" xsi:nil="true"/>
    <SaTyTosIssueGroupId xmlns="49bfba61-6e83-40bd-a5fb-b45c77de2667" xsi:nil="true"/>
    <f4b386671deb464d8bb6062959db37ce xmlns="986746b9-21ea-4a10-94d5-c7e2d54bbe5a">
      <Terms xmlns="http://schemas.microsoft.com/office/infopath/2007/PartnerControls"/>
    </f4b386671deb464d8bb6062959db37ce>
    <SaTyDocumentUserData xmlns="49bfba61-6e83-40bd-a5fb-b45c77de2667">false</SaTyDocumentUserData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BAC2-9023-484E-8F15-932410E485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C5F913-7711-40D8-8D7E-DE27AD37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C8211-E8B9-49A4-8DDB-511047523C15}">
  <ds:schemaRefs>
    <ds:schemaRef ds:uri="http://schemas.microsoft.com/office/2006/metadata/properties"/>
    <ds:schemaRef ds:uri="http://schemas.microsoft.com/office/infopath/2007/PartnerControls"/>
    <ds:schemaRef ds:uri="49bfba61-6e83-40bd-a5fb-b45c77de2667"/>
    <ds:schemaRef ds:uri="986746b9-21ea-4a10-94d5-c7e2d54bbe5a"/>
  </ds:schemaRefs>
</ds:datastoreItem>
</file>

<file path=customXml/itemProps5.xml><?xml version="1.0" encoding="utf-8"?>
<ds:datastoreItem xmlns:ds="http://schemas.openxmlformats.org/officeDocument/2006/customXml" ds:itemID="{6C7C98C5-2BF7-457B-BA7A-5F7E42C9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Määräyksen perustelumuistio SV.dotx</Template>
  <TotalTime>1</TotalTime>
  <Pages>2</Pages>
  <Words>514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Tuominen Kalle</dc:creator>
  <cp:lastModifiedBy>Tuominen Kalle</cp:lastModifiedBy>
  <cp:revision>2</cp:revision>
  <dcterms:created xsi:type="dcterms:W3CDTF">2023-12-19T11:08:00Z</dcterms:created>
  <dcterms:modified xsi:type="dcterms:W3CDTF">2023-12-19T11:08:00Z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eb88049090c34051aae092bae2056bc2">
    <vt:lpwstr>Mallipohja|8556560e-d2f7-4107-a309-72029ebfa072</vt:lpwstr>
  </property>
  <property fmtid="{D5CDD505-2E9C-101B-9397-08002B2CF9AE}" pid="4" name="od82ff796f8549e7b48b0e43c70930a6">
    <vt:lpwstr>Ruotsi|2890ea9e-bd8f-40aa-8d2b-1f987b2747af</vt:lpwstr>
  </property>
  <property fmtid="{D5CDD505-2E9C-101B-9397-08002B2CF9AE}" pid="5" name="SaTyDocumentLanguage">
    <vt:lpwstr>5;#Ruotsi|2890ea9e-bd8f-40aa-8d2b-1f987b2747af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/>
  </property>
  <property fmtid="{D5CDD505-2E9C-101B-9397-08002B2CF9AE}" pid="9" name="SaTyDocumentQuartal">
    <vt:lpwstr/>
  </property>
  <property fmtid="{D5CDD505-2E9C-101B-9397-08002B2CF9AE}" pid="10" name="SaTyTosKeywords">
    <vt:lpwstr>3;#Mallipohja|8556560e-d2f7-4107-a309-72029ebfa072</vt:lpwstr>
  </property>
</Properties>
</file>