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26B89" w14:textId="77777777" w:rsidR="002E586C" w:rsidRDefault="002E586C" w:rsidP="002E586C"/>
    <w:p w14:paraId="2D845D88" w14:textId="77777777" w:rsidR="002E586C" w:rsidRPr="008479FD" w:rsidRDefault="002E586C" w:rsidP="002E586C">
      <w:pPr>
        <w:pStyle w:val="LLEsityksennimi"/>
      </w:pPr>
      <w:r>
        <w:t>Regeringens proposition till riksdagen med förslag till lagar om ändring av lagen om allmänt bostadsbidrag och lagen om bostadsbidrag för pensionstagare</w:t>
      </w:r>
    </w:p>
    <w:bookmarkStart w:id="0" w:name="_Toc168316184" w:displacedByCustomXml="next"/>
    <w:bookmarkStart w:id="1" w:name="_Toc146715702" w:displacedByCustomXml="next"/>
    <w:bookmarkStart w:id="2" w:name="_Toc146194346" w:displacedByCustomXml="next"/>
    <w:bookmarkStart w:id="3" w:name="_Toc145270149" w:displacedByCustomXml="next"/>
    <w:bookmarkStart w:id="4" w:name="_Toc144998524" w:displacedByCustomXml="next"/>
    <w:bookmarkStart w:id="5" w:name="_Toc20986650" w:displacedByCustomXml="next"/>
    <w:sdt>
      <w:sdtPr>
        <w:alias w:val="Rubrik"/>
        <w:tag w:val="CCOtsikko"/>
        <w:id w:val="-717274869"/>
        <w:placeholder>
          <w:docPart w:val="D7133D614ABC4311AB7400DA71519C1C"/>
        </w:placeholder>
        <w15:color w:val="00CCFF"/>
      </w:sdtPr>
      <w:sdtEndPr/>
      <w:sdtContent>
        <w:p w14:paraId="4A050080" w14:textId="77777777" w:rsidR="002E586C" w:rsidRDefault="002E586C" w:rsidP="002E586C">
          <w:pPr>
            <w:pStyle w:val="LLPasiallinensislt"/>
          </w:pPr>
          <w:r>
            <w:t>Propositionens huvudsakliga innehåll</w:t>
          </w:r>
        </w:p>
      </w:sdtContent>
    </w:sdt>
    <w:bookmarkEnd w:id="0" w:displacedByCustomXml="prev"/>
    <w:bookmarkEnd w:id="1" w:displacedByCustomXml="prev"/>
    <w:bookmarkEnd w:id="2" w:displacedByCustomXml="prev"/>
    <w:bookmarkEnd w:id="3" w:displacedByCustomXml="prev"/>
    <w:bookmarkEnd w:id="4" w:displacedByCustomXml="prev"/>
    <w:bookmarkEnd w:id="5" w:displacedByCustomXml="prev"/>
    <w:sdt>
      <w:sdtPr>
        <w:alias w:val="Huvudsakligt innehåll"/>
        <w:tag w:val="CCsisaltokappale"/>
        <w:id w:val="773754789"/>
        <w:placeholder>
          <w:docPart w:val="FC38AB7426FC4339B632DD78F7C44980"/>
        </w:placeholder>
        <w15:color w:val="00CCFF"/>
      </w:sdtPr>
      <w:sdtEndPr/>
      <w:sdtContent>
        <w:p w14:paraId="3CF0FD06" w14:textId="77777777" w:rsidR="002E586C" w:rsidRDefault="002E586C" w:rsidP="002E586C">
          <w:pPr>
            <w:pStyle w:val="LLPerustelujenkappalejako"/>
          </w:pPr>
          <w:r>
            <w:t xml:space="preserve">I denna proposition föreslås det att lagen om allmänt bostadsbidrag och lagen om bostadsbidrag för pensionstagare ändras. Propositionen hänför sig till regeringsprogrammet för statsminister Petteri Orpos regering och planen för de offentliga finanserna 2025–2028. Det föreslås att villkoren för att få allmänt bostadsbidrag ändras i syfte att balansera statsfinanserna. </w:t>
          </w:r>
          <w:bookmarkStart w:id="6" w:name="_Hlk167877198"/>
          <w:r>
            <w:t>Enligt förslaget återinförs förmögenhetsprövning i grunderna för fastställande av stödet och vidare justeras kommungrupperingen i fråga om de maximala boendeutgifter som beaktas i bostadsbidraget. Det föreslås att bestämmelsen om företagares inkomster preciseras. I lagen föreslås dessutom vissa tekniska preciseringar.</w:t>
          </w:r>
          <w:bookmarkEnd w:id="6"/>
          <w:r>
            <w:t xml:space="preserve"> </w:t>
          </w:r>
        </w:p>
        <w:p w14:paraId="0427B6CF" w14:textId="77777777" w:rsidR="002E586C" w:rsidRDefault="002E586C" w:rsidP="002E586C">
          <w:pPr>
            <w:pStyle w:val="LLPerustelujenkappalejako"/>
          </w:pPr>
          <w:r>
            <w:t xml:space="preserve">På motsvarande sätt ändras grunderna för bestämmande av bostadsbidrag för pensionstagare i syfte att balansera statsfinanserna. Enligt förslaget skärps egendomens och inkomsternas inverkan. </w:t>
          </w:r>
        </w:p>
        <w:p w14:paraId="029CDEB2" w14:textId="77777777" w:rsidR="002E586C" w:rsidRDefault="002E586C" w:rsidP="002E586C">
          <w:pPr>
            <w:pStyle w:val="LLPerustelujenkappalejako"/>
          </w:pPr>
          <w:r>
            <w:t>Propositionen hänför sig till budgetpropositionen för 2025 och avses bli behandlad i samband med den.</w:t>
          </w:r>
        </w:p>
        <w:p w14:paraId="57180EAE" w14:textId="77777777" w:rsidR="002E586C" w:rsidRPr="00BC6172" w:rsidRDefault="002E586C" w:rsidP="002E586C">
          <w:pPr>
            <w:pStyle w:val="LLPerustelujenkappalejako"/>
          </w:pPr>
          <w:r>
            <w:t xml:space="preserve">De föreslagna lagarna avses träda i kraft den 1 januari 2025. </w:t>
          </w:r>
        </w:p>
      </w:sdtContent>
    </w:sdt>
    <w:p w14:paraId="6B1E913B" w14:textId="50F81602" w:rsidR="008D7137" w:rsidRDefault="002E586C" w:rsidP="002E586C">
      <w:pPr>
        <w:jc w:val="center"/>
      </w:pPr>
      <w:r>
        <w:t>—————</w:t>
      </w:r>
    </w:p>
    <w:p w14:paraId="13629EBC" w14:textId="543594F9" w:rsidR="005A13D2" w:rsidRDefault="005A13D2">
      <w:pPr>
        <w:spacing w:after="160" w:line="259" w:lineRule="auto"/>
      </w:pPr>
      <w:r>
        <w:br w:type="page"/>
      </w:r>
    </w:p>
    <w:p w14:paraId="26A0F065" w14:textId="77777777" w:rsidR="002E586C" w:rsidRDefault="002E586C" w:rsidP="005A13D2"/>
    <w:p w14:paraId="0612009F" w14:textId="77777777" w:rsidR="002E586C" w:rsidRPr="002E586C" w:rsidRDefault="002E586C" w:rsidP="002E586C">
      <w:pPr>
        <w:spacing w:before="220" w:after="220" w:line="320" w:lineRule="exact"/>
        <w:rPr>
          <w:rFonts w:eastAsia="Times New Roman"/>
          <w:b/>
          <w:spacing w:val="22"/>
          <w:sz w:val="30"/>
          <w:szCs w:val="24"/>
        </w:rPr>
      </w:pPr>
      <w:bookmarkStart w:id="7" w:name="_Hlk167779988"/>
      <w:r>
        <w:rPr>
          <w:b/>
          <w:sz w:val="30"/>
        </w:rPr>
        <w:lastRenderedPageBreak/>
        <w:t>1.</w:t>
      </w:r>
    </w:p>
    <w:p w14:paraId="7BAE849D" w14:textId="38E8C46F" w:rsidR="002E586C" w:rsidRPr="002E586C" w:rsidRDefault="002E586C" w:rsidP="002E06E9">
      <w:pPr>
        <w:tabs>
          <w:tab w:val="left" w:pos="3450"/>
          <w:tab w:val="center" w:pos="4173"/>
        </w:tabs>
        <w:spacing w:before="220" w:after="220" w:line="320" w:lineRule="exact"/>
        <w:jc w:val="center"/>
        <w:rPr>
          <w:rFonts w:eastAsia="Times New Roman"/>
          <w:b/>
          <w:spacing w:val="22"/>
          <w:sz w:val="30"/>
          <w:szCs w:val="24"/>
        </w:rPr>
      </w:pPr>
      <w:bookmarkStart w:id="8" w:name="_Hlk167962500"/>
      <w:r>
        <w:rPr>
          <w:b/>
          <w:bCs/>
          <w:sz w:val="30"/>
        </w:rPr>
        <w:t>Lag</w:t>
      </w:r>
    </w:p>
    <w:p w14:paraId="7122655B" w14:textId="77777777" w:rsidR="002E586C" w:rsidRPr="002E586C" w:rsidRDefault="002E586C" w:rsidP="002E586C">
      <w:pPr>
        <w:spacing w:after="220" w:line="220" w:lineRule="exact"/>
        <w:jc w:val="center"/>
        <w:outlineLvl w:val="2"/>
        <w:rPr>
          <w:rFonts w:eastAsia="Times New Roman"/>
          <w:b/>
          <w:sz w:val="21"/>
          <w:szCs w:val="24"/>
        </w:rPr>
      </w:pPr>
      <w:bookmarkStart w:id="9" w:name="_Toc144998551"/>
      <w:bookmarkStart w:id="10" w:name="_Toc145270176"/>
      <w:bookmarkStart w:id="11" w:name="_Toc146194372"/>
      <w:bookmarkStart w:id="12" w:name="_Toc146715728"/>
      <w:bookmarkStart w:id="13" w:name="_Toc168316218"/>
      <w:r>
        <w:rPr>
          <w:b/>
          <w:sz w:val="21"/>
        </w:rPr>
        <w:t>om ändring av lagen om allmänt bostadsbidrag</w:t>
      </w:r>
      <w:bookmarkEnd w:id="9"/>
      <w:bookmarkEnd w:id="10"/>
      <w:bookmarkEnd w:id="11"/>
      <w:bookmarkEnd w:id="12"/>
      <w:bookmarkEnd w:id="13"/>
    </w:p>
    <w:p w14:paraId="4F974AAB" w14:textId="77777777" w:rsidR="002E586C" w:rsidRPr="002E586C" w:rsidRDefault="002E586C" w:rsidP="002E586C">
      <w:pPr>
        <w:spacing w:line="220" w:lineRule="exact"/>
        <w:ind w:firstLine="170"/>
        <w:jc w:val="both"/>
        <w:rPr>
          <w:rFonts w:eastAsia="Times New Roman"/>
          <w:szCs w:val="24"/>
        </w:rPr>
      </w:pPr>
      <w:r>
        <w:t>I enlighet med riksdagens beslut</w:t>
      </w:r>
    </w:p>
    <w:p w14:paraId="7A1870A3" w14:textId="77777777" w:rsidR="002E586C" w:rsidRPr="002E586C" w:rsidRDefault="002E586C" w:rsidP="002E586C">
      <w:pPr>
        <w:spacing w:line="220" w:lineRule="exact"/>
        <w:ind w:firstLine="170"/>
        <w:jc w:val="both"/>
        <w:rPr>
          <w:rFonts w:eastAsia="Times New Roman"/>
          <w:szCs w:val="24"/>
        </w:rPr>
      </w:pPr>
      <w:r>
        <w:rPr>
          <w:i/>
          <w:iCs/>
        </w:rPr>
        <w:t>upphävs</w:t>
      </w:r>
      <w:r>
        <w:t xml:space="preserve"> i lagen om allmänt bostadsbidrag (938/2014) 27 § 3 mom., </w:t>
      </w:r>
    </w:p>
    <w:p w14:paraId="16A61A59" w14:textId="77777777" w:rsidR="002E586C" w:rsidRPr="002E586C" w:rsidRDefault="002E586C" w:rsidP="002E586C">
      <w:pPr>
        <w:spacing w:line="220" w:lineRule="exact"/>
        <w:ind w:firstLine="170"/>
        <w:jc w:val="both"/>
        <w:rPr>
          <w:rFonts w:eastAsia="Times New Roman"/>
          <w:iCs/>
          <w:szCs w:val="24"/>
        </w:rPr>
      </w:pPr>
      <w:r>
        <w:t>sådant det lyder i lag (1143/2017),</w:t>
      </w:r>
    </w:p>
    <w:p w14:paraId="7D4D88FE" w14:textId="77777777" w:rsidR="002E586C" w:rsidRPr="002E586C" w:rsidRDefault="002E586C" w:rsidP="002E586C">
      <w:pPr>
        <w:spacing w:line="220" w:lineRule="exact"/>
        <w:ind w:firstLine="170"/>
        <w:jc w:val="both"/>
        <w:rPr>
          <w:rFonts w:eastAsia="Times New Roman"/>
          <w:szCs w:val="24"/>
        </w:rPr>
      </w:pPr>
      <w:r>
        <w:rPr>
          <w:i/>
        </w:rPr>
        <w:t>ändras</w:t>
      </w:r>
      <w:r>
        <w:t xml:space="preserve"> 10 § 3 mom., 12 § 4 och 5 mom., 18 § och 19 § 1 mom.,  </w:t>
      </w:r>
    </w:p>
    <w:p w14:paraId="228D6F1D" w14:textId="77777777" w:rsidR="002E586C" w:rsidRPr="002E586C" w:rsidRDefault="002E586C" w:rsidP="002E586C">
      <w:pPr>
        <w:spacing w:line="220" w:lineRule="exact"/>
        <w:ind w:firstLine="170"/>
        <w:jc w:val="both"/>
        <w:rPr>
          <w:rFonts w:eastAsia="Times New Roman"/>
          <w:szCs w:val="24"/>
        </w:rPr>
      </w:pPr>
      <w:r>
        <w:t xml:space="preserve">av dem 10 § 3 mom. sådant det lyder i lag 1241/2023, samt </w:t>
      </w:r>
    </w:p>
    <w:p w14:paraId="26EC624F" w14:textId="77777777" w:rsidR="002E586C" w:rsidRPr="002E586C" w:rsidRDefault="002E586C" w:rsidP="002E586C">
      <w:pPr>
        <w:spacing w:line="220" w:lineRule="exact"/>
        <w:ind w:firstLine="170"/>
        <w:jc w:val="both"/>
        <w:rPr>
          <w:rFonts w:eastAsia="Times New Roman"/>
          <w:szCs w:val="24"/>
        </w:rPr>
      </w:pPr>
      <w:r>
        <w:rPr>
          <w:i/>
        </w:rPr>
        <w:t xml:space="preserve">fogas </w:t>
      </w:r>
      <w:r>
        <w:t>till lagen en ny 13 § som följer:</w:t>
      </w:r>
    </w:p>
    <w:bookmarkEnd w:id="7"/>
    <w:p w14:paraId="6E3AC655" w14:textId="77777777" w:rsidR="002E586C" w:rsidRPr="002E586C" w:rsidRDefault="002E586C" w:rsidP="002E586C">
      <w:pPr>
        <w:spacing w:line="220" w:lineRule="exact"/>
      </w:pPr>
    </w:p>
    <w:p w14:paraId="5FD79E44" w14:textId="77777777" w:rsidR="002E586C" w:rsidRPr="002E586C" w:rsidRDefault="002E586C" w:rsidP="002E586C">
      <w:pPr>
        <w:spacing w:line="220" w:lineRule="exact"/>
        <w:jc w:val="center"/>
        <w:rPr>
          <w:rFonts w:eastAsia="Times New Roman"/>
          <w:szCs w:val="24"/>
        </w:rPr>
      </w:pPr>
      <w:r>
        <w:t>10 §</w:t>
      </w:r>
    </w:p>
    <w:p w14:paraId="6DDF8C6A" w14:textId="77777777" w:rsidR="002E586C" w:rsidRPr="002E586C" w:rsidRDefault="002E586C" w:rsidP="002E586C">
      <w:pPr>
        <w:spacing w:before="220" w:after="220" w:line="220" w:lineRule="exact"/>
        <w:jc w:val="center"/>
        <w:rPr>
          <w:rFonts w:eastAsia="Times New Roman"/>
          <w:i/>
          <w:szCs w:val="24"/>
        </w:rPr>
      </w:pPr>
      <w:r>
        <w:rPr>
          <w:i/>
        </w:rPr>
        <w:t>Maximala boendeutgifter</w:t>
      </w:r>
    </w:p>
    <w:p w14:paraId="341AA60F" w14:textId="77777777" w:rsidR="002E586C" w:rsidRPr="002E586C" w:rsidRDefault="002E586C" w:rsidP="002E586C">
      <w:pPr>
        <w:spacing w:line="220" w:lineRule="exact"/>
        <w:ind w:firstLine="170"/>
        <w:jc w:val="both"/>
        <w:rPr>
          <w:rFonts w:eastAsia="Times New Roman"/>
          <w:szCs w:val="24"/>
        </w:rPr>
      </w:pPr>
      <w:r>
        <w:t>— — — — — — — — — — — — — — — — — — — — — — — — — — — —</w:t>
      </w:r>
    </w:p>
    <w:p w14:paraId="7D61687C" w14:textId="77777777" w:rsidR="002E586C" w:rsidRPr="002E586C" w:rsidRDefault="002E586C" w:rsidP="002E586C">
      <w:pPr>
        <w:spacing w:line="220" w:lineRule="exact"/>
        <w:ind w:firstLine="170"/>
        <w:jc w:val="both"/>
        <w:rPr>
          <w:rFonts w:eastAsia="Times New Roman"/>
          <w:szCs w:val="24"/>
        </w:rPr>
      </w:pPr>
      <w:r>
        <w:t>Kommunerna delas in i kommungrupper enligt följande:</w:t>
      </w:r>
    </w:p>
    <w:p w14:paraId="1CF2517D" w14:textId="77777777" w:rsidR="002E586C" w:rsidRPr="002E586C" w:rsidRDefault="002E586C" w:rsidP="002E586C">
      <w:pPr>
        <w:spacing w:line="220" w:lineRule="exact"/>
        <w:ind w:firstLine="170"/>
        <w:jc w:val="both"/>
        <w:rPr>
          <w:rFonts w:eastAsia="Times New Roman"/>
          <w:szCs w:val="24"/>
        </w:rPr>
      </w:pPr>
      <w:r>
        <w:t>1) till kommungrupp I hör Esbo, Grankulla, Helsingfors och Vanda,</w:t>
      </w:r>
    </w:p>
    <w:p w14:paraId="172CE661" w14:textId="77777777" w:rsidR="002E586C" w:rsidRPr="002E586C" w:rsidRDefault="002E586C" w:rsidP="002E586C">
      <w:pPr>
        <w:spacing w:line="220" w:lineRule="exact"/>
        <w:ind w:firstLine="170"/>
        <w:jc w:val="both"/>
        <w:rPr>
          <w:rFonts w:eastAsia="Times New Roman"/>
          <w:szCs w:val="24"/>
        </w:rPr>
      </w:pPr>
      <w:r>
        <w:t>2) till kommungrupp II hör Borgå, Hyvinge, Joensuu, Jyväskylä, Kervo, Kuopio, Kyrkslätt, Lahtis, Lojo, Nokia, Nurmijärvi, Reso, Riihimäki, Rovaniemi, Seinäjoki, Sibbo, Sjundeå, Tammerfors, Tavastehus, Träskända, Tusby, Uleåborg, Vichtis och Åbo,</w:t>
      </w:r>
    </w:p>
    <w:p w14:paraId="308ED308" w14:textId="77777777" w:rsidR="002E586C" w:rsidRPr="002E586C" w:rsidRDefault="002E586C" w:rsidP="002E586C">
      <w:pPr>
        <w:spacing w:line="220" w:lineRule="exact"/>
        <w:ind w:firstLine="170"/>
        <w:jc w:val="both"/>
        <w:rPr>
          <w:rFonts w:eastAsia="Times New Roman"/>
          <w:szCs w:val="24"/>
        </w:rPr>
      </w:pPr>
      <w:r>
        <w:t>3) till kommungrupp III hör alla andra kommuner än de som nämns i 1 eller 2 punkten.</w:t>
      </w:r>
    </w:p>
    <w:p w14:paraId="7242B1CB" w14:textId="77777777" w:rsidR="002E586C" w:rsidRPr="002E586C" w:rsidRDefault="002E586C" w:rsidP="002E586C">
      <w:pPr>
        <w:spacing w:line="220" w:lineRule="exact"/>
      </w:pPr>
    </w:p>
    <w:p w14:paraId="03ABBB6D" w14:textId="77777777" w:rsidR="002E586C" w:rsidRPr="002E586C" w:rsidRDefault="002E586C" w:rsidP="002E586C">
      <w:pPr>
        <w:spacing w:line="220" w:lineRule="exact"/>
        <w:jc w:val="center"/>
        <w:rPr>
          <w:rFonts w:eastAsia="Times New Roman"/>
          <w:szCs w:val="24"/>
        </w:rPr>
      </w:pPr>
      <w:bookmarkStart w:id="14" w:name="_Hlk167791116"/>
      <w:r>
        <w:t>12 §</w:t>
      </w:r>
    </w:p>
    <w:p w14:paraId="6E41EFAE" w14:textId="77777777" w:rsidR="002E586C" w:rsidRPr="002E586C" w:rsidRDefault="002E586C" w:rsidP="002E586C">
      <w:pPr>
        <w:spacing w:before="220" w:after="220" w:line="220" w:lineRule="exact"/>
        <w:jc w:val="center"/>
        <w:rPr>
          <w:rFonts w:eastAsia="Times New Roman"/>
          <w:i/>
          <w:szCs w:val="24"/>
        </w:rPr>
      </w:pPr>
      <w:r>
        <w:rPr>
          <w:i/>
        </w:rPr>
        <w:t>Inkomster som ska beaktas i bostadsbidraget</w:t>
      </w:r>
    </w:p>
    <w:p w14:paraId="7294D10E" w14:textId="77777777" w:rsidR="002E586C" w:rsidRPr="002E586C" w:rsidRDefault="002E586C" w:rsidP="002E586C">
      <w:pPr>
        <w:spacing w:line="220" w:lineRule="exact"/>
      </w:pPr>
      <w:r>
        <w:t>— — — — — — — — — — — — — — — — — — — — — — — — — — — —</w:t>
      </w:r>
    </w:p>
    <w:p w14:paraId="52250730" w14:textId="77777777" w:rsidR="002E586C" w:rsidRPr="002E586C" w:rsidRDefault="002E586C" w:rsidP="002E586C">
      <w:pPr>
        <w:spacing w:line="220" w:lineRule="exact"/>
      </w:pPr>
      <w:bookmarkStart w:id="15" w:name="_Hlk165889132"/>
      <w:r>
        <w:t>Med avvikelse från 1 mom. ska</w:t>
      </w:r>
    </w:p>
    <w:p w14:paraId="71919513" w14:textId="77777777" w:rsidR="002E586C" w:rsidRPr="002E586C" w:rsidRDefault="002E586C" w:rsidP="002E586C">
      <w:pPr>
        <w:spacing w:line="220" w:lineRule="exact"/>
      </w:pPr>
      <w:r>
        <w:t>1) inkomst som tjänats in såsom företagare, lantbruksföretagare och stipendiat beaktas till det belopp som arbetsinkomsten har fastställts till enligt lagen om pension för företagare (1272/2006) och lagen om pension för lantbruksföretagare (1280/2006), om det inte i enskilda fall av andra uppgifter som beskriver företagarens inkomstnivå framgår att företagarens inkomstnivå är väsentligt högre, dvs. minst dubbelt så hög som den fastställda arbetsinkomsten, samt</w:t>
      </w:r>
    </w:p>
    <w:p w14:paraId="7910F588" w14:textId="77777777" w:rsidR="002E586C" w:rsidRPr="002E586C" w:rsidRDefault="002E586C" w:rsidP="002E586C">
      <w:pPr>
        <w:spacing w:line="220" w:lineRule="exact"/>
      </w:pPr>
    </w:p>
    <w:p w14:paraId="1AA85786" w14:textId="77777777" w:rsidR="002E586C" w:rsidRPr="002E586C" w:rsidRDefault="002E586C" w:rsidP="002E586C">
      <w:pPr>
        <w:spacing w:line="220" w:lineRule="exact"/>
      </w:pPr>
      <w:r>
        <w:t>2) som inkomst av skogsbruk beaktas den enligt 7 § 3 mom. i lagen om värdering av tillgångar vid beskattningen (1142/2005) fastställda genomsnittliga årliga avkastningen för skog multiplicerad med arealen skog.</w:t>
      </w:r>
    </w:p>
    <w:p w14:paraId="47325F8F" w14:textId="77777777" w:rsidR="002E586C" w:rsidRPr="002E586C" w:rsidRDefault="002E586C" w:rsidP="002E586C">
      <w:pPr>
        <w:spacing w:line="220" w:lineRule="exact"/>
      </w:pPr>
    </w:p>
    <w:bookmarkEnd w:id="15"/>
    <w:p w14:paraId="053D1488" w14:textId="77777777" w:rsidR="002E586C" w:rsidRPr="002E586C" w:rsidRDefault="002E586C" w:rsidP="002E586C">
      <w:pPr>
        <w:spacing w:line="220" w:lineRule="exact"/>
      </w:pPr>
      <w:r>
        <w:t>Ränteinkomster och utdelningar beaktas som inkomster, om de personliga ränteinkomsterna och utdelningarna för en medlem i hushållet sammanlagt överstiger tio euro i månaden. Vid bedömning av ränteinkomsterna dras 2 000 euro av från depositionerna som dispositionsmedel. Avdraget görs separat från varje hushållsmedlems depositioner.</w:t>
      </w:r>
    </w:p>
    <w:p w14:paraId="0136D884" w14:textId="77777777" w:rsidR="002E586C" w:rsidRPr="002E586C" w:rsidRDefault="002E586C" w:rsidP="002E586C">
      <w:pPr>
        <w:spacing w:line="220" w:lineRule="exact"/>
      </w:pPr>
    </w:p>
    <w:p w14:paraId="301CFF6B" w14:textId="77777777" w:rsidR="002E586C" w:rsidRPr="002E586C" w:rsidRDefault="002E586C" w:rsidP="002E586C">
      <w:pPr>
        <w:spacing w:line="220" w:lineRule="exact"/>
      </w:pPr>
      <w:r>
        <w:t>— — — — — — — — — — — — — — — — — — — — — — — — — — — —</w:t>
      </w:r>
    </w:p>
    <w:bookmarkEnd w:id="14"/>
    <w:p w14:paraId="41853342" w14:textId="77777777" w:rsidR="002E586C" w:rsidRDefault="002E586C" w:rsidP="002E06E9">
      <w:pPr>
        <w:spacing w:line="220" w:lineRule="exact"/>
      </w:pPr>
    </w:p>
    <w:p w14:paraId="637F7FF1" w14:textId="4A29D2B5" w:rsidR="002E586C" w:rsidRPr="002E586C" w:rsidRDefault="002E586C" w:rsidP="002E586C">
      <w:pPr>
        <w:spacing w:line="220" w:lineRule="exact"/>
        <w:jc w:val="center"/>
      </w:pPr>
      <w:r>
        <w:t>13 §</w:t>
      </w:r>
    </w:p>
    <w:p w14:paraId="42014961" w14:textId="42D08D94" w:rsidR="002E586C" w:rsidRPr="002E586C" w:rsidRDefault="002E586C" w:rsidP="002E586C">
      <w:pPr>
        <w:spacing w:line="220" w:lineRule="exact"/>
        <w:jc w:val="center"/>
        <w:rPr>
          <w:i/>
          <w:iCs/>
        </w:rPr>
      </w:pPr>
      <w:r>
        <w:rPr>
          <w:i/>
        </w:rPr>
        <w:t>Inkomst från egendom</w:t>
      </w:r>
    </w:p>
    <w:p w14:paraId="4668D6B2" w14:textId="77777777" w:rsidR="002E586C" w:rsidRPr="002E586C" w:rsidRDefault="002E586C" w:rsidP="002E06E9">
      <w:pPr>
        <w:spacing w:line="220" w:lineRule="exact"/>
      </w:pPr>
    </w:p>
    <w:p w14:paraId="3F0136F1" w14:textId="77777777" w:rsidR="002E586C" w:rsidRPr="002E586C" w:rsidRDefault="002E586C" w:rsidP="002E586C">
      <w:pPr>
        <w:spacing w:line="220" w:lineRule="exact"/>
      </w:pPr>
      <w:r>
        <w:t xml:space="preserve">  Till de inkomster som nämns i 12 § läggs 20 procent av de till hushållet hörande personernas sammanlagda egendom enligt 2 mom. dividerad med tolv till den del egendomen överstiger 10 000 euro, om hushållet omfattar en vuxen, och 20 000 euro, om hushållet omfattar fler än en vuxen. Från egendomen avdras skulderna.</w:t>
      </w:r>
    </w:p>
    <w:p w14:paraId="2CA591F2" w14:textId="77777777" w:rsidR="002E586C" w:rsidRPr="002E586C" w:rsidRDefault="002E586C" w:rsidP="002E586C">
      <w:pPr>
        <w:spacing w:line="220" w:lineRule="exact"/>
      </w:pPr>
      <w:r>
        <w:t xml:space="preserve">  Vid beräkningen av fasta månadsinkomster beaktas som förmögenhet följande som ägs av en medlem i hushållet:</w:t>
      </w:r>
    </w:p>
    <w:p w14:paraId="66DCB4F2" w14:textId="1FE39DE7" w:rsidR="002E586C" w:rsidRPr="002E586C" w:rsidRDefault="002E586C" w:rsidP="002E586C">
      <w:pPr>
        <w:spacing w:line="220" w:lineRule="exact"/>
      </w:pPr>
      <w:r>
        <w:t>1) fastigheter, dock inte fritidsbostäder som är i eget bruk,</w:t>
      </w:r>
    </w:p>
    <w:p w14:paraId="3C16A56B" w14:textId="77777777" w:rsidR="002E586C" w:rsidRPr="002E586C" w:rsidRDefault="002E586C" w:rsidP="002E586C">
      <w:pPr>
        <w:spacing w:line="220" w:lineRule="exact"/>
      </w:pPr>
      <w:r>
        <w:lastRenderedPageBreak/>
        <w:t>2) näringsverksamhetens och jordbrukets tillgångar samt andelar av sammanslutningars tillgångar,</w:t>
      </w:r>
    </w:p>
    <w:p w14:paraId="4BD4DD3A" w14:textId="77777777" w:rsidR="002E586C" w:rsidRPr="002E586C" w:rsidRDefault="002E586C" w:rsidP="002E586C">
      <w:pPr>
        <w:spacing w:line="220" w:lineRule="exact"/>
      </w:pPr>
      <w:r>
        <w:t>3) bostadsaktier,</w:t>
      </w:r>
    </w:p>
    <w:p w14:paraId="4037CE5D" w14:textId="77777777" w:rsidR="002E586C" w:rsidRPr="002E586C" w:rsidRDefault="002E586C" w:rsidP="002E586C">
      <w:pPr>
        <w:spacing w:line="220" w:lineRule="exact"/>
      </w:pPr>
      <w:r>
        <w:t>4) skogsegendom,</w:t>
      </w:r>
    </w:p>
    <w:p w14:paraId="37F4ACE3" w14:textId="77777777" w:rsidR="002E586C" w:rsidRPr="002E586C" w:rsidRDefault="002E586C" w:rsidP="002E586C">
      <w:pPr>
        <w:spacing w:line="220" w:lineRule="exact"/>
      </w:pPr>
      <w:r>
        <w:t>5) depositioner, obligationer, masskuldebrev och andra motsvarande,</w:t>
      </w:r>
    </w:p>
    <w:p w14:paraId="409957E8" w14:textId="77777777" w:rsidR="002E586C" w:rsidRPr="002E586C" w:rsidRDefault="002E586C" w:rsidP="002E586C">
      <w:pPr>
        <w:spacing w:line="220" w:lineRule="exact"/>
      </w:pPr>
      <w:r>
        <w:t>6) offentligt noterade aktier och andelar i placeringsfonder, samt</w:t>
      </w:r>
    </w:p>
    <w:p w14:paraId="55CE3825" w14:textId="77777777" w:rsidR="002E586C" w:rsidRPr="002E586C" w:rsidRDefault="002E586C" w:rsidP="002E586C">
      <w:pPr>
        <w:spacing w:line="220" w:lineRule="exact"/>
      </w:pPr>
      <w:r>
        <w:t>7) försäkringsplaceringar.</w:t>
      </w:r>
    </w:p>
    <w:p w14:paraId="634CCD9D" w14:textId="77777777" w:rsidR="002E586C" w:rsidRPr="002E586C" w:rsidRDefault="002E586C" w:rsidP="002E586C">
      <w:pPr>
        <w:spacing w:line="220" w:lineRule="exact"/>
      </w:pPr>
      <w:r>
        <w:t xml:space="preserve">  Egendom som avses i 1 och 2 punkten beaktas enligt det vid beskattningen fastställda eller beräknade värdet. Som värde på skogsegendomen beaktas den inkomst av skogsbruk som avses i 3 § 3 mom. multiplicerad med talet 10. Obligationer och masskuldebrev beaktas till gängse värde. Som värde på offentligt noterade aktier och andelar i en placeringsfond beräknas 70 procent av värdet på den sista börsdagen året före tidpunkten för beviljande eller justering. Försäkringsplaceringar beaktas enligt återköpsvärdet.</w:t>
      </w:r>
    </w:p>
    <w:p w14:paraId="1478E8A3" w14:textId="77777777" w:rsidR="002E586C" w:rsidRPr="002E586C" w:rsidRDefault="002E586C" w:rsidP="002E586C">
      <w:pPr>
        <w:spacing w:line="220" w:lineRule="exact"/>
      </w:pPr>
      <w:r>
        <w:t>Från depositionerna avdras 2 000 euro som dispositionsmedel. Avdraget görs separat från varje hushållsmedlems depositioner.</w:t>
      </w:r>
    </w:p>
    <w:p w14:paraId="7D817E91" w14:textId="77777777" w:rsidR="002E586C" w:rsidRPr="002E586C" w:rsidRDefault="002E586C" w:rsidP="002E586C">
      <w:pPr>
        <w:spacing w:line="220" w:lineRule="exact"/>
      </w:pPr>
      <w:r>
        <w:t xml:space="preserve">  Som förmögenhet beaktas dock inte hushållsmedlemmarnas andelar i dödsbon, depositioner på bostadssparpremiekonton och inte heller barns egendom.</w:t>
      </w:r>
    </w:p>
    <w:p w14:paraId="6BE17A35" w14:textId="77777777" w:rsidR="002E586C" w:rsidRPr="002E586C" w:rsidRDefault="002E586C" w:rsidP="002E586C">
      <w:pPr>
        <w:spacing w:line="220" w:lineRule="exact"/>
      </w:pPr>
      <w:r>
        <w:t xml:space="preserve">  Om hushållets egendom enligt 2 mom. efter avdrag för skulder och för dispositionsmedel uppgår till minst 50 000 euro, föreligger inte rätt till bostadsbidrag.</w:t>
      </w:r>
    </w:p>
    <w:p w14:paraId="441A3512" w14:textId="77777777" w:rsidR="002E586C" w:rsidRPr="002E586C" w:rsidRDefault="002E586C" w:rsidP="002E586C">
      <w:pPr>
        <w:spacing w:line="220" w:lineRule="exact"/>
      </w:pPr>
    </w:p>
    <w:p w14:paraId="3C72CA15" w14:textId="77777777" w:rsidR="002E586C" w:rsidRPr="002E586C" w:rsidRDefault="002E586C" w:rsidP="002E586C">
      <w:pPr>
        <w:spacing w:line="220" w:lineRule="exact"/>
        <w:jc w:val="center"/>
      </w:pPr>
      <w:r>
        <w:t>18 §</w:t>
      </w:r>
    </w:p>
    <w:p w14:paraId="1ABF599A" w14:textId="77777777" w:rsidR="002E586C" w:rsidRPr="002E586C" w:rsidRDefault="002E586C" w:rsidP="002E06E9">
      <w:pPr>
        <w:spacing w:line="220" w:lineRule="exact"/>
        <w:rPr>
          <w:i/>
          <w:iCs/>
        </w:rPr>
      </w:pPr>
    </w:p>
    <w:p w14:paraId="39DD37D8" w14:textId="77777777" w:rsidR="002E586C" w:rsidRPr="002E586C" w:rsidRDefault="002E586C" w:rsidP="002E586C">
      <w:pPr>
        <w:spacing w:line="220" w:lineRule="exact"/>
        <w:jc w:val="center"/>
        <w:rPr>
          <w:i/>
          <w:iCs/>
        </w:rPr>
      </w:pPr>
      <w:r>
        <w:rPr>
          <w:i/>
        </w:rPr>
        <w:t>Retroaktiv ansökningstid</w:t>
      </w:r>
    </w:p>
    <w:p w14:paraId="76B43D92" w14:textId="77777777" w:rsidR="002E586C" w:rsidRPr="002E586C" w:rsidRDefault="002E586C" w:rsidP="002E586C">
      <w:pPr>
        <w:spacing w:line="220" w:lineRule="exact"/>
      </w:pPr>
    </w:p>
    <w:p w14:paraId="7BAAFDA6" w14:textId="77777777" w:rsidR="002E586C" w:rsidRPr="002E586C" w:rsidRDefault="002E586C" w:rsidP="002E586C">
      <w:pPr>
        <w:spacing w:line="220" w:lineRule="exact"/>
      </w:pPr>
      <w:r>
        <w:t xml:space="preserve">  Bostadsbidrag beviljas retroaktivt för högst den månad som föregår ansökan, om förutsättningarna för erhållande av bidrag redan då uppfyllts. Samma förfarande tillämpas när bostadsbidraget höjs med stöd av 27 §. Av särskilda skäl kan bostadsbidrag beviljas eller höjas retroaktivt för en längre tid.</w:t>
      </w:r>
    </w:p>
    <w:p w14:paraId="31BEBFDE" w14:textId="77777777" w:rsidR="002E586C" w:rsidRPr="002E586C" w:rsidRDefault="002E586C" w:rsidP="002E586C">
      <w:pPr>
        <w:spacing w:line="220" w:lineRule="exact"/>
      </w:pPr>
    </w:p>
    <w:p w14:paraId="7DD38681" w14:textId="77777777" w:rsidR="002E586C" w:rsidRPr="002E586C" w:rsidRDefault="002E586C" w:rsidP="002E586C">
      <w:pPr>
        <w:spacing w:line="220" w:lineRule="exact"/>
        <w:jc w:val="center"/>
      </w:pPr>
      <w:r>
        <w:t>19 §</w:t>
      </w:r>
    </w:p>
    <w:p w14:paraId="36DC016B" w14:textId="77777777" w:rsidR="002E586C" w:rsidRPr="002E586C" w:rsidRDefault="002E586C" w:rsidP="002E06E9">
      <w:pPr>
        <w:spacing w:line="220" w:lineRule="exact"/>
      </w:pPr>
    </w:p>
    <w:p w14:paraId="312F37C5" w14:textId="77777777" w:rsidR="002E586C" w:rsidRPr="002E586C" w:rsidRDefault="002E586C" w:rsidP="002E586C">
      <w:pPr>
        <w:spacing w:line="220" w:lineRule="exact"/>
        <w:jc w:val="center"/>
        <w:rPr>
          <w:i/>
          <w:iCs/>
        </w:rPr>
      </w:pPr>
      <w:r>
        <w:rPr>
          <w:i/>
        </w:rPr>
        <w:t>Sökandens anmälningsskyldighet</w:t>
      </w:r>
    </w:p>
    <w:p w14:paraId="7B7B487F" w14:textId="77777777" w:rsidR="002E586C" w:rsidRPr="002E586C" w:rsidRDefault="002E586C" w:rsidP="002E586C">
      <w:pPr>
        <w:spacing w:line="220" w:lineRule="exact"/>
        <w:jc w:val="center"/>
      </w:pPr>
    </w:p>
    <w:p w14:paraId="4399185D" w14:textId="77777777" w:rsidR="002E586C" w:rsidRPr="002E586C" w:rsidRDefault="002E586C" w:rsidP="002E586C">
      <w:pPr>
        <w:spacing w:line="220" w:lineRule="exact"/>
      </w:pPr>
      <w:r>
        <w:t>Av ansökan om bostadsbidrag ska framgå</w:t>
      </w:r>
    </w:p>
    <w:p w14:paraId="634874BC" w14:textId="77777777" w:rsidR="002E586C" w:rsidRPr="002E586C" w:rsidRDefault="002E586C" w:rsidP="002E586C">
      <w:pPr>
        <w:spacing w:line="220" w:lineRule="exact"/>
      </w:pPr>
      <w:r>
        <w:t>1) personuppgifterna för sökanden och de andra personer som hör till hushållet,</w:t>
      </w:r>
    </w:p>
    <w:p w14:paraId="6DB33F0A" w14:textId="77777777" w:rsidR="002E586C" w:rsidRPr="002E586C" w:rsidRDefault="002E586C" w:rsidP="002E586C">
      <w:pPr>
        <w:spacing w:line="220" w:lineRule="exact"/>
      </w:pPr>
      <w:r>
        <w:t>2) boendeutgifterna och uppgifter som behövs för att bestämma dem,</w:t>
      </w:r>
    </w:p>
    <w:p w14:paraId="10864E4F" w14:textId="77777777" w:rsidR="002E586C" w:rsidRPr="002E586C" w:rsidRDefault="002E586C" w:rsidP="002E586C">
      <w:pPr>
        <w:spacing w:line="220" w:lineRule="exact"/>
      </w:pPr>
      <w:r>
        <w:t>3) uppgifter om inkomster enligt 12 § och egendom enligt 13 § för alla personer som hör till hushållet.</w:t>
      </w:r>
    </w:p>
    <w:p w14:paraId="0B76E0EE" w14:textId="77777777" w:rsidR="002E586C" w:rsidRPr="002E586C" w:rsidRDefault="002E586C" w:rsidP="002E586C">
      <w:pPr>
        <w:spacing w:line="220" w:lineRule="exact"/>
      </w:pPr>
    </w:p>
    <w:p w14:paraId="122A6DC7" w14:textId="67270C19" w:rsidR="002E586C" w:rsidRPr="002E586C" w:rsidRDefault="002E586C" w:rsidP="002E586C">
      <w:pPr>
        <w:spacing w:line="220" w:lineRule="exact"/>
      </w:pPr>
      <w:r>
        <w:t>— — — — — — — — — — — — — — — — — — — — — — — — — — — —</w:t>
      </w:r>
    </w:p>
    <w:p w14:paraId="00C22990" w14:textId="77777777" w:rsidR="002E586C" w:rsidRPr="002E586C" w:rsidRDefault="002E586C" w:rsidP="002E586C">
      <w:pPr>
        <w:spacing w:line="220" w:lineRule="exact"/>
        <w:jc w:val="center"/>
      </w:pPr>
      <w:r>
        <w:t>———</w:t>
      </w:r>
    </w:p>
    <w:p w14:paraId="33C12A9E" w14:textId="1030A164" w:rsidR="002E586C" w:rsidRPr="002E586C" w:rsidRDefault="002E586C" w:rsidP="002E586C">
      <w:pPr>
        <w:spacing w:line="220" w:lineRule="exact"/>
        <w:ind w:firstLine="170"/>
        <w:jc w:val="both"/>
        <w:rPr>
          <w:rFonts w:eastAsia="Times New Roman"/>
          <w:szCs w:val="24"/>
        </w:rPr>
      </w:pPr>
      <w:r>
        <w:t xml:space="preserve">Denna lag träder i kraft den </w:t>
      </w:r>
      <w:r w:rsidR="002E06E9">
        <w:t xml:space="preserve">                    </w:t>
      </w:r>
      <w:r>
        <w:t xml:space="preserve"> 20</w:t>
      </w:r>
      <w:r w:rsidR="002E06E9">
        <w:t xml:space="preserve">  </w:t>
      </w:r>
      <w:r>
        <w:t xml:space="preserve">  och den tillämpas på bidrag som beviljas eller justeras vid denna tidpunkt eller därefter. </w:t>
      </w:r>
    </w:p>
    <w:p w14:paraId="148CB6CF" w14:textId="77777777" w:rsidR="002E586C" w:rsidRPr="002E586C" w:rsidRDefault="002E586C" w:rsidP="002E586C">
      <w:pPr>
        <w:spacing w:line="220" w:lineRule="exact"/>
        <w:jc w:val="center"/>
      </w:pPr>
      <w:r>
        <w:t>—————</w:t>
      </w:r>
    </w:p>
    <w:bookmarkEnd w:id="8"/>
    <w:p w14:paraId="15187AAD" w14:textId="77777777" w:rsidR="005A13D2" w:rsidRDefault="005A13D2">
      <w:pPr>
        <w:spacing w:after="160" w:line="259" w:lineRule="auto"/>
      </w:pPr>
      <w:r>
        <w:br w:type="page"/>
      </w:r>
    </w:p>
    <w:sdt>
      <w:sdtPr>
        <w:alias w:val="Lagförslag"/>
        <w:tag w:val="CCLakiehdotukset"/>
        <w:id w:val="1695884352"/>
        <w:placeholder>
          <w:docPart w:val="3EDDAE478DCF47E98EAD88D0E5D01A5C"/>
        </w:placeholder>
        <w15:color w:val="00FFFF"/>
      </w:sdtPr>
      <w:sdtEndPr/>
      <w:sdtContent>
        <w:p w14:paraId="2DDB616E" w14:textId="77777777" w:rsidR="005A13D2" w:rsidRDefault="005A13D2" w:rsidP="005A13D2">
          <w:pPr>
            <w:spacing w:line="220" w:lineRule="exact"/>
          </w:pPr>
        </w:p>
        <w:p w14:paraId="60DB4A62" w14:textId="6007FF56" w:rsidR="002E586C" w:rsidRPr="005A13D2" w:rsidRDefault="002E586C" w:rsidP="005A13D2">
          <w:pPr>
            <w:spacing w:line="220" w:lineRule="exact"/>
          </w:pPr>
          <w:r>
            <w:rPr>
              <w:b/>
              <w:sz w:val="30"/>
            </w:rPr>
            <w:t>2.</w:t>
          </w:r>
        </w:p>
        <w:p w14:paraId="57C18344" w14:textId="77777777" w:rsidR="002E586C" w:rsidRPr="002E586C" w:rsidRDefault="002E586C" w:rsidP="002E586C">
          <w:pPr>
            <w:spacing w:before="220" w:after="220" w:line="320" w:lineRule="exact"/>
            <w:jc w:val="center"/>
            <w:rPr>
              <w:rFonts w:eastAsia="Times New Roman"/>
              <w:b/>
              <w:spacing w:val="22"/>
              <w:sz w:val="30"/>
              <w:szCs w:val="24"/>
            </w:rPr>
          </w:pPr>
          <w:bookmarkStart w:id="16" w:name="_Hlk168472244"/>
          <w:r>
            <w:rPr>
              <w:b/>
              <w:bCs/>
              <w:sz w:val="30"/>
            </w:rPr>
            <w:t>Lag</w:t>
          </w:r>
        </w:p>
        <w:p w14:paraId="35D5B699" w14:textId="77777777" w:rsidR="002E586C" w:rsidRPr="002E586C" w:rsidRDefault="002E586C" w:rsidP="002E586C">
          <w:pPr>
            <w:spacing w:after="220" w:line="220" w:lineRule="exact"/>
            <w:jc w:val="center"/>
            <w:outlineLvl w:val="2"/>
            <w:rPr>
              <w:rFonts w:eastAsia="Times New Roman"/>
              <w:b/>
              <w:sz w:val="21"/>
              <w:szCs w:val="24"/>
            </w:rPr>
          </w:pPr>
          <w:bookmarkStart w:id="17" w:name="_Toc168316219"/>
          <w:r>
            <w:rPr>
              <w:b/>
              <w:sz w:val="21"/>
            </w:rPr>
            <w:t>om ändring av lagen om bostadsbidrag för pensionstagare</w:t>
          </w:r>
          <w:bookmarkEnd w:id="17"/>
        </w:p>
        <w:p w14:paraId="62CADED3" w14:textId="77777777" w:rsidR="002E586C" w:rsidRPr="002E586C" w:rsidRDefault="002E586C" w:rsidP="002E586C">
          <w:pPr>
            <w:spacing w:line="220" w:lineRule="exact"/>
            <w:ind w:firstLine="170"/>
            <w:jc w:val="both"/>
            <w:rPr>
              <w:rFonts w:eastAsia="Times New Roman"/>
              <w:szCs w:val="24"/>
            </w:rPr>
          </w:pPr>
          <w:r>
            <w:t>I enlighet med riksdagens beslut</w:t>
          </w:r>
        </w:p>
        <w:p w14:paraId="1BD33D4A" w14:textId="77777777" w:rsidR="002E586C" w:rsidRPr="002E586C" w:rsidRDefault="002E586C" w:rsidP="002E586C">
          <w:pPr>
            <w:spacing w:line="220" w:lineRule="exact"/>
            <w:ind w:firstLine="170"/>
            <w:jc w:val="both"/>
            <w:rPr>
              <w:rFonts w:eastAsia="Times New Roman"/>
              <w:szCs w:val="24"/>
            </w:rPr>
          </w:pPr>
          <w:r>
            <w:rPr>
              <w:i/>
            </w:rPr>
            <w:t xml:space="preserve">ändras </w:t>
          </w:r>
          <w:r>
            <w:t xml:space="preserve">i lagen om bostadsbidrag för pensionstagare (571/2007) 11 § 3 mom. och 12 § 5 mom.,   </w:t>
          </w:r>
        </w:p>
        <w:p w14:paraId="11E3044C" w14:textId="77777777" w:rsidR="002E586C" w:rsidRPr="002E586C" w:rsidRDefault="002E586C" w:rsidP="002E586C">
          <w:pPr>
            <w:spacing w:line="220" w:lineRule="exact"/>
            <w:ind w:firstLine="170"/>
            <w:jc w:val="both"/>
            <w:rPr>
              <w:rFonts w:eastAsia="Times New Roman"/>
              <w:szCs w:val="24"/>
            </w:rPr>
          </w:pPr>
          <w:r>
            <w:t>sådana de lyder, 11 § 3 mom. i lag 1229/2019 och 12 § 5 mom. i lag 1154/2007, som följer:</w:t>
          </w:r>
        </w:p>
        <w:p w14:paraId="4BEEAA39" w14:textId="77777777" w:rsidR="002E586C" w:rsidRPr="002E586C" w:rsidRDefault="002E586C" w:rsidP="002E586C">
          <w:pPr>
            <w:spacing w:line="220" w:lineRule="exact"/>
          </w:pPr>
        </w:p>
        <w:p w14:paraId="1E052234" w14:textId="77777777" w:rsidR="002E586C" w:rsidRPr="002E586C" w:rsidRDefault="002E586C" w:rsidP="002E586C">
          <w:pPr>
            <w:spacing w:line="220" w:lineRule="exact"/>
            <w:jc w:val="center"/>
            <w:rPr>
              <w:rFonts w:eastAsia="Times New Roman"/>
              <w:szCs w:val="24"/>
            </w:rPr>
          </w:pPr>
          <w:r>
            <w:t>11 §</w:t>
          </w:r>
        </w:p>
        <w:p w14:paraId="45FDE208" w14:textId="77777777" w:rsidR="002E586C" w:rsidRPr="002E586C" w:rsidRDefault="002E586C" w:rsidP="002E586C">
          <w:pPr>
            <w:spacing w:before="220" w:after="220" w:line="220" w:lineRule="exact"/>
            <w:jc w:val="center"/>
            <w:rPr>
              <w:rFonts w:eastAsia="Times New Roman"/>
              <w:i/>
              <w:szCs w:val="24"/>
            </w:rPr>
          </w:pPr>
          <w:r>
            <w:rPr>
              <w:i/>
            </w:rPr>
            <w:t>Självriskandel för boendeutgifterna</w:t>
          </w:r>
        </w:p>
        <w:p w14:paraId="37D52F23" w14:textId="77777777" w:rsidR="002E586C" w:rsidRPr="002E586C" w:rsidRDefault="002E586C" w:rsidP="002E586C">
          <w:pPr>
            <w:spacing w:line="220" w:lineRule="exact"/>
          </w:pPr>
          <w:r>
            <w:t>— — — — — — — — — — — — — — — — — — — — — — — — — — — —</w:t>
          </w:r>
        </w:p>
        <w:p w14:paraId="087E3094" w14:textId="77777777" w:rsidR="002E586C" w:rsidRPr="002E586C" w:rsidRDefault="002E586C" w:rsidP="002E586C">
          <w:pPr>
            <w:spacing w:line="220" w:lineRule="exact"/>
          </w:pPr>
          <w:r>
            <w:t>Tilläggssjälvriskandelen är 43,5 procent av den del av årsinkomsten som överstiger 7 415 euro. För den som är gift eller lever i ett samboförhållande är tilläggssjälvriskandelen 43,5 procent av den del av makarnas eller sambornas sammanräknade årsinkomst som</w:t>
          </w:r>
        </w:p>
        <w:p w14:paraId="6C1A4F97" w14:textId="77777777" w:rsidR="002E586C" w:rsidRPr="002E586C" w:rsidRDefault="002E586C" w:rsidP="002E586C">
          <w:pPr>
            <w:spacing w:line="220" w:lineRule="exact"/>
          </w:pPr>
        </w:p>
        <w:p w14:paraId="486C4C0A" w14:textId="77777777" w:rsidR="002E586C" w:rsidRPr="002E586C" w:rsidRDefault="002E586C" w:rsidP="002E586C">
          <w:pPr>
            <w:spacing w:line="220" w:lineRule="exact"/>
          </w:pPr>
          <w:r>
            <w:t>1) överstiger 10 637 euro, om den ena av dem inte har rätt till bostadsbidrag för pensionstagare, eller</w:t>
          </w:r>
        </w:p>
        <w:p w14:paraId="7DAE02F5" w14:textId="77777777" w:rsidR="002E586C" w:rsidRPr="002E586C" w:rsidRDefault="002E586C" w:rsidP="002E586C">
          <w:pPr>
            <w:spacing w:line="220" w:lineRule="exact"/>
          </w:pPr>
        </w:p>
        <w:p w14:paraId="7D6E1258" w14:textId="23FCA632" w:rsidR="002E586C" w:rsidRPr="002E586C" w:rsidRDefault="002E586C" w:rsidP="005A13D2">
          <w:pPr>
            <w:spacing w:line="220" w:lineRule="exact"/>
          </w:pPr>
          <w:r>
            <w:t>2) överstiger 12 106 euro, om båda har rätt till bostadsbidrag för pensionstagare.</w:t>
          </w:r>
        </w:p>
        <w:p w14:paraId="02C2B335" w14:textId="77777777" w:rsidR="002E586C" w:rsidRPr="002E586C" w:rsidRDefault="002E586C" w:rsidP="002E586C">
          <w:pPr>
            <w:spacing w:line="220" w:lineRule="exact"/>
          </w:pPr>
        </w:p>
        <w:p w14:paraId="0261A7D6" w14:textId="77777777" w:rsidR="002E586C" w:rsidRPr="002E586C" w:rsidRDefault="002E586C" w:rsidP="002E586C">
          <w:pPr>
            <w:spacing w:line="220" w:lineRule="exact"/>
            <w:jc w:val="center"/>
            <w:rPr>
              <w:rFonts w:eastAsia="Times New Roman"/>
              <w:szCs w:val="24"/>
            </w:rPr>
          </w:pPr>
          <w:r>
            <w:t>12 §</w:t>
          </w:r>
        </w:p>
        <w:p w14:paraId="77707D54" w14:textId="77777777" w:rsidR="002E586C" w:rsidRPr="002E586C" w:rsidRDefault="002E586C" w:rsidP="002E586C">
          <w:pPr>
            <w:spacing w:before="220" w:after="220" w:line="220" w:lineRule="exact"/>
            <w:jc w:val="center"/>
            <w:rPr>
              <w:rFonts w:eastAsia="Times New Roman"/>
              <w:i/>
              <w:szCs w:val="24"/>
            </w:rPr>
          </w:pPr>
          <w:r>
            <w:rPr>
              <w:i/>
            </w:rPr>
            <w:t>Årsinkomst</w:t>
          </w:r>
        </w:p>
        <w:p w14:paraId="31850662" w14:textId="77777777" w:rsidR="002E586C" w:rsidRPr="002E586C" w:rsidRDefault="002E586C" w:rsidP="002E586C">
          <w:pPr>
            <w:spacing w:line="220" w:lineRule="exact"/>
          </w:pPr>
          <w:r>
            <w:t>— — — — — — — — — — — — — — — — — — — — — — — — — — — —</w:t>
          </w:r>
        </w:p>
        <w:p w14:paraId="5752AE26" w14:textId="77777777" w:rsidR="002E586C" w:rsidRPr="002E586C" w:rsidRDefault="002E586C" w:rsidP="002E586C">
          <w:pPr>
            <w:spacing w:line="220" w:lineRule="exact"/>
          </w:pPr>
          <w:r>
            <w:t>Som årsinkomst beaktas dessutom 15 procent av den förmögenhet enligt 13 § från vilken har dragits av skulder och med vilken sökandens förmögenhet överstiger 10 820 euro eller makarnas eller sambornas förmögenhet överstiger 17 312 euro.</w:t>
          </w:r>
        </w:p>
        <w:p w14:paraId="19EFCBC3" w14:textId="77777777" w:rsidR="002E586C" w:rsidRPr="002E586C" w:rsidRDefault="002E586C" w:rsidP="002E586C">
          <w:pPr>
            <w:spacing w:line="220" w:lineRule="exact"/>
          </w:pPr>
          <w:r>
            <w:t>— — — — — — — — — — — — — — — — — — — — — — — — — — — —</w:t>
          </w:r>
        </w:p>
        <w:p w14:paraId="41EC5C38" w14:textId="77777777" w:rsidR="002E586C" w:rsidRPr="002E586C" w:rsidRDefault="002E586C" w:rsidP="002E586C">
          <w:pPr>
            <w:spacing w:line="220" w:lineRule="exact"/>
            <w:jc w:val="center"/>
          </w:pPr>
          <w:r>
            <w:t>———</w:t>
          </w:r>
        </w:p>
        <w:p w14:paraId="239AAF21" w14:textId="2C2CAF51" w:rsidR="002E586C" w:rsidRPr="002E586C" w:rsidRDefault="002E586C" w:rsidP="002E586C">
          <w:pPr>
            <w:spacing w:line="220" w:lineRule="exact"/>
            <w:ind w:firstLine="170"/>
            <w:jc w:val="both"/>
            <w:rPr>
              <w:rFonts w:eastAsia="Times New Roman"/>
              <w:szCs w:val="24"/>
            </w:rPr>
          </w:pPr>
          <w:r>
            <w:t xml:space="preserve">Denna lag träder i kraft den </w:t>
          </w:r>
          <w:r w:rsidR="002E06E9">
            <w:t xml:space="preserve">        </w:t>
          </w:r>
          <w:r>
            <w:t xml:space="preserve"> 20</w:t>
          </w:r>
          <w:r w:rsidR="002E06E9">
            <w:t xml:space="preserve">  </w:t>
          </w:r>
          <w:r>
            <w:t xml:space="preserve">  och den tillämpas på bidrag som beviljas eller justeras vid denna tidpunkt eller därefter. </w:t>
          </w:r>
        </w:p>
        <w:p w14:paraId="003D5637" w14:textId="77777777" w:rsidR="002E586C" w:rsidRPr="002E586C" w:rsidRDefault="002E586C" w:rsidP="002E586C">
          <w:pPr>
            <w:spacing w:line="220" w:lineRule="exact"/>
            <w:jc w:val="center"/>
          </w:pPr>
          <w:r>
            <w:t>—————</w:t>
          </w:r>
        </w:p>
        <w:p w14:paraId="4C212B8F" w14:textId="77777777" w:rsidR="002E586C" w:rsidRPr="002E586C" w:rsidRDefault="002E06E9" w:rsidP="002E586C">
          <w:pPr>
            <w:spacing w:line="220" w:lineRule="exact"/>
          </w:pPr>
        </w:p>
      </w:sdtContent>
    </w:sdt>
    <w:bookmarkEnd w:id="16" w:displacedByCustomXml="prev"/>
    <w:p w14:paraId="2F90F3E7" w14:textId="77777777" w:rsidR="002E586C" w:rsidRPr="002E586C" w:rsidRDefault="002E586C" w:rsidP="002E586C">
      <w:pPr>
        <w:spacing w:line="220" w:lineRule="exact"/>
      </w:pPr>
    </w:p>
    <w:sdt>
      <w:sdtPr>
        <w:rPr>
          <w:rFonts w:eastAsia="Times New Roman"/>
          <w:szCs w:val="24"/>
        </w:rPr>
        <w:alias w:val="Datum"/>
        <w:tag w:val="CCPaivays"/>
        <w:id w:val="-857742363"/>
        <w:placeholder>
          <w:docPart w:val="558EDC68F6F042D2AC314C6B7E77D7F6"/>
        </w:placeholder>
        <w15:color w:val="33CCCC"/>
        <w:text/>
      </w:sdtPr>
      <w:sdtEndPr/>
      <w:sdtContent>
        <w:p w14:paraId="46D6D47C" w14:textId="494E7C7C" w:rsidR="002E586C" w:rsidRPr="005A13D2" w:rsidRDefault="002E586C" w:rsidP="005A13D2">
          <w:pPr>
            <w:spacing w:after="220" w:line="220" w:lineRule="exact"/>
            <w:rPr>
              <w:rFonts w:eastAsia="Times New Roman"/>
              <w:szCs w:val="24"/>
            </w:rPr>
          </w:pPr>
          <w:r w:rsidRPr="005A13D2">
            <w:rPr>
              <w:rFonts w:eastAsia="Times New Roman"/>
              <w:szCs w:val="24"/>
            </w:rPr>
            <w:t xml:space="preserve">Helsingfors den </w:t>
          </w:r>
          <w:r w:rsidR="005A13D2">
            <w:rPr>
              <w:rFonts w:eastAsia="Times New Roman"/>
              <w:szCs w:val="24"/>
            </w:rPr>
            <w:t xml:space="preserve">                             </w:t>
          </w:r>
          <w:r w:rsidRPr="005A13D2">
            <w:rPr>
              <w:rFonts w:eastAsia="Times New Roman"/>
              <w:szCs w:val="24"/>
            </w:rPr>
            <w:t xml:space="preserve"> 2024</w:t>
          </w:r>
        </w:p>
      </w:sdtContent>
    </w:sdt>
    <w:sectPr w:rsidR="002E586C" w:rsidRPr="005A13D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6C"/>
    <w:rsid w:val="002E06E9"/>
    <w:rsid w:val="002E586C"/>
    <w:rsid w:val="00351C29"/>
    <w:rsid w:val="005A13D2"/>
    <w:rsid w:val="005A3BD3"/>
    <w:rsid w:val="008D7137"/>
    <w:rsid w:val="00AB018F"/>
    <w:rsid w:val="00C90B0F"/>
    <w:rsid w:val="00D43570"/>
    <w:rsid w:val="00E72C61"/>
    <w:rsid w:val="00F00DA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1A06"/>
  <w15:chartTrackingRefBased/>
  <w15:docId w15:val="{9C57BF46-BCBF-44C9-A196-AAD3B1A7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E586C"/>
    <w:pPr>
      <w:spacing w:after="0" w:line="276" w:lineRule="auto"/>
    </w:pPr>
    <w:rPr>
      <w:rFonts w:ascii="Times New Roman" w:eastAsia="Calibri" w:hAnsi="Times New Roman" w:cs="Times New Roman"/>
      <w:kern w:val="0"/>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LPasiallinensislt">
    <w:name w:val="LLPääasiallinensisältö"/>
    <w:next w:val="Normaali"/>
    <w:rsid w:val="002E586C"/>
    <w:pPr>
      <w:spacing w:after="220" w:line="220" w:lineRule="exact"/>
      <w:outlineLvl w:val="0"/>
    </w:pPr>
    <w:rPr>
      <w:rFonts w:ascii="Times New Roman" w:eastAsia="Times New Roman" w:hAnsi="Times New Roman" w:cs="Times New Roman"/>
      <w:b/>
      <w:caps/>
      <w:kern w:val="0"/>
      <w:sz w:val="21"/>
      <w:szCs w:val="24"/>
      <w:lang w:eastAsia="fi-FI"/>
      <w14:ligatures w14:val="none"/>
    </w:rPr>
  </w:style>
  <w:style w:type="paragraph" w:customStyle="1" w:styleId="LLEsityksennimi">
    <w:name w:val="LLEsityksennimi"/>
    <w:next w:val="Normaali"/>
    <w:rsid w:val="002E586C"/>
    <w:pPr>
      <w:spacing w:after="220" w:line="220" w:lineRule="exact"/>
      <w:jc w:val="both"/>
    </w:pPr>
    <w:rPr>
      <w:rFonts w:ascii="Times New Roman" w:eastAsia="Times New Roman" w:hAnsi="Times New Roman" w:cs="Arial"/>
      <w:b/>
      <w:kern w:val="0"/>
      <w:sz w:val="21"/>
      <w:szCs w:val="24"/>
      <w:lang w:eastAsia="fi-FI"/>
      <w14:ligatures w14:val="none"/>
    </w:rPr>
  </w:style>
  <w:style w:type="paragraph" w:customStyle="1" w:styleId="LLPerustelujenkappalejako">
    <w:name w:val="LLPerustelujenkappalejako"/>
    <w:rsid w:val="002E586C"/>
    <w:pPr>
      <w:spacing w:after="220" w:line="220" w:lineRule="exact"/>
      <w:jc w:val="both"/>
    </w:pPr>
    <w:rPr>
      <w:rFonts w:ascii="Times New Roman" w:eastAsia="Times New Roman" w:hAnsi="Times New Roman" w:cs="Times New Roman"/>
      <w:kern w:val="0"/>
      <w:szCs w:val="24"/>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133D614ABC4311AB7400DA71519C1C"/>
        <w:category>
          <w:name w:val="Yleiset"/>
          <w:gallery w:val="placeholder"/>
        </w:category>
        <w:types>
          <w:type w:val="bbPlcHdr"/>
        </w:types>
        <w:behaviors>
          <w:behavior w:val="content"/>
        </w:behaviors>
        <w:guid w:val="{53FB0A0F-5B36-4A83-B04D-765680BE840D}"/>
      </w:docPartPr>
      <w:docPartBody>
        <w:p w:rsidR="009C1086" w:rsidRDefault="006A6B18" w:rsidP="006A6B18">
          <w:pPr>
            <w:pStyle w:val="D7133D614ABC4311AB7400DA71519C1C"/>
          </w:pPr>
          <w:r w:rsidRPr="005D3E42">
            <w:rPr>
              <w:rStyle w:val="Paikkamerkkiteksti"/>
            </w:rPr>
            <w:t>Click or tap here to enter text.</w:t>
          </w:r>
        </w:p>
      </w:docPartBody>
    </w:docPart>
    <w:docPart>
      <w:docPartPr>
        <w:name w:val="FC38AB7426FC4339B632DD78F7C44980"/>
        <w:category>
          <w:name w:val="Yleiset"/>
          <w:gallery w:val="placeholder"/>
        </w:category>
        <w:types>
          <w:type w:val="bbPlcHdr"/>
        </w:types>
        <w:behaviors>
          <w:behavior w:val="content"/>
        </w:behaviors>
        <w:guid w:val="{7F41634C-A72A-4265-825A-BBAC4404AA95}"/>
      </w:docPartPr>
      <w:docPartBody>
        <w:p w:rsidR="009C1086" w:rsidRDefault="006A6B18" w:rsidP="006A6B18">
          <w:pPr>
            <w:pStyle w:val="FC38AB7426FC4339B632DD78F7C44980"/>
          </w:pPr>
          <w:r w:rsidRPr="005D3E42">
            <w:rPr>
              <w:rStyle w:val="Paikkamerkkiteksti"/>
            </w:rPr>
            <w:t>Click or tap here to enter text.</w:t>
          </w:r>
        </w:p>
      </w:docPartBody>
    </w:docPart>
    <w:docPart>
      <w:docPartPr>
        <w:name w:val="3EDDAE478DCF47E98EAD88D0E5D01A5C"/>
        <w:category>
          <w:name w:val="Yleiset"/>
          <w:gallery w:val="placeholder"/>
        </w:category>
        <w:types>
          <w:type w:val="bbPlcHdr"/>
        </w:types>
        <w:behaviors>
          <w:behavior w:val="content"/>
        </w:behaviors>
        <w:guid w:val="{8F908DD4-ED66-4284-BBEC-6EC6A8BC91B0}"/>
      </w:docPartPr>
      <w:docPartBody>
        <w:p w:rsidR="009C1086" w:rsidRDefault="006A6B18" w:rsidP="006A6B18">
          <w:pPr>
            <w:pStyle w:val="3EDDAE478DCF47E98EAD88D0E5D01A5C"/>
          </w:pPr>
          <w:r w:rsidRPr="005D3E42">
            <w:rPr>
              <w:rStyle w:val="Paikkamerkkiteksti"/>
            </w:rPr>
            <w:t>Click or tap here to enter text.</w:t>
          </w:r>
        </w:p>
      </w:docPartBody>
    </w:docPart>
    <w:docPart>
      <w:docPartPr>
        <w:name w:val="558EDC68F6F042D2AC314C6B7E77D7F6"/>
        <w:category>
          <w:name w:val="Yleiset"/>
          <w:gallery w:val="placeholder"/>
        </w:category>
        <w:types>
          <w:type w:val="bbPlcHdr"/>
        </w:types>
        <w:behaviors>
          <w:behavior w:val="content"/>
        </w:behaviors>
        <w:guid w:val="{5CFAD2E1-5213-4011-BAB9-95605CCAC305}"/>
      </w:docPartPr>
      <w:docPartBody>
        <w:p w:rsidR="009C1086" w:rsidRDefault="006A6B18" w:rsidP="006A6B18">
          <w:pPr>
            <w:pStyle w:val="558EDC68F6F042D2AC314C6B7E77D7F6"/>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18"/>
    <w:rsid w:val="006A6B18"/>
    <w:rsid w:val="006C5DC8"/>
    <w:rsid w:val="009205CD"/>
    <w:rsid w:val="009C1086"/>
    <w:rsid w:val="00E94FE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6A6B18"/>
    <w:rPr>
      <w:color w:val="808080"/>
    </w:rPr>
  </w:style>
  <w:style w:type="paragraph" w:customStyle="1" w:styleId="D7133D614ABC4311AB7400DA71519C1C">
    <w:name w:val="D7133D614ABC4311AB7400DA71519C1C"/>
    <w:rsid w:val="006A6B18"/>
  </w:style>
  <w:style w:type="paragraph" w:customStyle="1" w:styleId="FC38AB7426FC4339B632DD78F7C44980">
    <w:name w:val="FC38AB7426FC4339B632DD78F7C44980"/>
    <w:rsid w:val="006A6B18"/>
  </w:style>
  <w:style w:type="paragraph" w:customStyle="1" w:styleId="3EDDAE478DCF47E98EAD88D0E5D01A5C">
    <w:name w:val="3EDDAE478DCF47E98EAD88D0E5D01A5C"/>
    <w:rsid w:val="006A6B18"/>
  </w:style>
  <w:style w:type="paragraph" w:customStyle="1" w:styleId="558EDC68F6F042D2AC314C6B7E77D7F6">
    <w:name w:val="558EDC68F6F042D2AC314C6B7E77D7F6"/>
    <w:rsid w:val="006A6B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810</Words>
  <Characters>6562</Characters>
  <Application>Microsoft Office Word</Application>
  <DocSecurity>0</DocSecurity>
  <Lines>54</Lines>
  <Paragraphs>14</Paragraphs>
  <ScaleCrop>false</ScaleCrop>
  <Company>Suomen valtion</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Horko Mikko (STM)</dc:creator>
  <cp:keywords/>
  <dc:description/>
  <cp:lastModifiedBy>Marjamäki Tarja (STM)</cp:lastModifiedBy>
  <cp:revision>4</cp:revision>
  <dcterms:created xsi:type="dcterms:W3CDTF">2024-06-24T15:25:00Z</dcterms:created>
  <dcterms:modified xsi:type="dcterms:W3CDTF">2024-06-24T15:31:00Z</dcterms:modified>
</cp:coreProperties>
</file>