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6436906"/>
    <w:p w:rsidR="007B6806" w:rsidRDefault="007B6806" w:rsidP="007B6806">
      <w:pPr>
        <w:pStyle w:val="LLLakiehdotukset"/>
      </w:pPr>
      <w:sdt>
        <w:sdtPr>
          <w:alias w:val="Lagförslag"/>
          <w:tag w:val="CCLakiehdotukset"/>
          <w:id w:val="1834638829"/>
          <w:placeholder>
            <w:docPart w:val="C86D0B65DA7C451B929D2F0C323B81F5"/>
          </w:placeholder>
          <w15:color w:val="00FFFF"/>
          <w:dropDownList>
            <w:listItem w:value="Valitse kohde."/>
            <w:listItem w:displayText="Lagförslag" w:value="Lakiehdotus"/>
            <w:listItem w:displayText="Lagförslag" w:value="Lakiehdotukset"/>
          </w:dropDownList>
        </w:sdtPr>
        <w:sdtContent>
          <w:r>
            <w:t>Lagförslag</w:t>
          </w:r>
        </w:sdtContent>
      </w:sdt>
      <w:bookmarkEnd w:id="0"/>
    </w:p>
    <w:sdt>
      <w:sdtPr>
        <w:alias w:val="Lagförslag"/>
        <w:tag w:val="CCLakiehdotus"/>
        <w:id w:val="1695884352"/>
        <w:placeholder>
          <w:docPart w:val="7D53D244857B46F8B9B08E3B5F7C4628"/>
        </w:placeholder>
        <w15:color w:val="00FFFF"/>
      </w:sdtPr>
      <w:sdtContent>
        <w:p w:rsidR="007B6806" w:rsidRPr="009167E1" w:rsidRDefault="007B6806" w:rsidP="007B6806">
          <w:pPr>
            <w:pStyle w:val="LLNormaali"/>
          </w:pPr>
        </w:p>
        <w:p w:rsidR="007B6806" w:rsidRPr="00F36633" w:rsidRDefault="007B6806" w:rsidP="007B6806">
          <w:pPr>
            <w:pStyle w:val="LLLaki"/>
          </w:pPr>
          <w:r>
            <w:rPr>
              <w:bCs/>
            </w:rPr>
            <w:t>Lag</w:t>
          </w:r>
        </w:p>
        <w:p w:rsidR="007B6806" w:rsidRPr="009167E1" w:rsidRDefault="007B6806" w:rsidP="007B6806">
          <w:pPr>
            <w:pStyle w:val="LLSaadoksenNimi"/>
          </w:pPr>
          <w:bookmarkStart w:id="1" w:name="_Toc176436907"/>
          <w:r>
            <w:t>om ändring av lagen om Finlands Akademi</w:t>
          </w:r>
          <w:bookmarkEnd w:id="1"/>
        </w:p>
        <w:p w:rsidR="007B6806" w:rsidRPr="009167E1" w:rsidRDefault="007B6806" w:rsidP="007B6806">
          <w:pPr>
            <w:pStyle w:val="LLJohtolauseKappaleet"/>
          </w:pPr>
          <w:r>
            <w:t xml:space="preserve">I enlighet med riksdagens beslut </w:t>
          </w:r>
        </w:p>
        <w:p w:rsidR="007B6806" w:rsidRPr="00DB711A" w:rsidRDefault="007B6806" w:rsidP="007B6806">
          <w:pPr>
            <w:pStyle w:val="LLJohtolauseKappaleet"/>
          </w:pPr>
          <w:r>
            <w:rPr>
              <w:i/>
            </w:rPr>
            <w:t xml:space="preserve">upphävs </w:t>
          </w:r>
          <w:r>
            <w:t xml:space="preserve">i lagen om Finlands Akademi (922/2009) 5 a § samt 9 § 1 och 2 mom., av dem 5 a § sådan den lyder i lag 482/2014, </w:t>
          </w:r>
        </w:p>
        <w:p w:rsidR="007B6806" w:rsidRDefault="007B6806" w:rsidP="007B6806">
          <w:pPr>
            <w:pStyle w:val="LLJohtolauseKappaleet"/>
          </w:pPr>
          <w:r>
            <w:rPr>
              <w:i/>
            </w:rPr>
            <w:t>ändras</w:t>
          </w:r>
          <w:r>
            <w:t xml:space="preserve"> 3 §, 4 § 2, 3 och 5 punkterna, 5 § 1 mom., 6 §, 7 § 2 mom., 8 §, rubriken för 9 § samt 12 §, av dem 3 §, 4 § 2, 3 och 5 punkterna och 6 § sådana de lyder i lag 482/2014 samt 5 § 1 mom., 8 § och 12 § sådana de lyder i lag 213/2018, och</w:t>
          </w:r>
        </w:p>
        <w:p w:rsidR="007B6806" w:rsidRDefault="007B6806" w:rsidP="007B6806">
          <w:pPr>
            <w:pStyle w:val="LLJohtolauseKappaleet"/>
          </w:pPr>
          <w:r>
            <w:rPr>
              <w:i/>
              <w:iCs/>
            </w:rPr>
            <w:t>fogas</w:t>
          </w:r>
          <w:r>
            <w:t xml:space="preserve"> till 2 §, sådan den lyder i lag 213/2018, ett nytt 2 mom. som följer:</w:t>
          </w:r>
        </w:p>
        <w:p w:rsidR="007B6806" w:rsidRDefault="007B6806" w:rsidP="007B6806">
          <w:pPr>
            <w:pStyle w:val="LLNormaali"/>
          </w:pPr>
        </w:p>
        <w:p w:rsidR="007B6806" w:rsidRPr="009167E1" w:rsidRDefault="007B6806" w:rsidP="007B6806">
          <w:pPr>
            <w:pStyle w:val="LLPykala"/>
          </w:pPr>
          <w:r>
            <w:t>2 §</w:t>
          </w:r>
        </w:p>
        <w:p w:rsidR="007B6806" w:rsidRPr="00A4663A" w:rsidRDefault="007B6806" w:rsidP="007B6806">
          <w:pPr>
            <w:pStyle w:val="LLPykalanOtsikko"/>
          </w:pPr>
          <w:r>
            <w:t>Uppgifter</w:t>
          </w:r>
        </w:p>
        <w:p w:rsidR="007B6806" w:rsidRPr="009167E1" w:rsidRDefault="007B6806" w:rsidP="007B6806">
          <w:pPr>
            <w:pStyle w:val="LLNormaali"/>
          </w:pPr>
          <w:r>
            <w:t>— — — — — — — — — — — — — — — — — — — — — — — — — — — — — —</w:t>
          </w:r>
        </w:p>
        <w:p w:rsidR="007B6806" w:rsidRDefault="007B6806" w:rsidP="007B6806">
          <w:pPr>
            <w:pStyle w:val="LLKappalejako"/>
          </w:pPr>
          <w:r>
            <w:t xml:space="preserve">Vid skötseln av sina uppgifter ska Akademin beakta Finlands nationella säkerhet och internationella förpliktelser samt de utrikes- och säkerhetspolitiska riktlinjerna. </w:t>
          </w:r>
        </w:p>
        <w:p w:rsidR="007B6806" w:rsidRDefault="007B6806" w:rsidP="007B6806">
          <w:pPr>
            <w:pStyle w:val="LLPykala"/>
          </w:pPr>
        </w:p>
        <w:p w:rsidR="007B6806" w:rsidRDefault="007B6806" w:rsidP="007B6806">
          <w:pPr>
            <w:pStyle w:val="LLPykala"/>
          </w:pPr>
        </w:p>
        <w:p w:rsidR="007B6806" w:rsidRPr="009167E1" w:rsidRDefault="007B6806" w:rsidP="007B6806">
          <w:pPr>
            <w:pStyle w:val="LLPykala"/>
          </w:pPr>
          <w:r>
            <w:t>3 §</w:t>
          </w:r>
        </w:p>
        <w:p w:rsidR="007B6806" w:rsidRPr="00A4663A" w:rsidRDefault="007B6806" w:rsidP="007B6806">
          <w:pPr>
            <w:pStyle w:val="LLPykalanOtsikko"/>
          </w:pPr>
          <w:r>
            <w:t>Styrelsen</w:t>
          </w:r>
        </w:p>
        <w:p w:rsidR="007B6806" w:rsidRDefault="007B6806" w:rsidP="007B6806">
          <w:pPr>
            <w:pStyle w:val="LLKappalejako"/>
          </w:pPr>
          <w:r>
            <w:t>Akademins verksamhet styrs och övervakas av en styrelse. Styrelsen har en ordförande samt minst fem och högst sju andra medlemmar. Statsrådet utnämner efter föredragning från undervisnings- och kulturministeriet styrelsens ordförande och medlemmar för tre år i sänder. Medlemmarna ska ha erfarenhet av forskningsarbete och tillräcklig vetenskapspolitisk sakkunskap. Statsrådet förordnar en vice styrelseordförande bland medlemmarna. Samma person kan utnämnas till medlem av styrelsen för högst två mandatperioder i följd.</w:t>
          </w:r>
        </w:p>
        <w:p w:rsidR="007B6806" w:rsidRDefault="007B6806" w:rsidP="007B6806">
          <w:pPr>
            <w:pStyle w:val="LLKappalejako"/>
          </w:pPr>
          <w:r>
            <w:t>Akademins generaldirektör svarar för beredningen, föredragningen och verkställandet av de ärenden som behandlas i styrelsen.</w:t>
          </w:r>
        </w:p>
        <w:p w:rsidR="007B6806" w:rsidRDefault="007B6806" w:rsidP="007B6806">
          <w:pPr>
            <w:pStyle w:val="LLNormaali"/>
          </w:pPr>
        </w:p>
        <w:p w:rsidR="007B6806" w:rsidRDefault="007B6806" w:rsidP="007B6806">
          <w:pPr>
            <w:pStyle w:val="LLPykala"/>
          </w:pPr>
        </w:p>
        <w:p w:rsidR="007B6806" w:rsidRPr="009167E1" w:rsidRDefault="007B6806" w:rsidP="007B6806">
          <w:pPr>
            <w:pStyle w:val="LLPykala"/>
          </w:pPr>
          <w:r>
            <w:t>4 §</w:t>
          </w:r>
        </w:p>
        <w:p w:rsidR="007B6806" w:rsidRDefault="007B6806" w:rsidP="007B6806">
          <w:pPr>
            <w:pStyle w:val="LLPykalanOtsikko"/>
          </w:pPr>
          <w:r>
            <w:t>Styrelsens uppgifter</w:t>
          </w:r>
        </w:p>
        <w:p w:rsidR="007B6806" w:rsidRDefault="007B6806" w:rsidP="007B6806">
          <w:pPr>
            <w:pStyle w:val="LLKappalejako"/>
          </w:pPr>
          <w:r>
            <w:t>Akademins styrelse beslutar om ärenden som gäller</w:t>
          </w:r>
        </w:p>
        <w:p w:rsidR="007B6806" w:rsidRPr="009167E1" w:rsidRDefault="007B6806" w:rsidP="007B6806">
          <w:pPr>
            <w:pStyle w:val="LLNormaali"/>
          </w:pPr>
          <w:r>
            <w:t>— — — — — — — — — — — — — — — — — — — — — — — — — — — — — —</w:t>
          </w:r>
        </w:p>
        <w:p w:rsidR="007B6806" w:rsidRDefault="007B6806" w:rsidP="007B6806">
          <w:pPr>
            <w:pStyle w:val="LLKappalejako"/>
          </w:pPr>
          <w:r>
            <w:t>2) samordningen av det arbete som utförs av forskningsråden och rådet för strategisk forskning,</w:t>
          </w:r>
        </w:p>
        <w:p w:rsidR="007B6806" w:rsidRDefault="007B6806" w:rsidP="007B6806">
          <w:pPr>
            <w:pStyle w:val="LLKappalejako"/>
          </w:pPr>
          <w:r>
            <w:t>3) forskningsrådens verksamhetsområden samt främjandet av forskningsområden som är gemensamma för två eller flera forskningsråd,</w:t>
          </w:r>
        </w:p>
        <w:p w:rsidR="007B6806" w:rsidRPr="009167E1" w:rsidRDefault="007B6806" w:rsidP="007B6806">
          <w:pPr>
            <w:pStyle w:val="LLNormaali"/>
          </w:pPr>
          <w:r>
            <w:t>— — — — — — — — — — — — — — — — — — — — — — — — — — — — — —</w:t>
          </w:r>
        </w:p>
        <w:p w:rsidR="007B6806" w:rsidRDefault="007B6806" w:rsidP="007B6806">
          <w:pPr>
            <w:pStyle w:val="LLKappalejako"/>
          </w:pPr>
          <w:r>
            <w:t>5) fördelningen av anslag mellan forskningsråden och för olika ändamål,</w:t>
          </w:r>
        </w:p>
        <w:p w:rsidR="007B6806" w:rsidRPr="009167E1" w:rsidRDefault="007B6806" w:rsidP="007B6806">
          <w:pPr>
            <w:pStyle w:val="LLNormaali"/>
          </w:pPr>
          <w:r>
            <w:t>— — — — — — — — — — — — — — — — — — — — — — — — — — — — — —</w:t>
          </w:r>
        </w:p>
        <w:p w:rsidR="007B6806" w:rsidRDefault="007B6806" w:rsidP="007B6806">
          <w:pPr>
            <w:pStyle w:val="LLPykala"/>
            <w:jc w:val="left"/>
          </w:pPr>
        </w:p>
        <w:p w:rsidR="007B6806" w:rsidRDefault="007B6806" w:rsidP="007B6806">
          <w:pPr>
            <w:pStyle w:val="LLPykala"/>
          </w:pPr>
        </w:p>
        <w:p w:rsidR="007B6806" w:rsidRPr="009167E1" w:rsidRDefault="007B6806" w:rsidP="007B6806">
          <w:pPr>
            <w:pStyle w:val="LLPykala"/>
          </w:pPr>
          <w:r>
            <w:t>5 §</w:t>
          </w:r>
        </w:p>
        <w:p w:rsidR="007B6806" w:rsidRDefault="007B6806" w:rsidP="007B6806">
          <w:pPr>
            <w:pStyle w:val="LLPykalanOtsikko"/>
          </w:pPr>
          <w:r>
            <w:t>Vetenskapliga forskningsråd</w:t>
          </w:r>
        </w:p>
        <w:p w:rsidR="007B6806" w:rsidRDefault="007B6806" w:rsidP="007B6806">
          <w:pPr>
            <w:pStyle w:val="LLKappalejako"/>
          </w:pPr>
          <w:r>
            <w:t xml:space="preserve">Akademin har forskningsråd enligt vad som föreskrivs genom förordning av statsrådet och dessa har till uppgift att </w:t>
          </w:r>
        </w:p>
        <w:p w:rsidR="007B6806" w:rsidRDefault="007B6806" w:rsidP="007B6806">
          <w:pPr>
            <w:pStyle w:val="LLKappalejako"/>
          </w:pPr>
          <w:r>
            <w:t xml:space="preserve">1) bevilja finansiering för vetenskaplig forskning, för forskningsinfrastrukturer och för utveckling och nyttiggörande av forskningsförutsättningarna, </w:t>
          </w:r>
        </w:p>
        <w:p w:rsidR="007B6806" w:rsidRDefault="007B6806" w:rsidP="007B6806">
          <w:pPr>
            <w:pStyle w:val="LLKappalejako"/>
          </w:pPr>
          <w:r>
            <w:t xml:space="preserve">2) följa upp den beviljade finansieringens genomslag och resultat, </w:t>
          </w:r>
        </w:p>
        <w:p w:rsidR="007B6806" w:rsidRDefault="007B6806" w:rsidP="007B6806">
          <w:pPr>
            <w:pStyle w:val="LLKappalejako"/>
          </w:pPr>
          <w:r>
            <w:t xml:space="preserve">3) planera den forskningsfrämjande verksamheten tillsammans med Akademins övriga organ, </w:t>
          </w:r>
        </w:p>
        <w:p w:rsidR="007B6806" w:rsidRDefault="007B6806" w:rsidP="007B6806">
          <w:pPr>
            <w:pStyle w:val="LLKappalejako"/>
            <w:tabs>
              <w:tab w:val="left" w:pos="7350"/>
            </w:tabs>
          </w:pPr>
          <w:r>
            <w:t xml:space="preserve">4) på annat sätt verka så som närmare anges i instruktionen. </w:t>
          </w:r>
        </w:p>
        <w:p w:rsidR="007B6806" w:rsidRPr="009167E1" w:rsidRDefault="007B6806" w:rsidP="007B6806">
          <w:pPr>
            <w:pStyle w:val="LLNormaali"/>
          </w:pPr>
          <w:r>
            <w:t>— — — — — — — — — — — — — — — — — — — — — — — — — — — — — —</w:t>
          </w:r>
        </w:p>
        <w:p w:rsidR="007B6806" w:rsidRDefault="007B6806" w:rsidP="007B6806">
          <w:pPr>
            <w:pStyle w:val="LLPykala"/>
          </w:pPr>
        </w:p>
        <w:p w:rsidR="007B6806" w:rsidRDefault="007B6806" w:rsidP="007B6806">
          <w:pPr>
            <w:pStyle w:val="LLPykala"/>
          </w:pPr>
        </w:p>
        <w:p w:rsidR="007B6806" w:rsidRPr="009167E1" w:rsidRDefault="007B6806" w:rsidP="007B6806">
          <w:pPr>
            <w:pStyle w:val="LLPykala"/>
          </w:pPr>
          <w:r>
            <w:t>6 §</w:t>
          </w:r>
        </w:p>
        <w:p w:rsidR="007B6806" w:rsidRPr="00A4663A" w:rsidRDefault="007B6806" w:rsidP="007B6806">
          <w:pPr>
            <w:pStyle w:val="LLPykalanOtsikko"/>
          </w:pPr>
          <w:r>
            <w:t>Styrelsens sektioner</w:t>
          </w:r>
        </w:p>
        <w:p w:rsidR="007B6806" w:rsidRDefault="007B6806" w:rsidP="007B6806">
          <w:pPr>
            <w:pStyle w:val="LLKappalejako"/>
          </w:pPr>
          <w:r>
            <w:t>Ett ärende som hör till området för två eller flera forskningsråd kan genom beslut av Akademins styrelse överföras till en av styrelsen tillsatt sektion för behandling och avgörande. Endast ordföranden för och medlemmar i styrelsen, forskningsråden och rådet för strategisk forskning kan förordnas till medlemmar i sektionen.</w:t>
          </w:r>
        </w:p>
        <w:p w:rsidR="007B6806" w:rsidRDefault="007B6806" w:rsidP="007B6806">
          <w:pPr>
            <w:pStyle w:val="LLKappalejako"/>
          </w:pPr>
          <w:r>
            <w:t xml:space="preserve"> </w:t>
          </w:r>
        </w:p>
        <w:p w:rsidR="007B6806" w:rsidRPr="009167E1" w:rsidRDefault="007B6806" w:rsidP="007B6806">
          <w:pPr>
            <w:pStyle w:val="LLPykala"/>
          </w:pPr>
          <w:r>
            <w:t>7 §</w:t>
          </w:r>
        </w:p>
        <w:p w:rsidR="007B6806" w:rsidRDefault="007B6806" w:rsidP="007B6806">
          <w:pPr>
            <w:pStyle w:val="LLPykalanOtsikko"/>
          </w:pPr>
          <w:r>
            <w:t>Generaldirektören</w:t>
          </w:r>
        </w:p>
        <w:p w:rsidR="007B6806" w:rsidRPr="009167E1" w:rsidRDefault="007B6806" w:rsidP="007B6806">
          <w:pPr>
            <w:pStyle w:val="LLNormaali"/>
          </w:pPr>
          <w:r>
            <w:t>— — — — — — — — — — — — — — — — — — — — — — — — — — — — — —</w:t>
          </w:r>
        </w:p>
        <w:p w:rsidR="007B6806" w:rsidRDefault="007B6806" w:rsidP="007B6806">
          <w:pPr>
            <w:pStyle w:val="LLKappalejako"/>
          </w:pPr>
          <w:r>
            <w:t>Utöver vad som föreskrivs i 8 § i statstjänstemannalagen (750/1994) ska generaldirektören vara vetenskapligt meriterad och vara förtrogen med vetenskaps- och högskoleförvaltningen. Av generaldirektören krävs utmärkta muntliga och skriftliga kunskaper i finska och nöjaktiga muntliga och skriftliga kunskaper i svenska.</w:t>
          </w:r>
        </w:p>
        <w:p w:rsidR="007B6806" w:rsidRPr="009167E1" w:rsidRDefault="007B6806" w:rsidP="007B6806">
          <w:pPr>
            <w:pStyle w:val="LLNormaali"/>
          </w:pPr>
          <w:r>
            <w:t>— — — — — — — — — — — — — — — — — — — — — — — — — — — — — —</w:t>
          </w:r>
        </w:p>
        <w:p w:rsidR="007B6806" w:rsidRDefault="007B6806" w:rsidP="007B6806">
          <w:pPr>
            <w:pStyle w:val="LLKappalejako"/>
          </w:pPr>
        </w:p>
        <w:p w:rsidR="007B6806" w:rsidRDefault="007B6806" w:rsidP="007B6806">
          <w:pPr>
            <w:pStyle w:val="LLPykala"/>
          </w:pPr>
          <w:r>
            <w:t>8 §</w:t>
          </w:r>
        </w:p>
        <w:p w:rsidR="007B6806" w:rsidRDefault="007B6806" w:rsidP="007B6806">
          <w:pPr>
            <w:pStyle w:val="LLPykalanOtsikko"/>
          </w:pPr>
          <w:r>
            <w:t>Förvaltningsämbetet</w:t>
          </w:r>
        </w:p>
        <w:p w:rsidR="007B6806" w:rsidRDefault="007B6806" w:rsidP="007B6806">
          <w:pPr>
            <w:pStyle w:val="LLKappalejako"/>
          </w:pPr>
          <w:r>
            <w:t>Akademin har ett förvaltningsämbete som sköter förvaltningen av Akademin, forskningsråden och rådet för strategisk forskning samt svarar för beredningen av ärenden och för föredragningen och verkställigheten av besluten. Förvaltningsämbetet avgör dessutom ärenden som gäller ämbetet eller ringa ändringar i organens beslut.</w:t>
          </w:r>
        </w:p>
        <w:p w:rsidR="007B6806" w:rsidRDefault="007B6806" w:rsidP="007B6806">
          <w:pPr>
            <w:rPr>
              <w:lang w:eastAsia="fi-FI"/>
            </w:rPr>
          </w:pPr>
        </w:p>
        <w:p w:rsidR="007B6806" w:rsidRDefault="007B6806" w:rsidP="007B6806">
          <w:pPr>
            <w:pStyle w:val="LLPykala"/>
          </w:pPr>
          <w:r>
            <w:t>9 §</w:t>
          </w:r>
        </w:p>
        <w:p w:rsidR="007B6806" w:rsidRPr="00A4663A" w:rsidRDefault="007B6806" w:rsidP="007B6806">
          <w:pPr>
            <w:pStyle w:val="LLPykalanOtsikko"/>
          </w:pPr>
          <w:r>
            <w:t>Skyldigheter för arbetsgivare för forskare som finansieras av Finlands Akademi</w:t>
          </w:r>
        </w:p>
        <w:p w:rsidR="007B6806" w:rsidRPr="009167E1" w:rsidRDefault="007B6806" w:rsidP="007B6806">
          <w:pPr>
            <w:pStyle w:val="LLNormaali"/>
          </w:pPr>
          <w:r>
            <w:t>— — — — — — — — — — — — — — — — — — — — — — — — — — — — — —</w:t>
          </w:r>
        </w:p>
        <w:p w:rsidR="007B6806" w:rsidRDefault="007B6806" w:rsidP="007B6806">
          <w:pPr>
            <w:pStyle w:val="LLPykala"/>
          </w:pPr>
        </w:p>
        <w:p w:rsidR="007B6806" w:rsidRDefault="007B6806" w:rsidP="007B6806">
          <w:pPr>
            <w:pStyle w:val="LLPykala"/>
          </w:pPr>
        </w:p>
        <w:p w:rsidR="007B6806" w:rsidRDefault="007B6806" w:rsidP="007B6806">
          <w:pPr>
            <w:pStyle w:val="LLPykala"/>
          </w:pPr>
        </w:p>
        <w:p w:rsidR="007B6806" w:rsidRDefault="007B6806" w:rsidP="007B6806">
          <w:pPr>
            <w:pStyle w:val="LLPykala"/>
          </w:pPr>
        </w:p>
        <w:p w:rsidR="007B6806" w:rsidRPr="009167E1" w:rsidRDefault="007B6806" w:rsidP="007B6806">
          <w:pPr>
            <w:pStyle w:val="LLPykala"/>
          </w:pPr>
          <w:r>
            <w:t>12 §</w:t>
          </w:r>
        </w:p>
        <w:p w:rsidR="007B6806" w:rsidRPr="00A4663A" w:rsidRDefault="007B6806" w:rsidP="007B6806">
          <w:pPr>
            <w:pStyle w:val="LLPykalanOtsikko"/>
          </w:pPr>
          <w:r>
            <w:rPr>
              <w:iCs/>
            </w:rPr>
            <w:t>Närmare bestämmelser och föreskrifter</w:t>
          </w:r>
        </w:p>
        <w:p w:rsidR="007B6806" w:rsidRDefault="007B6806" w:rsidP="007B6806">
          <w:pPr>
            <w:pStyle w:val="LLKappalejako"/>
          </w:pPr>
          <w:r>
            <w:t>Närmare bestämmelser om Akademins uppgifter, om Akademin styrelse, forskningsråd, sektioner, råd för strategisk forskning och om dessas verksamhet, om avgörande av ärenden och om personalen utfärdas genom förordning av statsrådet.</w:t>
          </w:r>
        </w:p>
        <w:p w:rsidR="007B6806" w:rsidRDefault="007B6806" w:rsidP="007B6806">
          <w:pPr>
            <w:pStyle w:val="LLKappalejako"/>
          </w:pPr>
          <w:r>
            <w:t>Till den del som det om vissa frågor inte ska föreskrivas genom förordning av statsrådet får föreskrifter om dem utfärdas i den instruktion som godkänns av Akademins styrelse eller när det gäller förvaltningsämbetet och förvaltningsämbetets interna verksamhet i den arbetsordning som fastställs av generaldirektören. I instruktionen kan ett organs befogenheter överföras till dess ordförande eller till förvaltningsämbetet i ärenden som inte är principiella eller har vittomfattande konsekvenser. I instruktionen kan det anges att ett organs ordförande avgör ett ärende som gäller ändring av ett finansieringsbeslut, när beslutet inte innehåller betydande användning av prövningsrätt. När det gäller rådet för strategisk forskning kan överföringen av befogenheter endast ske på förslag av rådet.</w:t>
          </w:r>
        </w:p>
        <w:p w:rsidR="007B6806" w:rsidRDefault="007B6806" w:rsidP="007B6806">
          <w:pPr>
            <w:pStyle w:val="LLKappalejako"/>
          </w:pPr>
        </w:p>
        <w:p w:rsidR="007B6806" w:rsidRPr="009E7AC2" w:rsidRDefault="007B6806" w:rsidP="007B6806">
          <w:pPr>
            <w:pStyle w:val="LLKappalejako"/>
          </w:pPr>
        </w:p>
        <w:p w:rsidR="007B6806" w:rsidRDefault="007B6806" w:rsidP="007B6806">
          <w:pPr>
            <w:pStyle w:val="LLKappalejako"/>
          </w:pPr>
        </w:p>
        <w:p w:rsidR="007B6806" w:rsidRPr="009167E1" w:rsidRDefault="007B6806" w:rsidP="007B6806">
          <w:pPr>
            <w:pStyle w:val="LLNormaali"/>
            <w:jc w:val="center"/>
          </w:pPr>
          <w:r>
            <w:t>———</w:t>
          </w:r>
        </w:p>
        <w:p w:rsidR="007B6806" w:rsidRDefault="007B6806" w:rsidP="007B6806">
          <w:pPr>
            <w:pStyle w:val="LLVoimaantulokappale"/>
          </w:pPr>
          <w:r>
            <w:t>Denna lag träder i kraft den    20  .</w:t>
          </w:r>
        </w:p>
        <w:p w:rsidR="007B6806" w:rsidRDefault="007B6806" w:rsidP="007B6806">
          <w:pPr>
            <w:pStyle w:val="LLNormaali"/>
            <w:jc w:val="center"/>
          </w:pPr>
          <w:r>
            <w:t>—————</w:t>
          </w:r>
        </w:p>
        <w:p w:rsidR="007B6806" w:rsidRDefault="007B6806" w:rsidP="007B6806">
          <w:pPr>
            <w:pStyle w:val="LLNormaali"/>
          </w:pPr>
        </w:p>
      </w:sdtContent>
    </w:sdt>
    <w:p w:rsidR="007B6806" w:rsidRDefault="007B6806" w:rsidP="007B6806">
      <w:pPr>
        <w:pStyle w:val="LLNormaali"/>
      </w:pPr>
    </w:p>
    <w:p w:rsidR="00EE1010" w:rsidRDefault="00EE1010"/>
    <w:sectPr w:rsidR="00EE10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06"/>
    <w:rsid w:val="007B6806"/>
    <w:rsid w:val="00EE10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2ABC419"/>
  <w15:chartTrackingRefBased/>
  <w15:docId w15:val="{98C43FA4-0BE6-417B-9A42-A752FCDE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B6806"/>
    <w:pPr>
      <w:spacing w:after="0" w:line="276" w:lineRule="auto"/>
    </w:pPr>
    <w:rPr>
      <w:rFonts w:ascii="Times New Roman" w:eastAsia="Calibri" w:hAnsi="Times New Roman" w:cs="Times New Roman"/>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Kappalejako">
    <w:name w:val="LLKappalejako"/>
    <w:link w:val="LLKappalejakoChar"/>
    <w:rsid w:val="007B6806"/>
    <w:pPr>
      <w:spacing w:after="0" w:line="220" w:lineRule="exact"/>
      <w:ind w:firstLine="170"/>
      <w:jc w:val="both"/>
    </w:pPr>
    <w:rPr>
      <w:rFonts w:ascii="Times New Roman" w:eastAsia="Times New Roman" w:hAnsi="Times New Roman" w:cs="Times New Roman"/>
      <w:szCs w:val="24"/>
      <w:lang w:val="sv-SE" w:eastAsia="fi-FI"/>
    </w:rPr>
  </w:style>
  <w:style w:type="character" w:customStyle="1" w:styleId="LLKappalejakoChar">
    <w:name w:val="LLKappalejako Char"/>
    <w:link w:val="LLKappalejako"/>
    <w:locked/>
    <w:rsid w:val="007B6806"/>
    <w:rPr>
      <w:rFonts w:ascii="Times New Roman" w:eastAsia="Times New Roman" w:hAnsi="Times New Roman" w:cs="Times New Roman"/>
      <w:szCs w:val="24"/>
      <w:lang w:val="sv-SE" w:eastAsia="fi-FI"/>
    </w:rPr>
  </w:style>
  <w:style w:type="paragraph" w:customStyle="1" w:styleId="LLPykala">
    <w:name w:val="LLPykala"/>
    <w:next w:val="Normaali"/>
    <w:rsid w:val="007B6806"/>
    <w:pPr>
      <w:spacing w:after="0" w:line="220" w:lineRule="exact"/>
      <w:jc w:val="center"/>
    </w:pPr>
    <w:rPr>
      <w:rFonts w:ascii="Times New Roman" w:eastAsia="Times New Roman" w:hAnsi="Times New Roman" w:cs="Times New Roman"/>
      <w:szCs w:val="24"/>
      <w:lang w:val="sv-SE" w:eastAsia="fi-FI"/>
    </w:rPr>
  </w:style>
  <w:style w:type="paragraph" w:customStyle="1" w:styleId="LLPykalanOtsikko">
    <w:name w:val="LLPykalanOtsikko"/>
    <w:next w:val="Normaali"/>
    <w:rsid w:val="007B6806"/>
    <w:pPr>
      <w:spacing w:before="220" w:after="220" w:line="220" w:lineRule="exact"/>
      <w:jc w:val="center"/>
    </w:pPr>
    <w:rPr>
      <w:rFonts w:ascii="Times New Roman" w:eastAsia="Times New Roman" w:hAnsi="Times New Roman" w:cs="Times New Roman"/>
      <w:i/>
      <w:szCs w:val="24"/>
      <w:lang w:val="sv-SE" w:eastAsia="fi-FI"/>
    </w:rPr>
  </w:style>
  <w:style w:type="paragraph" w:customStyle="1" w:styleId="LLVoimaantulokappale">
    <w:name w:val="LLVoimaantulokappale"/>
    <w:rsid w:val="007B6806"/>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Lakiehdotukset">
    <w:name w:val="LLLakiehdotukset"/>
    <w:next w:val="Normaali"/>
    <w:rsid w:val="007B6806"/>
    <w:pPr>
      <w:spacing w:after="0" w:line="220" w:lineRule="exact"/>
      <w:ind w:left="6691"/>
      <w:outlineLvl w:val="0"/>
    </w:pPr>
    <w:rPr>
      <w:rFonts w:ascii="Times New Roman" w:eastAsia="Times New Roman" w:hAnsi="Times New Roman" w:cs="Times New Roman"/>
      <w:i/>
      <w:szCs w:val="24"/>
      <w:lang w:val="sv-SE" w:eastAsia="fi-FI"/>
    </w:rPr>
  </w:style>
  <w:style w:type="paragraph" w:customStyle="1" w:styleId="LLLaki">
    <w:name w:val="LLLaki"/>
    <w:next w:val="Normaali"/>
    <w:rsid w:val="007B6806"/>
    <w:pPr>
      <w:spacing w:before="220" w:after="220" w:line="320" w:lineRule="exact"/>
      <w:jc w:val="center"/>
      <w:outlineLvl w:val="1"/>
    </w:pPr>
    <w:rPr>
      <w:rFonts w:ascii="Times New Roman" w:eastAsia="Times New Roman" w:hAnsi="Times New Roman" w:cs="Times New Roman"/>
      <w:b/>
      <w:spacing w:val="22"/>
      <w:sz w:val="30"/>
      <w:szCs w:val="24"/>
      <w:lang w:val="sv-SE" w:eastAsia="fi-FI"/>
    </w:rPr>
  </w:style>
  <w:style w:type="paragraph" w:customStyle="1" w:styleId="LLSaadoksenNimi">
    <w:name w:val="LLSaadoksenNimi"/>
    <w:next w:val="Normaali"/>
    <w:rsid w:val="007B6806"/>
    <w:pPr>
      <w:spacing w:after="220" w:line="220" w:lineRule="exact"/>
      <w:jc w:val="center"/>
      <w:outlineLvl w:val="2"/>
    </w:pPr>
    <w:rPr>
      <w:rFonts w:ascii="Times New Roman" w:eastAsia="Times New Roman" w:hAnsi="Times New Roman" w:cs="Times New Roman"/>
      <w:b/>
      <w:sz w:val="21"/>
      <w:szCs w:val="24"/>
      <w:lang w:val="sv-SE" w:eastAsia="fi-FI"/>
    </w:rPr>
  </w:style>
  <w:style w:type="paragraph" w:customStyle="1" w:styleId="LLJohtolauseKappaleet">
    <w:name w:val="LLJohtolauseKappaleet"/>
    <w:rsid w:val="007B6806"/>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Normaali">
    <w:name w:val="LLNormaali"/>
    <w:basedOn w:val="Normaali"/>
    <w:qFormat/>
    <w:rsid w:val="007B6806"/>
    <w:pPr>
      <w:spacing w:line="2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D0B65DA7C451B929D2F0C323B81F5"/>
        <w:category>
          <w:name w:val="Yleiset"/>
          <w:gallery w:val="placeholder"/>
        </w:category>
        <w:types>
          <w:type w:val="bbPlcHdr"/>
        </w:types>
        <w:behaviors>
          <w:behavior w:val="content"/>
        </w:behaviors>
        <w:guid w:val="{62185413-5034-4130-B607-F2E88E4B3FA4}"/>
      </w:docPartPr>
      <w:docPartBody>
        <w:p w:rsidR="00000000" w:rsidRDefault="003223A5" w:rsidP="003223A5">
          <w:pPr>
            <w:pStyle w:val="C86D0B65DA7C451B929D2F0C323B81F5"/>
          </w:pPr>
          <w:r w:rsidRPr="00E27C6D">
            <w:t>Valitse kohde.</w:t>
          </w:r>
        </w:p>
      </w:docPartBody>
    </w:docPart>
    <w:docPart>
      <w:docPartPr>
        <w:name w:val="7D53D244857B46F8B9B08E3B5F7C4628"/>
        <w:category>
          <w:name w:val="Yleiset"/>
          <w:gallery w:val="placeholder"/>
        </w:category>
        <w:types>
          <w:type w:val="bbPlcHdr"/>
        </w:types>
        <w:behaviors>
          <w:behavior w:val="content"/>
        </w:behaviors>
        <w:guid w:val="{C6EBBA05-24B6-4380-BF5E-C90A7865F885}"/>
      </w:docPartPr>
      <w:docPartBody>
        <w:p w:rsidR="00000000" w:rsidRDefault="003223A5" w:rsidP="003223A5">
          <w:pPr>
            <w:pStyle w:val="7D53D244857B46F8B9B08E3B5F7C4628"/>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A5"/>
    <w:rsid w:val="003223A5"/>
    <w:rsid w:val="008D6E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86D0B65DA7C451B929D2F0C323B81F5">
    <w:name w:val="C86D0B65DA7C451B929D2F0C323B81F5"/>
    <w:rsid w:val="003223A5"/>
  </w:style>
  <w:style w:type="character" w:styleId="Paikkamerkkiteksti">
    <w:name w:val="Placeholder Text"/>
    <w:basedOn w:val="Kappaleenoletusfontti"/>
    <w:uiPriority w:val="99"/>
    <w:semiHidden/>
    <w:rsid w:val="003223A5"/>
    <w:rPr>
      <w:color w:val="808080"/>
    </w:rPr>
  </w:style>
  <w:style w:type="paragraph" w:customStyle="1" w:styleId="7D53D244857B46F8B9B08E3B5F7C4628">
    <w:name w:val="7D53D244857B46F8B9B08E3B5F7C4628"/>
    <w:rsid w:val="00322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4463</Characters>
  <Application>Microsoft Office Word</Application>
  <DocSecurity>0</DocSecurity>
  <Lines>37</Lines>
  <Paragraphs>10</Paragraphs>
  <ScaleCrop>false</ScaleCrop>
  <Company>Suomen valtion</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Laura (OKM)</dc:creator>
  <cp:keywords/>
  <dc:description/>
  <cp:lastModifiedBy>Hansen Laura (OKM)</cp:lastModifiedBy>
  <cp:revision>1</cp:revision>
  <dcterms:created xsi:type="dcterms:W3CDTF">2024-09-26T08:30:00Z</dcterms:created>
  <dcterms:modified xsi:type="dcterms:W3CDTF">2024-09-26T08:31:00Z</dcterms:modified>
</cp:coreProperties>
</file>