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1688" w14:textId="0B6BC59B" w:rsidR="00540BBB" w:rsidRPr="00FC659F" w:rsidRDefault="00540BBB" w:rsidP="008F16A0">
      <w:pPr>
        <w:shd w:val="clear" w:color="auto" w:fill="FFFFFF"/>
        <w:textAlignment w:val="baseline"/>
        <w:outlineLvl w:val="2"/>
      </w:pPr>
      <w:r w:rsidRPr="00FC659F">
        <w:rPr>
          <w:rFonts w:ascii="Arial" w:hAnsi="Arial"/>
          <w:color w:val="79A500"/>
          <w:sz w:val="48"/>
        </w:rPr>
        <w:t>Statsrådets förordning om fonderna inom området för inrikes frågor under programperioden 2021–2027</w:t>
      </w:r>
    </w:p>
    <w:p w14:paraId="3621BEE4" w14:textId="1B51F4A5" w:rsidR="00540BBB" w:rsidRPr="00FC659F" w:rsidDel="00A76B91" w:rsidRDefault="00540BBB" w:rsidP="008F16A0">
      <w:pPr>
        <w:shd w:val="clear" w:color="auto" w:fill="FFFFFF"/>
        <w:textAlignment w:val="baseline"/>
        <w:rPr>
          <w:rFonts w:ascii="inherit" w:eastAsia="Times New Roman" w:hAnsi="inherit" w:cs="Arial"/>
          <w:color w:val="444444"/>
          <w:sz w:val="23"/>
          <w:szCs w:val="23"/>
        </w:rPr>
      </w:pPr>
      <w:bookmarkStart w:id="0" w:name="_GoBack"/>
      <w:bookmarkEnd w:id="0"/>
    </w:p>
    <w:p w14:paraId="47A4F7EF" w14:textId="77777777" w:rsidR="00540BBB" w:rsidRPr="00FC659F" w:rsidRDefault="00540BBB" w:rsidP="008F16A0">
      <w:pPr>
        <w:pBdr>
          <w:left w:val="single" w:sz="48" w:space="8" w:color="EDF4D9"/>
        </w:pBdr>
        <w:shd w:val="clear" w:color="auto" w:fill="FFFFFF"/>
        <w:ind w:left="-300"/>
        <w:textAlignment w:val="baseline"/>
        <w:outlineLvl w:val="3"/>
      </w:pPr>
      <w:r w:rsidRPr="00FC659F">
        <w:rPr>
          <w:rFonts w:ascii="inherit" w:hAnsi="inherit"/>
          <w:color w:val="4E4E4E"/>
          <w:sz w:val="37"/>
        </w:rPr>
        <w:t>2 kap.</w:t>
      </w:r>
    </w:p>
    <w:p w14:paraId="13F5F3A9" w14:textId="3E2E5441" w:rsidR="00540BBB" w:rsidRPr="00FC659F" w:rsidDel="00A76B91" w:rsidRDefault="00540BBB" w:rsidP="00FC659F">
      <w:pPr>
        <w:pBdr>
          <w:left w:val="single" w:sz="48" w:space="8" w:color="EDF4D9"/>
        </w:pBdr>
        <w:shd w:val="clear" w:color="auto" w:fill="FFFFFF"/>
        <w:ind w:left="-300"/>
        <w:textAlignment w:val="baseline"/>
        <w:outlineLvl w:val="3"/>
      </w:pPr>
      <w:r w:rsidRPr="00FC659F">
        <w:rPr>
          <w:rFonts w:ascii="inherit" w:hAnsi="inherit"/>
          <w:color w:val="4E4E4E"/>
          <w:sz w:val="37"/>
        </w:rPr>
        <w:t>Genomförandeplaner och förvaltningen av fonderna inom området för inrikes frågor</w:t>
      </w:r>
    </w:p>
    <w:p w14:paraId="5D915882" w14:textId="77777777" w:rsidR="00540BBB" w:rsidRPr="00FC659F" w:rsidRDefault="00475220" w:rsidP="008F16A0">
      <w:pPr>
        <w:pBdr>
          <w:left w:val="single" w:sz="48" w:space="8" w:color="EDF4D9"/>
        </w:pBdr>
        <w:shd w:val="clear" w:color="auto" w:fill="FFFFFF"/>
        <w:ind w:left="-300"/>
        <w:textAlignment w:val="baseline"/>
        <w:outlineLvl w:val="4"/>
      </w:pPr>
      <w:hyperlink r:id="rId9" w:anchor="a119-2022" w:tooltip="Linkki voimaantulosäännökseen" w:history="1">
        <w:r w:rsidR="0009040C" w:rsidRPr="00FC659F">
          <w:rPr>
            <w:rFonts w:ascii="inherit" w:hAnsi="inherit"/>
            <w:color w:val="0B5B8D"/>
            <w:sz w:val="27"/>
            <w:u w:val="single"/>
            <w:bdr w:val="none" w:sz="0" w:space="0" w:color="auto" w:frame="1"/>
          </w:rPr>
          <w:t>4 §</w:t>
        </w:r>
      </w:hyperlink>
    </w:p>
    <w:p w14:paraId="2BFD6352" w14:textId="77777777" w:rsidR="00540BBB" w:rsidRPr="00FC659F" w:rsidRDefault="00540BBB" w:rsidP="008F16A0">
      <w:pPr>
        <w:pBdr>
          <w:left w:val="single" w:sz="48" w:space="8" w:color="EDF4D9"/>
        </w:pBdr>
        <w:shd w:val="clear" w:color="auto" w:fill="FFFFFF"/>
        <w:ind w:left="-300"/>
        <w:textAlignment w:val="baseline"/>
        <w:outlineLvl w:val="4"/>
      </w:pPr>
      <w:r w:rsidRPr="00FC659F">
        <w:rPr>
          <w:rFonts w:ascii="Arial" w:hAnsi="Arial"/>
          <w:color w:val="4E4E4E"/>
          <w:sz w:val="28"/>
        </w:rPr>
        <w:t>Den förvaltande myndighetens uppgifter</w:t>
      </w:r>
    </w:p>
    <w:p w14:paraId="32D81070" w14:textId="77777777" w:rsidR="00540BBB" w:rsidRPr="00FC659F" w:rsidRDefault="00540BBB" w:rsidP="008F16A0">
      <w:pPr>
        <w:shd w:val="clear" w:color="auto" w:fill="FFFFFF"/>
        <w:textAlignment w:val="baseline"/>
      </w:pPr>
      <w:r w:rsidRPr="00FC659F">
        <w:rPr>
          <w:rFonts w:ascii="inherit" w:hAnsi="inherit"/>
          <w:color w:val="444444"/>
          <w:sz w:val="23"/>
        </w:rPr>
        <w:t xml:space="preserve">Utöver vad som föreskrivs i </w:t>
      </w:r>
      <w:proofErr w:type="spellStart"/>
      <w:r w:rsidRPr="00FC659F">
        <w:rPr>
          <w:rFonts w:ascii="inherit" w:hAnsi="inherit"/>
          <w:color w:val="444444"/>
          <w:sz w:val="23"/>
        </w:rPr>
        <w:t>fondlagen</w:t>
      </w:r>
      <w:proofErr w:type="spellEnd"/>
      <w:r w:rsidRPr="00FC659F">
        <w:rPr>
          <w:rFonts w:ascii="inherit" w:hAnsi="inherit"/>
          <w:color w:val="444444"/>
          <w:sz w:val="23"/>
        </w:rPr>
        <w:t xml:space="preserve"> svarar den förvaltande myndigheten för</w:t>
      </w:r>
    </w:p>
    <w:p w14:paraId="25FB75C0" w14:textId="77777777" w:rsidR="00540BBB" w:rsidRPr="00FC659F" w:rsidRDefault="00540BBB" w:rsidP="008F16A0">
      <w:pPr>
        <w:shd w:val="clear" w:color="auto" w:fill="FFFFFF"/>
        <w:textAlignment w:val="baseline"/>
      </w:pPr>
      <w:r w:rsidRPr="00FC659F">
        <w:rPr>
          <w:rFonts w:ascii="inherit" w:hAnsi="inherit"/>
          <w:color w:val="444444"/>
          <w:sz w:val="23"/>
        </w:rPr>
        <w:t>1) att program och förslag till ändring av program lämnas till Europeiska kommissionen,</w:t>
      </w:r>
    </w:p>
    <w:p w14:paraId="3AE11128" w14:textId="6E7B1549" w:rsidR="00540BBB" w:rsidRPr="00FC659F" w:rsidRDefault="00540BBB" w:rsidP="008F16A0">
      <w:pPr>
        <w:shd w:val="clear" w:color="auto" w:fill="FFFFFF"/>
        <w:textAlignment w:val="baseline"/>
      </w:pPr>
      <w:r w:rsidRPr="00FC659F">
        <w:rPr>
          <w:rFonts w:ascii="inherit" w:hAnsi="inherit"/>
          <w:color w:val="444444"/>
          <w:sz w:val="23"/>
        </w:rPr>
        <w:t>2) att ansökningar om särskilda åtgärder och bistånd i nödsituationer lämnas till Europeiska kommissionen, om inte kommissionen godkänner något annat förfarande för lämnande av ansökan,</w:t>
      </w:r>
    </w:p>
    <w:p w14:paraId="675BED2B" w14:textId="77777777" w:rsidR="00540BBB" w:rsidRPr="00FC659F" w:rsidRDefault="00540BBB" w:rsidP="008F16A0">
      <w:pPr>
        <w:shd w:val="clear" w:color="auto" w:fill="FFFFFF"/>
        <w:textAlignment w:val="baseline"/>
      </w:pPr>
      <w:r w:rsidRPr="00FC659F">
        <w:rPr>
          <w:rFonts w:ascii="inherit" w:hAnsi="inherit"/>
          <w:color w:val="444444"/>
          <w:sz w:val="23"/>
        </w:rPr>
        <w:t>3) utarbetandet av utvärderingsplaner för program, för genomförandet av utvärderingar och för framläggandet av utvärderingsrapporter till Europeiska kommissionen,</w:t>
      </w:r>
    </w:p>
    <w:p w14:paraId="4CA668F5" w14:textId="77777777" w:rsidR="00540BBB" w:rsidRPr="00FC659F" w:rsidRDefault="00540BBB" w:rsidP="008F16A0">
      <w:pPr>
        <w:shd w:val="clear" w:color="auto" w:fill="FFFFFF"/>
        <w:textAlignment w:val="baseline"/>
      </w:pPr>
      <w:r w:rsidRPr="00FC659F">
        <w:rPr>
          <w:rFonts w:ascii="inherit" w:hAnsi="inherit"/>
          <w:color w:val="444444"/>
          <w:sz w:val="23"/>
        </w:rPr>
        <w:t>4) beredandet av en årlig prestationsöversyn av programmet och för utarbetandet av en slutlig prestationsrapport till Europeiska kommissionen,</w:t>
      </w:r>
    </w:p>
    <w:p w14:paraId="27154CC8" w14:textId="3F7AA351" w:rsidR="00540BBB" w:rsidRPr="00FC659F" w:rsidRDefault="00540BBB" w:rsidP="008F16A0">
      <w:pPr>
        <w:shd w:val="clear" w:color="auto" w:fill="FFFFFF"/>
        <w:textAlignment w:val="baseline"/>
        <w:rPr>
          <w:rFonts w:ascii="inherit" w:eastAsia="Times New Roman" w:hAnsi="inherit" w:cs="Arial"/>
          <w:color w:val="444444"/>
          <w:sz w:val="23"/>
          <w:szCs w:val="23"/>
        </w:rPr>
      </w:pPr>
      <w:r w:rsidRPr="00FC659F">
        <w:rPr>
          <w:rFonts w:ascii="inherit" w:hAnsi="inherit"/>
          <w:color w:val="444444"/>
          <w:sz w:val="23"/>
        </w:rPr>
        <w:t>5) publicerandet av övervakningskommitténs arbetsordning och av uppgifter som lämnats till övervakningskommittén på den förvaltande myndighetens webbplats,</w:t>
      </w:r>
    </w:p>
    <w:p w14:paraId="772F5CF6" w14:textId="77777777" w:rsidR="00540BBB" w:rsidRPr="00FC659F" w:rsidRDefault="00540BBB" w:rsidP="008F16A0">
      <w:pPr>
        <w:shd w:val="clear" w:color="auto" w:fill="FFFFFF"/>
        <w:textAlignment w:val="baseline"/>
      </w:pPr>
      <w:r w:rsidRPr="00FC659F">
        <w:rPr>
          <w:rFonts w:ascii="inherit" w:hAnsi="inherit"/>
          <w:color w:val="444444"/>
          <w:sz w:val="23"/>
        </w:rPr>
        <w:t>6) samråd med kommissionen enligt artikel 16.11 i förordningen om Asyl-, migrations- och integrationsfonden.</w:t>
      </w:r>
    </w:p>
    <w:p w14:paraId="5088C5CF" w14:textId="60074904" w:rsidR="00540BBB" w:rsidRPr="00FC659F" w:rsidDel="00A76B91" w:rsidRDefault="00540BBB" w:rsidP="008F16A0">
      <w:pPr>
        <w:shd w:val="clear" w:color="auto" w:fill="FFFFFF"/>
        <w:textAlignment w:val="baseline"/>
        <w:rPr>
          <w:rFonts w:ascii="inherit" w:eastAsia="Times New Roman" w:hAnsi="inherit" w:cs="Arial"/>
          <w:color w:val="444444"/>
          <w:sz w:val="23"/>
          <w:szCs w:val="23"/>
        </w:rPr>
      </w:pPr>
    </w:p>
    <w:p w14:paraId="2A1980D3" w14:textId="77777777" w:rsidR="00540BBB" w:rsidRPr="00FC659F" w:rsidRDefault="00540BBB" w:rsidP="008F16A0">
      <w:pPr>
        <w:pBdr>
          <w:left w:val="single" w:sz="48" w:space="8" w:color="EDF4D9"/>
        </w:pBdr>
        <w:shd w:val="clear" w:color="auto" w:fill="FFFFFF"/>
        <w:ind w:left="-300"/>
        <w:textAlignment w:val="baseline"/>
        <w:outlineLvl w:val="3"/>
      </w:pPr>
      <w:r w:rsidRPr="00FC659F">
        <w:rPr>
          <w:rFonts w:ascii="inherit" w:hAnsi="inherit"/>
          <w:color w:val="4E4E4E"/>
          <w:sz w:val="37"/>
        </w:rPr>
        <w:t>3 kap.</w:t>
      </w:r>
    </w:p>
    <w:p w14:paraId="2F6FE456" w14:textId="77777777" w:rsidR="00540BBB" w:rsidRPr="00FC659F" w:rsidRDefault="00540BBB" w:rsidP="008F16A0">
      <w:pPr>
        <w:pBdr>
          <w:left w:val="single" w:sz="48" w:space="8" w:color="EDF4D9"/>
        </w:pBdr>
        <w:shd w:val="clear" w:color="auto" w:fill="FFFFFF"/>
        <w:ind w:left="-300"/>
        <w:textAlignment w:val="baseline"/>
        <w:outlineLvl w:val="3"/>
      </w:pPr>
      <w:r w:rsidRPr="00FC659F">
        <w:rPr>
          <w:rFonts w:ascii="inherit" w:hAnsi="inherit"/>
          <w:color w:val="4E4E4E"/>
          <w:sz w:val="37"/>
        </w:rPr>
        <w:t>Förutsättningar för beviljande av understöd, användningen av understödet, understödets maximibelopp, understödsformer och förutsättningar för att kostnader ska berättiga till understöd</w:t>
      </w:r>
    </w:p>
    <w:p w14:paraId="745682BD" w14:textId="77777777" w:rsidR="00540BBB" w:rsidRPr="00FC659F" w:rsidRDefault="00475220" w:rsidP="008F16A0">
      <w:pPr>
        <w:pBdr>
          <w:left w:val="single" w:sz="48" w:space="8" w:color="EDF4D9"/>
        </w:pBdr>
        <w:shd w:val="clear" w:color="auto" w:fill="FFFFFF"/>
        <w:ind w:left="-300"/>
        <w:textAlignment w:val="baseline"/>
        <w:outlineLvl w:val="4"/>
      </w:pPr>
      <w:hyperlink r:id="rId10" w:anchor="116 §:n 4 momentissa ja 223 §:ssä tarkoitettu tiedon merkitseminen ympäristönsuojelun tieto-järjestelmään" w:tooltip="Linkki voimaantulosäännökseen" w:history="1">
        <w:r w:rsidR="0009040C" w:rsidRPr="00FC659F">
          <w:rPr>
            <w:rFonts w:ascii="inherit" w:hAnsi="inherit"/>
            <w:color w:val="0B5B8D"/>
            <w:sz w:val="27"/>
            <w:u w:val="single"/>
            <w:bdr w:val="none" w:sz="0" w:space="0" w:color="auto" w:frame="1"/>
          </w:rPr>
          <w:t>9 §</w:t>
        </w:r>
      </w:hyperlink>
    </w:p>
    <w:p w14:paraId="35E29136" w14:textId="77777777" w:rsidR="00540BBB" w:rsidRPr="00FC659F" w:rsidRDefault="00540BBB" w:rsidP="008F16A0">
      <w:pPr>
        <w:pBdr>
          <w:left w:val="single" w:sz="48" w:space="8" w:color="EDF4D9"/>
        </w:pBdr>
        <w:shd w:val="clear" w:color="auto" w:fill="FFFFFF"/>
        <w:ind w:left="-300"/>
        <w:textAlignment w:val="baseline"/>
        <w:outlineLvl w:val="4"/>
      </w:pPr>
      <w:r w:rsidRPr="00FC659F">
        <w:rPr>
          <w:rFonts w:ascii="Arial" w:hAnsi="Arial"/>
          <w:color w:val="4E4E4E"/>
          <w:sz w:val="28"/>
        </w:rPr>
        <w:t>Användningen av understödet</w:t>
      </w:r>
    </w:p>
    <w:p w14:paraId="4FE98488" w14:textId="5D297B20" w:rsidR="00540BBB" w:rsidRPr="00FC659F" w:rsidRDefault="00697297" w:rsidP="00D41E27">
      <w:pPr>
        <w:rPr>
          <w:rFonts w:ascii="inherit" w:eastAsia="Times New Roman" w:hAnsi="inherit" w:cs="Arial"/>
          <w:color w:val="444444"/>
          <w:sz w:val="23"/>
          <w:szCs w:val="23"/>
        </w:rPr>
      </w:pPr>
      <w:r w:rsidRPr="00FC659F">
        <w:rPr>
          <w:rFonts w:ascii="inherit" w:hAnsi="inherit"/>
          <w:color w:val="444444"/>
          <w:sz w:val="23"/>
        </w:rPr>
        <w:lastRenderedPageBreak/>
        <w:t xml:space="preserve">Den egendom som är föremål för understödet måste användas för det i understödsbeslutet angivna ändamålet i minst fem år eller under en i understödsbeslutet angiven kortare tid räknat från den 31 december det år då den sista understödsposten betalades till understödstagaren. Den förvaltande myndigheten kan i understödsbeslutet för den egendom som avses ovan fastställa en längre användningstid som får vara högst tio år räknat från den 31 december det år då den sista understödsposten betalades till understödstagaren. Om ägande- eller besittningsrätten till egendom som understöds överlåts till någon annan innan den i understödsbeslutet angivna tidsfristen har löpt ut, ska understödstagaren före överlåtelsen få tillstånd till detta av den förvaltande myndigheten. En förutsättning för beviljande av tillståndet är att mottagaren av överlåtelsen uppfyller villkoren för beviljande av understöd och att understödets användningsändamål inte förändras väsentligt. </w:t>
      </w:r>
      <w:r w:rsidRPr="00FC659F">
        <w:rPr>
          <w:sz w:val="23"/>
        </w:rPr>
        <w:t xml:space="preserve"> </w:t>
      </w:r>
      <w:r w:rsidRPr="00FC659F">
        <w:rPr>
          <w:rFonts w:ascii="inherit" w:hAnsi="inherit"/>
          <w:color w:val="444444"/>
          <w:sz w:val="23"/>
        </w:rPr>
        <w:t xml:space="preserve"> </w:t>
      </w:r>
    </w:p>
    <w:p w14:paraId="4C8E2CEC" w14:textId="77C960FE" w:rsidR="00540BBB" w:rsidRPr="00FC659F" w:rsidRDefault="00540BBB" w:rsidP="00D41E27">
      <w:pPr>
        <w:shd w:val="clear" w:color="auto" w:fill="FFFFFF"/>
        <w:textAlignment w:val="baseline"/>
      </w:pPr>
      <w:r w:rsidRPr="00FC659F">
        <w:rPr>
          <w:rFonts w:ascii="inherit" w:hAnsi="inherit"/>
          <w:color w:val="444444"/>
          <w:sz w:val="23"/>
        </w:rPr>
        <w:t xml:space="preserve">Understödstagaren och </w:t>
      </w:r>
      <w:r w:rsidR="00006488" w:rsidRPr="00FC659F">
        <w:rPr>
          <w:rFonts w:ascii="inherit" w:hAnsi="inherit"/>
          <w:color w:val="444444"/>
          <w:sz w:val="23"/>
        </w:rPr>
        <w:t>överförings</w:t>
      </w:r>
      <w:r w:rsidRPr="00FC659F">
        <w:rPr>
          <w:rFonts w:ascii="inherit" w:hAnsi="inherit"/>
          <w:color w:val="444444"/>
          <w:sz w:val="23"/>
        </w:rPr>
        <w:t>mottagaren av överlåtelsen ska ha separat bokföring över intäkterna från projektet eller verksamheten och andra finansieringsandelar än de som gäller självfinansiering. Understödstagaren och</w:t>
      </w:r>
      <w:r w:rsidR="0074754C" w:rsidRPr="00FC659F">
        <w:rPr>
          <w:rFonts w:ascii="inherit" w:hAnsi="inherit"/>
          <w:color w:val="444444"/>
          <w:sz w:val="23"/>
        </w:rPr>
        <w:t xml:space="preserve"> överförings</w:t>
      </w:r>
      <w:r w:rsidRPr="00FC659F">
        <w:rPr>
          <w:rFonts w:ascii="inherit" w:hAnsi="inherit"/>
          <w:color w:val="444444"/>
          <w:sz w:val="23"/>
        </w:rPr>
        <w:t xml:space="preserve">mottagaren av överlåtelsen ska ha separat bokföring över kostnaderna för projektet eller verksamheten till den del understödet har beviljats på basis av faktiska och betalda understödsberättigande kostnader. Om projektets eller verksamhetens bokföring ingår i understödstagarens bokföring enligt bokföringslagen </w:t>
      </w:r>
      <w:hyperlink r:id="rId11" w:tooltip="Ajantasainen säädös" w:history="1">
        <w:r w:rsidRPr="00FC659F">
          <w:rPr>
            <w:rFonts w:ascii="inherit" w:hAnsi="inherit"/>
            <w:color w:val="0B5B8D"/>
            <w:sz w:val="23"/>
            <w:u w:val="single"/>
            <w:bdr w:val="none" w:sz="0" w:space="0" w:color="auto" w:frame="1"/>
          </w:rPr>
          <w:t>(1336/1997)</w:t>
        </w:r>
      </w:hyperlink>
      <w:r w:rsidRPr="00FC659F">
        <w:rPr>
          <w:rFonts w:ascii="inherit" w:hAnsi="inherit"/>
          <w:color w:val="444444"/>
          <w:sz w:val="23"/>
        </w:rPr>
        <w:t> eller 2 kap. i lagen om statsbudgeten </w:t>
      </w:r>
      <w:hyperlink r:id="rId12" w:anchor="L2" w:tooltip="Ajantasainen säädös" w:history="1">
        <w:r w:rsidRPr="00FC659F">
          <w:rPr>
            <w:rFonts w:ascii="inherit" w:hAnsi="inherit"/>
            <w:color w:val="0B5B8D"/>
            <w:sz w:val="23"/>
            <w:u w:val="single"/>
            <w:bdr w:val="none" w:sz="0" w:space="0" w:color="auto" w:frame="1"/>
          </w:rPr>
          <w:t>(423/1988)</w:t>
        </w:r>
      </w:hyperlink>
      <w:r w:rsidRPr="00FC659F">
        <w:rPr>
          <w:rFonts w:ascii="inherit" w:hAnsi="inherit"/>
          <w:color w:val="444444"/>
          <w:sz w:val="23"/>
        </w:rPr>
        <w:t>, ska understödstagaren och</w:t>
      </w:r>
      <w:r w:rsidR="0074754C" w:rsidRPr="00FC659F">
        <w:rPr>
          <w:rFonts w:ascii="inherit" w:hAnsi="inherit"/>
          <w:color w:val="444444"/>
          <w:sz w:val="23"/>
        </w:rPr>
        <w:t xml:space="preserve"> överförings</w:t>
      </w:r>
      <w:r w:rsidRPr="00FC659F">
        <w:rPr>
          <w:rFonts w:ascii="inherit" w:hAnsi="inherit"/>
          <w:color w:val="444444"/>
          <w:sz w:val="23"/>
        </w:rPr>
        <w:t>mottagaren av överlåtelsen ha en separat bokföring i enlighet med god bokföringssed för projektet eller verksamheten så att projektets eller verksamhetens bokföring utan svårighet kan identifieras och avskiljas från den övriga bokföringen.</w:t>
      </w:r>
      <w:r w:rsidR="000968EC" w:rsidRPr="00FC659F">
        <w:t xml:space="preserve"> </w:t>
      </w:r>
    </w:p>
    <w:p w14:paraId="055E3992" w14:textId="77777777" w:rsidR="00540BBB" w:rsidRPr="00FC659F" w:rsidRDefault="00475220" w:rsidP="008F16A0">
      <w:pPr>
        <w:pBdr>
          <w:left w:val="single" w:sz="48" w:space="8" w:color="EDF4D9"/>
        </w:pBdr>
        <w:shd w:val="clear" w:color="auto" w:fill="FFFFFF"/>
        <w:ind w:left="-300"/>
        <w:textAlignment w:val="baseline"/>
        <w:outlineLvl w:val="4"/>
      </w:pPr>
      <w:hyperlink r:id="rId13" w:anchor="a119-2022" w:tooltip="Linkki voimaantulosäännökseen" w:history="1">
        <w:r w:rsidR="0009040C" w:rsidRPr="00FC659F">
          <w:rPr>
            <w:rFonts w:ascii="inherit" w:hAnsi="inherit"/>
            <w:color w:val="0B5B8D"/>
            <w:sz w:val="27"/>
            <w:u w:val="single"/>
            <w:bdr w:val="none" w:sz="0" w:space="0" w:color="auto" w:frame="1"/>
          </w:rPr>
          <w:t>10 §</w:t>
        </w:r>
      </w:hyperlink>
    </w:p>
    <w:p w14:paraId="0AD355BB" w14:textId="77777777" w:rsidR="00540BBB" w:rsidRPr="00FC659F" w:rsidRDefault="00540BBB" w:rsidP="008F16A0">
      <w:pPr>
        <w:pBdr>
          <w:left w:val="single" w:sz="48" w:space="8" w:color="EDF4D9"/>
        </w:pBdr>
        <w:shd w:val="clear" w:color="auto" w:fill="FFFFFF"/>
        <w:ind w:left="-300"/>
        <w:textAlignment w:val="baseline"/>
        <w:outlineLvl w:val="4"/>
      </w:pPr>
      <w:r w:rsidRPr="00FC659F">
        <w:rPr>
          <w:rFonts w:ascii="Arial" w:hAnsi="Arial"/>
          <w:color w:val="4E4E4E"/>
          <w:sz w:val="28"/>
        </w:rPr>
        <w:t>Finansiering och intäkter av projekt och verksamhet</w:t>
      </w:r>
    </w:p>
    <w:p w14:paraId="688CA98B" w14:textId="77777777" w:rsidR="00540BBB" w:rsidRPr="00FC659F" w:rsidRDefault="00540BBB" w:rsidP="008F16A0">
      <w:pPr>
        <w:shd w:val="clear" w:color="auto" w:fill="FFFFFF"/>
        <w:textAlignment w:val="baseline"/>
      </w:pPr>
      <w:r w:rsidRPr="00FC659F">
        <w:rPr>
          <w:rFonts w:ascii="inherit" w:hAnsi="inherit"/>
          <w:color w:val="444444"/>
          <w:sz w:val="23"/>
        </w:rPr>
        <w:t>Projekt eller verksamheter som understöds får inte generera vinst.</w:t>
      </w:r>
    </w:p>
    <w:p w14:paraId="775125B1" w14:textId="4BE23770" w:rsidR="00540BBB" w:rsidRPr="00FC659F" w:rsidRDefault="00540BBB" w:rsidP="008F16A0">
      <w:pPr>
        <w:shd w:val="clear" w:color="auto" w:fill="FFFFFF"/>
        <w:textAlignment w:val="baseline"/>
      </w:pPr>
      <w:r w:rsidRPr="00FC659F">
        <w:rPr>
          <w:rFonts w:ascii="inherit" w:hAnsi="inherit"/>
          <w:color w:val="444444"/>
          <w:sz w:val="23"/>
        </w:rPr>
        <w:t xml:space="preserve">Den som ansöker om understöd ska i sin ansökan uppge finansieringen av projektet eller verksamheten samt de intäkter som uppstår av projektet eller verksamheten under tiden för genomförandet eller en uppskattning av dessa. De intäkter som uppges i ansökan dras av från kostnaderna för projektet eller verksamheten före beräkningen av maximibeloppet av det understöd som beviljas. </w:t>
      </w:r>
    </w:p>
    <w:p w14:paraId="7F1FDC3A" w14:textId="16CBAFD1" w:rsidR="00540BBB" w:rsidRPr="00FC659F" w:rsidRDefault="00540BBB" w:rsidP="008F16A0">
      <w:pPr>
        <w:shd w:val="clear" w:color="auto" w:fill="FFFFFF"/>
        <w:textAlignment w:val="baseline"/>
      </w:pPr>
      <w:r w:rsidRPr="00FC659F">
        <w:rPr>
          <w:rFonts w:ascii="inherit" w:hAnsi="inherit"/>
          <w:color w:val="444444"/>
          <w:sz w:val="23"/>
        </w:rPr>
        <w:t xml:space="preserve">Understödstagaren ska i sin ansökan om utbetalning uppge den finansiering som projektet eller verksamheten får och de intäkter som har uppstått under tiden för genomförandet. Finansieringen beaktas senast i samband med utbetalningen av den sista understödsposten. Intäkter som har uppkommit under tiden för genomförandet av projektet eller verksamheten och som överstiger de intäkter som uppgetts i ansökan dras av från de godtagbara kostnaderna senast i samband med utbetalningen av den sista understödsposten Självfinansiering som understödstagaren eller överföringsmottagaren har anvisat för projektet eller verksamheten anses inte utgöra sådan annan offentlig eller privat finansiering som inverkar på det understödsbelopp som betalas ut och som avses i 20 § 1 mom. i </w:t>
      </w:r>
      <w:proofErr w:type="spellStart"/>
      <w:r w:rsidRPr="00FC659F">
        <w:rPr>
          <w:rFonts w:ascii="inherit" w:hAnsi="inherit"/>
          <w:color w:val="444444"/>
          <w:sz w:val="23"/>
        </w:rPr>
        <w:t>fondlagen</w:t>
      </w:r>
      <w:proofErr w:type="spellEnd"/>
      <w:r w:rsidRPr="00FC659F">
        <w:rPr>
          <w:rFonts w:ascii="inherit" w:hAnsi="inherit"/>
          <w:color w:val="444444"/>
          <w:sz w:val="23"/>
        </w:rPr>
        <w:t>.</w:t>
      </w:r>
      <w:r w:rsidR="000968EC" w:rsidRPr="00FC659F">
        <w:t xml:space="preserve"> </w:t>
      </w:r>
    </w:p>
    <w:p w14:paraId="045090B0" w14:textId="77777777" w:rsidR="00540BBB" w:rsidRPr="00FC659F" w:rsidRDefault="00540BBB" w:rsidP="008F16A0">
      <w:pPr>
        <w:shd w:val="clear" w:color="auto" w:fill="FFFFFF"/>
        <w:textAlignment w:val="baseline"/>
      </w:pPr>
      <w:r w:rsidRPr="00FC659F">
        <w:rPr>
          <w:rFonts w:ascii="inherit" w:hAnsi="inherit"/>
          <w:color w:val="444444"/>
          <w:sz w:val="23"/>
        </w:rPr>
        <w:t>Finansieringen av projektet eller verksamheten får inte bestå av frivilligarbete, naturaprestationer eller av annan kalkylerad finansiering.</w:t>
      </w:r>
    </w:p>
    <w:p w14:paraId="356DCF7C" w14:textId="563A2BBB" w:rsidR="00540BBB" w:rsidRPr="00FC659F" w:rsidDel="00A76B91" w:rsidRDefault="00540BBB" w:rsidP="008F16A0">
      <w:pPr>
        <w:shd w:val="clear" w:color="auto" w:fill="FFFFFF"/>
        <w:textAlignment w:val="baseline"/>
      </w:pPr>
    </w:p>
    <w:p w14:paraId="718A01BD" w14:textId="77777777" w:rsidR="00540BBB" w:rsidRPr="00FC659F" w:rsidRDefault="00540BBB" w:rsidP="008F16A0">
      <w:pPr>
        <w:pBdr>
          <w:left w:val="single" w:sz="48" w:space="8" w:color="EDF4D9"/>
        </w:pBdr>
        <w:shd w:val="clear" w:color="auto" w:fill="FFFFFF"/>
        <w:ind w:left="-300"/>
        <w:textAlignment w:val="baseline"/>
        <w:outlineLvl w:val="3"/>
      </w:pPr>
      <w:r w:rsidRPr="00FC659F">
        <w:rPr>
          <w:rFonts w:ascii="inherit" w:hAnsi="inherit"/>
          <w:color w:val="4E4E4E"/>
          <w:sz w:val="37"/>
        </w:rPr>
        <w:t>6 kap.</w:t>
      </w:r>
    </w:p>
    <w:p w14:paraId="56719AA8" w14:textId="77777777" w:rsidR="00540BBB" w:rsidRPr="00FC659F" w:rsidRDefault="00540BBB" w:rsidP="008F16A0">
      <w:pPr>
        <w:pBdr>
          <w:left w:val="single" w:sz="48" w:space="8" w:color="EDF4D9"/>
        </w:pBdr>
        <w:shd w:val="clear" w:color="auto" w:fill="FFFFFF"/>
        <w:ind w:left="-300"/>
        <w:textAlignment w:val="baseline"/>
        <w:outlineLvl w:val="3"/>
      </w:pPr>
      <w:r w:rsidRPr="00FC659F">
        <w:rPr>
          <w:rFonts w:ascii="inherit" w:hAnsi="inherit"/>
          <w:color w:val="4E4E4E"/>
          <w:sz w:val="37"/>
        </w:rPr>
        <w:lastRenderedPageBreak/>
        <w:t>Ansökan om samt beviljande och utbetalning av understöd</w:t>
      </w:r>
    </w:p>
    <w:p w14:paraId="5C5488AB" w14:textId="77777777" w:rsidR="00540BBB" w:rsidRPr="00FC659F" w:rsidRDefault="00475220" w:rsidP="008F16A0">
      <w:pPr>
        <w:pBdr>
          <w:left w:val="single" w:sz="48" w:space="8" w:color="EDF4D9"/>
        </w:pBdr>
        <w:shd w:val="clear" w:color="auto" w:fill="FFFFFF"/>
        <w:ind w:left="-300"/>
        <w:textAlignment w:val="baseline"/>
        <w:outlineLvl w:val="4"/>
      </w:pPr>
      <w:hyperlink r:id="rId14" w:anchor="a119-2022" w:tooltip="Linkki voimaantulosäännökseen" w:history="1">
        <w:r w:rsidR="0009040C" w:rsidRPr="00FC659F">
          <w:rPr>
            <w:rFonts w:ascii="inherit" w:hAnsi="inherit"/>
            <w:color w:val="0B5B8D"/>
            <w:sz w:val="27"/>
            <w:u w:val="single"/>
            <w:bdr w:val="none" w:sz="0" w:space="0" w:color="auto" w:frame="1"/>
          </w:rPr>
          <w:t>33 §</w:t>
        </w:r>
      </w:hyperlink>
    </w:p>
    <w:p w14:paraId="320BE170" w14:textId="77777777" w:rsidR="00540BBB" w:rsidRPr="00FC659F" w:rsidRDefault="00540BBB" w:rsidP="008F16A0">
      <w:pPr>
        <w:pBdr>
          <w:left w:val="single" w:sz="48" w:space="8" w:color="EDF4D9"/>
        </w:pBdr>
        <w:shd w:val="clear" w:color="auto" w:fill="FFFFFF"/>
        <w:ind w:left="-300"/>
        <w:textAlignment w:val="baseline"/>
        <w:outlineLvl w:val="4"/>
      </w:pPr>
      <w:r w:rsidRPr="00FC659F">
        <w:rPr>
          <w:rFonts w:ascii="Arial" w:hAnsi="Arial"/>
          <w:color w:val="4E4E4E"/>
          <w:sz w:val="28"/>
        </w:rPr>
        <w:t>Ansökan om utbetalning</w:t>
      </w:r>
    </w:p>
    <w:p w14:paraId="0CD44CF3" w14:textId="32749BD0" w:rsidR="00540BBB" w:rsidRPr="00FC659F" w:rsidRDefault="00540BBB" w:rsidP="008F16A0">
      <w:pPr>
        <w:shd w:val="clear" w:color="auto" w:fill="FFFFFF"/>
        <w:textAlignment w:val="baseline"/>
      </w:pPr>
      <w:r w:rsidRPr="00FC659F">
        <w:rPr>
          <w:rFonts w:ascii="inherit" w:hAnsi="inherit"/>
          <w:color w:val="444444"/>
          <w:sz w:val="23"/>
        </w:rPr>
        <w:t>Utbetalning av understöd ska sökas inom den tid som anges i understödsbeslutet. Avvikelse från denna tidsfrist får göras av en grundad anledning som godkänns av den förvaltande myndigheten.</w:t>
      </w:r>
    </w:p>
    <w:p w14:paraId="4798AFCA" w14:textId="77777777" w:rsidR="00540BBB" w:rsidRPr="00FC659F" w:rsidRDefault="00540BBB" w:rsidP="008F16A0">
      <w:pPr>
        <w:shd w:val="clear" w:color="auto" w:fill="FFFFFF"/>
        <w:textAlignment w:val="baseline"/>
      </w:pPr>
      <w:r w:rsidRPr="00FC659F">
        <w:rPr>
          <w:rFonts w:ascii="inherit" w:hAnsi="inherit"/>
          <w:color w:val="444444"/>
          <w:sz w:val="23"/>
        </w:rPr>
        <w:t xml:space="preserve">Till den del kostnaderna ersätts på basis av faktiska och betalda kostnader, enligt ett procenttal eller som enhetskostnader, ska det till ansökan om utbetalning fogas en utredning av hur projektet eller verksamheten framskrider, av de kostnader som projektet eller verksamheten föranlett samt av finansieringen och intäkterna av projektet eller verksamheten. Om kostnaderna ersätts på basis av faktiska och betalda kostnader, ska kostnadernas samband med bokföringen framgå av utredningen. Till ansökan om utbetalning ska </w:t>
      </w:r>
      <w:proofErr w:type="gramStart"/>
      <w:r w:rsidRPr="00FC659F">
        <w:rPr>
          <w:rFonts w:ascii="inherit" w:hAnsi="inherit"/>
          <w:color w:val="444444"/>
          <w:sz w:val="23"/>
        </w:rPr>
        <w:t>då</w:t>
      </w:r>
      <w:proofErr w:type="gramEnd"/>
      <w:r w:rsidRPr="00FC659F">
        <w:rPr>
          <w:rFonts w:ascii="inherit" w:hAnsi="inherit"/>
          <w:color w:val="444444"/>
          <w:sz w:val="23"/>
        </w:rPr>
        <w:t xml:space="preserve"> fogas ett utdrag ur bokföringen som grundar sig på projektets eller verksamhetens bokföringsuppgifter eller någon annan tillförlitlig rapport från ekonomiförvaltningen samt annat behövligt material för granskning av projektets eller verksamhetens utgifter och finansiering.</w:t>
      </w:r>
    </w:p>
    <w:p w14:paraId="479CA3FC" w14:textId="5D6151C6" w:rsidR="00540BBB" w:rsidRPr="00FC659F" w:rsidRDefault="00540BBB" w:rsidP="008F16A0">
      <w:pPr>
        <w:shd w:val="clear" w:color="auto" w:fill="FFFFFF"/>
        <w:textAlignment w:val="baseline"/>
      </w:pPr>
      <w:r w:rsidRPr="00FC659F">
        <w:rPr>
          <w:rFonts w:ascii="inherit" w:hAnsi="inherit"/>
          <w:color w:val="444444"/>
          <w:sz w:val="23"/>
        </w:rPr>
        <w:t>Med avvikelse från vad som föreskrivs i 2 mom. ska det till en ansökan som gäller utbetalning av understöd som betalas som engångsersättning fogas en utredning av hur projektet har genomförts och av dess resultat samt av projektets genomförda finansiering och eventuella intäkter. Dessutom ska sådana övriga handlingar lämnas in som behövs för att verifiera resultaten av projektet och genomförandet av åtgärderna. </w:t>
      </w:r>
      <w:r w:rsidR="000968EC" w:rsidRPr="00FC659F">
        <w:t xml:space="preserve"> </w:t>
      </w:r>
    </w:p>
    <w:p w14:paraId="33EF7EF0" w14:textId="4FA700D8" w:rsidR="0009040C" w:rsidRPr="00FC659F" w:rsidDel="0009040C" w:rsidRDefault="0009040C" w:rsidP="0009040C">
      <w:pPr>
        <w:pBdr>
          <w:left w:val="single" w:sz="48" w:space="8" w:color="EDF4D9"/>
        </w:pBdr>
        <w:shd w:val="clear" w:color="auto" w:fill="FFFFFF"/>
        <w:spacing w:after="600" w:line="240" w:lineRule="auto"/>
        <w:ind w:left="-300"/>
        <w:textAlignment w:val="baseline"/>
        <w:outlineLvl w:val="3"/>
        <w:rPr>
          <w:rFonts w:ascii="Arial" w:eastAsia="Times New Roman" w:hAnsi="Arial" w:cs="Arial"/>
          <w:color w:val="4E4E4E"/>
          <w:sz w:val="38"/>
          <w:szCs w:val="38"/>
        </w:rPr>
      </w:pPr>
      <w:r w:rsidRPr="00FC659F">
        <w:rPr>
          <w:rFonts w:ascii="Arial" w:hAnsi="Arial"/>
          <w:color w:val="4E4E4E"/>
          <w:sz w:val="38"/>
        </w:rPr>
        <w:t>7 kap.</w:t>
      </w:r>
    </w:p>
    <w:p w14:paraId="05E57ADC" w14:textId="77777777" w:rsidR="0009040C" w:rsidRPr="00FC659F" w:rsidRDefault="0009040C" w:rsidP="0009040C">
      <w:pPr>
        <w:pBdr>
          <w:left w:val="single" w:sz="48" w:space="8" w:color="EDF4D9"/>
        </w:pBdr>
        <w:shd w:val="clear" w:color="auto" w:fill="FFFFFF"/>
        <w:spacing w:after="600" w:line="240" w:lineRule="auto"/>
        <w:ind w:left="-300"/>
        <w:textAlignment w:val="baseline"/>
        <w:outlineLvl w:val="3"/>
        <w:rPr>
          <w:rFonts w:ascii="Arial" w:eastAsia="Times New Roman" w:hAnsi="Arial" w:cs="Arial"/>
          <w:color w:val="4E4E4E"/>
          <w:sz w:val="38"/>
          <w:szCs w:val="38"/>
        </w:rPr>
      </w:pPr>
      <w:r w:rsidRPr="00FC659F">
        <w:rPr>
          <w:rFonts w:ascii="Arial" w:hAnsi="Arial"/>
          <w:color w:val="4E4E4E"/>
          <w:sz w:val="38"/>
        </w:rPr>
        <w:t>Särskilda bestämmelser</w:t>
      </w:r>
    </w:p>
    <w:p w14:paraId="59EBB87D" w14:textId="77777777" w:rsidR="00540BBB" w:rsidRPr="00FC659F" w:rsidRDefault="00475220" w:rsidP="008F16A0">
      <w:pPr>
        <w:pBdr>
          <w:left w:val="single" w:sz="48" w:space="8" w:color="EDF4D9"/>
        </w:pBdr>
        <w:shd w:val="clear" w:color="auto" w:fill="FFFFFF"/>
        <w:ind w:left="-300"/>
        <w:textAlignment w:val="baseline"/>
        <w:outlineLvl w:val="4"/>
      </w:pPr>
      <w:hyperlink r:id="rId15" w:anchor="a119-2022" w:tooltip="Linkki voimaantulosäännökseen" w:history="1">
        <w:r w:rsidR="0009040C" w:rsidRPr="00FC659F">
          <w:rPr>
            <w:rFonts w:ascii="inherit" w:hAnsi="inherit"/>
            <w:color w:val="0B5B8D"/>
            <w:sz w:val="27"/>
            <w:u w:val="single"/>
            <w:bdr w:val="none" w:sz="0" w:space="0" w:color="auto" w:frame="1"/>
          </w:rPr>
          <w:t>38 §</w:t>
        </w:r>
      </w:hyperlink>
    </w:p>
    <w:p w14:paraId="4311745E" w14:textId="77777777" w:rsidR="00540BBB" w:rsidRPr="00FC659F" w:rsidRDefault="00540BBB" w:rsidP="008F16A0">
      <w:pPr>
        <w:pBdr>
          <w:left w:val="single" w:sz="48" w:space="8" w:color="EDF4D9"/>
        </w:pBdr>
        <w:shd w:val="clear" w:color="auto" w:fill="FFFFFF"/>
        <w:ind w:left="-300"/>
        <w:textAlignment w:val="baseline"/>
        <w:outlineLvl w:val="4"/>
      </w:pPr>
      <w:r w:rsidRPr="00FC659F">
        <w:rPr>
          <w:rFonts w:ascii="Arial" w:hAnsi="Arial"/>
          <w:color w:val="4E4E4E"/>
          <w:sz w:val="28"/>
        </w:rPr>
        <w:t>Användningsändamålen för och rapportering om anslag enligt artikel 19 i förordningen om Asyl-, migrations- och integrationsfonden</w:t>
      </w:r>
    </w:p>
    <w:p w14:paraId="0FAA15A4" w14:textId="77777777" w:rsidR="00540BBB" w:rsidRPr="00FC659F" w:rsidRDefault="00540BBB" w:rsidP="008F16A0">
      <w:pPr>
        <w:shd w:val="clear" w:color="auto" w:fill="FFFFFF"/>
        <w:textAlignment w:val="baseline"/>
      </w:pPr>
      <w:r w:rsidRPr="00FC659F">
        <w:rPr>
          <w:rFonts w:ascii="inherit" w:hAnsi="inherit"/>
          <w:color w:val="444444"/>
          <w:sz w:val="23"/>
        </w:rPr>
        <w:t xml:space="preserve">Anslag enligt artikel 19 i förordningen om Asyl-, migrations- och integrationsfonden får i enlighet med 28 § 1 mom. i </w:t>
      </w:r>
      <w:proofErr w:type="spellStart"/>
      <w:r w:rsidRPr="00FC659F">
        <w:rPr>
          <w:rFonts w:ascii="inherit" w:hAnsi="inherit"/>
          <w:color w:val="444444"/>
          <w:sz w:val="23"/>
        </w:rPr>
        <w:t>fondlagen</w:t>
      </w:r>
      <w:proofErr w:type="spellEnd"/>
      <w:r w:rsidRPr="00FC659F">
        <w:rPr>
          <w:rFonts w:ascii="inherit" w:hAnsi="inherit"/>
          <w:color w:val="444444"/>
          <w:sz w:val="23"/>
        </w:rPr>
        <w:t xml:space="preserve"> användas till</w:t>
      </w:r>
    </w:p>
    <w:p w14:paraId="0B0CDFBE" w14:textId="77777777" w:rsidR="00540BBB" w:rsidRPr="00FC659F" w:rsidRDefault="00540BBB" w:rsidP="008F16A0">
      <w:pPr>
        <w:shd w:val="clear" w:color="auto" w:fill="FFFFFF"/>
        <w:textAlignment w:val="baseline"/>
      </w:pPr>
      <w:r w:rsidRPr="00FC659F">
        <w:rPr>
          <w:rFonts w:ascii="inherit" w:hAnsi="inherit"/>
          <w:color w:val="444444"/>
          <w:sz w:val="23"/>
        </w:rPr>
        <w:t xml:space="preserve">1) kostnader för förfarandet för val av personer som ska </w:t>
      </w:r>
      <w:proofErr w:type="spellStart"/>
      <w:r w:rsidRPr="00FC659F">
        <w:rPr>
          <w:rFonts w:ascii="inherit" w:hAnsi="inherit"/>
          <w:color w:val="444444"/>
          <w:sz w:val="23"/>
        </w:rPr>
        <w:t>vidarebosättas</w:t>
      </w:r>
      <w:proofErr w:type="spellEnd"/>
      <w:r w:rsidRPr="00FC659F">
        <w:rPr>
          <w:rFonts w:ascii="inherit" w:hAnsi="inherit"/>
          <w:color w:val="444444"/>
          <w:sz w:val="23"/>
        </w:rPr>
        <w:t xml:space="preserve"> och personer som anländer via det humanitära mottagandet samt för arrangemang i anslutning till den egentliga vidarebosättningen och det egentliga humanitära mottagandet,</w:t>
      </w:r>
    </w:p>
    <w:p w14:paraId="07F0211E" w14:textId="77777777" w:rsidR="00540BBB" w:rsidRPr="00FC659F" w:rsidRDefault="00540BBB" w:rsidP="008F16A0">
      <w:pPr>
        <w:shd w:val="clear" w:color="auto" w:fill="FFFFFF"/>
        <w:textAlignment w:val="baseline"/>
      </w:pPr>
      <w:r w:rsidRPr="00FC659F">
        <w:rPr>
          <w:rFonts w:ascii="inherit" w:hAnsi="inherit"/>
          <w:color w:val="444444"/>
          <w:sz w:val="23"/>
        </w:rPr>
        <w:t xml:space="preserve">2) kostnader för introduktion och förberedelse före avresan för personer som ska </w:t>
      </w:r>
      <w:proofErr w:type="spellStart"/>
      <w:r w:rsidRPr="00FC659F">
        <w:rPr>
          <w:rFonts w:ascii="inherit" w:hAnsi="inherit"/>
          <w:color w:val="444444"/>
          <w:sz w:val="23"/>
        </w:rPr>
        <w:t>vidarebosättas</w:t>
      </w:r>
      <w:proofErr w:type="spellEnd"/>
      <w:r w:rsidRPr="00FC659F">
        <w:rPr>
          <w:rFonts w:ascii="inherit" w:hAnsi="inherit"/>
          <w:color w:val="444444"/>
          <w:sz w:val="23"/>
        </w:rPr>
        <w:t xml:space="preserve"> eller som anländer via det humanitära mottagandet,</w:t>
      </w:r>
    </w:p>
    <w:p w14:paraId="22332C01" w14:textId="55B83CCB" w:rsidR="00540BBB" w:rsidRPr="00FC659F" w:rsidRDefault="00540BBB" w:rsidP="008F16A0">
      <w:pPr>
        <w:shd w:val="clear" w:color="auto" w:fill="FFFFFF"/>
        <w:textAlignment w:val="baseline"/>
        <w:rPr>
          <w:rFonts w:ascii="inherit" w:hAnsi="inherit"/>
          <w:color w:val="444444"/>
          <w:sz w:val="23"/>
        </w:rPr>
      </w:pPr>
      <w:r w:rsidRPr="00FC659F">
        <w:rPr>
          <w:rFonts w:ascii="inherit" w:hAnsi="inherit"/>
          <w:color w:val="444444"/>
          <w:sz w:val="23"/>
        </w:rPr>
        <w:t>3) kostnader för utveckling av informationssystemen i anslutning till förfarandet för vidarebosättning, det humanitära mottagandet och placeringen av flyktingar i kommunen samt för anskaffning av utrustning som behövs vid förfarandet,</w:t>
      </w:r>
    </w:p>
    <w:p w14:paraId="180115EF" w14:textId="16A8CA53" w:rsidR="0074754C" w:rsidRPr="00FC659F" w:rsidRDefault="0074754C" w:rsidP="008F16A0">
      <w:pPr>
        <w:shd w:val="clear" w:color="auto" w:fill="FFFFFF"/>
        <w:textAlignment w:val="baseline"/>
      </w:pPr>
      <w:r w:rsidRPr="00FC659F">
        <w:rPr>
          <w:rFonts w:ascii="inherit" w:hAnsi="inherit"/>
          <w:color w:val="444444"/>
          <w:sz w:val="23"/>
        </w:rPr>
        <w:lastRenderedPageBreak/>
        <w:t>4) ersättningar som betalas som tillägg till de ersättningar enligt lagen om främjande av integration (681/2023) som betalas till kommunerna och välfärdsområdena, samt</w:t>
      </w:r>
    </w:p>
    <w:p w14:paraId="503E022B" w14:textId="77777777" w:rsidR="00540BBB" w:rsidRPr="00FC659F" w:rsidRDefault="00540BBB" w:rsidP="008F16A0">
      <w:pPr>
        <w:shd w:val="clear" w:color="auto" w:fill="FFFFFF"/>
        <w:textAlignment w:val="baseline"/>
      </w:pPr>
      <w:r w:rsidRPr="00FC659F">
        <w:rPr>
          <w:rFonts w:ascii="inherit" w:hAnsi="inherit"/>
          <w:color w:val="444444"/>
          <w:sz w:val="23"/>
        </w:rPr>
        <w:t>5) kostnader som föranleds av utvecklandet av placeringen av flyktingar i kommunen.</w:t>
      </w:r>
    </w:p>
    <w:p w14:paraId="75E60F59" w14:textId="4EFC80D0" w:rsidR="00540BBB" w:rsidRPr="00FC659F" w:rsidRDefault="00540BBB" w:rsidP="008F16A0">
      <w:pPr>
        <w:shd w:val="clear" w:color="auto" w:fill="FFFFFF"/>
        <w:textAlignment w:val="baseline"/>
      </w:pPr>
      <w:r w:rsidRPr="00FC659F">
        <w:rPr>
          <w:rFonts w:ascii="inherit" w:hAnsi="inherit"/>
          <w:color w:val="444444"/>
          <w:sz w:val="23"/>
        </w:rPr>
        <w:t>Användningen av anslaget ska rapporteras till inrikesministeriet årligen före utgången av april. I rapporten lämnas uppgifter om anslagets användningsändamål, om de indikatorer som hänför sig till användningen av anslaget och om hur användningen av anslaget framskrider under rapporteringsperioden.</w:t>
      </w:r>
    </w:p>
    <w:p w14:paraId="15E7C079" w14:textId="77777777" w:rsidR="00540BBB" w:rsidRPr="00FC659F" w:rsidRDefault="00475220" w:rsidP="008F16A0">
      <w:pPr>
        <w:pBdr>
          <w:left w:val="single" w:sz="48" w:space="8" w:color="EDF4D9"/>
        </w:pBdr>
        <w:shd w:val="clear" w:color="auto" w:fill="FFFFFF"/>
        <w:ind w:left="-300"/>
        <w:textAlignment w:val="baseline"/>
        <w:outlineLvl w:val="4"/>
      </w:pPr>
      <w:hyperlink r:id="rId16" w:anchor="a119-2022" w:tooltip="Linkki voimaantulosäännökseen" w:history="1">
        <w:r w:rsidR="0009040C" w:rsidRPr="00FC659F">
          <w:rPr>
            <w:rFonts w:ascii="inherit" w:hAnsi="inherit"/>
            <w:color w:val="0B5B8D"/>
            <w:sz w:val="27"/>
            <w:u w:val="single"/>
            <w:bdr w:val="none" w:sz="0" w:space="0" w:color="auto" w:frame="1"/>
          </w:rPr>
          <w:t>39 §</w:t>
        </w:r>
      </w:hyperlink>
    </w:p>
    <w:p w14:paraId="76CF8E3D" w14:textId="77777777" w:rsidR="00540BBB" w:rsidRPr="00FC659F" w:rsidRDefault="00540BBB" w:rsidP="008F16A0">
      <w:pPr>
        <w:pBdr>
          <w:left w:val="single" w:sz="48" w:space="8" w:color="EDF4D9"/>
        </w:pBdr>
        <w:shd w:val="clear" w:color="auto" w:fill="FFFFFF"/>
        <w:ind w:left="-300"/>
        <w:textAlignment w:val="baseline"/>
        <w:outlineLvl w:val="4"/>
      </w:pPr>
      <w:r w:rsidRPr="00FC659F">
        <w:rPr>
          <w:rFonts w:ascii="Arial" w:hAnsi="Arial"/>
          <w:color w:val="4E4E4E"/>
          <w:sz w:val="28"/>
        </w:rPr>
        <w:t>Användningsändamålen för och rapportering om anslag enligt artikel 20 i förordningen om Asyl-, migrations- och integrationsfonden</w:t>
      </w:r>
    </w:p>
    <w:p w14:paraId="1390A16A" w14:textId="77777777" w:rsidR="00540BBB" w:rsidRPr="00FC659F" w:rsidRDefault="00540BBB" w:rsidP="008F16A0">
      <w:pPr>
        <w:shd w:val="clear" w:color="auto" w:fill="FFFFFF"/>
        <w:textAlignment w:val="baseline"/>
      </w:pPr>
      <w:r w:rsidRPr="00FC659F">
        <w:rPr>
          <w:rFonts w:ascii="inherit" w:hAnsi="inherit"/>
          <w:color w:val="444444"/>
          <w:sz w:val="23"/>
        </w:rPr>
        <w:t xml:space="preserve">Anslag som avses i artikel 20 i förordningen om Asyl-, migrations- och integrationsfonden får i enlighet med 28 § 1 mom. i </w:t>
      </w:r>
      <w:proofErr w:type="spellStart"/>
      <w:r w:rsidRPr="00FC659F">
        <w:rPr>
          <w:rFonts w:ascii="inherit" w:hAnsi="inherit"/>
          <w:color w:val="444444"/>
          <w:sz w:val="23"/>
        </w:rPr>
        <w:t>fondlagen</w:t>
      </w:r>
      <w:proofErr w:type="spellEnd"/>
      <w:r w:rsidRPr="00FC659F">
        <w:rPr>
          <w:rFonts w:ascii="inherit" w:hAnsi="inherit"/>
          <w:color w:val="444444"/>
          <w:sz w:val="23"/>
        </w:rPr>
        <w:t xml:space="preserve"> användas till</w:t>
      </w:r>
    </w:p>
    <w:p w14:paraId="2E8D1EAC" w14:textId="77777777" w:rsidR="00540BBB" w:rsidRPr="00FC659F" w:rsidRDefault="00540BBB" w:rsidP="008F16A0">
      <w:pPr>
        <w:shd w:val="clear" w:color="auto" w:fill="FFFFFF"/>
        <w:textAlignment w:val="baseline"/>
      </w:pPr>
      <w:r w:rsidRPr="00FC659F">
        <w:rPr>
          <w:rFonts w:ascii="inherit" w:hAnsi="inherit"/>
          <w:color w:val="444444"/>
          <w:sz w:val="23"/>
        </w:rPr>
        <w:t>1) kostnader för registrering av personer som sökt internationellt skydd, för utveckling av informationssystemen i anslutning till registreringen och för anskaffning av utrustning i anslutning till registreringen,</w:t>
      </w:r>
    </w:p>
    <w:p w14:paraId="76DE8B0A" w14:textId="77777777" w:rsidR="00540BBB" w:rsidRPr="00FC659F" w:rsidRDefault="00540BBB" w:rsidP="008F16A0">
      <w:pPr>
        <w:shd w:val="clear" w:color="auto" w:fill="FFFFFF"/>
        <w:textAlignment w:val="baseline"/>
      </w:pPr>
      <w:r w:rsidRPr="00FC659F">
        <w:rPr>
          <w:rFonts w:ascii="inherit" w:hAnsi="inherit"/>
          <w:color w:val="444444"/>
          <w:sz w:val="23"/>
        </w:rPr>
        <w:t>2) kostnader för utvecklande av informationssystem som föranleds av genomförandet av Europeiska unionens lagstiftning som gäller asylförfarandet och förutsättningarna för mottagande, samt</w:t>
      </w:r>
    </w:p>
    <w:p w14:paraId="528907AD" w14:textId="77777777" w:rsidR="00540BBB" w:rsidRPr="00FC659F" w:rsidRDefault="00540BBB" w:rsidP="008F16A0">
      <w:pPr>
        <w:shd w:val="clear" w:color="auto" w:fill="FFFFFF"/>
        <w:textAlignment w:val="baseline"/>
      </w:pPr>
      <w:r w:rsidRPr="00FC659F">
        <w:rPr>
          <w:rFonts w:ascii="inherit" w:hAnsi="inherit"/>
          <w:color w:val="444444"/>
          <w:sz w:val="23"/>
        </w:rPr>
        <w:t>3) kostnader som föranleds av asylutredningen, förläggningstjänsterna och utvecklandet av dem.</w:t>
      </w:r>
    </w:p>
    <w:p w14:paraId="69AFEA09" w14:textId="71F0F1BF" w:rsidR="00540BBB" w:rsidRPr="00FC659F" w:rsidRDefault="00540BBB" w:rsidP="00BC5988">
      <w:pPr>
        <w:shd w:val="clear" w:color="auto" w:fill="FFFFFF"/>
        <w:textAlignment w:val="baseline"/>
      </w:pPr>
      <w:r w:rsidRPr="00FC659F">
        <w:rPr>
          <w:rFonts w:ascii="inherit" w:hAnsi="inherit"/>
          <w:color w:val="444444"/>
          <w:sz w:val="23"/>
        </w:rPr>
        <w:t>Användningen av anslaget ska rapporteras till inrikesministeriet årligen före utgången av april. I rapporten lämnas uppgifter om anslagets användningsändamål, om de indikatorer som hänför sig till användningen av anslaget och om hur användningen av anslaget framskrider under rapporteringsperioden.</w:t>
      </w:r>
    </w:p>
    <w:p w14:paraId="4ACBD312" w14:textId="77777777" w:rsidR="00BC5988" w:rsidRPr="00FC659F" w:rsidDel="00A76B91" w:rsidRDefault="00BC5988" w:rsidP="00BC5988">
      <w:pPr>
        <w:shd w:val="clear" w:color="auto" w:fill="FFFFFF"/>
        <w:textAlignment w:val="baseline"/>
      </w:pPr>
    </w:p>
    <w:p w14:paraId="1CB24E23" w14:textId="77777777" w:rsidR="00540BBB" w:rsidRPr="00FC659F" w:rsidRDefault="00540BBB" w:rsidP="008F16A0">
      <w:pPr>
        <w:pBdr>
          <w:left w:val="single" w:sz="48" w:space="8" w:color="EDF4D9"/>
        </w:pBdr>
        <w:shd w:val="clear" w:color="auto" w:fill="FFFFFF"/>
        <w:ind w:left="-300"/>
        <w:textAlignment w:val="baseline"/>
        <w:outlineLvl w:val="4"/>
      </w:pPr>
      <w:r w:rsidRPr="00FC659F">
        <w:rPr>
          <w:rFonts w:ascii="Arial" w:hAnsi="Arial"/>
          <w:color w:val="4E4E4E"/>
          <w:sz w:val="28"/>
        </w:rPr>
        <w:t>Ikraftträdande</w:t>
      </w:r>
    </w:p>
    <w:p w14:paraId="7F6C59A5" w14:textId="42393888" w:rsidR="00540BBB" w:rsidRPr="008F16A0" w:rsidRDefault="00540BBB" w:rsidP="008F16A0">
      <w:pPr>
        <w:shd w:val="clear" w:color="auto" w:fill="FFFFFF"/>
        <w:textAlignment w:val="baseline"/>
      </w:pPr>
      <w:r w:rsidRPr="00FC659F">
        <w:rPr>
          <w:rFonts w:ascii="inherit" w:hAnsi="inherit"/>
          <w:color w:val="444444"/>
          <w:sz w:val="23"/>
        </w:rPr>
        <w:t>Denna förordning träder i kraft den xx januari 2025.</w:t>
      </w:r>
    </w:p>
    <w:p w14:paraId="7AB81356" w14:textId="77777777" w:rsidR="00801540" w:rsidRDefault="00801540"/>
    <w:sectPr w:rsidR="00801540" w:rsidSect="008F16A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BB"/>
    <w:rsid w:val="00003D5F"/>
    <w:rsid w:val="00006488"/>
    <w:rsid w:val="000324D2"/>
    <w:rsid w:val="00040027"/>
    <w:rsid w:val="00040E66"/>
    <w:rsid w:val="00043AF3"/>
    <w:rsid w:val="00075B50"/>
    <w:rsid w:val="0007751B"/>
    <w:rsid w:val="00087246"/>
    <w:rsid w:val="0009040C"/>
    <w:rsid w:val="000968EC"/>
    <w:rsid w:val="000971CD"/>
    <w:rsid w:val="000B6CD5"/>
    <w:rsid w:val="000E0E35"/>
    <w:rsid w:val="000E224D"/>
    <w:rsid w:val="000E40F1"/>
    <w:rsid w:val="000E4947"/>
    <w:rsid w:val="000E5006"/>
    <w:rsid w:val="00103375"/>
    <w:rsid w:val="00112470"/>
    <w:rsid w:val="00123A58"/>
    <w:rsid w:val="00127E31"/>
    <w:rsid w:val="00131F71"/>
    <w:rsid w:val="00134ED1"/>
    <w:rsid w:val="00136516"/>
    <w:rsid w:val="0015723C"/>
    <w:rsid w:val="00161378"/>
    <w:rsid w:val="001743E1"/>
    <w:rsid w:val="00176374"/>
    <w:rsid w:val="001843CF"/>
    <w:rsid w:val="0018750B"/>
    <w:rsid w:val="00193B85"/>
    <w:rsid w:val="001A0147"/>
    <w:rsid w:val="001A092E"/>
    <w:rsid w:val="001A57EC"/>
    <w:rsid w:val="001D61E7"/>
    <w:rsid w:val="001E73E2"/>
    <w:rsid w:val="001F6C79"/>
    <w:rsid w:val="002248A0"/>
    <w:rsid w:val="00246883"/>
    <w:rsid w:val="0026092C"/>
    <w:rsid w:val="00267CDF"/>
    <w:rsid w:val="00271F64"/>
    <w:rsid w:val="00287756"/>
    <w:rsid w:val="00287F20"/>
    <w:rsid w:val="002A3073"/>
    <w:rsid w:val="002A65D3"/>
    <w:rsid w:val="002B4CE0"/>
    <w:rsid w:val="002C2319"/>
    <w:rsid w:val="002D41B5"/>
    <w:rsid w:val="0031651E"/>
    <w:rsid w:val="00324996"/>
    <w:rsid w:val="00325D29"/>
    <w:rsid w:val="00340573"/>
    <w:rsid w:val="003658F7"/>
    <w:rsid w:val="0037528C"/>
    <w:rsid w:val="00375728"/>
    <w:rsid w:val="00375E63"/>
    <w:rsid w:val="00375F50"/>
    <w:rsid w:val="003849A2"/>
    <w:rsid w:val="003850CC"/>
    <w:rsid w:val="00391AE7"/>
    <w:rsid w:val="00394AEA"/>
    <w:rsid w:val="003A01D6"/>
    <w:rsid w:val="003A561E"/>
    <w:rsid w:val="003A7612"/>
    <w:rsid w:val="003B2695"/>
    <w:rsid w:val="003C34B6"/>
    <w:rsid w:val="003C3EF5"/>
    <w:rsid w:val="00424356"/>
    <w:rsid w:val="00436C35"/>
    <w:rsid w:val="00442854"/>
    <w:rsid w:val="004454BF"/>
    <w:rsid w:val="004456F8"/>
    <w:rsid w:val="00475220"/>
    <w:rsid w:val="00494E5B"/>
    <w:rsid w:val="0049518C"/>
    <w:rsid w:val="004B4904"/>
    <w:rsid w:val="004C398E"/>
    <w:rsid w:val="004C5DAD"/>
    <w:rsid w:val="004E6F31"/>
    <w:rsid w:val="004F0E0D"/>
    <w:rsid w:val="00513F88"/>
    <w:rsid w:val="005176DB"/>
    <w:rsid w:val="00540BBB"/>
    <w:rsid w:val="005470B1"/>
    <w:rsid w:val="0055020D"/>
    <w:rsid w:val="0055519A"/>
    <w:rsid w:val="00555D2C"/>
    <w:rsid w:val="00556C59"/>
    <w:rsid w:val="00566301"/>
    <w:rsid w:val="00566D5D"/>
    <w:rsid w:val="00566EC0"/>
    <w:rsid w:val="00567270"/>
    <w:rsid w:val="005B28AF"/>
    <w:rsid w:val="005C26F8"/>
    <w:rsid w:val="005D70F4"/>
    <w:rsid w:val="005E3A3F"/>
    <w:rsid w:val="00616F8A"/>
    <w:rsid w:val="006500F4"/>
    <w:rsid w:val="0065185A"/>
    <w:rsid w:val="00697297"/>
    <w:rsid w:val="006B4A10"/>
    <w:rsid w:val="006C15B3"/>
    <w:rsid w:val="006E46EC"/>
    <w:rsid w:val="00720FE6"/>
    <w:rsid w:val="00726472"/>
    <w:rsid w:val="00736D4F"/>
    <w:rsid w:val="0074583A"/>
    <w:rsid w:val="0074754C"/>
    <w:rsid w:val="00765669"/>
    <w:rsid w:val="0078379B"/>
    <w:rsid w:val="007902AD"/>
    <w:rsid w:val="007B56E7"/>
    <w:rsid w:val="007D4F2D"/>
    <w:rsid w:val="007D7EFC"/>
    <w:rsid w:val="007F67AA"/>
    <w:rsid w:val="00801105"/>
    <w:rsid w:val="00801540"/>
    <w:rsid w:val="00817CAF"/>
    <w:rsid w:val="00825FC2"/>
    <w:rsid w:val="00837D23"/>
    <w:rsid w:val="008516AB"/>
    <w:rsid w:val="008832B5"/>
    <w:rsid w:val="008B2483"/>
    <w:rsid w:val="008B7B11"/>
    <w:rsid w:val="008D0922"/>
    <w:rsid w:val="008D6115"/>
    <w:rsid w:val="008F16A0"/>
    <w:rsid w:val="008F68C6"/>
    <w:rsid w:val="008F781D"/>
    <w:rsid w:val="0091044D"/>
    <w:rsid w:val="00923F64"/>
    <w:rsid w:val="00931E5A"/>
    <w:rsid w:val="00932492"/>
    <w:rsid w:val="009327BD"/>
    <w:rsid w:val="0093481E"/>
    <w:rsid w:val="009B1482"/>
    <w:rsid w:val="009B4CC1"/>
    <w:rsid w:val="009D4A15"/>
    <w:rsid w:val="00A134F2"/>
    <w:rsid w:val="00A25269"/>
    <w:rsid w:val="00A445FD"/>
    <w:rsid w:val="00A51904"/>
    <w:rsid w:val="00A55813"/>
    <w:rsid w:val="00A6637D"/>
    <w:rsid w:val="00A6707A"/>
    <w:rsid w:val="00A76B91"/>
    <w:rsid w:val="00A80041"/>
    <w:rsid w:val="00AA4A0C"/>
    <w:rsid w:val="00AA4B13"/>
    <w:rsid w:val="00AB75E9"/>
    <w:rsid w:val="00AF633B"/>
    <w:rsid w:val="00B12419"/>
    <w:rsid w:val="00B324B3"/>
    <w:rsid w:val="00B352A7"/>
    <w:rsid w:val="00B41292"/>
    <w:rsid w:val="00B458E3"/>
    <w:rsid w:val="00B847E9"/>
    <w:rsid w:val="00B84B26"/>
    <w:rsid w:val="00BB14A8"/>
    <w:rsid w:val="00BB5C27"/>
    <w:rsid w:val="00BC5988"/>
    <w:rsid w:val="00BD01B3"/>
    <w:rsid w:val="00BD183D"/>
    <w:rsid w:val="00C01DE4"/>
    <w:rsid w:val="00C051F0"/>
    <w:rsid w:val="00C07557"/>
    <w:rsid w:val="00C15865"/>
    <w:rsid w:val="00C24F52"/>
    <w:rsid w:val="00C403A7"/>
    <w:rsid w:val="00C40F02"/>
    <w:rsid w:val="00C55CCA"/>
    <w:rsid w:val="00C85C3C"/>
    <w:rsid w:val="00C91596"/>
    <w:rsid w:val="00CB6C0E"/>
    <w:rsid w:val="00D236C8"/>
    <w:rsid w:val="00D41E27"/>
    <w:rsid w:val="00D474AD"/>
    <w:rsid w:val="00D63851"/>
    <w:rsid w:val="00D66C6F"/>
    <w:rsid w:val="00D968DC"/>
    <w:rsid w:val="00DA0B39"/>
    <w:rsid w:val="00DB660D"/>
    <w:rsid w:val="00DD6B46"/>
    <w:rsid w:val="00DE2D3E"/>
    <w:rsid w:val="00DE7225"/>
    <w:rsid w:val="00E17380"/>
    <w:rsid w:val="00E66A4C"/>
    <w:rsid w:val="00E73E40"/>
    <w:rsid w:val="00E86763"/>
    <w:rsid w:val="00E879C3"/>
    <w:rsid w:val="00E949F8"/>
    <w:rsid w:val="00EB332B"/>
    <w:rsid w:val="00EE042D"/>
    <w:rsid w:val="00EF2A49"/>
    <w:rsid w:val="00EF5A89"/>
    <w:rsid w:val="00F0431D"/>
    <w:rsid w:val="00F12F8E"/>
    <w:rsid w:val="00F3090A"/>
    <w:rsid w:val="00F54F04"/>
    <w:rsid w:val="00FA723D"/>
    <w:rsid w:val="00FB15E6"/>
    <w:rsid w:val="00FC4BD9"/>
    <w:rsid w:val="00FC659F"/>
    <w:rsid w:val="12B1383C"/>
    <w:rsid w:val="2A6DF6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466D"/>
  <w15:chartTrackingRefBased/>
  <w15:docId w15:val="{BCBEE681-84F0-4F5C-B70C-D1650F06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7902AD"/>
    <w:rPr>
      <w:sz w:val="16"/>
      <w:szCs w:val="16"/>
    </w:rPr>
  </w:style>
  <w:style w:type="paragraph" w:styleId="Kommentinteksti">
    <w:name w:val="annotation text"/>
    <w:basedOn w:val="Normaali"/>
    <w:link w:val="KommentintekstiChar"/>
    <w:uiPriority w:val="99"/>
    <w:unhideWhenUsed/>
    <w:rsid w:val="007902AD"/>
    <w:pPr>
      <w:spacing w:line="240" w:lineRule="auto"/>
    </w:pPr>
    <w:rPr>
      <w:sz w:val="20"/>
      <w:szCs w:val="20"/>
    </w:rPr>
  </w:style>
  <w:style w:type="character" w:customStyle="1" w:styleId="KommentintekstiChar">
    <w:name w:val="Kommentin teksti Char"/>
    <w:basedOn w:val="Kappaleenoletusfontti"/>
    <w:link w:val="Kommentinteksti"/>
    <w:uiPriority w:val="99"/>
    <w:rsid w:val="007902AD"/>
    <w:rPr>
      <w:sz w:val="20"/>
      <w:szCs w:val="20"/>
    </w:rPr>
  </w:style>
  <w:style w:type="paragraph" w:styleId="Kommentinotsikko">
    <w:name w:val="annotation subject"/>
    <w:basedOn w:val="Kommentinteksti"/>
    <w:next w:val="Kommentinteksti"/>
    <w:link w:val="KommentinotsikkoChar"/>
    <w:uiPriority w:val="99"/>
    <w:semiHidden/>
    <w:unhideWhenUsed/>
    <w:rsid w:val="007902AD"/>
    <w:rPr>
      <w:b/>
      <w:bCs/>
    </w:rPr>
  </w:style>
  <w:style w:type="character" w:customStyle="1" w:styleId="KommentinotsikkoChar">
    <w:name w:val="Kommentin otsikko Char"/>
    <w:basedOn w:val="KommentintekstiChar"/>
    <w:link w:val="Kommentinotsikko"/>
    <w:uiPriority w:val="99"/>
    <w:semiHidden/>
    <w:rsid w:val="007902AD"/>
    <w:rPr>
      <w:b/>
      <w:bCs/>
      <w:sz w:val="20"/>
      <w:szCs w:val="20"/>
    </w:rPr>
  </w:style>
  <w:style w:type="paragraph" w:styleId="Seliteteksti">
    <w:name w:val="Balloon Text"/>
    <w:basedOn w:val="Normaali"/>
    <w:link w:val="SelitetekstiChar"/>
    <w:uiPriority w:val="99"/>
    <w:semiHidden/>
    <w:unhideWhenUsed/>
    <w:rsid w:val="007902A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02AD"/>
    <w:rPr>
      <w:rFonts w:ascii="Segoe UI" w:hAnsi="Segoe UI" w:cs="Segoe UI"/>
      <w:sz w:val="18"/>
      <w:szCs w:val="18"/>
    </w:rPr>
  </w:style>
  <w:style w:type="paragraph" w:styleId="Muutos">
    <w:name w:val="Revision"/>
    <w:hidden/>
    <w:uiPriority w:val="99"/>
    <w:semiHidden/>
    <w:rsid w:val="00123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7387">
      <w:bodyDiv w:val="1"/>
      <w:marLeft w:val="0"/>
      <w:marRight w:val="0"/>
      <w:marTop w:val="0"/>
      <w:marBottom w:val="0"/>
      <w:divBdr>
        <w:top w:val="none" w:sz="0" w:space="0" w:color="auto"/>
        <w:left w:val="none" w:sz="0" w:space="0" w:color="auto"/>
        <w:bottom w:val="none" w:sz="0" w:space="0" w:color="auto"/>
        <w:right w:val="none" w:sz="0" w:space="0" w:color="auto"/>
      </w:divBdr>
    </w:div>
    <w:div w:id="691229567">
      <w:bodyDiv w:val="1"/>
      <w:marLeft w:val="0"/>
      <w:marRight w:val="0"/>
      <w:marTop w:val="0"/>
      <w:marBottom w:val="0"/>
      <w:divBdr>
        <w:top w:val="none" w:sz="0" w:space="0" w:color="auto"/>
        <w:left w:val="none" w:sz="0" w:space="0" w:color="auto"/>
        <w:bottom w:val="none" w:sz="0" w:space="0" w:color="auto"/>
        <w:right w:val="none" w:sz="0" w:space="0" w:color="auto"/>
      </w:divBdr>
    </w:div>
    <w:div w:id="1468476841">
      <w:bodyDiv w:val="1"/>
      <w:marLeft w:val="0"/>
      <w:marRight w:val="0"/>
      <w:marTop w:val="0"/>
      <w:marBottom w:val="0"/>
      <w:divBdr>
        <w:top w:val="none" w:sz="0" w:space="0" w:color="auto"/>
        <w:left w:val="none" w:sz="0" w:space="0" w:color="auto"/>
        <w:bottom w:val="none" w:sz="0" w:space="0" w:color="auto"/>
        <w:right w:val="none" w:sz="0" w:space="0" w:color="auto"/>
      </w:divBdr>
    </w:div>
    <w:div w:id="1980573863">
      <w:bodyDiv w:val="1"/>
      <w:marLeft w:val="0"/>
      <w:marRight w:val="0"/>
      <w:marTop w:val="0"/>
      <w:marBottom w:val="0"/>
      <w:divBdr>
        <w:top w:val="none" w:sz="0" w:space="0" w:color="auto"/>
        <w:left w:val="none" w:sz="0" w:space="0" w:color="auto"/>
        <w:bottom w:val="none" w:sz="0" w:space="0" w:color="auto"/>
        <w:right w:val="none" w:sz="0" w:space="0" w:color="auto"/>
      </w:divBdr>
      <w:divsChild>
        <w:div w:id="12749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fi/laki/ajantasa/2022/202201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lex.fi/fi/laki/ajantasa/1988/198804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lex.fi/fi/laki/ajantasa/2022/202201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ajantasa/1997/19971336" TargetMode="External"/><Relationship Id="rId5" Type="http://schemas.openxmlformats.org/officeDocument/2006/relationships/customXml" Target="../customXml/item5.xml"/><Relationship Id="rId15" Type="http://schemas.openxmlformats.org/officeDocument/2006/relationships/hyperlink" Target="https://www.finlex.fi/fi/laki/ajantasa/2022/20220119" TargetMode="External"/><Relationship Id="rId10" Type="http://schemas.openxmlformats.org/officeDocument/2006/relationships/hyperlink" Target="https://www.finlex.fi/fi/laki/ajantasa/2022/20220119" TargetMode="External"/><Relationship Id="rId4" Type="http://schemas.openxmlformats.org/officeDocument/2006/relationships/customXml" Target="../customXml/item4.xml"/><Relationship Id="rId9" Type="http://schemas.openxmlformats.org/officeDocument/2006/relationships/hyperlink" Target="https://www.finlex.fi/fi/laki/ajantasa/2022/20220119" TargetMode="External"/><Relationship Id="rId14" Type="http://schemas.openxmlformats.org/officeDocument/2006/relationships/hyperlink" Target="https://www.finlex.fi/fi/laki/ajantasa/2022/2022011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SharedWithUsers xmlns="f7ad39ea-2116-4280-a261-a2cee41d0333">
      <UserInfo>
        <DisplayName>Mauriala Kristiina (SM) (kristiina.mauriala@gov.fi)</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2D90B3F21196F4D84978D6A0BBAB009" ma:contentTypeVersion="4" ma:contentTypeDescription="Kampus asiakirja" ma:contentTypeScope="" ma:versionID="0c516f5b2239cbee5de34aa5864d38e7">
  <xsd:schema xmlns:xsd="http://www.w3.org/2001/XMLSchema" xmlns:xs="http://www.w3.org/2001/XMLSchema" xmlns:p="http://schemas.microsoft.com/office/2006/metadata/properties" xmlns:ns2="c138b538-c2fd-4cca-8c26-6e4e32e5a042" xmlns:ns3="f7ad39ea-2116-4280-a261-a2cee41d0333" targetNamespace="http://schemas.microsoft.com/office/2006/metadata/properties" ma:root="true" ma:fieldsID="11345da456350f9ecc75b895ac10e189" ns2:_="" ns3:_="">
    <xsd:import namespace="c138b538-c2fd-4cca-8c26-6e4e32e5a042"/>
    <xsd:import namespace="f7ad39ea-2116-4280-a261-a2cee41d0333"/>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5672f2e-537c-4f16-8289-f0dc7181c46f}" ma:internalName="TaxCatchAll" ma:showField="CatchAllData" ma:web="f7ad39ea-2116-4280-a261-a2cee41d03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672f2e-537c-4f16-8289-f0dc7181c46f}" ma:internalName="TaxCatchAllLabel" ma:readOnly="true" ma:showField="CatchAllDataLabel" ma:web="f7ad39ea-2116-4280-a261-a2cee41d0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ad39ea-2116-4280-a261-a2cee41d0333"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F0FA-7AEA-4E8A-BDAA-400B394E9991}">
  <ds:schemaRefs>
    <ds:schemaRef ds:uri="http://schemas.microsoft.com/office/2006/metadata/properties"/>
    <ds:schemaRef ds:uri="http://schemas.microsoft.com/office/infopath/2007/PartnerControls"/>
    <ds:schemaRef ds:uri="c138b538-c2fd-4cca-8c26-6e4e32e5a042"/>
    <ds:schemaRef ds:uri="f7ad39ea-2116-4280-a261-a2cee41d0333"/>
  </ds:schemaRefs>
</ds:datastoreItem>
</file>

<file path=customXml/itemProps2.xml><?xml version="1.0" encoding="utf-8"?>
<ds:datastoreItem xmlns:ds="http://schemas.openxmlformats.org/officeDocument/2006/customXml" ds:itemID="{49E5D292-5704-468D-996D-30274BA3C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f7ad39ea-2116-4280-a261-a2cee41d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1D2B0-6300-4BE1-91C8-EF486801E49F}">
  <ds:schemaRefs>
    <ds:schemaRef ds:uri="http://schemas.microsoft.com/sharepoint/v3/contenttype/forms"/>
  </ds:schemaRefs>
</ds:datastoreItem>
</file>

<file path=customXml/itemProps4.xml><?xml version="1.0" encoding="utf-8"?>
<ds:datastoreItem xmlns:ds="http://schemas.openxmlformats.org/officeDocument/2006/customXml" ds:itemID="{5F57EF78-3757-43C8-B4D6-CE956FBAF17C}">
  <ds:schemaRefs>
    <ds:schemaRef ds:uri="Microsoft.SharePoint.Taxonomy.ContentTypeSync"/>
  </ds:schemaRefs>
</ds:datastoreItem>
</file>

<file path=customXml/itemProps5.xml><?xml version="1.0" encoding="utf-8"?>
<ds:datastoreItem xmlns:ds="http://schemas.openxmlformats.org/officeDocument/2006/customXml" ds:itemID="{10D00607-67B3-4BD1-85FE-6725166D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8723</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Valtioneuvoston asetus sisäasioiden rahastoista ohjelmakaudella 2021 versio 16102024</vt:lpstr>
    </vt:vector>
  </TitlesOfParts>
  <Company>Suomen valtion</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 sisäasioiden rahastoista ohjelmakaudella 2021 versio 16102024</dc:title>
  <dc:subject/>
  <dc:creator>Routti-Hietala Nina (SM)</dc:creator>
  <cp:keywords/>
  <dc:description/>
  <cp:lastModifiedBy>Routti-Hietala Nina (SM)</cp:lastModifiedBy>
  <cp:revision>3</cp:revision>
  <dcterms:created xsi:type="dcterms:W3CDTF">2024-11-19T13:36:00Z</dcterms:created>
  <dcterms:modified xsi:type="dcterms:W3CDTF">2024-11-19T13:40:00Z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0x010100B5FAB64B6C204DD994D3FAC0C34E2BFF00A2D90B3F21196F4D84978D6A0BBAB009</vt:lpwstr>
  </property>
  <property fmtid="{D5CDD505-2E9C-101B-9397-08002B2CF9AE}" pid="3" name="KampusOrganization">
    <vt:lpwstr/>
  </property>
  <property fmtid="{D5CDD505-2E9C-101B-9397-08002B2CF9AE}" pid="4" name="KampusKeywords">
    <vt:lpwstr/>
  </property>
</Properties>
</file>