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8F42CC">
      <w:pPr>
        <w:spacing w:after="200"/>
      </w:pPr>
      <w:r>
        <w:rPr>
          <w:rFonts w:ascii="Arial" w:eastAsia="Arial" w:hAnsi="Arial" w:cs="Arial"/>
          <w:color w:val="000000"/>
        </w:rPr>
        <w:t>Laatija: Sosiaali- ja terveysministeriö</w:t>
      </w:r>
    </w:p>
    <w:p w:rsidR="00A77B3E" w:rsidRDefault="008F42CC">
      <w:pP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Vastauksen määräpäivä: 20.10.2015</w:t>
      </w:r>
    </w:p>
    <w:p w:rsidR="00A77B3E" w:rsidRPr="008F42CC" w:rsidRDefault="008F42CC">
      <w:pPr>
        <w:spacing w:after="200"/>
        <w:rPr>
          <w:rFonts w:ascii="Arial" w:eastAsia="Arial" w:hAnsi="Arial" w:cs="Arial"/>
          <w:color w:val="000000"/>
          <w:lang w:val="sv-SE"/>
        </w:rPr>
      </w:pPr>
      <w:r w:rsidRPr="008F42CC">
        <w:rPr>
          <w:rFonts w:ascii="Arial" w:eastAsia="Arial" w:hAnsi="Arial" w:cs="Arial"/>
          <w:b/>
          <w:color w:val="000000"/>
          <w:sz w:val="32"/>
          <w:lang w:val="sv-SE"/>
        </w:rPr>
        <w:t xml:space="preserve">Laki kunta- ja palvelurakenneuudistuksesta annetun lain eräiden velvoitteiden voimassaolon jatkamisesta/ Lag om ändring av lagen om tillämpning av vissa förpliktelser enligt lagen </w:t>
      </w:r>
      <w:r w:rsidRPr="008F42CC">
        <w:rPr>
          <w:rFonts w:ascii="Arial" w:eastAsia="Arial" w:hAnsi="Arial" w:cs="Arial"/>
          <w:b/>
          <w:color w:val="000000"/>
          <w:sz w:val="32"/>
          <w:lang w:val="sv-SE"/>
        </w:rPr>
        <w:t>om en kommun- och servicestrukturreform</w:t>
      </w:r>
    </w:p>
    <w:p w:rsidR="00A77B3E" w:rsidRPr="008F42CC" w:rsidRDefault="008F42CC">
      <w:pPr>
        <w:spacing w:after="200"/>
        <w:rPr>
          <w:rFonts w:ascii="Arial" w:eastAsia="Arial" w:hAnsi="Arial" w:cs="Arial"/>
          <w:color w:val="000000"/>
          <w:sz w:val="32"/>
          <w:lang w:val="sv-SE"/>
        </w:rPr>
      </w:pPr>
    </w:p>
    <w:p w:rsidR="00A77B3E" w:rsidRDefault="008F42CC">
      <w:pPr>
        <w:spacing w:after="200"/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/>
          <w:color w:val="5B9BD5"/>
          <w:sz w:val="32"/>
        </w:rPr>
        <w:t>Sisältö</w:t>
      </w:r>
    </w:p>
    <w:p w:rsidR="0062201F" w:rsidRDefault="008F42CC">
      <w:pPr>
        <w:pStyle w:val="Sisluet1"/>
        <w:tabs>
          <w:tab w:val="right" w:leader="dot" w:pos="10630"/>
        </w:tabs>
        <w:rPr>
          <w:rFonts w:ascii="Calibri" w:hAnsi="Calibri"/>
          <w:noProof/>
          <w:sz w:val="22"/>
        </w:rPr>
      </w:pPr>
      <w:r>
        <w:rPr>
          <w:rFonts w:ascii="Arial" w:eastAsia="Arial" w:hAnsi="Arial" w:cs="Arial"/>
          <w:color w:val="000000"/>
          <w:sz w:val="32"/>
        </w:rPr>
        <w:fldChar w:fldCharType="begin"/>
      </w:r>
      <w:r>
        <w:rPr>
          <w:rFonts w:ascii="Arial" w:eastAsia="Arial" w:hAnsi="Arial" w:cs="Arial"/>
          <w:color w:val="000000"/>
          <w:sz w:val="32"/>
        </w:rPr>
        <w:instrText>TOC \o "1-5" \h \z \u</w:instrText>
      </w:r>
      <w:r>
        <w:rPr>
          <w:rFonts w:ascii="Arial" w:eastAsia="Arial" w:hAnsi="Arial" w:cs="Arial"/>
          <w:color w:val="000000"/>
          <w:sz w:val="32"/>
        </w:rPr>
        <w:fldChar w:fldCharType="separate"/>
      </w:r>
      <w:hyperlink w:anchor="_Toc256000000" w:history="1">
        <w:r>
          <w:rPr>
            <w:rStyle w:val="Hyperlinkki"/>
            <w:rFonts w:ascii="Arial" w:eastAsia="Arial" w:hAnsi="Arial" w:cs="Arial"/>
          </w:rPr>
          <w:t>Johdanto, Tausta</w:t>
        </w:r>
        <w:r>
          <w:rPr>
            <w:rStyle w:val="Hyperlinkki"/>
          </w:rPr>
          <w:tab/>
        </w:r>
        <w:r>
          <w:fldChar w:fldCharType="begin"/>
        </w:r>
        <w:r>
          <w:rPr>
            <w:rStyle w:val="Hyperlinkki"/>
          </w:rPr>
          <w:instrText xml:space="preserve"> PAGEREF _Toc256000000 \h </w:instrText>
        </w:r>
        <w:r>
          <w:fldChar w:fldCharType="separate"/>
        </w:r>
        <w:r>
          <w:rPr>
            <w:rStyle w:val="Hyperlinkki"/>
          </w:rPr>
          <w:t>1</w:t>
        </w:r>
        <w:r>
          <w:fldChar w:fldCharType="end"/>
        </w:r>
      </w:hyperlink>
    </w:p>
    <w:p w:rsidR="0062201F" w:rsidRDefault="008F42CC">
      <w:pPr>
        <w:pStyle w:val="Sisluet1"/>
        <w:tabs>
          <w:tab w:val="right" w:leader="dot" w:pos="10630"/>
        </w:tabs>
        <w:rPr>
          <w:rFonts w:ascii="Calibri" w:hAnsi="Calibri"/>
          <w:noProof/>
          <w:sz w:val="22"/>
        </w:rPr>
      </w:pPr>
      <w:hyperlink w:anchor="_Toc256000001" w:history="1">
        <w:r>
          <w:rPr>
            <w:rStyle w:val="Hyperlinkki"/>
            <w:rFonts w:ascii="Arial" w:eastAsia="Arial" w:hAnsi="Arial" w:cs="Arial"/>
          </w:rPr>
          <w:t>Jakelu, Va</w:t>
        </w:r>
        <w:r>
          <w:rPr>
            <w:rStyle w:val="Hyperlinkki"/>
            <w:rFonts w:ascii="Arial" w:eastAsia="Arial" w:hAnsi="Arial" w:cs="Arial"/>
          </w:rPr>
          <w:t>stausohjeet vastaanottajille</w:t>
        </w:r>
        <w:r>
          <w:rPr>
            <w:rStyle w:val="Hyperlinkki"/>
          </w:rPr>
          <w:tab/>
        </w:r>
        <w:r>
          <w:fldChar w:fldCharType="begin"/>
        </w:r>
        <w:r>
          <w:rPr>
            <w:rStyle w:val="Hyperlinkki"/>
          </w:rPr>
          <w:instrText xml:space="preserve"> PAGEREF _Toc256000001 \h </w:instrText>
        </w:r>
        <w:r>
          <w:fldChar w:fldCharType="separate"/>
        </w:r>
        <w:r>
          <w:rPr>
            <w:rStyle w:val="Hyperlinkki"/>
          </w:rPr>
          <w:t>2</w:t>
        </w:r>
        <w:r>
          <w:fldChar w:fldCharType="end"/>
        </w:r>
      </w:hyperlink>
    </w:p>
    <w:p w:rsidR="0062201F" w:rsidRDefault="008F42CC">
      <w:pPr>
        <w:pStyle w:val="Sisluet1"/>
        <w:tabs>
          <w:tab w:val="right" w:leader="dot" w:pos="10630"/>
        </w:tabs>
        <w:rPr>
          <w:rFonts w:ascii="Calibri" w:hAnsi="Calibri"/>
          <w:noProof/>
          <w:sz w:val="22"/>
        </w:rPr>
      </w:pPr>
      <w:hyperlink w:anchor="_Toc256000002" w:history="1">
        <w:r>
          <w:rPr>
            <w:rStyle w:val="Hyperlinkki"/>
            <w:rFonts w:ascii="Arial" w:eastAsia="Arial" w:hAnsi="Arial" w:cs="Arial"/>
          </w:rPr>
          <w:t>Aikataulu, Vastuuvalmistelijan yhteystiedot:</w:t>
        </w:r>
        <w:r>
          <w:rPr>
            <w:rStyle w:val="Hyperlinkki"/>
          </w:rPr>
          <w:tab/>
        </w:r>
        <w:r>
          <w:fldChar w:fldCharType="begin"/>
        </w:r>
        <w:r>
          <w:rPr>
            <w:rStyle w:val="Hyperlinkki"/>
          </w:rPr>
          <w:instrText xml:space="preserve"> PAGEREF _Toc256000002 \h </w:instrText>
        </w:r>
        <w:r>
          <w:fldChar w:fldCharType="separate"/>
        </w:r>
        <w:r>
          <w:rPr>
            <w:rStyle w:val="Hyperlinkki"/>
          </w:rPr>
          <w:t>5</w:t>
        </w:r>
        <w:r>
          <w:fldChar w:fldCharType="end"/>
        </w:r>
      </w:hyperlink>
    </w:p>
    <w:p w:rsidR="0062201F" w:rsidRDefault="008F42CC">
      <w:pPr>
        <w:pStyle w:val="Sisluet1"/>
        <w:tabs>
          <w:tab w:val="right" w:leader="dot" w:pos="10630"/>
        </w:tabs>
        <w:rPr>
          <w:rFonts w:ascii="Calibri" w:hAnsi="Calibri"/>
          <w:noProof/>
          <w:sz w:val="22"/>
        </w:rPr>
      </w:pPr>
      <w:hyperlink w:anchor="_Toc256000003" w:history="1">
        <w:r>
          <w:rPr>
            <w:rStyle w:val="Hyperlinkki"/>
            <w:rFonts w:ascii="Arial" w:eastAsia="Arial" w:hAnsi="Arial" w:cs="Arial"/>
          </w:rPr>
          <w:t>SUOMENKIELISET KYSYMYKSET</w:t>
        </w:r>
        <w:r>
          <w:rPr>
            <w:rStyle w:val="Hyperlinkki"/>
          </w:rPr>
          <w:tab/>
        </w:r>
        <w:r>
          <w:fldChar w:fldCharType="begin"/>
        </w:r>
        <w:r>
          <w:rPr>
            <w:rStyle w:val="Hyperlinkki"/>
          </w:rPr>
          <w:instrText xml:space="preserve"> PAGEREF _Toc256000003 \h </w:instrText>
        </w:r>
        <w:r>
          <w:fldChar w:fldCharType="separate"/>
        </w:r>
        <w:r>
          <w:rPr>
            <w:rStyle w:val="Hyperlinkki"/>
          </w:rPr>
          <w:t>5</w:t>
        </w:r>
        <w:r>
          <w:fldChar w:fldCharType="end"/>
        </w:r>
      </w:hyperlink>
    </w:p>
    <w:p w:rsidR="0062201F" w:rsidRDefault="008F42CC">
      <w:pPr>
        <w:pStyle w:val="Sisluet1"/>
        <w:tabs>
          <w:tab w:val="right" w:leader="dot" w:pos="10630"/>
        </w:tabs>
        <w:rPr>
          <w:rFonts w:ascii="Calibri" w:hAnsi="Calibri"/>
          <w:noProof/>
          <w:sz w:val="22"/>
        </w:rPr>
      </w:pPr>
      <w:hyperlink w:anchor="_Toc256000004" w:history="1">
        <w:r>
          <w:rPr>
            <w:rStyle w:val="Hyperlinkki"/>
            <w:rFonts w:ascii="Arial" w:eastAsia="Arial" w:hAnsi="Arial" w:cs="Arial"/>
          </w:rPr>
          <w:t>SVENSKA FRÅGOR</w:t>
        </w:r>
        <w:r>
          <w:rPr>
            <w:rStyle w:val="Hyperlinkki"/>
          </w:rPr>
          <w:tab/>
        </w:r>
        <w:r>
          <w:fldChar w:fldCharType="begin"/>
        </w:r>
        <w:r>
          <w:rPr>
            <w:rStyle w:val="Hyperlinkki"/>
          </w:rPr>
          <w:instrText xml:space="preserve"> PAGEREF _Toc256000004 \h </w:instrText>
        </w:r>
        <w:r>
          <w:fldChar w:fldCharType="separate"/>
        </w:r>
        <w:r>
          <w:rPr>
            <w:rStyle w:val="Hyperlinkki"/>
          </w:rPr>
          <w:t>6</w:t>
        </w:r>
        <w:r>
          <w:fldChar w:fldCharType="end"/>
        </w:r>
      </w:hyperlink>
    </w:p>
    <w:p w:rsidR="0062201F" w:rsidRDefault="008F42CC">
      <w:pPr>
        <w:pStyle w:val="Sisluet1"/>
        <w:tabs>
          <w:tab w:val="right" w:leader="dot" w:pos="10630"/>
        </w:tabs>
        <w:rPr>
          <w:rFonts w:ascii="Calibri" w:hAnsi="Calibri"/>
          <w:noProof/>
          <w:sz w:val="22"/>
        </w:rPr>
      </w:pPr>
      <w:hyperlink w:anchor="_Toc256000005" w:history="1">
        <w:r>
          <w:rPr>
            <w:rStyle w:val="Hyperlinkki"/>
            <w:rFonts w:ascii="Arial" w:eastAsia="Arial" w:hAnsi="Arial" w:cs="Arial"/>
          </w:rPr>
          <w:t>Lausunnonantaj</w:t>
        </w:r>
        <w:r>
          <w:rPr>
            <w:rStyle w:val="Hyperlinkki"/>
            <w:rFonts w:ascii="Arial" w:eastAsia="Arial" w:hAnsi="Arial" w:cs="Arial"/>
          </w:rPr>
          <w:t>an saate</w:t>
        </w:r>
        <w:r>
          <w:rPr>
            <w:rStyle w:val="Hyperlinkki"/>
          </w:rPr>
          <w:tab/>
        </w:r>
        <w:r>
          <w:fldChar w:fldCharType="begin"/>
        </w:r>
        <w:r>
          <w:rPr>
            <w:rStyle w:val="Hyperlinkki"/>
          </w:rPr>
          <w:instrText xml:space="preserve"> PAGEREF _Toc256000005 \h </w:instrText>
        </w:r>
        <w:r>
          <w:fldChar w:fldCharType="separate"/>
        </w:r>
        <w:r>
          <w:rPr>
            <w:rStyle w:val="Hyperlinkki"/>
          </w:rPr>
          <w:t>7</w:t>
        </w:r>
        <w:r>
          <w:fldChar w:fldCharType="end"/>
        </w:r>
      </w:hyperlink>
    </w:p>
    <w:p w:rsidR="00A77B3E" w:rsidRDefault="008F42CC">
      <w:pPr>
        <w:spacing w:after="200"/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/>
          <w:color w:val="000000"/>
          <w:sz w:val="32"/>
        </w:rPr>
        <w:fldChar w:fldCharType="end"/>
      </w:r>
    </w:p>
    <w:p w:rsidR="00A77B3E" w:rsidRDefault="008F42CC">
      <w:pPr>
        <w:pStyle w:val="Otsikko1"/>
        <w:spacing w:after="200"/>
        <w:rPr>
          <w:rFonts w:ascii="Arial" w:eastAsia="Arial" w:hAnsi="Arial" w:cs="Arial"/>
          <w:b w:val="0"/>
          <w:color w:val="000000"/>
          <w:sz w:val="32"/>
        </w:rPr>
      </w:pPr>
      <w:bookmarkStart w:id="0" w:name="_Toc256000000"/>
      <w:r>
        <w:rPr>
          <w:rFonts w:ascii="Arial" w:eastAsia="Arial" w:hAnsi="Arial" w:cs="Arial"/>
          <w:b w:val="0"/>
          <w:color w:val="5B9BD5"/>
          <w:sz w:val="32"/>
        </w:rPr>
        <w:t>Johdanto, Tausta</w:t>
      </w:r>
      <w:bookmarkEnd w:id="0"/>
    </w:p>
    <w:p w:rsidR="00A77B3E" w:rsidRDefault="008F42CC">
      <w:pP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Johdanto</w:t>
      </w:r>
    </w:p>
    <w:p w:rsidR="00A77B3E" w:rsidRPr="008F42CC" w:rsidRDefault="008F42CC">
      <w:pPr>
        <w:spacing w:after="200"/>
        <w:rPr>
          <w:rFonts w:ascii="Arial" w:eastAsia="Arial" w:hAnsi="Arial" w:cs="Arial"/>
          <w:b/>
          <w:color w:val="000000"/>
          <w:lang w:val="sv-SE"/>
        </w:rPr>
      </w:pPr>
      <w:r>
        <w:rPr>
          <w:rFonts w:ascii="Arial" w:eastAsia="Arial" w:hAnsi="Arial" w:cs="Arial"/>
        </w:rPr>
        <w:t>Sosiaali- ja terveysministeriössä on laadittu luonnos laiksi kunta- ja palvelurakenneuudistuksesta annetun lain eräide</w:t>
      </w:r>
      <w:r>
        <w:rPr>
          <w:rFonts w:ascii="Arial" w:eastAsia="Arial" w:hAnsi="Arial" w:cs="Arial"/>
        </w:rPr>
        <w:t xml:space="preserve">n velvoitteiden voimassaolon jatkamiseksi annetun lain muuttamisesta. Lakiluonnoksen perusteella Paras-puitelain mukaiset sosiaali- ja terveydenhuollon yhteistoimintavelvoitteet jatkuvat edelleen vielä vuoden 2016 jälkeen siihen saakka kunnes sosiaali- ja </w:t>
      </w:r>
      <w:r>
        <w:rPr>
          <w:rFonts w:ascii="Arial" w:eastAsia="Arial" w:hAnsi="Arial" w:cs="Arial"/>
        </w:rPr>
        <w:t>terveydenhuollon järjestämisvastuu siirtyy kunnilta ja kuntayhtymiltä muodostettaville kuntaa suuremmille itsehallintoalueille 1.1.2019.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Sosiaali- ja terveysministeriö toivoo, että lausunnon antaisivat erityisesti ne kunnat, jotka katsovat, että laissa 49</w:t>
      </w:r>
      <w:r>
        <w:rPr>
          <w:rFonts w:ascii="Arial" w:eastAsia="Arial" w:hAnsi="Arial" w:cs="Arial"/>
        </w:rPr>
        <w:t>0/2014 tarkoitetut Paras-puitelain mukaiset sosiaali- ja terveydenhuollon yhteistoimintavelvoitteet koskevat niitä.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 w:rsidRPr="008F42CC">
        <w:rPr>
          <w:rFonts w:ascii="Arial" w:eastAsia="Arial" w:hAnsi="Arial" w:cs="Arial"/>
          <w:lang w:val="sv-SE"/>
        </w:rPr>
        <w:t>***</w:t>
      </w:r>
      <w:r w:rsidRPr="008F42CC">
        <w:rPr>
          <w:rFonts w:ascii="Arial" w:eastAsia="Arial" w:hAnsi="Arial" w:cs="Arial"/>
          <w:lang w:val="sv-SE"/>
        </w:rPr>
        <w:br/>
      </w:r>
      <w:r w:rsidRPr="008F42CC">
        <w:rPr>
          <w:rFonts w:ascii="Arial" w:eastAsia="Arial" w:hAnsi="Arial" w:cs="Arial"/>
          <w:b/>
          <w:bCs/>
          <w:lang w:val="sv-SE"/>
        </w:rPr>
        <w:t xml:space="preserve">Inledning </w:t>
      </w:r>
      <w:r w:rsidRPr="008F42CC">
        <w:rPr>
          <w:rFonts w:ascii="Arial" w:eastAsia="Arial" w:hAnsi="Arial" w:cs="Arial"/>
          <w:lang w:val="sv-SE"/>
        </w:rPr>
        <w:br/>
      </w:r>
      <w:r w:rsidRPr="008F42CC">
        <w:rPr>
          <w:rFonts w:ascii="Arial" w:eastAsia="Arial" w:hAnsi="Arial" w:cs="Arial"/>
          <w:lang w:val="sv-SE"/>
        </w:rPr>
        <w:br/>
        <w:t xml:space="preserve">Vid social- och hälsovårdsministeriet har det gjorts ett utkast till lag om ändring av lagen om tillämpning av vissa </w:t>
      </w:r>
      <w:r w:rsidRPr="008F42CC">
        <w:rPr>
          <w:rFonts w:ascii="Arial" w:eastAsia="Arial" w:hAnsi="Arial" w:cs="Arial"/>
          <w:lang w:val="sv-SE"/>
        </w:rPr>
        <w:t>förpliktelser enligt lagen om en kommun- och servicestrukturreform. Enligt lagutkastet ska giltighetstiden för samarbetsförpliktelserna inom social- och hälsovården i enlighet med lagen om en kommun- och servicestrukturreform fortsätta efter 2016 tills ans</w:t>
      </w:r>
      <w:r w:rsidRPr="008F42CC">
        <w:rPr>
          <w:rFonts w:ascii="Arial" w:eastAsia="Arial" w:hAnsi="Arial" w:cs="Arial"/>
          <w:lang w:val="sv-SE"/>
        </w:rPr>
        <w:t>varet för ordnande av social- och hälsovården den 1 januari 2019 överförs från kommunerna och samkommunerna till självstyrande områden som är större än kommuner.</w:t>
      </w:r>
      <w:r w:rsidRPr="008F42CC">
        <w:rPr>
          <w:rFonts w:ascii="Arial" w:eastAsia="Arial" w:hAnsi="Arial" w:cs="Arial"/>
          <w:lang w:val="sv-SE"/>
        </w:rPr>
        <w:br/>
      </w:r>
      <w:r w:rsidRPr="008F42CC">
        <w:rPr>
          <w:rFonts w:ascii="Arial" w:eastAsia="Arial" w:hAnsi="Arial" w:cs="Arial"/>
          <w:lang w:val="sv-SE"/>
        </w:rPr>
        <w:br/>
        <w:t xml:space="preserve">Social- och hälsovårdsministeriet önskar få utlåtanden av särskilt de kommuner som anser att </w:t>
      </w:r>
      <w:r w:rsidRPr="008F42CC">
        <w:rPr>
          <w:rFonts w:ascii="Arial" w:eastAsia="Arial" w:hAnsi="Arial" w:cs="Arial"/>
          <w:lang w:val="sv-SE"/>
        </w:rPr>
        <w:t>de berörs av de samarbetsförpliktelser inom social- och hälsovården enligt lagen om en kommun-och servicestrukturreform som avses i lag 490/2014.</w:t>
      </w:r>
      <w:r w:rsidRPr="008F42CC">
        <w:rPr>
          <w:rFonts w:ascii="Arial" w:eastAsia="Arial" w:hAnsi="Arial" w:cs="Arial"/>
          <w:lang w:val="sv-SE"/>
        </w:rPr>
        <w:br/>
      </w:r>
      <w:r w:rsidRPr="008F42CC">
        <w:rPr>
          <w:rFonts w:ascii="Arial" w:eastAsia="Arial" w:hAnsi="Arial" w:cs="Arial"/>
          <w:lang w:val="sv-SE"/>
        </w:rPr>
        <w:br/>
      </w:r>
      <w:r w:rsidRPr="008F42CC">
        <w:rPr>
          <w:rFonts w:ascii="Arial" w:eastAsia="Arial" w:hAnsi="Arial" w:cs="Arial"/>
          <w:lang w:val="sv-SE"/>
        </w:rPr>
        <w:lastRenderedPageBreak/>
        <w:br/>
      </w:r>
      <w:r w:rsidRPr="008F42CC">
        <w:rPr>
          <w:rFonts w:ascii="Arial" w:eastAsia="Arial" w:hAnsi="Arial" w:cs="Arial"/>
          <w:lang w:val="sv-SE"/>
        </w:rPr>
        <w:br/>
        <w:t> </w:t>
      </w:r>
    </w:p>
    <w:p w:rsidR="00A77B3E" w:rsidRPr="008F42CC" w:rsidRDefault="008F42CC">
      <w:pPr>
        <w:spacing w:after="200"/>
        <w:rPr>
          <w:rFonts w:ascii="Arial" w:eastAsia="Arial" w:hAnsi="Arial" w:cs="Arial"/>
          <w:color w:val="000000"/>
          <w:lang w:val="sv-SE"/>
        </w:rPr>
      </w:pPr>
    </w:p>
    <w:p w:rsidR="00A77B3E" w:rsidRDefault="008F42CC">
      <w:pP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Tausta</w:t>
      </w:r>
    </w:p>
    <w:p w:rsidR="00A77B3E" w:rsidRPr="008F42CC" w:rsidRDefault="008F42CC">
      <w:pPr>
        <w:spacing w:after="200"/>
        <w:rPr>
          <w:rFonts w:ascii="Arial" w:eastAsia="Arial" w:hAnsi="Arial" w:cs="Arial"/>
          <w:b/>
          <w:color w:val="000000"/>
          <w:lang w:val="sv-SE"/>
        </w:rPr>
      </w:pPr>
      <w:r>
        <w:rPr>
          <w:rFonts w:ascii="Arial" w:eastAsia="Arial" w:hAnsi="Arial" w:cs="Arial"/>
        </w:rPr>
        <w:t>Kunta- ja palvelurakenneuudistuksesta annettuun lakiin perustuvat kuntien yhteistoimintavelvoitte</w:t>
      </w:r>
      <w:r>
        <w:rPr>
          <w:rFonts w:ascii="Arial" w:eastAsia="Arial" w:hAnsi="Arial" w:cs="Arial"/>
        </w:rPr>
        <w:t xml:space="preserve">et sosiaali- ja terveydenhuollon järjestämiseksi ovat kunta- ja palvelurakenneuudistuksesta annetun lain perusteella voimassa vuoden 2016 loppuun. Lain tarkoituksena on ollut varmistaa kunta- ja palvelurakenneuudistuksesta annetun lain mukaisten sosiaali- </w:t>
      </w:r>
      <w:r>
        <w:rPr>
          <w:rFonts w:ascii="Arial" w:eastAsia="Arial" w:hAnsi="Arial" w:cs="Arial"/>
        </w:rPr>
        <w:t>ja terveydenhuollon yhteistoiminta-alueiden toiminnan jatkuminen sosiaali- ja terveydenhuollon palvelurakenneuudistuksen toteutumiseen saakka. Sen vuoksi ehdotetaan, että kunta- ja palvelurakenneuudistukseen perustuvia sosiaali- ja terveydenhuollon yhteist</w:t>
      </w:r>
      <w:r>
        <w:rPr>
          <w:rFonts w:ascii="Arial" w:eastAsia="Arial" w:hAnsi="Arial" w:cs="Arial"/>
        </w:rPr>
        <w:t>oimintavelvoitteita jatkettaisiin vuoden 2018 loppuun. Yhteistoiminta-alueiden toiminnan jatkamisella turvattaisiin alueiden palvelujen häiriötön jatkuminen siihen saakka, kunnes sosiaali- ja terveydenhuollon palvelurakenneuudistuksen mukaiset uudet järjes</w:t>
      </w:r>
      <w:r>
        <w:rPr>
          <w:rFonts w:ascii="Arial" w:eastAsia="Arial" w:hAnsi="Arial" w:cs="Arial"/>
        </w:rPr>
        <w:t>tämisvastuulliset organisaatiot aloittavat toimintansa.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 w:rsidRPr="008F42CC">
        <w:rPr>
          <w:rFonts w:ascii="Arial" w:eastAsia="Arial" w:hAnsi="Arial" w:cs="Arial"/>
          <w:lang w:val="sv-SE"/>
        </w:rPr>
        <w:t>***</w:t>
      </w:r>
      <w:r w:rsidRPr="008F42CC">
        <w:rPr>
          <w:rFonts w:ascii="Arial" w:eastAsia="Arial" w:hAnsi="Arial" w:cs="Arial"/>
          <w:lang w:val="sv-SE"/>
        </w:rPr>
        <w:br/>
      </w:r>
      <w:r w:rsidRPr="008F42CC">
        <w:rPr>
          <w:rFonts w:ascii="Arial" w:eastAsia="Arial" w:hAnsi="Arial" w:cs="Arial"/>
          <w:b/>
          <w:bCs/>
          <w:lang w:val="sv-SE"/>
        </w:rPr>
        <w:t>Bakgrund</w:t>
      </w:r>
      <w:r w:rsidRPr="008F42CC">
        <w:rPr>
          <w:rFonts w:ascii="Arial" w:eastAsia="Arial" w:hAnsi="Arial" w:cs="Arial"/>
          <w:lang w:val="sv-SE"/>
        </w:rPr>
        <w:br/>
      </w:r>
      <w:r w:rsidRPr="008F42CC">
        <w:rPr>
          <w:rFonts w:ascii="Arial" w:eastAsia="Arial" w:hAnsi="Arial" w:cs="Arial"/>
          <w:lang w:val="sv-SE"/>
        </w:rPr>
        <w:br/>
        <w:t xml:space="preserve">Kommunernas samarbetsförpliktelser för ordnande av social- och hälsovården, vilka grundar sig på lagen om en kommun- och servicestrukturreform, gäller enligt den lagen till utgången av </w:t>
      </w:r>
      <w:r w:rsidRPr="008F42CC">
        <w:rPr>
          <w:rFonts w:ascii="Arial" w:eastAsia="Arial" w:hAnsi="Arial" w:cs="Arial"/>
          <w:lang w:val="sv-SE"/>
        </w:rPr>
        <w:t>2016. Syftet med lagen har varit att se till att verksamheten för samarbetsområdena inom social- och hälsovården enligt lagen om en kommun- och servicestrukturreform fortsätter tills servicestrukturreformen för social- och hälsovården genomförts. Därför fö</w:t>
      </w:r>
      <w:r w:rsidRPr="008F42CC">
        <w:rPr>
          <w:rFonts w:ascii="Arial" w:eastAsia="Arial" w:hAnsi="Arial" w:cs="Arial"/>
          <w:lang w:val="sv-SE"/>
        </w:rPr>
        <w:t>reslås att de bestämmelser om att de samarbetsförpliktelser inom social- och hälsovården som grundar sig på kommun- och servicestrukturreformen fortsätter att tillämpas till utgången av 2018. Genom att förlänga verksamheten för samarbetsområdena säkerställ</w:t>
      </w:r>
      <w:r w:rsidRPr="008F42CC">
        <w:rPr>
          <w:rFonts w:ascii="Arial" w:eastAsia="Arial" w:hAnsi="Arial" w:cs="Arial"/>
          <w:lang w:val="sv-SE"/>
        </w:rPr>
        <w:t>s att servicen inom områdena fortsätter utan störningar tills de nya organisationer enligt servicestrukturreformen för social- och hälsovården som ska svara för ordnandet av servicen inleder sin verksamhet.</w:t>
      </w:r>
      <w:r w:rsidRPr="008F42CC">
        <w:rPr>
          <w:rFonts w:ascii="Arial" w:eastAsia="Arial" w:hAnsi="Arial" w:cs="Arial"/>
          <w:lang w:val="sv-SE"/>
        </w:rPr>
        <w:br/>
        <w:t> </w:t>
      </w:r>
    </w:p>
    <w:p w:rsidR="00A77B3E" w:rsidRDefault="008F42CC">
      <w:pPr>
        <w:pStyle w:val="Otsikko1"/>
        <w:spacing w:after="200"/>
        <w:rPr>
          <w:rFonts w:ascii="Arial" w:eastAsia="Arial" w:hAnsi="Arial" w:cs="Arial"/>
          <w:b w:val="0"/>
          <w:color w:val="000000"/>
          <w:sz w:val="24"/>
        </w:rPr>
      </w:pPr>
      <w:bookmarkStart w:id="1" w:name="_Toc256000001"/>
      <w:r>
        <w:rPr>
          <w:rFonts w:ascii="Arial" w:eastAsia="Arial" w:hAnsi="Arial" w:cs="Arial"/>
          <w:b w:val="0"/>
          <w:color w:val="5B9BD5"/>
          <w:sz w:val="32"/>
        </w:rPr>
        <w:t>Jakelu, Vastausohjeet vastaanottajille</w:t>
      </w:r>
      <w:bookmarkEnd w:id="1"/>
    </w:p>
    <w:p w:rsidR="00A77B3E" w:rsidRDefault="008F42CC">
      <w:pP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Vastausohjeet vastaanottajille</w:t>
      </w:r>
    </w:p>
    <w:p w:rsidR="00A77B3E" w:rsidRPr="008F42CC" w:rsidRDefault="008F42CC">
      <w:pPr>
        <w:spacing w:after="200"/>
        <w:rPr>
          <w:rFonts w:ascii="Arial" w:eastAsia="Arial" w:hAnsi="Arial" w:cs="Arial"/>
          <w:b/>
          <w:color w:val="000000"/>
          <w:lang w:val="sv-SE"/>
        </w:rPr>
      </w:pPr>
      <w:r>
        <w:rPr>
          <w:rFonts w:ascii="Arial" w:eastAsia="Arial" w:hAnsi="Arial" w:cs="Arial"/>
        </w:rPr>
        <w:t>Lausuntopyyntöön voi vastata ainoastaan sähköisesti. Voitte vastata joko suomenkielisiin tai ruotsinkielisiin kysymyksiin. Lausuntopyyntö koostuu kahdesta monivalintakysymyksestä, joita on mahdollista myös perustella. Lausuntopyynnön voi lähettää vielä toi</w:t>
      </w:r>
      <w:r>
        <w:rPr>
          <w:rFonts w:ascii="Arial" w:eastAsia="Arial" w:hAnsi="Arial" w:cs="Arial"/>
        </w:rPr>
        <w:t>selle henkilölle hyväksyttäväksi ennen julkaisemista palvelussa.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Lausuntopyyntöön liittyvät tiedot ovat oranssien valikkojen alla. Lausuntopyyntökysely on vihreällä pohjalla. Kysely aukeaa klikatessa vihreän palkin oikeassa laidassa olevaa nuolta. Onnistu</w:t>
      </w:r>
      <w:r>
        <w:rPr>
          <w:rFonts w:ascii="Arial" w:eastAsia="Arial" w:hAnsi="Arial" w:cs="Arial"/>
        </w:rPr>
        <w:t>neesta lausunnon lähettämisestä tulee vastauskuittaus lausujan sähköpostiin.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 w:rsidRPr="008F42CC">
        <w:rPr>
          <w:rFonts w:ascii="Arial" w:eastAsia="Arial" w:hAnsi="Arial" w:cs="Arial"/>
          <w:lang w:val="sv-SE"/>
        </w:rPr>
        <w:t>Tekniset vastuuhenkilöt:</w:t>
      </w:r>
      <w:r w:rsidRPr="008F42CC">
        <w:rPr>
          <w:rFonts w:ascii="Arial" w:eastAsia="Arial" w:hAnsi="Arial" w:cs="Arial"/>
          <w:lang w:val="sv-SE"/>
        </w:rPr>
        <w:br/>
        <w:t>Jaana Aho, p. 02951 63395, etunimi.sukunimi@stm.fi</w:t>
      </w:r>
      <w:r w:rsidRPr="008F42CC">
        <w:rPr>
          <w:rFonts w:ascii="Arial" w:eastAsia="Arial" w:hAnsi="Arial" w:cs="Arial"/>
          <w:lang w:val="sv-SE"/>
        </w:rPr>
        <w:br/>
        <w:t>Kati Hokkanen, p. 02951 63727, etunimi.sukunimi@stm.fi</w:t>
      </w:r>
      <w:r w:rsidRPr="008F42CC">
        <w:rPr>
          <w:rFonts w:ascii="Arial" w:eastAsia="Arial" w:hAnsi="Arial" w:cs="Arial"/>
          <w:lang w:val="sv-SE"/>
        </w:rPr>
        <w:br/>
      </w:r>
      <w:hyperlink r:id="rId7" w:history="1">
        <w:r w:rsidRPr="008F42CC">
          <w:rPr>
            <w:rFonts w:ascii="Arial" w:eastAsia="Arial" w:hAnsi="Arial" w:cs="Arial"/>
            <w:color w:val="0000EE"/>
            <w:u w:val="single"/>
            <w:lang w:val="sv-SE"/>
          </w:rPr>
          <w:t>lau</w:t>
        </w:r>
        <w:r w:rsidRPr="008F42CC">
          <w:rPr>
            <w:rFonts w:ascii="Arial" w:eastAsia="Arial" w:hAnsi="Arial" w:cs="Arial"/>
            <w:color w:val="0000EE"/>
            <w:u w:val="single"/>
            <w:lang w:val="sv-SE"/>
          </w:rPr>
          <w:t>suntopalvelu.om@om.fi</w:t>
        </w:r>
      </w:hyperlink>
      <w:r w:rsidRPr="008F42CC">
        <w:rPr>
          <w:rFonts w:ascii="Arial" w:eastAsia="Arial" w:hAnsi="Arial" w:cs="Arial"/>
          <w:lang w:val="sv-SE"/>
        </w:rPr>
        <w:br/>
      </w:r>
      <w:r w:rsidRPr="008F42CC">
        <w:rPr>
          <w:rFonts w:ascii="Arial" w:eastAsia="Arial" w:hAnsi="Arial" w:cs="Arial"/>
          <w:lang w:val="sv-SE"/>
        </w:rPr>
        <w:br/>
      </w:r>
      <w:r w:rsidRPr="008F42CC">
        <w:rPr>
          <w:rFonts w:ascii="Arial" w:eastAsia="Arial" w:hAnsi="Arial" w:cs="Arial"/>
          <w:lang w:val="sv-SE"/>
        </w:rPr>
        <w:lastRenderedPageBreak/>
        <w:t>***</w:t>
      </w:r>
      <w:r w:rsidRPr="008F42CC">
        <w:rPr>
          <w:rFonts w:ascii="Arial" w:eastAsia="Arial" w:hAnsi="Arial" w:cs="Arial"/>
          <w:lang w:val="sv-SE"/>
        </w:rPr>
        <w:br/>
      </w:r>
      <w:r w:rsidRPr="008F42CC">
        <w:rPr>
          <w:rFonts w:ascii="Arial" w:eastAsia="Arial" w:hAnsi="Arial" w:cs="Arial"/>
          <w:b/>
          <w:bCs/>
          <w:lang w:val="sv-SE"/>
        </w:rPr>
        <w:t>Anvisningar för besvarande av begäran om utlåtande</w:t>
      </w:r>
      <w:r w:rsidRPr="008F42CC">
        <w:rPr>
          <w:rFonts w:ascii="Arial" w:eastAsia="Arial" w:hAnsi="Arial" w:cs="Arial"/>
          <w:lang w:val="sv-SE"/>
        </w:rPr>
        <w:br/>
      </w:r>
      <w:r w:rsidRPr="008F42CC">
        <w:rPr>
          <w:rFonts w:ascii="Arial" w:eastAsia="Arial" w:hAnsi="Arial" w:cs="Arial"/>
          <w:lang w:val="sv-SE"/>
        </w:rPr>
        <w:br/>
        <w:t xml:space="preserve">Begäran om utlåtande kan endast besvaras elektroniskt. Ni kan svara antingen på finska eller svenska frågor. Begäran om utlåtande består av tre flervalsfrågor. Det går också </w:t>
      </w:r>
      <w:r w:rsidRPr="008F42CC">
        <w:rPr>
          <w:rFonts w:ascii="Arial" w:eastAsia="Arial" w:hAnsi="Arial" w:cs="Arial"/>
          <w:lang w:val="sv-SE"/>
        </w:rPr>
        <w:t>att skriva motiveringar till svaren. Begäran om utlåtande kan skickas vidare för att bli godkänd av en annan person innan den publiceras i tjänsten. Information som anknyter till begäran om utlåtande finns under de orangea menyerna. Frågeformuläret syns mo</w:t>
      </w:r>
      <w:r w:rsidRPr="008F42CC">
        <w:rPr>
          <w:rFonts w:ascii="Arial" w:eastAsia="Arial" w:hAnsi="Arial" w:cs="Arial"/>
          <w:lang w:val="sv-SE"/>
        </w:rPr>
        <w:t>t grön bakgrund. Frågeformuläret öppnas när man klickar på pilen i högra kanten av den gröna balken. Om sändandet av utlåtandet lyckades, kommer det ett e-postmeddelande till den som lämnade utlåtandet.</w:t>
      </w:r>
      <w:r w:rsidRPr="008F42CC">
        <w:rPr>
          <w:rFonts w:ascii="Arial" w:eastAsia="Arial" w:hAnsi="Arial" w:cs="Arial"/>
          <w:lang w:val="sv-SE"/>
        </w:rPr>
        <w:br/>
      </w:r>
      <w:r w:rsidRPr="008F42CC">
        <w:rPr>
          <w:rFonts w:ascii="Arial" w:eastAsia="Arial" w:hAnsi="Arial" w:cs="Arial"/>
          <w:lang w:val="sv-SE"/>
        </w:rPr>
        <w:br/>
        <w:t>Tekniska ansvarspersoner:</w:t>
      </w:r>
      <w:r w:rsidRPr="008F42CC">
        <w:rPr>
          <w:rFonts w:ascii="Arial" w:eastAsia="Arial" w:hAnsi="Arial" w:cs="Arial"/>
          <w:lang w:val="sv-SE"/>
        </w:rPr>
        <w:br/>
        <w:t>Jaana Aho, tfn 02951 63395</w:t>
      </w:r>
      <w:r w:rsidRPr="008F42CC">
        <w:rPr>
          <w:rFonts w:ascii="Arial" w:eastAsia="Arial" w:hAnsi="Arial" w:cs="Arial"/>
          <w:lang w:val="sv-SE"/>
        </w:rPr>
        <w:t>, fornamn.efternamn@stm.fi</w:t>
      </w:r>
      <w:r w:rsidRPr="008F42CC">
        <w:rPr>
          <w:rFonts w:ascii="Arial" w:eastAsia="Arial" w:hAnsi="Arial" w:cs="Arial"/>
          <w:lang w:val="sv-SE"/>
        </w:rPr>
        <w:br/>
        <w:t>Kati Hokkanen, tfn 02961 63727, fornamn.efternamn@stm.fi</w:t>
      </w:r>
      <w:r w:rsidRPr="008F42CC">
        <w:rPr>
          <w:rFonts w:ascii="Arial" w:eastAsia="Arial" w:hAnsi="Arial" w:cs="Arial"/>
          <w:lang w:val="sv-SE"/>
        </w:rPr>
        <w:br/>
      </w:r>
      <w:hyperlink r:id="rId8" w:history="1">
        <w:r w:rsidRPr="008F42CC">
          <w:rPr>
            <w:rFonts w:ascii="Arial" w:eastAsia="Arial" w:hAnsi="Arial" w:cs="Arial"/>
            <w:color w:val="0000EE"/>
            <w:u w:val="single"/>
            <w:lang w:val="sv-SE"/>
          </w:rPr>
          <w:t>lausuntopalvelu.om@om.fi</w:t>
        </w:r>
      </w:hyperlink>
      <w:r w:rsidRPr="008F42CC">
        <w:rPr>
          <w:rFonts w:ascii="Arial" w:eastAsia="Arial" w:hAnsi="Arial" w:cs="Arial"/>
          <w:lang w:val="sv-SE"/>
        </w:rPr>
        <w:br/>
      </w:r>
      <w:r w:rsidRPr="008F42CC">
        <w:rPr>
          <w:rFonts w:ascii="Arial" w:eastAsia="Arial" w:hAnsi="Arial" w:cs="Arial"/>
          <w:lang w:val="sv-SE"/>
        </w:rPr>
        <w:br/>
      </w:r>
      <w:r w:rsidRPr="008F42CC">
        <w:rPr>
          <w:rFonts w:ascii="Arial" w:eastAsia="Arial" w:hAnsi="Arial" w:cs="Arial"/>
          <w:lang w:val="sv-SE"/>
        </w:rPr>
        <w:br/>
        <w:t> </w:t>
      </w:r>
    </w:p>
    <w:p w:rsidR="00A77B3E" w:rsidRPr="008F42CC" w:rsidRDefault="008F42CC">
      <w:pPr>
        <w:spacing w:after="200"/>
        <w:rPr>
          <w:rFonts w:ascii="Arial" w:eastAsia="Arial" w:hAnsi="Arial" w:cs="Arial"/>
          <w:color w:val="000000"/>
          <w:lang w:val="sv-SE"/>
        </w:rPr>
      </w:pPr>
    </w:p>
    <w:p w:rsidR="00A77B3E" w:rsidRDefault="008F42CC">
      <w:pPr>
        <w:pStyle w:val="Otsikko1"/>
        <w:spacing w:after="200"/>
        <w:rPr>
          <w:rFonts w:ascii="Arial" w:eastAsia="Arial" w:hAnsi="Arial" w:cs="Arial"/>
          <w:b w:val="0"/>
          <w:color w:val="000000"/>
          <w:sz w:val="24"/>
        </w:rPr>
      </w:pPr>
      <w:bookmarkStart w:id="2" w:name="_Toc256000002"/>
      <w:r>
        <w:rPr>
          <w:rFonts w:ascii="Arial" w:eastAsia="Arial" w:hAnsi="Arial" w:cs="Arial"/>
          <w:b w:val="0"/>
          <w:color w:val="5B9BD5"/>
          <w:sz w:val="32"/>
        </w:rPr>
        <w:t>Aikataulu, Vastuuvalmistelijan yhteystiedot:</w:t>
      </w:r>
      <w:bookmarkEnd w:id="2"/>
    </w:p>
    <w:p w:rsidR="00A77B3E" w:rsidRDefault="008F42CC">
      <w:pP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Aikataulu</w:t>
      </w:r>
    </w:p>
    <w:p w:rsidR="00A77B3E" w:rsidRPr="008F42CC" w:rsidRDefault="008F42CC">
      <w:pPr>
        <w:spacing w:after="200"/>
        <w:rPr>
          <w:rFonts w:ascii="Arial" w:eastAsia="Arial" w:hAnsi="Arial" w:cs="Arial"/>
          <w:b/>
          <w:color w:val="000000"/>
          <w:lang w:val="sv-SE"/>
        </w:rPr>
      </w:pPr>
      <w:r>
        <w:rPr>
          <w:rFonts w:ascii="Arial" w:eastAsia="Arial" w:hAnsi="Arial" w:cs="Arial"/>
        </w:rPr>
        <w:t xml:space="preserve">Lausuntopyyntöön tulee vastata </w:t>
      </w:r>
      <w:r>
        <w:rPr>
          <w:rFonts w:ascii="Arial" w:eastAsia="Arial" w:hAnsi="Arial" w:cs="Arial"/>
        </w:rPr>
        <w:t>20.10.2015 mennessä.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 w:rsidRPr="008F42CC">
        <w:rPr>
          <w:rFonts w:ascii="Arial" w:eastAsia="Arial" w:hAnsi="Arial" w:cs="Arial"/>
          <w:b/>
          <w:bCs/>
          <w:lang w:val="sv-SE"/>
        </w:rPr>
        <w:t>Tidsplan</w:t>
      </w:r>
      <w:r w:rsidRPr="008F42CC">
        <w:rPr>
          <w:rFonts w:ascii="Arial" w:eastAsia="Arial" w:hAnsi="Arial" w:cs="Arial"/>
          <w:lang w:val="sv-SE"/>
        </w:rPr>
        <w:br/>
      </w:r>
      <w:r w:rsidRPr="008F42CC">
        <w:rPr>
          <w:rFonts w:ascii="Arial" w:eastAsia="Arial" w:hAnsi="Arial" w:cs="Arial"/>
          <w:lang w:val="sv-SE"/>
        </w:rPr>
        <w:br/>
        <w:t>Sista dagen som det går att svara på begäran om utlåtande är den 20 oktober 2015.</w:t>
      </w:r>
      <w:r w:rsidRPr="008F42CC">
        <w:rPr>
          <w:rFonts w:ascii="Arial" w:eastAsia="Arial" w:hAnsi="Arial" w:cs="Arial"/>
          <w:lang w:val="sv-SE"/>
        </w:rPr>
        <w:br/>
      </w:r>
      <w:r w:rsidRPr="008F42CC">
        <w:rPr>
          <w:rFonts w:ascii="Arial" w:eastAsia="Arial" w:hAnsi="Arial" w:cs="Arial"/>
          <w:lang w:val="sv-SE"/>
        </w:rPr>
        <w:br/>
        <w:t> </w:t>
      </w:r>
    </w:p>
    <w:p w:rsidR="00A77B3E" w:rsidRPr="008F42CC" w:rsidRDefault="008F42CC">
      <w:pPr>
        <w:spacing w:after="200"/>
        <w:rPr>
          <w:rFonts w:ascii="Arial" w:eastAsia="Arial" w:hAnsi="Arial" w:cs="Arial"/>
          <w:color w:val="000000"/>
          <w:lang w:val="sv-SE"/>
        </w:rPr>
      </w:pPr>
    </w:p>
    <w:p w:rsidR="00A77B3E" w:rsidRDefault="008F42CC">
      <w:pP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Vastuuvalmistelijan yhteystiedot:</w:t>
      </w:r>
    </w:p>
    <w:p w:rsidR="00A77B3E" w:rsidRDefault="008F42CC">
      <w:pP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Hallitusneuvos Pekka Järvinen, p. 02951 63367, </w:t>
      </w:r>
      <w:hyperlink r:id="rId9" w:history="1">
        <w:r>
          <w:rPr>
            <w:rFonts w:ascii="Arial" w:eastAsia="Arial" w:hAnsi="Arial" w:cs="Arial"/>
            <w:color w:val="0000EE"/>
            <w:u w:val="single"/>
          </w:rPr>
          <w:t>etunimi.sukun</w:t>
        </w:r>
        <w:r>
          <w:rPr>
            <w:rFonts w:ascii="Arial" w:eastAsia="Arial" w:hAnsi="Arial" w:cs="Arial"/>
            <w:color w:val="0000EE"/>
            <w:u w:val="single"/>
          </w:rPr>
          <w:t>imi@stm.fi</w:t>
        </w:r>
      </w:hyperlink>
      <w:r>
        <w:rPr>
          <w:rFonts w:ascii="Arial" w:eastAsia="Arial" w:hAnsi="Arial" w:cs="Arial"/>
        </w:rPr>
        <w:br/>
        <w:t xml:space="preserve">Hallitusneuvos Päivi Salo, p. 02951 63113, </w:t>
      </w:r>
      <w:hyperlink r:id="rId10" w:history="1">
        <w:r>
          <w:rPr>
            <w:rFonts w:ascii="Arial" w:eastAsia="Arial" w:hAnsi="Arial" w:cs="Arial"/>
            <w:color w:val="0000EE"/>
            <w:u w:val="single"/>
          </w:rPr>
          <w:t>etunimi.sukunimi@stm.fi</w:t>
        </w:r>
      </w:hyperlink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Regeringsråd Pekka Järvinen, tfn 02951 63367, fornamn.efternamn@stm.fi</w:t>
      </w:r>
      <w:r>
        <w:rPr>
          <w:rFonts w:ascii="Arial" w:eastAsia="Arial" w:hAnsi="Arial" w:cs="Arial"/>
        </w:rPr>
        <w:br/>
        <w:t>Regeringsråd Päivi Salo, tfn 02951 63113, fornamn.eftern</w:t>
      </w:r>
      <w:r>
        <w:rPr>
          <w:rFonts w:ascii="Arial" w:eastAsia="Arial" w:hAnsi="Arial" w:cs="Arial"/>
        </w:rPr>
        <w:t>amn@stm.fi </w:t>
      </w:r>
    </w:p>
    <w:p w:rsidR="00A77B3E" w:rsidRDefault="008F42CC">
      <w:pPr>
        <w:spacing w:after="200"/>
        <w:rPr>
          <w:rFonts w:ascii="Arial" w:eastAsia="Arial" w:hAnsi="Arial" w:cs="Arial"/>
          <w:color w:val="000000"/>
        </w:rPr>
      </w:pPr>
    </w:p>
    <w:p w:rsidR="008F42CC" w:rsidRDefault="008F42CC">
      <w:pPr>
        <w:spacing w:after="200"/>
        <w:rPr>
          <w:rFonts w:ascii="Arial" w:eastAsia="Arial" w:hAnsi="Arial" w:cs="Arial"/>
          <w:color w:val="000000"/>
        </w:rPr>
      </w:pPr>
    </w:p>
    <w:p w:rsidR="008F42CC" w:rsidRDefault="008F42CC">
      <w:pPr>
        <w:spacing w:after="200"/>
        <w:rPr>
          <w:rFonts w:ascii="Arial" w:eastAsia="Arial" w:hAnsi="Arial" w:cs="Arial"/>
          <w:color w:val="000000"/>
        </w:rPr>
      </w:pPr>
    </w:p>
    <w:p w:rsidR="008F42CC" w:rsidRDefault="008F42CC">
      <w:pPr>
        <w:spacing w:after="200"/>
        <w:rPr>
          <w:rFonts w:ascii="Arial" w:eastAsia="Arial" w:hAnsi="Arial" w:cs="Arial"/>
          <w:color w:val="000000"/>
        </w:rPr>
      </w:pPr>
    </w:p>
    <w:p w:rsidR="00A77B3E" w:rsidRDefault="008F42CC">
      <w:pPr>
        <w:spacing w:after="200"/>
        <w:rPr>
          <w:rFonts w:ascii="Arial" w:eastAsia="Arial" w:hAnsi="Arial" w:cs="Arial"/>
          <w:color w:val="000000"/>
        </w:rPr>
      </w:pPr>
    </w:p>
    <w:p w:rsidR="00A77B3E" w:rsidRDefault="008F42CC">
      <w:pPr>
        <w:pStyle w:val="Otsikko1"/>
        <w:spacing w:after="200"/>
        <w:rPr>
          <w:rFonts w:ascii="Arial" w:eastAsia="Arial" w:hAnsi="Arial" w:cs="Arial"/>
          <w:b w:val="0"/>
          <w:color w:val="000000"/>
          <w:sz w:val="24"/>
        </w:rPr>
      </w:pPr>
      <w:bookmarkStart w:id="3" w:name="_Toc256000003"/>
      <w:r>
        <w:rPr>
          <w:rFonts w:ascii="Arial" w:eastAsia="Arial" w:hAnsi="Arial" w:cs="Arial"/>
          <w:b w:val="0"/>
          <w:color w:val="5B9BD5"/>
          <w:sz w:val="32"/>
        </w:rPr>
        <w:lastRenderedPageBreak/>
        <w:t>SUOMENKIELISET KYSYMYKSET</w:t>
      </w:r>
      <w:bookmarkEnd w:id="3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10440"/>
      </w:tblGrid>
      <w:tr w:rsidR="0062201F">
        <w:tc>
          <w:tcPr>
            <w:tcW w:w="10840" w:type="dxa"/>
            <w:gridSpan w:val="2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1. Katsotteko, että laki kunta- ja palvelurakenneuudistuksesta annetun lain eräiden velvoitteiden voimassaolon jatkamisesta koskee kuntaanne?</w:t>
            </w:r>
          </w:p>
        </w:tc>
      </w:tr>
      <w:tr w:rsidR="0062201F">
        <w:tc>
          <w:tcPr>
            <w:tcW w:w="400" w:type="dxa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200025" cy="200025"/>
                  <wp:effectExtent l="0" t="0" r="0" b="9525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0" w:type="dxa"/>
          </w:tcPr>
          <w:p w:rsidR="00A77B3E" w:rsidRDefault="008F42CC">
            <w:pPr>
              <w:spacing w:before="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Kyllä</w:t>
            </w:r>
          </w:p>
        </w:tc>
      </w:tr>
      <w:tr w:rsidR="0062201F">
        <w:tc>
          <w:tcPr>
            <w:tcW w:w="400" w:type="dxa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200025" cy="200025"/>
                  <wp:effectExtent l="0" t="0" r="0" b="9525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0" w:type="dxa"/>
          </w:tcPr>
          <w:p w:rsidR="00A77B3E" w:rsidRDefault="008F42CC">
            <w:pPr>
              <w:spacing w:before="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Ei</w:t>
            </w:r>
          </w:p>
        </w:tc>
      </w:tr>
      <w:tr w:rsidR="0062201F">
        <w:tc>
          <w:tcPr>
            <w:tcW w:w="400" w:type="dxa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200025" cy="200025"/>
                  <wp:effectExtent l="0" t="0" r="0" b="9525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0" w:type="dxa"/>
          </w:tcPr>
          <w:p w:rsidR="00A77B3E" w:rsidRDefault="008F42CC">
            <w:pPr>
              <w:spacing w:before="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En osaa sanoa</w:t>
            </w:r>
          </w:p>
        </w:tc>
      </w:tr>
    </w:tbl>
    <w:p w:rsidR="00A77B3E" w:rsidRDefault="008F42CC">
      <w:pPr>
        <w:spacing w:before="200" w:after="200"/>
        <w:rPr>
          <w:rFonts w:ascii="Arial" w:eastAsia="Arial" w:hAnsi="Arial" w:cs="Arial"/>
          <w:color w:val="000000"/>
        </w:rPr>
      </w:pPr>
    </w:p>
    <w:p w:rsidR="00A77B3E" w:rsidRDefault="008F42CC">
      <w:pP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Voitte perustella edellistä </w:t>
      </w:r>
      <w:r>
        <w:rPr>
          <w:rFonts w:ascii="Arial" w:eastAsia="Arial" w:hAnsi="Arial" w:cs="Arial"/>
        </w:rPr>
        <w:t>vastaustanne.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6"/>
      </w:tblGrid>
      <w:tr w:rsidR="0062201F">
        <w:trPr>
          <w:trHeight w:val="1200"/>
        </w:trPr>
        <w:tc>
          <w:tcPr>
            <w:tcW w:w="0" w:type="auto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77B3E" w:rsidRDefault="008F42CC">
      <w:pPr>
        <w:spacing w:before="200" w:after="200"/>
        <w:rPr>
          <w:rFonts w:ascii="Arial" w:eastAsia="Arial" w:hAnsi="Arial" w:cs="Arial"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10440"/>
      </w:tblGrid>
      <w:tr w:rsidR="0062201F">
        <w:tc>
          <w:tcPr>
            <w:tcW w:w="10840" w:type="dxa"/>
            <w:gridSpan w:val="2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2. Pidättekö kunta- ja palvelurakenneuudistuksesta annetun lain eräiden velvoitteiden voimassaolon jatkamista tärkeänä?</w:t>
            </w:r>
          </w:p>
        </w:tc>
      </w:tr>
      <w:tr w:rsidR="0062201F">
        <w:tc>
          <w:tcPr>
            <w:tcW w:w="400" w:type="dxa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200025" cy="200025"/>
                  <wp:effectExtent l="0" t="0" r="0" b="9525"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0" w:type="dxa"/>
          </w:tcPr>
          <w:p w:rsidR="00A77B3E" w:rsidRDefault="008F42CC">
            <w:pPr>
              <w:spacing w:before="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Kyllä</w:t>
            </w:r>
          </w:p>
        </w:tc>
      </w:tr>
      <w:tr w:rsidR="0062201F">
        <w:tc>
          <w:tcPr>
            <w:tcW w:w="400" w:type="dxa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200025" cy="200025"/>
                  <wp:effectExtent l="0" t="0" r="0" b="9525"/>
                  <wp:docPr id="5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0" w:type="dxa"/>
          </w:tcPr>
          <w:p w:rsidR="00A77B3E" w:rsidRDefault="008F42CC">
            <w:pPr>
              <w:spacing w:before="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Ei</w:t>
            </w:r>
            <w:r>
              <w:rPr>
                <w:rFonts w:ascii="Arial" w:eastAsia="Arial" w:hAnsi="Arial" w:cs="Arial"/>
              </w:rPr>
              <w:br/>
              <w:t> </w:t>
            </w:r>
          </w:p>
        </w:tc>
      </w:tr>
      <w:tr w:rsidR="0062201F">
        <w:tc>
          <w:tcPr>
            <w:tcW w:w="400" w:type="dxa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200025" cy="200025"/>
                  <wp:effectExtent l="0" t="0" r="0" b="9525"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0" w:type="dxa"/>
          </w:tcPr>
          <w:p w:rsidR="00A77B3E" w:rsidRDefault="008F42CC">
            <w:pPr>
              <w:spacing w:before="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Ei kantaa</w:t>
            </w:r>
          </w:p>
        </w:tc>
      </w:tr>
    </w:tbl>
    <w:p w:rsidR="00A77B3E" w:rsidRDefault="008F42CC">
      <w:pPr>
        <w:spacing w:before="200" w:after="200"/>
        <w:rPr>
          <w:rFonts w:ascii="Arial" w:eastAsia="Arial" w:hAnsi="Arial" w:cs="Arial"/>
          <w:color w:val="000000"/>
        </w:rPr>
      </w:pPr>
    </w:p>
    <w:p w:rsidR="00A77B3E" w:rsidRDefault="008F42CC">
      <w:pP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Voitte perustella edellistä vastaustanne.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6"/>
      </w:tblGrid>
      <w:tr w:rsidR="0062201F">
        <w:trPr>
          <w:trHeight w:val="1200"/>
        </w:trPr>
        <w:tc>
          <w:tcPr>
            <w:tcW w:w="0" w:type="auto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77B3E" w:rsidRDefault="008F42CC">
      <w:pPr>
        <w:spacing w:before="200" w:after="200"/>
        <w:rPr>
          <w:rFonts w:ascii="Arial" w:eastAsia="Arial" w:hAnsi="Arial" w:cs="Arial"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10440"/>
      </w:tblGrid>
      <w:tr w:rsidR="0062201F">
        <w:tc>
          <w:tcPr>
            <w:tcW w:w="10840" w:type="dxa"/>
            <w:gridSpan w:val="2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3. Pitäisikö velvoitteita muuttaa jollain </w:t>
            </w:r>
            <w:r>
              <w:rPr>
                <w:rFonts w:ascii="Arial" w:eastAsia="Arial" w:hAnsi="Arial" w:cs="Arial"/>
              </w:rPr>
              <w:t>tavalla?</w:t>
            </w:r>
            <w:r>
              <w:rPr>
                <w:rFonts w:ascii="Arial" w:eastAsia="Arial" w:hAnsi="Arial" w:cs="Arial"/>
              </w:rPr>
              <w:br/>
            </w:r>
          </w:p>
        </w:tc>
      </w:tr>
      <w:tr w:rsidR="0062201F">
        <w:tc>
          <w:tcPr>
            <w:tcW w:w="400" w:type="dxa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200025" cy="200025"/>
                  <wp:effectExtent l="0" t="0" r="0" b="9525"/>
                  <wp:docPr id="7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0" w:type="dxa"/>
          </w:tcPr>
          <w:p w:rsidR="00A77B3E" w:rsidRDefault="008F42CC">
            <w:pPr>
              <w:spacing w:before="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Kyllä</w:t>
            </w:r>
          </w:p>
        </w:tc>
      </w:tr>
      <w:tr w:rsidR="0062201F">
        <w:tc>
          <w:tcPr>
            <w:tcW w:w="400" w:type="dxa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200025" cy="200025"/>
                  <wp:effectExtent l="0" t="0" r="0" b="9525"/>
                  <wp:docPr id="8" name="Kuv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0" w:type="dxa"/>
          </w:tcPr>
          <w:p w:rsidR="00A77B3E" w:rsidRDefault="008F42CC">
            <w:pPr>
              <w:spacing w:before="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Ei</w:t>
            </w:r>
          </w:p>
        </w:tc>
      </w:tr>
      <w:tr w:rsidR="0062201F">
        <w:tc>
          <w:tcPr>
            <w:tcW w:w="400" w:type="dxa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200025" cy="200025"/>
                  <wp:effectExtent l="0" t="0" r="0" b="9525"/>
                  <wp:docPr id="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0" w:type="dxa"/>
          </w:tcPr>
          <w:p w:rsidR="00A77B3E" w:rsidRDefault="008F42CC">
            <w:pPr>
              <w:spacing w:before="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Ei kantaa</w:t>
            </w:r>
          </w:p>
        </w:tc>
      </w:tr>
    </w:tbl>
    <w:p w:rsidR="00A77B3E" w:rsidRDefault="008F42CC">
      <w:pPr>
        <w:spacing w:before="200" w:after="200"/>
        <w:rPr>
          <w:rFonts w:ascii="Arial" w:eastAsia="Arial" w:hAnsi="Arial" w:cs="Arial"/>
          <w:color w:val="000000"/>
        </w:rPr>
      </w:pPr>
    </w:p>
    <w:p w:rsidR="00A77B3E" w:rsidRDefault="008F42CC">
      <w:pP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Voitte perustella edellistä vastaustanne.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6"/>
      </w:tblGrid>
      <w:tr w:rsidR="0062201F">
        <w:trPr>
          <w:trHeight w:val="1200"/>
        </w:trPr>
        <w:tc>
          <w:tcPr>
            <w:tcW w:w="0" w:type="auto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77B3E" w:rsidRDefault="008F42CC">
      <w:pPr>
        <w:spacing w:before="200" w:after="200"/>
        <w:rPr>
          <w:rFonts w:ascii="Arial" w:eastAsia="Arial" w:hAnsi="Arial" w:cs="Arial"/>
          <w:color w:val="000000"/>
        </w:rPr>
      </w:pPr>
    </w:p>
    <w:p w:rsidR="00A77B3E" w:rsidRDefault="008F42CC">
      <w:pPr>
        <w:pStyle w:val="Otsikko1"/>
        <w:spacing w:before="0" w:after="200"/>
        <w:rPr>
          <w:rFonts w:ascii="Arial" w:eastAsia="Arial" w:hAnsi="Arial" w:cs="Arial"/>
          <w:b w:val="0"/>
          <w:color w:val="000000"/>
          <w:sz w:val="24"/>
        </w:rPr>
      </w:pPr>
      <w:bookmarkStart w:id="4" w:name="_Toc256000004"/>
      <w:r>
        <w:rPr>
          <w:rFonts w:ascii="Arial" w:eastAsia="Arial" w:hAnsi="Arial" w:cs="Arial"/>
          <w:b w:val="0"/>
          <w:color w:val="5B9BD5"/>
          <w:sz w:val="32"/>
        </w:rPr>
        <w:t>SVENSKA FRÅGOR</w:t>
      </w:r>
      <w:bookmarkEnd w:id="4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10440"/>
      </w:tblGrid>
      <w:tr w:rsidR="0062201F" w:rsidRPr="008F42CC">
        <w:tc>
          <w:tcPr>
            <w:tcW w:w="10840" w:type="dxa"/>
            <w:gridSpan w:val="2"/>
          </w:tcPr>
          <w:p w:rsidR="00A77B3E" w:rsidRPr="008F42CC" w:rsidRDefault="008F42CC">
            <w:pPr>
              <w:rPr>
                <w:rFonts w:ascii="Arial" w:eastAsia="Arial" w:hAnsi="Arial" w:cs="Arial"/>
                <w:color w:val="000000"/>
                <w:lang w:val="sv-SE"/>
              </w:rPr>
            </w:pPr>
            <w:r w:rsidRPr="008F42CC">
              <w:rPr>
                <w:rFonts w:ascii="Arial" w:eastAsia="Arial" w:hAnsi="Arial" w:cs="Arial"/>
                <w:lang w:val="sv-SE"/>
              </w:rPr>
              <w:t>1. Anser ni att lagen om ändring av lagen gällande tillämpning av vissa förpliktelser enligt lagen om en kommun- och servicestrukturreform berör er kommun?</w:t>
            </w:r>
          </w:p>
        </w:tc>
      </w:tr>
      <w:tr w:rsidR="0062201F">
        <w:tc>
          <w:tcPr>
            <w:tcW w:w="400" w:type="dxa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200025" cy="200025"/>
                  <wp:effectExtent l="0" t="0" r="0" b="9525"/>
                  <wp:docPr id="10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0" w:type="dxa"/>
          </w:tcPr>
          <w:p w:rsidR="00A77B3E" w:rsidRDefault="008F42CC">
            <w:pPr>
              <w:spacing w:before="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Ja</w:t>
            </w:r>
          </w:p>
        </w:tc>
      </w:tr>
      <w:tr w:rsidR="0062201F">
        <w:tc>
          <w:tcPr>
            <w:tcW w:w="400" w:type="dxa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200025" cy="200025"/>
                  <wp:effectExtent l="0" t="0" r="0" b="9525"/>
                  <wp:docPr id="11" name="Kuv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0" w:type="dxa"/>
          </w:tcPr>
          <w:p w:rsidR="00A77B3E" w:rsidRDefault="008F42CC">
            <w:pPr>
              <w:spacing w:before="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Nej</w:t>
            </w:r>
          </w:p>
        </w:tc>
      </w:tr>
      <w:tr w:rsidR="0062201F">
        <w:tc>
          <w:tcPr>
            <w:tcW w:w="400" w:type="dxa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200025" cy="200025"/>
                  <wp:effectExtent l="0" t="0" r="0" b="9525"/>
                  <wp:docPr id="12" name="Kuv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0" w:type="dxa"/>
          </w:tcPr>
          <w:p w:rsidR="00A77B3E" w:rsidRDefault="008F42CC">
            <w:pPr>
              <w:spacing w:before="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Kan inte säga.</w:t>
            </w:r>
          </w:p>
        </w:tc>
      </w:tr>
    </w:tbl>
    <w:p w:rsidR="00A77B3E" w:rsidRDefault="008F42CC">
      <w:pPr>
        <w:spacing w:before="200" w:after="200"/>
        <w:rPr>
          <w:rFonts w:ascii="Arial" w:eastAsia="Arial" w:hAnsi="Arial" w:cs="Arial"/>
          <w:color w:val="000000"/>
        </w:rPr>
      </w:pPr>
    </w:p>
    <w:p w:rsidR="00A77B3E" w:rsidRPr="008F42CC" w:rsidRDefault="008F42CC">
      <w:pPr>
        <w:spacing w:after="200"/>
        <w:rPr>
          <w:rFonts w:ascii="Arial" w:eastAsia="Arial" w:hAnsi="Arial" w:cs="Arial"/>
          <w:color w:val="000000"/>
          <w:lang w:val="sv-SE"/>
        </w:rPr>
      </w:pPr>
      <w:r w:rsidRPr="008F42CC">
        <w:rPr>
          <w:rFonts w:ascii="Arial" w:eastAsia="Arial" w:hAnsi="Arial" w:cs="Arial"/>
          <w:lang w:val="sv-SE"/>
        </w:rPr>
        <w:t>Ni kan motivera ert svar.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6"/>
      </w:tblGrid>
      <w:tr w:rsidR="0062201F" w:rsidRPr="008F42CC">
        <w:trPr>
          <w:trHeight w:val="1200"/>
        </w:trPr>
        <w:tc>
          <w:tcPr>
            <w:tcW w:w="0" w:type="auto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A77B3E" w:rsidRPr="008F42CC" w:rsidRDefault="008F42CC">
            <w:pPr>
              <w:rPr>
                <w:rFonts w:ascii="Arial" w:eastAsia="Arial" w:hAnsi="Arial" w:cs="Arial"/>
                <w:color w:val="000000"/>
                <w:lang w:val="sv-SE"/>
              </w:rPr>
            </w:pPr>
          </w:p>
        </w:tc>
      </w:tr>
    </w:tbl>
    <w:p w:rsidR="00A77B3E" w:rsidRPr="008F42CC" w:rsidRDefault="008F42CC">
      <w:pPr>
        <w:spacing w:before="200" w:after="200"/>
        <w:rPr>
          <w:rFonts w:ascii="Arial" w:eastAsia="Arial" w:hAnsi="Arial" w:cs="Arial"/>
          <w:color w:val="000000"/>
          <w:lang w:val="sv-S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10440"/>
      </w:tblGrid>
      <w:tr w:rsidR="0062201F" w:rsidRPr="008F42CC">
        <w:tc>
          <w:tcPr>
            <w:tcW w:w="10840" w:type="dxa"/>
            <w:gridSpan w:val="2"/>
          </w:tcPr>
          <w:p w:rsidR="00A77B3E" w:rsidRPr="008F42CC" w:rsidRDefault="008F42CC">
            <w:pPr>
              <w:rPr>
                <w:rFonts w:ascii="Arial" w:eastAsia="Arial" w:hAnsi="Arial" w:cs="Arial"/>
                <w:color w:val="000000"/>
                <w:lang w:val="sv-SE"/>
              </w:rPr>
            </w:pPr>
            <w:r w:rsidRPr="008F42CC">
              <w:rPr>
                <w:rFonts w:ascii="Arial" w:eastAsia="Arial" w:hAnsi="Arial" w:cs="Arial"/>
                <w:lang w:val="sv-SE"/>
              </w:rPr>
              <w:t>2. Anser ni att det är viktigt att förlänga giltighetstiden för vissa förpliktelser enligt lagen om en kommun- och servicestrukturreform?</w:t>
            </w:r>
          </w:p>
        </w:tc>
      </w:tr>
      <w:tr w:rsidR="0062201F">
        <w:tc>
          <w:tcPr>
            <w:tcW w:w="400" w:type="dxa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200025" cy="200025"/>
                  <wp:effectExtent l="0" t="0" r="0" b="9525"/>
                  <wp:docPr id="13" name="Kuv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0" w:type="dxa"/>
          </w:tcPr>
          <w:p w:rsidR="00A77B3E" w:rsidRDefault="008F42CC">
            <w:pPr>
              <w:spacing w:before="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Ja</w:t>
            </w:r>
            <w:r>
              <w:rPr>
                <w:rFonts w:ascii="Arial" w:eastAsia="Arial" w:hAnsi="Arial" w:cs="Arial"/>
              </w:rPr>
              <w:br/>
              <w:t> </w:t>
            </w:r>
          </w:p>
        </w:tc>
      </w:tr>
      <w:tr w:rsidR="0062201F">
        <w:tc>
          <w:tcPr>
            <w:tcW w:w="400" w:type="dxa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200025" cy="200025"/>
                  <wp:effectExtent l="0" t="0" r="0" b="9525"/>
                  <wp:docPr id="14" name="Kuv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0" w:type="dxa"/>
          </w:tcPr>
          <w:p w:rsidR="00A77B3E" w:rsidRDefault="008F42CC">
            <w:pPr>
              <w:spacing w:before="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Nej</w:t>
            </w:r>
          </w:p>
        </w:tc>
      </w:tr>
      <w:tr w:rsidR="0062201F">
        <w:tc>
          <w:tcPr>
            <w:tcW w:w="400" w:type="dxa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200025" cy="200025"/>
                  <wp:effectExtent l="0" t="0" r="0" b="9525"/>
                  <wp:docPr id="15" name="Kuv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0" w:type="dxa"/>
          </w:tcPr>
          <w:p w:rsidR="00A77B3E" w:rsidRDefault="008F42CC">
            <w:pPr>
              <w:spacing w:before="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Tar inte ställning</w:t>
            </w:r>
          </w:p>
        </w:tc>
      </w:tr>
    </w:tbl>
    <w:p w:rsidR="00A77B3E" w:rsidRDefault="008F42CC">
      <w:pPr>
        <w:spacing w:before="200" w:after="200"/>
        <w:rPr>
          <w:rFonts w:ascii="Arial" w:eastAsia="Arial" w:hAnsi="Arial" w:cs="Arial"/>
          <w:color w:val="000000"/>
        </w:rPr>
      </w:pPr>
    </w:p>
    <w:p w:rsidR="00A77B3E" w:rsidRPr="008F42CC" w:rsidRDefault="008F42CC">
      <w:pPr>
        <w:spacing w:after="200"/>
        <w:rPr>
          <w:rFonts w:ascii="Arial" w:eastAsia="Arial" w:hAnsi="Arial" w:cs="Arial"/>
          <w:color w:val="000000"/>
          <w:lang w:val="sv-SE"/>
        </w:rPr>
      </w:pPr>
      <w:r w:rsidRPr="008F42CC">
        <w:rPr>
          <w:rFonts w:ascii="Arial" w:eastAsia="Arial" w:hAnsi="Arial" w:cs="Arial"/>
          <w:lang w:val="sv-SE"/>
        </w:rPr>
        <w:t xml:space="preserve">Ni kan motivera </w:t>
      </w:r>
      <w:r w:rsidRPr="008F42CC">
        <w:rPr>
          <w:rFonts w:ascii="Arial" w:eastAsia="Arial" w:hAnsi="Arial" w:cs="Arial"/>
          <w:lang w:val="sv-SE"/>
        </w:rPr>
        <w:t>ert svar.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6"/>
      </w:tblGrid>
      <w:tr w:rsidR="0062201F" w:rsidRPr="008F42CC">
        <w:trPr>
          <w:trHeight w:val="1200"/>
        </w:trPr>
        <w:tc>
          <w:tcPr>
            <w:tcW w:w="0" w:type="auto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A77B3E" w:rsidRPr="008F42CC" w:rsidRDefault="008F42CC">
            <w:pPr>
              <w:rPr>
                <w:rFonts w:ascii="Arial" w:eastAsia="Arial" w:hAnsi="Arial" w:cs="Arial"/>
                <w:color w:val="000000"/>
                <w:lang w:val="sv-SE"/>
              </w:rPr>
            </w:pPr>
          </w:p>
        </w:tc>
      </w:tr>
    </w:tbl>
    <w:p w:rsidR="00A77B3E" w:rsidRPr="008F42CC" w:rsidRDefault="008F42CC">
      <w:pPr>
        <w:spacing w:before="200" w:after="200"/>
        <w:rPr>
          <w:rFonts w:ascii="Arial" w:eastAsia="Arial" w:hAnsi="Arial" w:cs="Arial"/>
          <w:color w:val="000000"/>
          <w:lang w:val="sv-S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10440"/>
      </w:tblGrid>
      <w:tr w:rsidR="0062201F" w:rsidRPr="008F42CC">
        <w:tc>
          <w:tcPr>
            <w:tcW w:w="10840" w:type="dxa"/>
            <w:gridSpan w:val="2"/>
          </w:tcPr>
          <w:p w:rsidR="00A77B3E" w:rsidRPr="008F42CC" w:rsidRDefault="008F42CC">
            <w:pPr>
              <w:rPr>
                <w:rFonts w:ascii="Arial" w:eastAsia="Arial" w:hAnsi="Arial" w:cs="Arial"/>
                <w:color w:val="000000"/>
                <w:lang w:val="sv-SE"/>
              </w:rPr>
            </w:pPr>
            <w:r w:rsidRPr="008F42CC">
              <w:rPr>
                <w:rFonts w:ascii="Arial" w:eastAsia="Arial" w:hAnsi="Arial" w:cs="Arial"/>
                <w:lang w:val="sv-SE"/>
              </w:rPr>
              <w:t>3. Borde förpliktelserna ändras på något sätt?</w:t>
            </w:r>
          </w:p>
        </w:tc>
      </w:tr>
      <w:tr w:rsidR="0062201F">
        <w:tc>
          <w:tcPr>
            <w:tcW w:w="400" w:type="dxa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200025" cy="200025"/>
                  <wp:effectExtent l="0" t="0" r="0" b="9525"/>
                  <wp:docPr id="16" name="Kuv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0" w:type="dxa"/>
          </w:tcPr>
          <w:p w:rsidR="00A77B3E" w:rsidRDefault="008F42CC">
            <w:pPr>
              <w:spacing w:before="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Ja</w:t>
            </w:r>
          </w:p>
        </w:tc>
      </w:tr>
      <w:tr w:rsidR="0062201F">
        <w:tc>
          <w:tcPr>
            <w:tcW w:w="400" w:type="dxa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200025" cy="200025"/>
                  <wp:effectExtent l="0" t="0" r="0" b="9525"/>
                  <wp:docPr id="17" name="Kuv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0" w:type="dxa"/>
          </w:tcPr>
          <w:p w:rsidR="00A77B3E" w:rsidRDefault="008F42CC">
            <w:pPr>
              <w:spacing w:before="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Nej</w:t>
            </w:r>
          </w:p>
        </w:tc>
      </w:tr>
      <w:tr w:rsidR="0062201F">
        <w:tc>
          <w:tcPr>
            <w:tcW w:w="400" w:type="dxa"/>
          </w:tcPr>
          <w:p w:rsidR="00A77B3E" w:rsidRDefault="008F42C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200025" cy="200025"/>
                  <wp:effectExtent l="0" t="0" r="0" b="9525"/>
                  <wp:docPr id="18" name="Kuv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0" w:type="dxa"/>
          </w:tcPr>
          <w:p w:rsidR="00A77B3E" w:rsidRDefault="008F42CC">
            <w:pPr>
              <w:spacing w:before="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Tar inte ställning</w:t>
            </w:r>
          </w:p>
        </w:tc>
      </w:tr>
    </w:tbl>
    <w:p w:rsidR="00A77B3E" w:rsidRDefault="008F42CC">
      <w:pPr>
        <w:spacing w:before="200" w:after="200"/>
        <w:rPr>
          <w:rFonts w:ascii="Arial" w:eastAsia="Arial" w:hAnsi="Arial" w:cs="Arial"/>
          <w:color w:val="000000"/>
        </w:rPr>
      </w:pPr>
    </w:p>
    <w:p w:rsidR="00A77B3E" w:rsidRPr="008F42CC" w:rsidRDefault="008F42CC">
      <w:pPr>
        <w:spacing w:after="200"/>
        <w:rPr>
          <w:rFonts w:ascii="Arial" w:eastAsia="Arial" w:hAnsi="Arial" w:cs="Arial"/>
          <w:color w:val="000000"/>
          <w:lang w:val="sv-SE"/>
        </w:rPr>
      </w:pPr>
      <w:r w:rsidRPr="008F42CC">
        <w:rPr>
          <w:rFonts w:ascii="Arial" w:eastAsia="Arial" w:hAnsi="Arial" w:cs="Arial"/>
          <w:lang w:val="sv-SE"/>
        </w:rPr>
        <w:t>Ni kan motivera ert svar.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6"/>
      </w:tblGrid>
      <w:tr w:rsidR="0062201F" w:rsidRPr="008F42CC">
        <w:trPr>
          <w:trHeight w:val="1200"/>
        </w:trPr>
        <w:tc>
          <w:tcPr>
            <w:tcW w:w="0" w:type="auto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A77B3E" w:rsidRPr="008F42CC" w:rsidRDefault="008F42CC">
            <w:pPr>
              <w:rPr>
                <w:rFonts w:ascii="Arial" w:eastAsia="Arial" w:hAnsi="Arial" w:cs="Arial"/>
                <w:color w:val="000000"/>
                <w:lang w:val="sv-SE"/>
              </w:rPr>
            </w:pPr>
          </w:p>
        </w:tc>
      </w:tr>
    </w:tbl>
    <w:p w:rsidR="00A77B3E" w:rsidRPr="008F42CC" w:rsidRDefault="008F42CC">
      <w:pPr>
        <w:spacing w:before="200" w:after="200"/>
        <w:rPr>
          <w:rFonts w:ascii="Arial" w:eastAsia="Arial" w:hAnsi="Arial" w:cs="Arial"/>
          <w:color w:val="000000"/>
          <w:lang w:val="sv-SE"/>
        </w:rPr>
      </w:pPr>
    </w:p>
    <w:p w:rsidR="00A77B3E" w:rsidRDefault="008F42CC">
      <w:pPr>
        <w:spacing w:after="200"/>
        <w:rPr>
          <w:rFonts w:ascii="Arial" w:eastAsia="Arial" w:hAnsi="Arial" w:cs="Arial"/>
          <w:color w:val="000000"/>
        </w:rPr>
      </w:pPr>
      <w:bookmarkStart w:id="5" w:name="_GoBack"/>
      <w:bookmarkEnd w:id="5"/>
    </w:p>
    <w:sectPr w:rsidR="00A77B3E">
      <w:footerReference w:type="default" r:id="rId12"/>
      <w:pgSz w:w="12240" w:h="15840"/>
      <w:pgMar w:top="800" w:right="800" w:bottom="80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42CC">
      <w:r>
        <w:separator/>
      </w:r>
    </w:p>
  </w:endnote>
  <w:endnote w:type="continuationSeparator" w:id="0">
    <w:p w:rsidR="00000000" w:rsidRDefault="008F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1F" w:rsidRDefault="008F42CC">
    <w:pPr>
      <w:jc w:val="right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42CC">
      <w:r>
        <w:separator/>
      </w:r>
    </w:p>
  </w:footnote>
  <w:footnote w:type="continuationSeparator" w:id="0">
    <w:p w:rsidR="00000000" w:rsidRDefault="008F4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1F"/>
    <w:rsid w:val="0062201F"/>
    <w:rsid w:val="008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bdr w:val="nil"/>
    </w:rPr>
  </w:style>
  <w:style w:type="paragraph" w:styleId="Otsikko1">
    <w:name w:val="heading 1"/>
    <w:basedOn w:val="Normaali"/>
    <w:next w:val="Normaali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Otsikko2">
    <w:name w:val="heading 2"/>
    <w:basedOn w:val="Normaali"/>
    <w:next w:val="Normaali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Otsikko3">
    <w:name w:val="heading 3"/>
    <w:basedOn w:val="Normaali"/>
    <w:next w:val="Normaali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Otsikko4">
    <w:name w:val="heading 4"/>
    <w:basedOn w:val="Normaali"/>
    <w:next w:val="Normaali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Otsikko5">
    <w:name w:val="heading 5"/>
    <w:basedOn w:val="Normaali"/>
    <w:next w:val="Normaali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Otsikko6">
    <w:name w:val="heading 6"/>
    <w:basedOn w:val="Normaali"/>
    <w:next w:val="Normaali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rsid w:val="00805BCE"/>
  </w:style>
  <w:style w:type="character" w:styleId="Hyperlinkki">
    <w:name w:val="Hyperlink"/>
    <w:basedOn w:val="Kappaleenoletusfontti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bdr w:val="nil"/>
    </w:rPr>
  </w:style>
  <w:style w:type="paragraph" w:styleId="Otsikko1">
    <w:name w:val="heading 1"/>
    <w:basedOn w:val="Normaali"/>
    <w:next w:val="Normaali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Otsikko2">
    <w:name w:val="heading 2"/>
    <w:basedOn w:val="Normaali"/>
    <w:next w:val="Normaali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Otsikko3">
    <w:name w:val="heading 3"/>
    <w:basedOn w:val="Normaali"/>
    <w:next w:val="Normaali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Otsikko4">
    <w:name w:val="heading 4"/>
    <w:basedOn w:val="Normaali"/>
    <w:next w:val="Normaali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Otsikko5">
    <w:name w:val="heading 5"/>
    <w:basedOn w:val="Normaali"/>
    <w:next w:val="Normaali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Otsikko6">
    <w:name w:val="heading 6"/>
    <w:basedOn w:val="Normaali"/>
    <w:next w:val="Normaali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rsid w:val="00805BCE"/>
  </w:style>
  <w:style w:type="character" w:styleId="Hyperlinkki">
    <w:name w:val="Hyperlink"/>
    <w:basedOn w:val="Kappaleenoletusfontti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unimi.sukunimi@stm.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unimi.sukunimi@stm.fi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etunimi.sukunimi@stm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tunimi.sukunimi@stm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858</Words>
  <Characters>6950</Characters>
  <Application>Microsoft Office Word</Application>
  <DocSecurity>4</DocSecurity>
  <Lines>57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VIP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Hokkanen Kati STM</dc:creator>
  <cp:lastModifiedBy>Hokkanen Kati STM</cp:lastModifiedBy>
  <cp:revision>2</cp:revision>
  <dcterms:created xsi:type="dcterms:W3CDTF">2015-09-04T10:44:00Z</dcterms:created>
  <dcterms:modified xsi:type="dcterms:W3CDTF">2015-09-04T10:44:00Z</dcterms:modified>
</cp:coreProperties>
</file>